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8B" w:rsidRDefault="00CB188B">
      <w:pPr>
        <w:pStyle w:val="Ttulo1"/>
        <w:spacing w:before="68"/>
        <w:ind w:left="1187" w:right="1364"/>
        <w:jc w:val="center"/>
      </w:pPr>
      <w:r>
        <w:rPr>
          <w:noProof/>
          <w:lang w:bidi="ar-SA"/>
        </w:rPr>
        <w:drawing>
          <wp:inline distT="0" distB="0" distL="0" distR="0" wp14:anchorId="69C9C8E9" wp14:editId="7D2D85A8">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bookmarkStart w:id="0" w:name="_GoBack"/>
      <w:bookmarkEnd w:id="0"/>
    </w:p>
    <w:p w:rsidR="00825E87" w:rsidRDefault="00CB188B">
      <w:pPr>
        <w:pStyle w:val="Ttulo1"/>
        <w:spacing w:before="68"/>
        <w:ind w:left="1187" w:right="1364"/>
        <w:jc w:val="center"/>
      </w:pPr>
      <w:r>
        <w:t>ANEXO</w:t>
      </w:r>
    </w:p>
    <w:p w:rsidR="00825E87" w:rsidRDefault="00825E87">
      <w:pPr>
        <w:pStyle w:val="Corpodetexto"/>
        <w:ind w:left="0"/>
        <w:rPr>
          <w:b/>
          <w:sz w:val="26"/>
        </w:rPr>
      </w:pPr>
    </w:p>
    <w:p w:rsidR="00825E87" w:rsidRDefault="00CB188B">
      <w:pPr>
        <w:spacing w:before="219" w:line="552" w:lineRule="auto"/>
        <w:ind w:left="1187" w:right="1364"/>
        <w:jc w:val="center"/>
        <w:rPr>
          <w:b/>
          <w:sz w:val="24"/>
        </w:rPr>
      </w:pPr>
      <w:r>
        <w:rPr>
          <w:b/>
          <w:sz w:val="24"/>
        </w:rPr>
        <w:t>PROTOCOLO CLÍNICO E DIRETRIZES TERAPÊUTICA</w:t>
      </w:r>
      <w:r>
        <w:rPr>
          <w:b/>
          <w:sz w:val="24"/>
        </w:rPr>
        <w:t>S ESPONDILITE ANCILOSANTE</w:t>
      </w:r>
    </w:p>
    <w:p w:rsidR="00825E87" w:rsidRDefault="00825E87">
      <w:pPr>
        <w:pStyle w:val="Corpodetexto"/>
        <w:spacing w:before="4"/>
        <w:ind w:left="0"/>
        <w:rPr>
          <w:b/>
          <w:sz w:val="27"/>
        </w:rPr>
      </w:pPr>
    </w:p>
    <w:p w:rsidR="00825E87" w:rsidRDefault="00CB188B">
      <w:pPr>
        <w:pStyle w:val="PargrafodaLista"/>
        <w:numPr>
          <w:ilvl w:val="0"/>
          <w:numId w:val="13"/>
        </w:numPr>
        <w:tabs>
          <w:tab w:val="left" w:pos="408"/>
        </w:tabs>
        <w:spacing w:before="1" w:line="275" w:lineRule="exact"/>
        <w:ind w:firstLine="0"/>
        <w:rPr>
          <w:b/>
          <w:sz w:val="24"/>
        </w:rPr>
      </w:pPr>
      <w:r>
        <w:rPr>
          <w:b/>
          <w:sz w:val="24"/>
        </w:rPr>
        <w:t>INTRODUÇÃO</w:t>
      </w:r>
    </w:p>
    <w:p w:rsidR="00825E87" w:rsidRDefault="00CB188B">
      <w:pPr>
        <w:pStyle w:val="Corpodetexto"/>
        <w:spacing w:line="273" w:lineRule="auto"/>
        <w:ind w:left="227" w:right="396" w:firstLine="708"/>
        <w:jc w:val="both"/>
      </w:pPr>
      <w:r>
        <w:t>A espondilite ancilosante ou anquilosante (EA) é uma doença inflamatória crônica classificada no grupo das espondiloartrites que acomete preferencialmente a coluna vertebral, podendo evoluir com rigidez e limitação fun</w:t>
      </w:r>
      <w:r>
        <w:t>cional progressiva do esqueleto axial. Assim, as formas mais iniciais de EA, nas quais o dano estrutural é menor ou inexistente, podem ser classificadas como espondiloartrites axiais (</w:t>
      </w:r>
      <w:r>
        <w:rPr>
          <w:b/>
        </w:rPr>
        <w:t>Quadro 1</w:t>
      </w:r>
      <w:r>
        <w:t>). A EA envolve adultos jovens, com pico de incidência em homens</w:t>
      </w:r>
      <w:r>
        <w:t xml:space="preserve"> dos 20 aos 30 anos, especialmente em portadores do antígeno HLA- B27, o que, no Brasil, representa cerca de 60% dos</w:t>
      </w:r>
      <w:r>
        <w:rPr>
          <w:spacing w:val="-1"/>
        </w:rPr>
        <w:t xml:space="preserve"> </w:t>
      </w:r>
      <w:r>
        <w:t>pacientes</w:t>
      </w:r>
      <w:r>
        <w:rPr>
          <w:position w:val="9"/>
          <w:sz w:val="16"/>
        </w:rPr>
        <w:t>(1–3)</w:t>
      </w:r>
      <w:r>
        <w:t>.</w:t>
      </w:r>
    </w:p>
    <w:p w:rsidR="00825E87" w:rsidRDefault="00CB188B">
      <w:pPr>
        <w:pStyle w:val="Corpodetexto"/>
        <w:spacing w:before="4" w:line="273" w:lineRule="auto"/>
        <w:ind w:left="227" w:right="379" w:firstLine="708"/>
        <w:jc w:val="both"/>
      </w:pPr>
      <w:r>
        <w:t xml:space="preserve">As manifestações clínicas da EA incluem sintomas axiais, como dor lombar inflamatória, e sintomas periféricos, como artrite, entesite e dactilite. O sintoma inicial costuma ser lombalgia, caracterizada por dor noturna, de início insidioso, que não melhora </w:t>
      </w:r>
      <w:r>
        <w:t>com repouso (mas melhora com exercícios). Em estudo multicêntrico brasileiro, os pacientes que tiveram o início da espondiloartrite (incluindo EA) antes dos 40 anos, apresentavam predomínio de sintomas axiais; os pacientes, predominantemente do sexo femini</w:t>
      </w:r>
      <w:r>
        <w:t>no, com início de sintomas mais tardio apresentavam sintomas</w:t>
      </w:r>
      <w:r>
        <w:rPr>
          <w:spacing w:val="-1"/>
        </w:rPr>
        <w:t xml:space="preserve"> </w:t>
      </w:r>
      <w:r>
        <w:t>periféricos</w:t>
      </w:r>
      <w:r>
        <w:rPr>
          <w:position w:val="9"/>
          <w:sz w:val="16"/>
        </w:rPr>
        <w:t>(4)</w:t>
      </w:r>
      <w:r>
        <w:t>.</w:t>
      </w:r>
    </w:p>
    <w:p w:rsidR="00825E87" w:rsidRDefault="00CB188B">
      <w:pPr>
        <w:pStyle w:val="Corpodetexto"/>
        <w:spacing w:before="2" w:line="271" w:lineRule="auto"/>
        <w:ind w:left="227" w:right="376" w:firstLine="708"/>
        <w:jc w:val="both"/>
      </w:pPr>
      <w:r>
        <w:t>Além disso, podem ocorrer manifestações extra-articulares, tais como uveíte anterior aguda (UAA), insuficiência aórtica, distúrbios de condução cardíacos, fibrose de lobos pulmona</w:t>
      </w:r>
      <w:r>
        <w:t>res superiores, compressão nervosa ou neurite, nefropatia ou amiloidose renal secundária. Das manifestações extra-articulares, a UAA é a manifestação extraesquelética mais comum, acometendo até 40% dos pacientes, especialmente os com HLA-B27 positivo</w:t>
      </w:r>
      <w:r>
        <w:rPr>
          <w:position w:val="9"/>
          <w:sz w:val="16"/>
        </w:rPr>
        <w:t>(5)</w:t>
      </w:r>
      <w:r>
        <w:t>. D</w:t>
      </w:r>
      <w:r>
        <w:t>ados observacionais de pacientes provenientes de 10 países ibero-americanos revelam que a UAA está associada, de forma positiva, a acometimento axial e presença de HLA-B27 e, de forma negativa, a acometimento periférico e artrite</w:t>
      </w:r>
      <w:r>
        <w:rPr>
          <w:spacing w:val="-4"/>
        </w:rPr>
        <w:t xml:space="preserve"> </w:t>
      </w:r>
      <w:r>
        <w:t>psoríaca</w:t>
      </w:r>
      <w:r>
        <w:rPr>
          <w:position w:val="9"/>
          <w:sz w:val="16"/>
        </w:rPr>
        <w:t>(6)</w:t>
      </w:r>
      <w:r>
        <w:t>.</w:t>
      </w:r>
    </w:p>
    <w:p w:rsidR="00825E87" w:rsidRDefault="00CB188B">
      <w:pPr>
        <w:pStyle w:val="Corpodetexto"/>
        <w:spacing w:before="14" w:line="273" w:lineRule="auto"/>
        <w:ind w:left="227" w:right="398" w:firstLine="708"/>
        <w:jc w:val="both"/>
      </w:pPr>
      <w:r>
        <w:t xml:space="preserve">Pacientes em </w:t>
      </w:r>
      <w:r>
        <w:t>estágios iniciais da EA apresentam sintomas clínicos da doença, porém geralmente não demonstram alterações estruturais em radiografias (RX). Em tais pacientes, sinais inflamatórios articulares, como sacroileíte, podem ser detectáveis em exame de ressonânci</w:t>
      </w:r>
      <w:r>
        <w:t>a magnética (RM). Consequentemente, foi proposto que a doença inicial e sem alteração no RX seja referida como espondiloartrite axial não</w:t>
      </w:r>
      <w:r>
        <w:rPr>
          <w:spacing w:val="-4"/>
        </w:rPr>
        <w:t xml:space="preserve"> </w:t>
      </w:r>
      <w:r>
        <w:t>radiográfica</w:t>
      </w:r>
      <w:r>
        <w:rPr>
          <w:position w:val="9"/>
          <w:sz w:val="16"/>
        </w:rPr>
        <w:t>(7)</w:t>
      </w:r>
      <w:r>
        <w:t>.</w:t>
      </w:r>
    </w:p>
    <w:p w:rsidR="00825E87" w:rsidRDefault="00CB188B">
      <w:pPr>
        <w:pStyle w:val="Corpodetexto"/>
        <w:spacing w:line="273" w:lineRule="auto"/>
        <w:ind w:left="227" w:right="376" w:firstLine="708"/>
        <w:jc w:val="both"/>
      </w:pPr>
      <w:r>
        <w:t>Fatores de mau prognóstico de EA incluem mudanças estruturais radiográficas à avaliação inicial, acom</w:t>
      </w:r>
      <w:r>
        <w:t>etimento do quadril, baixo nível socioeconômico, idade jovem no início da doença, tabagismo, uveíte, dactilite, velocidade de hemossedimentação (VHS) ou proteína C reativa persistentemente elevadas, resposta insatisfatória a anti-inflamatórios não-esteroid</w:t>
      </w:r>
      <w:r>
        <w:t>ais (AINE) e atividade de doença persistentemente alta (</w:t>
      </w:r>
      <w:r>
        <w:rPr>
          <w:i/>
        </w:rPr>
        <w:t xml:space="preserve">Bath Ankylosing Spondylitis Disease Actvity Index </w:t>
      </w:r>
      <w:r>
        <w:t xml:space="preserve">– BASDAI igual ou superior a 4 - ver no </w:t>
      </w:r>
      <w:r>
        <w:rPr>
          <w:b/>
        </w:rPr>
        <w:t>Apêndice</w:t>
      </w:r>
      <w:r>
        <w:rPr>
          <w:b/>
          <w:spacing w:val="-7"/>
        </w:rPr>
        <w:t xml:space="preserve"> </w:t>
      </w:r>
      <w:r>
        <w:rPr>
          <w:b/>
        </w:rPr>
        <w:t>1</w:t>
      </w:r>
      <w:r>
        <w:t>)</w:t>
      </w:r>
      <w:r>
        <w:rPr>
          <w:position w:val="9"/>
          <w:sz w:val="16"/>
        </w:rPr>
        <w:t>(8)</w:t>
      </w:r>
      <w:r>
        <w:t>.</w:t>
      </w:r>
    </w:p>
    <w:p w:rsidR="00825E87" w:rsidRDefault="00CB188B">
      <w:pPr>
        <w:pStyle w:val="Corpodetexto"/>
        <w:spacing w:before="1" w:line="276" w:lineRule="auto"/>
        <w:ind w:left="227" w:right="400" w:firstLine="708"/>
        <w:jc w:val="both"/>
      </w:pPr>
      <w:r>
        <w:t>A identificação da doença em seu estágio inicial e o encaminhamento ágil e adequado para o atendimento especializado dá à Atenção Básica um caráter essencial para um melhor resultado terapêutico e prognóstico dos casos.</w:t>
      </w:r>
    </w:p>
    <w:p w:rsidR="00825E87" w:rsidRDefault="00825E87">
      <w:pPr>
        <w:spacing w:line="276" w:lineRule="auto"/>
        <w:jc w:val="both"/>
        <w:sectPr w:rsidR="00825E87">
          <w:pgSz w:w="11900" w:h="16840"/>
          <w:pgMar w:top="1120" w:right="880" w:bottom="280" w:left="920" w:header="720" w:footer="720" w:gutter="0"/>
          <w:cols w:space="720"/>
        </w:sectPr>
      </w:pPr>
    </w:p>
    <w:p w:rsidR="00825E87" w:rsidRDefault="00CB188B">
      <w:pPr>
        <w:pStyle w:val="Corpodetexto"/>
        <w:spacing w:before="63" w:line="276" w:lineRule="auto"/>
        <w:ind w:left="227" w:right="382" w:firstLine="708"/>
        <w:jc w:val="both"/>
      </w:pPr>
      <w:r>
        <w:lastRenderedPageBreak/>
        <w:t>Este Protocolo tem por</w:t>
      </w:r>
      <w:r>
        <w:t xml:space="preserve"> objetivo definir critérios de classificação e de tratamento de pacientes com EA ou com espondiloartrite axial não radiográfica que apresentam manifestações músculo-esqueléticas (axiais ou periféricas). A metodologia de busca e avaliação das evidências est</w:t>
      </w:r>
      <w:r>
        <w:t xml:space="preserve">á detalhada no </w:t>
      </w:r>
      <w:r>
        <w:rPr>
          <w:b/>
        </w:rPr>
        <w:t>Apêndice 2</w:t>
      </w:r>
      <w:r>
        <w:t>.</w:t>
      </w:r>
    </w:p>
    <w:p w:rsidR="00825E87" w:rsidRDefault="00825E87">
      <w:pPr>
        <w:pStyle w:val="Corpodetexto"/>
        <w:spacing w:before="9"/>
        <w:ind w:left="0"/>
        <w:rPr>
          <w:sz w:val="27"/>
        </w:rPr>
      </w:pPr>
    </w:p>
    <w:p w:rsidR="00825E87" w:rsidRDefault="00CB188B">
      <w:pPr>
        <w:pStyle w:val="Ttulo1"/>
        <w:numPr>
          <w:ilvl w:val="0"/>
          <w:numId w:val="13"/>
        </w:numPr>
        <w:tabs>
          <w:tab w:val="left" w:pos="427"/>
        </w:tabs>
        <w:ind w:right="460" w:firstLine="0"/>
        <w:jc w:val="both"/>
      </w:pPr>
      <w:r>
        <w:t>CLASSIFICAÇÃO ESTATÍSTICA INTERNACIONAL DE DOENÇAS E</w:t>
      </w:r>
      <w:r>
        <w:rPr>
          <w:spacing w:val="-15"/>
        </w:rPr>
        <w:t xml:space="preserve"> </w:t>
      </w:r>
      <w:r>
        <w:t>PROBLEMAS RELACIONADOS À SAÚDE (CID-10)</w:t>
      </w:r>
    </w:p>
    <w:p w:rsidR="00825E87" w:rsidRDefault="00CB188B">
      <w:pPr>
        <w:pStyle w:val="PargrafodaLista"/>
        <w:numPr>
          <w:ilvl w:val="1"/>
          <w:numId w:val="13"/>
        </w:numPr>
        <w:tabs>
          <w:tab w:val="left" w:pos="1049"/>
        </w:tabs>
        <w:spacing w:line="271" w:lineRule="exact"/>
        <w:rPr>
          <w:sz w:val="24"/>
        </w:rPr>
      </w:pPr>
      <w:r>
        <w:rPr>
          <w:sz w:val="24"/>
        </w:rPr>
        <w:t>M45 Espondilite</w:t>
      </w:r>
      <w:r>
        <w:rPr>
          <w:spacing w:val="-1"/>
          <w:sz w:val="24"/>
        </w:rPr>
        <w:t xml:space="preserve"> </w:t>
      </w:r>
      <w:r>
        <w:rPr>
          <w:sz w:val="24"/>
        </w:rPr>
        <w:t>ancilosante</w:t>
      </w:r>
    </w:p>
    <w:p w:rsidR="00825E87" w:rsidRDefault="00CB188B">
      <w:pPr>
        <w:pStyle w:val="PargrafodaLista"/>
        <w:numPr>
          <w:ilvl w:val="1"/>
          <w:numId w:val="13"/>
        </w:numPr>
        <w:tabs>
          <w:tab w:val="left" w:pos="1049"/>
        </w:tabs>
        <w:rPr>
          <w:sz w:val="24"/>
        </w:rPr>
      </w:pPr>
      <w:r>
        <w:rPr>
          <w:sz w:val="24"/>
        </w:rPr>
        <w:t>M46.8 Outras espondilopatias inflamatórias</w:t>
      </w:r>
      <w:r>
        <w:rPr>
          <w:spacing w:val="-1"/>
          <w:sz w:val="24"/>
        </w:rPr>
        <w:t xml:space="preserve"> </w:t>
      </w:r>
      <w:r>
        <w:rPr>
          <w:sz w:val="24"/>
        </w:rPr>
        <w:t>especificadas</w:t>
      </w:r>
    </w:p>
    <w:p w:rsidR="00825E87" w:rsidRDefault="00825E87">
      <w:pPr>
        <w:pStyle w:val="Corpodetexto"/>
        <w:ind w:left="0"/>
        <w:rPr>
          <w:sz w:val="28"/>
        </w:rPr>
      </w:pPr>
    </w:p>
    <w:p w:rsidR="00825E87" w:rsidRDefault="00CB188B">
      <w:pPr>
        <w:pStyle w:val="Ttulo1"/>
        <w:numPr>
          <w:ilvl w:val="0"/>
          <w:numId w:val="13"/>
        </w:numPr>
        <w:tabs>
          <w:tab w:val="left" w:pos="449"/>
        </w:tabs>
        <w:spacing w:line="275" w:lineRule="exact"/>
        <w:ind w:left="448" w:hanging="228"/>
      </w:pPr>
      <w:r>
        <w:t>DIAGNÓSTICO</w:t>
      </w:r>
    </w:p>
    <w:p w:rsidR="00825E87" w:rsidRDefault="00CB188B">
      <w:pPr>
        <w:pStyle w:val="Corpodetexto"/>
        <w:spacing w:line="261" w:lineRule="auto"/>
        <w:ind w:left="227" w:right="403" w:firstLine="708"/>
        <w:jc w:val="both"/>
      </w:pPr>
      <w:r>
        <w:t>Inexistem critérios diagnósticos para EA, mas critérios de classificação facilitam a identificação das características mais importantes para o diagnóstico</w:t>
      </w:r>
      <w:r>
        <w:rPr>
          <w:position w:val="9"/>
          <w:sz w:val="16"/>
        </w:rPr>
        <w:t>(9)</w:t>
      </w:r>
      <w:r>
        <w:t>.</w:t>
      </w:r>
    </w:p>
    <w:p w:rsidR="00825E87" w:rsidRDefault="00CB188B">
      <w:pPr>
        <w:pStyle w:val="Corpodetexto"/>
        <w:spacing w:before="15" w:line="273" w:lineRule="auto"/>
        <w:ind w:left="227" w:right="375" w:firstLine="708"/>
        <w:jc w:val="both"/>
      </w:pPr>
      <w:r>
        <w:t>Os critérios ASAS (</w:t>
      </w:r>
      <w:r>
        <w:rPr>
          <w:i/>
        </w:rPr>
        <w:t>Assessment of SpondyloArthritis International Society</w:t>
      </w:r>
      <w:r>
        <w:t xml:space="preserve">) permitem a inclusão de </w:t>
      </w:r>
      <w:r>
        <w:t>pacientes ainda sem dano estrutural, e os critérios de classificação modificados de Nova Iorque, a inclusão de pacientes já com alterações radiográficas, numa fase mais avançada da doença</w:t>
      </w:r>
      <w:r>
        <w:rPr>
          <w:position w:val="9"/>
          <w:sz w:val="16"/>
        </w:rPr>
        <w:t>(10)</w:t>
      </w:r>
      <w:r>
        <w:t>. Na prática assistencial, ambos podem ser empregados, mas a tend</w:t>
      </w:r>
      <w:r>
        <w:t>ência atual é usar preferencialmente os critérios ASAS.</w:t>
      </w:r>
    </w:p>
    <w:p w:rsidR="00825E87" w:rsidRDefault="00CB188B">
      <w:pPr>
        <w:pStyle w:val="Corpodetexto"/>
        <w:spacing w:before="1" w:line="271" w:lineRule="auto"/>
        <w:ind w:left="227" w:right="395" w:firstLine="708"/>
        <w:jc w:val="both"/>
      </w:pPr>
      <w:r>
        <w:t>Para o diagnóstico de doença inicial, os critérios ASAS são mais úteis para espondiloartrites axiais, podendo ser utilizados também para as espondiloartrites periféricas</w:t>
      </w:r>
      <w:r>
        <w:rPr>
          <w:position w:val="9"/>
          <w:sz w:val="16"/>
        </w:rPr>
        <w:t>(10)</w:t>
      </w:r>
      <w:r>
        <w:t>, segundo os quais paciente</w:t>
      </w:r>
      <w:r>
        <w:t>s com até 45 anos e lombalgia por mais de três meses são classificados como doentes de espondiloartrite axial em dois cenários (</w:t>
      </w:r>
      <w:r>
        <w:rPr>
          <w:b/>
        </w:rPr>
        <w:t>Quadro 1</w:t>
      </w:r>
      <w:r>
        <w:t>).</w:t>
      </w:r>
    </w:p>
    <w:p w:rsidR="00825E87" w:rsidRDefault="00825E87">
      <w:pPr>
        <w:pStyle w:val="Corpodetexto"/>
        <w:spacing w:before="2"/>
        <w:ind w:left="0"/>
        <w:rPr>
          <w:sz w:val="28"/>
        </w:rPr>
      </w:pPr>
    </w:p>
    <w:p w:rsidR="00825E87" w:rsidRDefault="00CB188B">
      <w:pPr>
        <w:pStyle w:val="Corpodetexto"/>
        <w:spacing w:after="30"/>
        <w:ind w:left="227"/>
      </w:pPr>
      <w:r>
        <w:rPr>
          <w:b/>
        </w:rPr>
        <w:t xml:space="preserve">Quadro 1- </w:t>
      </w:r>
      <w:r>
        <w:t>Critérios de Classificação ASAS para Espondiloartrites Axiais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6947"/>
      </w:tblGrid>
      <w:tr w:rsidR="00825E87">
        <w:trPr>
          <w:trHeight w:val="635"/>
        </w:trPr>
        <w:tc>
          <w:tcPr>
            <w:tcW w:w="2694" w:type="dxa"/>
          </w:tcPr>
          <w:p w:rsidR="00825E87" w:rsidRDefault="00CB188B">
            <w:pPr>
              <w:pStyle w:val="TableParagraph"/>
              <w:spacing w:before="15"/>
              <w:ind w:left="247"/>
              <w:rPr>
                <w:b/>
                <w:sz w:val="24"/>
              </w:rPr>
            </w:pPr>
            <w:r>
              <w:rPr>
                <w:b/>
                <w:sz w:val="24"/>
              </w:rPr>
              <w:t>Critério obrigatório</w:t>
            </w:r>
          </w:p>
        </w:tc>
        <w:tc>
          <w:tcPr>
            <w:tcW w:w="6947" w:type="dxa"/>
          </w:tcPr>
          <w:p w:rsidR="00825E87" w:rsidRDefault="00CB188B">
            <w:pPr>
              <w:pStyle w:val="TableParagraph"/>
              <w:spacing w:before="10"/>
              <w:ind w:left="249"/>
              <w:rPr>
                <w:sz w:val="24"/>
              </w:rPr>
            </w:pPr>
            <w:r>
              <w:rPr>
                <w:sz w:val="24"/>
              </w:rPr>
              <w:t>a) Lombalgia inflamatória por, no mínimo, 3 meses e idade de</w:t>
            </w:r>
          </w:p>
          <w:p w:rsidR="00825E87" w:rsidRDefault="00CB188B">
            <w:pPr>
              <w:pStyle w:val="TableParagraph"/>
              <w:spacing w:before="41"/>
              <w:ind w:left="249"/>
              <w:rPr>
                <w:sz w:val="24"/>
              </w:rPr>
            </w:pPr>
            <w:r>
              <w:rPr>
                <w:sz w:val="24"/>
              </w:rPr>
              <w:t>início da doença até 45 anos.</w:t>
            </w:r>
          </w:p>
        </w:tc>
      </w:tr>
      <w:tr w:rsidR="00825E87">
        <w:trPr>
          <w:trHeight w:val="952"/>
        </w:trPr>
        <w:tc>
          <w:tcPr>
            <w:tcW w:w="2694" w:type="dxa"/>
          </w:tcPr>
          <w:p w:rsidR="00825E87" w:rsidRDefault="00CB188B">
            <w:pPr>
              <w:pStyle w:val="TableParagraph"/>
              <w:spacing w:before="15" w:line="276" w:lineRule="auto"/>
              <w:ind w:left="247" w:right="270"/>
              <w:rPr>
                <w:b/>
                <w:sz w:val="24"/>
              </w:rPr>
            </w:pPr>
            <w:r>
              <w:rPr>
                <w:b/>
                <w:sz w:val="24"/>
              </w:rPr>
              <w:t>Critérios possíveis (b ou c)</w:t>
            </w:r>
          </w:p>
        </w:tc>
        <w:tc>
          <w:tcPr>
            <w:tcW w:w="6947" w:type="dxa"/>
          </w:tcPr>
          <w:p w:rsidR="00825E87" w:rsidRDefault="00CB188B">
            <w:pPr>
              <w:pStyle w:val="TableParagraph"/>
              <w:numPr>
                <w:ilvl w:val="0"/>
                <w:numId w:val="12"/>
              </w:numPr>
              <w:tabs>
                <w:tab w:val="left" w:pos="510"/>
              </w:tabs>
              <w:spacing w:line="261" w:lineRule="auto"/>
              <w:ind w:right="226" w:firstLine="0"/>
              <w:rPr>
                <w:sz w:val="24"/>
              </w:rPr>
            </w:pPr>
            <w:r>
              <w:rPr>
                <w:sz w:val="24"/>
              </w:rPr>
              <w:t>Sacroiliíte em exames de imagem</w:t>
            </w:r>
            <w:r>
              <w:rPr>
                <w:position w:val="9"/>
                <w:sz w:val="16"/>
              </w:rPr>
              <w:t xml:space="preserve">a </w:t>
            </w:r>
            <w:r>
              <w:rPr>
                <w:sz w:val="24"/>
              </w:rPr>
              <w:t>e, pelo menos 1 característica de</w:t>
            </w:r>
            <w:r>
              <w:rPr>
                <w:spacing w:val="-2"/>
                <w:sz w:val="24"/>
              </w:rPr>
              <w:t xml:space="preserve"> </w:t>
            </w:r>
            <w:r>
              <w:rPr>
                <w:sz w:val="24"/>
              </w:rPr>
              <w:t>Espondiloartrite</w:t>
            </w:r>
            <w:r>
              <w:rPr>
                <w:position w:val="9"/>
                <w:sz w:val="16"/>
              </w:rPr>
              <w:t>b</w:t>
            </w:r>
            <w:r>
              <w:rPr>
                <w:sz w:val="24"/>
              </w:rPr>
              <w:t>.</w:t>
            </w:r>
          </w:p>
          <w:p w:rsidR="00825E87" w:rsidRDefault="00CB188B">
            <w:pPr>
              <w:pStyle w:val="TableParagraph"/>
              <w:numPr>
                <w:ilvl w:val="0"/>
                <w:numId w:val="12"/>
              </w:numPr>
              <w:tabs>
                <w:tab w:val="left" w:pos="495"/>
              </w:tabs>
              <w:ind w:left="494" w:hanging="245"/>
              <w:rPr>
                <w:sz w:val="24"/>
              </w:rPr>
            </w:pPr>
            <w:r>
              <w:rPr>
                <w:sz w:val="24"/>
              </w:rPr>
              <w:t>HLA-B27 e 2 ou mais características de</w:t>
            </w:r>
            <w:r>
              <w:rPr>
                <w:spacing w:val="-1"/>
                <w:sz w:val="24"/>
              </w:rPr>
              <w:t xml:space="preserve"> </w:t>
            </w:r>
            <w:r>
              <w:rPr>
                <w:sz w:val="24"/>
              </w:rPr>
              <w:t>espondiloa</w:t>
            </w:r>
            <w:r>
              <w:rPr>
                <w:sz w:val="24"/>
              </w:rPr>
              <w:t>rtrite</w:t>
            </w:r>
            <w:r>
              <w:rPr>
                <w:position w:val="9"/>
                <w:sz w:val="16"/>
              </w:rPr>
              <w:t>b</w:t>
            </w:r>
            <w:r>
              <w:rPr>
                <w:sz w:val="24"/>
              </w:rPr>
              <w:t>.</w:t>
            </w:r>
          </w:p>
        </w:tc>
      </w:tr>
    </w:tbl>
    <w:p w:rsidR="00825E87" w:rsidRDefault="00CB188B">
      <w:pPr>
        <w:pStyle w:val="Corpodetexto"/>
        <w:spacing w:line="276" w:lineRule="auto"/>
        <w:ind w:left="227" w:right="398"/>
        <w:jc w:val="both"/>
      </w:pPr>
      <w:r>
        <w:rPr>
          <w:position w:val="9"/>
          <w:sz w:val="16"/>
        </w:rPr>
        <w:t>a</w:t>
      </w:r>
      <w:r>
        <w:t>Radiografia simples (com sacroiliíte bilateral graus 2-4 ou unilateral graus 3 ou 4) ou ressonância magnética de articulações sacroilíacas (com edema de medula óssea). Graus de sacroiliíte</w:t>
      </w:r>
      <w:r>
        <w:rPr>
          <w:spacing w:val="32"/>
        </w:rPr>
        <w:t xml:space="preserve"> </w:t>
      </w:r>
      <w:r>
        <w:t>à radiografia simples de articulações sacroilíacas: 0, normal; 1, alterações suspeitas; 2, alterações mínimas (áreas localizadas e pequenas com erosão ou esclerose, sem alterações na largura da linha articular); 3, alterações inequívocas (sacroiliíte moder</w:t>
      </w:r>
      <w:r>
        <w:t>ada ou avançada, com erosões, esclerose, alargamento, estreitamento ou anquilose parcial); 4, ancilose</w:t>
      </w:r>
      <w:r>
        <w:rPr>
          <w:spacing w:val="-3"/>
        </w:rPr>
        <w:t xml:space="preserve"> </w:t>
      </w:r>
      <w:r>
        <w:t>total.</w:t>
      </w:r>
    </w:p>
    <w:p w:rsidR="00825E87" w:rsidRDefault="00CB188B">
      <w:pPr>
        <w:pStyle w:val="Corpodetexto"/>
        <w:spacing w:line="275" w:lineRule="exact"/>
      </w:pPr>
      <w:r>
        <w:rPr>
          <w:position w:val="9"/>
          <w:sz w:val="16"/>
        </w:rPr>
        <w:t>b</w:t>
      </w:r>
      <w:r>
        <w:t>Características de espondiloartrite: lombalgia inflamatória, artrite, entesite, uveíte, dactilite,</w:t>
      </w:r>
    </w:p>
    <w:p w:rsidR="00825E87" w:rsidRDefault="00CB188B">
      <w:pPr>
        <w:pStyle w:val="Corpodetexto"/>
        <w:spacing w:before="41" w:line="276" w:lineRule="auto"/>
        <w:ind w:right="376"/>
        <w:jc w:val="both"/>
      </w:pPr>
      <w:r>
        <w:t>psoríase, doença de Crohn ou retocolite ulcerativa, boa resposta a anti-inflamatórios não esteroidais (em 24-48 horas de máxima dose tolerada), história familiar de espondiloartrite, HLA- B27, proteína C reativa</w:t>
      </w:r>
      <w:r>
        <w:rPr>
          <w:spacing w:val="-1"/>
        </w:rPr>
        <w:t xml:space="preserve"> </w:t>
      </w:r>
      <w:r>
        <w:t>elevada.</w:t>
      </w:r>
    </w:p>
    <w:p w:rsidR="00825E87" w:rsidRDefault="00825E87">
      <w:pPr>
        <w:pStyle w:val="Corpodetexto"/>
        <w:spacing w:before="7"/>
        <w:ind w:left="0"/>
        <w:rPr>
          <w:sz w:val="27"/>
        </w:rPr>
      </w:pPr>
    </w:p>
    <w:p w:rsidR="00825E87" w:rsidRDefault="00CB188B">
      <w:pPr>
        <w:pStyle w:val="Corpodetexto"/>
        <w:spacing w:line="271" w:lineRule="auto"/>
        <w:ind w:left="227" w:right="379" w:firstLine="708"/>
        <w:jc w:val="both"/>
      </w:pPr>
      <w:r>
        <w:t>Para o diagnóstico de doença estab</w:t>
      </w:r>
      <w:r>
        <w:t>elecida, são utilizados os critérios de classificação modificados de Nova Iorque</w:t>
      </w:r>
      <w:r>
        <w:rPr>
          <w:position w:val="9"/>
          <w:sz w:val="16"/>
        </w:rPr>
        <w:t>(11)</w:t>
      </w:r>
      <w:r>
        <w:t>, nos quais são consideradas lombalgia, limitação de mobilidade axial e sacroiliíte radiográfica (</w:t>
      </w:r>
      <w:r>
        <w:rPr>
          <w:b/>
        </w:rPr>
        <w:t>Quadro 2</w:t>
      </w:r>
      <w:r>
        <w:t xml:space="preserve">). Se o paciente apresentar, pelo menos, um critério clínico e um </w:t>
      </w:r>
      <w:r>
        <w:t>critério radiográfico, o mesmo é classificado como portador de EA.</w:t>
      </w:r>
    </w:p>
    <w:p w:rsidR="00825E87" w:rsidRDefault="00825E87">
      <w:pPr>
        <w:spacing w:line="271" w:lineRule="auto"/>
        <w:jc w:val="both"/>
        <w:sectPr w:rsidR="00825E87">
          <w:pgSz w:w="11900" w:h="16840"/>
          <w:pgMar w:top="1120" w:right="880" w:bottom="280" w:left="920" w:header="720" w:footer="720" w:gutter="0"/>
          <w:cols w:space="720"/>
        </w:sectPr>
      </w:pPr>
    </w:p>
    <w:p w:rsidR="00825E87" w:rsidRDefault="00CB188B">
      <w:pPr>
        <w:pStyle w:val="Corpodetexto"/>
        <w:spacing w:before="63" w:after="30"/>
        <w:ind w:left="227"/>
      </w:pPr>
      <w:r>
        <w:rPr>
          <w:b/>
        </w:rPr>
        <w:lastRenderedPageBreak/>
        <w:t xml:space="preserve">Quadro 2 - </w:t>
      </w:r>
      <w:r>
        <w:t>Critérios de Classificação Modificados de Nova Iorque para Espondilite Ancilosante</w:t>
      </w:r>
    </w:p>
    <w:tbl>
      <w:tblPr>
        <w:tblStyle w:val="TableNormal"/>
        <w:tblW w:w="0" w:type="auto"/>
        <w:tblInd w:w="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95"/>
        <w:gridCol w:w="7765"/>
      </w:tblGrid>
      <w:tr w:rsidR="00825E87">
        <w:trPr>
          <w:trHeight w:val="635"/>
        </w:trPr>
        <w:tc>
          <w:tcPr>
            <w:tcW w:w="1795" w:type="dxa"/>
          </w:tcPr>
          <w:p w:rsidR="00825E87" w:rsidRDefault="00CB188B">
            <w:pPr>
              <w:pStyle w:val="TableParagraph"/>
              <w:spacing w:before="15"/>
              <w:ind w:left="338" w:right="322"/>
              <w:jc w:val="center"/>
              <w:rPr>
                <w:b/>
                <w:sz w:val="24"/>
              </w:rPr>
            </w:pPr>
            <w:r>
              <w:rPr>
                <w:b/>
                <w:sz w:val="24"/>
              </w:rPr>
              <w:t>Grupos de</w:t>
            </w:r>
          </w:p>
          <w:p w:rsidR="00825E87" w:rsidRDefault="00CB188B">
            <w:pPr>
              <w:pStyle w:val="TableParagraph"/>
              <w:spacing w:before="41"/>
              <w:ind w:left="336" w:right="322"/>
              <w:jc w:val="center"/>
              <w:rPr>
                <w:b/>
                <w:sz w:val="24"/>
              </w:rPr>
            </w:pPr>
            <w:r>
              <w:rPr>
                <w:b/>
                <w:sz w:val="24"/>
              </w:rPr>
              <w:t>critérios</w:t>
            </w:r>
          </w:p>
        </w:tc>
        <w:tc>
          <w:tcPr>
            <w:tcW w:w="7765" w:type="dxa"/>
          </w:tcPr>
          <w:p w:rsidR="00825E87" w:rsidRDefault="00825E87">
            <w:pPr>
              <w:pStyle w:val="TableParagraph"/>
              <w:spacing w:before="10"/>
              <w:rPr>
                <w:sz w:val="28"/>
              </w:rPr>
            </w:pPr>
          </w:p>
          <w:p w:rsidR="00825E87" w:rsidRDefault="00CB188B">
            <w:pPr>
              <w:pStyle w:val="TableParagraph"/>
              <w:ind w:left="100"/>
              <w:rPr>
                <w:b/>
                <w:sz w:val="24"/>
              </w:rPr>
            </w:pPr>
            <w:r>
              <w:rPr>
                <w:b/>
                <w:sz w:val="24"/>
              </w:rPr>
              <w:t>Descrição</w:t>
            </w:r>
          </w:p>
        </w:tc>
      </w:tr>
      <w:tr w:rsidR="00825E87">
        <w:trPr>
          <w:trHeight w:val="285"/>
        </w:trPr>
        <w:tc>
          <w:tcPr>
            <w:tcW w:w="1795" w:type="dxa"/>
            <w:vMerge w:val="restart"/>
          </w:tcPr>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spacing w:before="8"/>
              <w:rPr>
                <w:sz w:val="33"/>
              </w:rPr>
            </w:pPr>
          </w:p>
          <w:p w:rsidR="00825E87" w:rsidRDefault="00CB188B">
            <w:pPr>
              <w:pStyle w:val="TableParagraph"/>
              <w:ind w:left="491"/>
              <w:rPr>
                <w:b/>
                <w:sz w:val="24"/>
              </w:rPr>
            </w:pPr>
            <w:r>
              <w:rPr>
                <w:b/>
                <w:sz w:val="24"/>
              </w:rPr>
              <w:t>Clínicos</w:t>
            </w:r>
          </w:p>
        </w:tc>
        <w:tc>
          <w:tcPr>
            <w:tcW w:w="7765" w:type="dxa"/>
            <w:tcBorders>
              <w:bottom w:val="nil"/>
            </w:tcBorders>
          </w:tcPr>
          <w:p w:rsidR="00825E87" w:rsidRDefault="00CB188B">
            <w:pPr>
              <w:pStyle w:val="TableParagraph"/>
              <w:spacing w:line="265" w:lineRule="exact"/>
              <w:ind w:left="100"/>
              <w:rPr>
                <w:sz w:val="24"/>
              </w:rPr>
            </w:pPr>
            <w:r>
              <w:rPr>
                <w:sz w:val="24"/>
              </w:rPr>
              <w:t>a) Lombalgia inflamatória</w:t>
            </w:r>
            <w:r>
              <w:rPr>
                <w:position w:val="9"/>
                <w:sz w:val="16"/>
              </w:rPr>
              <w:t xml:space="preserve">a </w:t>
            </w:r>
            <w:r>
              <w:rPr>
                <w:sz w:val="24"/>
              </w:rPr>
              <w:t>por três meses ou mais de duração</w:t>
            </w:r>
          </w:p>
        </w:tc>
      </w:tr>
      <w:tr w:rsidR="00825E87">
        <w:trPr>
          <w:trHeight w:val="604"/>
        </w:trPr>
        <w:tc>
          <w:tcPr>
            <w:tcW w:w="1795" w:type="dxa"/>
            <w:vMerge/>
            <w:tcBorders>
              <w:top w:val="nil"/>
            </w:tcBorders>
          </w:tcPr>
          <w:p w:rsidR="00825E87" w:rsidRDefault="00825E87">
            <w:pPr>
              <w:rPr>
                <w:sz w:val="2"/>
                <w:szCs w:val="2"/>
              </w:rPr>
            </w:pPr>
          </w:p>
        </w:tc>
        <w:tc>
          <w:tcPr>
            <w:tcW w:w="7765" w:type="dxa"/>
            <w:tcBorders>
              <w:top w:val="nil"/>
              <w:bottom w:val="nil"/>
            </w:tcBorders>
          </w:tcPr>
          <w:p w:rsidR="00825E87" w:rsidRDefault="00CB188B">
            <w:pPr>
              <w:pStyle w:val="TableParagraph"/>
              <w:spacing w:before="21"/>
              <w:ind w:left="100"/>
              <w:rPr>
                <w:sz w:val="24"/>
              </w:rPr>
            </w:pPr>
            <w:r>
              <w:rPr>
                <w:sz w:val="24"/>
              </w:rPr>
              <w:t>b) Limitação dos movimentos da coluna lombar nos planos sagital (por</w:t>
            </w:r>
          </w:p>
          <w:p w:rsidR="00825E87" w:rsidRDefault="00CB188B">
            <w:pPr>
              <w:pStyle w:val="TableParagraph"/>
              <w:spacing w:before="41" w:line="246" w:lineRule="exact"/>
              <w:ind w:left="100"/>
              <w:rPr>
                <w:sz w:val="24"/>
              </w:rPr>
            </w:pPr>
            <w:r>
              <w:rPr>
                <w:sz w:val="24"/>
              </w:rPr>
              <w:t>exemplo,</w:t>
            </w:r>
          </w:p>
        </w:tc>
      </w:tr>
      <w:tr w:rsidR="00825E87">
        <w:trPr>
          <w:trHeight w:val="614"/>
        </w:trPr>
        <w:tc>
          <w:tcPr>
            <w:tcW w:w="1795" w:type="dxa"/>
            <w:vMerge/>
            <w:tcBorders>
              <w:top w:val="nil"/>
            </w:tcBorders>
          </w:tcPr>
          <w:p w:rsidR="00825E87" w:rsidRDefault="00825E87">
            <w:pPr>
              <w:rPr>
                <w:sz w:val="2"/>
                <w:szCs w:val="2"/>
              </w:rPr>
            </w:pPr>
          </w:p>
        </w:tc>
        <w:tc>
          <w:tcPr>
            <w:tcW w:w="7765" w:type="dxa"/>
            <w:tcBorders>
              <w:top w:val="nil"/>
              <w:bottom w:val="nil"/>
            </w:tcBorders>
          </w:tcPr>
          <w:p w:rsidR="00825E87" w:rsidRDefault="00CB188B">
            <w:pPr>
              <w:pStyle w:val="TableParagraph"/>
              <w:spacing w:before="4" w:line="316" w:lineRule="exact"/>
              <w:ind w:left="100"/>
              <w:rPr>
                <w:sz w:val="24"/>
              </w:rPr>
            </w:pPr>
            <w:r>
              <w:rPr>
                <w:sz w:val="24"/>
              </w:rPr>
              <w:t>média variação bilateral dedo-chão</w:t>
            </w:r>
            <w:r>
              <w:rPr>
                <w:position w:val="9"/>
                <w:sz w:val="16"/>
              </w:rPr>
              <w:t xml:space="preserve">b </w:t>
            </w:r>
            <w:r>
              <w:rPr>
                <w:sz w:val="24"/>
              </w:rPr>
              <w:t>inferior a 10cm) e frontal (por exemplo, teste de</w:t>
            </w:r>
          </w:p>
        </w:tc>
      </w:tr>
      <w:tr w:rsidR="00825E87">
        <w:trPr>
          <w:trHeight w:val="275"/>
        </w:trPr>
        <w:tc>
          <w:tcPr>
            <w:tcW w:w="1795" w:type="dxa"/>
            <w:vMerge/>
            <w:tcBorders>
              <w:top w:val="nil"/>
            </w:tcBorders>
          </w:tcPr>
          <w:p w:rsidR="00825E87" w:rsidRDefault="00825E87">
            <w:pPr>
              <w:rPr>
                <w:sz w:val="2"/>
                <w:szCs w:val="2"/>
              </w:rPr>
            </w:pPr>
          </w:p>
        </w:tc>
        <w:tc>
          <w:tcPr>
            <w:tcW w:w="7765" w:type="dxa"/>
            <w:tcBorders>
              <w:top w:val="nil"/>
              <w:bottom w:val="nil"/>
            </w:tcBorders>
          </w:tcPr>
          <w:p w:rsidR="00825E87" w:rsidRDefault="00CB188B">
            <w:pPr>
              <w:pStyle w:val="TableParagraph"/>
              <w:spacing w:line="256" w:lineRule="exact"/>
              <w:ind w:left="100"/>
              <w:rPr>
                <w:sz w:val="24"/>
              </w:rPr>
            </w:pPr>
            <w:r>
              <w:rPr>
                <w:sz w:val="24"/>
              </w:rPr>
              <w:t>Schober</w:t>
            </w:r>
            <w:r>
              <w:rPr>
                <w:position w:val="9"/>
                <w:sz w:val="16"/>
              </w:rPr>
              <w:t xml:space="preserve">c </w:t>
            </w:r>
            <w:r>
              <w:rPr>
                <w:sz w:val="24"/>
              </w:rPr>
              <w:t>inferior a 5cm)</w:t>
            </w:r>
          </w:p>
        </w:tc>
      </w:tr>
      <w:tr w:rsidR="00825E87">
        <w:trPr>
          <w:trHeight w:val="340"/>
        </w:trPr>
        <w:tc>
          <w:tcPr>
            <w:tcW w:w="1795" w:type="dxa"/>
            <w:vMerge/>
            <w:tcBorders>
              <w:top w:val="nil"/>
            </w:tcBorders>
          </w:tcPr>
          <w:p w:rsidR="00825E87" w:rsidRDefault="00825E87">
            <w:pPr>
              <w:rPr>
                <w:sz w:val="2"/>
                <w:szCs w:val="2"/>
              </w:rPr>
            </w:pPr>
          </w:p>
        </w:tc>
        <w:tc>
          <w:tcPr>
            <w:tcW w:w="7765" w:type="dxa"/>
            <w:tcBorders>
              <w:top w:val="nil"/>
            </w:tcBorders>
          </w:tcPr>
          <w:p w:rsidR="00825E87" w:rsidRDefault="00CB188B">
            <w:pPr>
              <w:pStyle w:val="TableParagraph"/>
              <w:spacing w:before="16"/>
              <w:ind w:left="100"/>
              <w:rPr>
                <w:sz w:val="24"/>
              </w:rPr>
            </w:pPr>
            <w:r>
              <w:rPr>
                <w:sz w:val="24"/>
              </w:rPr>
              <w:t>c) Expansão torácica diminuída</w:t>
            </w:r>
            <w:r>
              <w:rPr>
                <w:position w:val="9"/>
                <w:sz w:val="16"/>
              </w:rPr>
              <w:t xml:space="preserve">d </w:t>
            </w:r>
            <w:r>
              <w:rPr>
                <w:sz w:val="24"/>
              </w:rPr>
              <w:t>(inferior a 2,5cm).</w:t>
            </w:r>
          </w:p>
        </w:tc>
      </w:tr>
      <w:tr w:rsidR="00825E87">
        <w:trPr>
          <w:trHeight w:val="803"/>
        </w:trPr>
        <w:tc>
          <w:tcPr>
            <w:tcW w:w="1795" w:type="dxa"/>
          </w:tcPr>
          <w:p w:rsidR="00825E87" w:rsidRDefault="00CB188B">
            <w:pPr>
              <w:pStyle w:val="TableParagraph"/>
              <w:spacing w:before="15"/>
              <w:ind w:left="191"/>
              <w:rPr>
                <w:b/>
                <w:sz w:val="24"/>
              </w:rPr>
            </w:pPr>
            <w:r>
              <w:rPr>
                <w:b/>
                <w:sz w:val="24"/>
              </w:rPr>
              <w:t>Radiográficos</w:t>
            </w:r>
          </w:p>
        </w:tc>
        <w:tc>
          <w:tcPr>
            <w:tcW w:w="7765" w:type="dxa"/>
          </w:tcPr>
          <w:p w:rsidR="00825E87" w:rsidRDefault="00CB188B">
            <w:pPr>
              <w:pStyle w:val="TableParagraph"/>
              <w:numPr>
                <w:ilvl w:val="0"/>
                <w:numId w:val="11"/>
              </w:numPr>
              <w:tabs>
                <w:tab w:val="left" w:pos="361"/>
              </w:tabs>
              <w:spacing w:line="286" w:lineRule="exact"/>
              <w:rPr>
                <w:sz w:val="16"/>
              </w:rPr>
            </w:pPr>
            <w:r>
              <w:rPr>
                <w:sz w:val="24"/>
              </w:rPr>
              <w:t>Radiografia com detecção de sacroiliíte bilateral graus</w:t>
            </w:r>
            <w:r>
              <w:rPr>
                <w:spacing w:val="-2"/>
                <w:sz w:val="24"/>
              </w:rPr>
              <w:t xml:space="preserve"> </w:t>
            </w:r>
            <w:r>
              <w:rPr>
                <w:sz w:val="24"/>
              </w:rPr>
              <w:t>2-4</w:t>
            </w:r>
            <w:r>
              <w:rPr>
                <w:position w:val="9"/>
                <w:sz w:val="16"/>
              </w:rPr>
              <w:t>e</w:t>
            </w:r>
          </w:p>
          <w:p w:rsidR="00825E87" w:rsidRDefault="00CB188B">
            <w:pPr>
              <w:pStyle w:val="TableParagraph"/>
              <w:numPr>
                <w:ilvl w:val="0"/>
                <w:numId w:val="11"/>
              </w:numPr>
              <w:tabs>
                <w:tab w:val="left" w:pos="347"/>
              </w:tabs>
              <w:spacing w:before="41"/>
              <w:ind w:left="346" w:hanging="246"/>
              <w:rPr>
                <w:sz w:val="24"/>
              </w:rPr>
            </w:pPr>
            <w:r>
              <w:rPr>
                <w:sz w:val="24"/>
              </w:rPr>
              <w:t>Radiografia com detecção de sacroiliíte unilateral graus 3 ou</w:t>
            </w:r>
            <w:r>
              <w:rPr>
                <w:spacing w:val="-5"/>
                <w:sz w:val="24"/>
              </w:rPr>
              <w:t xml:space="preserve"> </w:t>
            </w:r>
            <w:r>
              <w:rPr>
                <w:sz w:val="24"/>
              </w:rPr>
              <w:t>4.</w:t>
            </w:r>
          </w:p>
        </w:tc>
      </w:tr>
    </w:tbl>
    <w:p w:rsidR="00825E87" w:rsidRDefault="00CB188B">
      <w:pPr>
        <w:pStyle w:val="Corpodetexto"/>
        <w:spacing w:line="276" w:lineRule="auto"/>
        <w:ind w:left="227"/>
      </w:pPr>
      <w:r>
        <w:rPr>
          <w:position w:val="9"/>
          <w:sz w:val="16"/>
        </w:rPr>
        <w:t xml:space="preserve">a </w:t>
      </w:r>
      <w:r>
        <w:t>Dor lombar que melhora com exercícios, mas não com repouso, que ocorre predominantemente à noite, com início insidioso, antes dos 40 anos.</w:t>
      </w:r>
    </w:p>
    <w:p w:rsidR="00825E87" w:rsidRDefault="00CB188B">
      <w:pPr>
        <w:pStyle w:val="Corpodetexto"/>
        <w:spacing w:line="275" w:lineRule="exact"/>
        <w:ind w:left="227"/>
      </w:pPr>
      <w:r>
        <w:rPr>
          <w:position w:val="9"/>
          <w:sz w:val="16"/>
        </w:rPr>
        <w:t xml:space="preserve">b </w:t>
      </w:r>
      <w:r>
        <w:t>Em ortostatismo, mede-se a distância entre o terceiro quirodáctilo de cada mão e o chão na</w:t>
      </w:r>
    </w:p>
    <w:p w:rsidR="00825E87" w:rsidRDefault="00CB188B">
      <w:pPr>
        <w:pStyle w:val="Corpodetexto"/>
        <w:spacing w:before="43" w:line="276" w:lineRule="auto"/>
        <w:ind w:left="227" w:right="627"/>
      </w:pPr>
      <w:r>
        <w:t>posição ereta e em flexã</w:t>
      </w:r>
      <w:r>
        <w:t>o lateral máxima para cada lado; calcula-se a média das variações de altura.</w:t>
      </w:r>
    </w:p>
    <w:p w:rsidR="00825E87" w:rsidRDefault="00CB188B">
      <w:pPr>
        <w:pStyle w:val="Corpodetexto"/>
        <w:spacing w:line="275" w:lineRule="exact"/>
        <w:ind w:left="227"/>
      </w:pPr>
      <w:r>
        <w:rPr>
          <w:position w:val="9"/>
          <w:sz w:val="16"/>
        </w:rPr>
        <w:t xml:space="preserve">c </w:t>
      </w:r>
      <w:r>
        <w:t>Variação da distância mediana de 10 cm acima da quinta vértebra lombar (L5) à flexão do tronco</w:t>
      </w:r>
    </w:p>
    <w:p w:rsidR="00825E87" w:rsidRDefault="00CB188B">
      <w:pPr>
        <w:pStyle w:val="Corpodetexto"/>
        <w:spacing w:before="41"/>
        <w:ind w:left="227"/>
      </w:pPr>
      <w:r>
        <w:t>com membros inferiores estendidos.</w:t>
      </w:r>
    </w:p>
    <w:p w:rsidR="00825E87" w:rsidRDefault="00CB188B">
      <w:pPr>
        <w:pStyle w:val="Corpodetexto"/>
        <w:spacing w:before="28"/>
        <w:ind w:left="227"/>
      </w:pPr>
      <w:r>
        <w:rPr>
          <w:position w:val="9"/>
          <w:sz w:val="16"/>
        </w:rPr>
        <w:t xml:space="preserve">d </w:t>
      </w:r>
      <w:r>
        <w:t>Variação da circunferência torácica inframamária na inspiração e expiração máximas.</w:t>
      </w:r>
    </w:p>
    <w:p w:rsidR="00825E87" w:rsidRDefault="00CB188B">
      <w:pPr>
        <w:pStyle w:val="Corpodetexto"/>
        <w:spacing w:before="25" w:line="276" w:lineRule="auto"/>
        <w:ind w:left="227" w:right="401"/>
        <w:jc w:val="both"/>
      </w:pPr>
      <w:r>
        <w:rPr>
          <w:position w:val="9"/>
          <w:sz w:val="16"/>
        </w:rPr>
        <w:t xml:space="preserve">e </w:t>
      </w:r>
      <w:r>
        <w:t>Graus de sacroiliíte à radiografia simples de articulações sacroilíacas: 0, normal; 1, alterações suspeitas; 2, alterações mínimas (áreas localizadas e pequenas com erosã</w:t>
      </w:r>
      <w:r>
        <w:t>o ou esclerose, sem alterações na largura da linha articular); 3, alterações inequívocas (sacroiliíte moderada ou avançada, com erosões, esclerose, alargamento, estreitamento ou anquilose parcial); 4, anquilose total.</w:t>
      </w:r>
    </w:p>
    <w:p w:rsidR="00825E87" w:rsidRDefault="00825E87">
      <w:pPr>
        <w:pStyle w:val="Corpodetexto"/>
        <w:spacing w:before="6"/>
        <w:ind w:left="0"/>
        <w:rPr>
          <w:sz w:val="27"/>
        </w:rPr>
      </w:pPr>
    </w:p>
    <w:p w:rsidR="00825E87" w:rsidRDefault="00CB188B">
      <w:pPr>
        <w:pStyle w:val="Corpodetexto"/>
        <w:spacing w:line="273" w:lineRule="auto"/>
        <w:ind w:left="227" w:right="394" w:firstLine="708"/>
        <w:jc w:val="both"/>
      </w:pPr>
      <w:r>
        <w:t>Um dos focos do tratamento é o contro</w:t>
      </w:r>
      <w:r>
        <w:t>le de atividade da doença. A avaliação da atividade da doença de um paciente com EA pode ser feita pelo escore BASDAI (</w:t>
      </w:r>
      <w:r>
        <w:rPr>
          <w:b/>
        </w:rPr>
        <w:t>Apêndice 1</w:t>
      </w:r>
      <w:r>
        <w:t xml:space="preserve">). Um escore igual ou superior a 4 numa escala de 0 a 10 indica doença ativa. De maneira geral, a resposta ao tratamento de EA </w:t>
      </w:r>
      <w:r>
        <w:t>axial ocorre quando há redução de, pelo menos, 50% ou de 2 pontos absolutos no BASDAI num período mínimo de 12 semanas</w:t>
      </w:r>
      <w:r>
        <w:rPr>
          <w:position w:val="9"/>
          <w:sz w:val="16"/>
        </w:rPr>
        <w:t>(8)</w:t>
      </w:r>
      <w:r>
        <w:t>.</w:t>
      </w:r>
    </w:p>
    <w:p w:rsidR="00825E87" w:rsidRDefault="00CB188B">
      <w:pPr>
        <w:pStyle w:val="Corpodetexto"/>
        <w:spacing w:line="276" w:lineRule="auto"/>
        <w:ind w:left="227" w:right="376" w:firstLine="708"/>
        <w:jc w:val="both"/>
      </w:pPr>
      <w:r>
        <w:t xml:space="preserve">Outras medidas de resposta ao tratamento têm sido utilizadas em estudos clínicos como o ASAS20, ASAS40, ASAS5/6 e ASDAS. Todas estas </w:t>
      </w:r>
      <w:r>
        <w:t>medidas são feitas em um intervalo de 12 semanas. O critério ASAS20 é composto por ao menos 20% de melhora após o tratamento, com melhora absoluta de ao menos uma unidade (escala de 0 a 10) em ao menos três dos seguintes domínios, sem deterioração na condi</w:t>
      </w:r>
      <w:r>
        <w:t>ção inicial: avaliação global do paciente, dor em coluna, função (BASFI) e rigidez matinal (questões 5 e 6 do BASDAI). Da mesma forma, o ASAS40 requer 40% de melhora em ao menos três domínios, sem piora do domínio restante.</w:t>
      </w:r>
    </w:p>
    <w:p w:rsidR="00825E87" w:rsidRDefault="00CB188B">
      <w:pPr>
        <w:pStyle w:val="Corpodetexto"/>
        <w:spacing w:line="271" w:lineRule="auto"/>
        <w:ind w:left="227" w:right="394" w:firstLine="708"/>
        <w:jc w:val="both"/>
      </w:pPr>
      <w:r>
        <w:t xml:space="preserve">ASAS5/6 inclui os 4 domínios do </w:t>
      </w:r>
      <w:r>
        <w:t>ASAS20, além de mobilidade da coluna vertebral (BASMI) e reagentes de fase aguda (PCR). Uma resposta ASAS5 / 6 é definida como uma melhora de pelo menos 20% e uma melhora de pelo menos uma unidade em, pelo menos, cinco dos seis domínios, sem agravamento do</w:t>
      </w:r>
      <w:r>
        <w:t xml:space="preserve"> domínio restante</w:t>
      </w:r>
      <w:r>
        <w:rPr>
          <w:position w:val="9"/>
          <w:sz w:val="16"/>
        </w:rPr>
        <w:t>(14,15)</w:t>
      </w:r>
      <w:r>
        <w:t>.</w:t>
      </w:r>
    </w:p>
    <w:p w:rsidR="00825E87" w:rsidRDefault="00CB188B">
      <w:pPr>
        <w:pStyle w:val="Corpodetexto"/>
        <w:spacing w:before="7" w:line="276" w:lineRule="auto"/>
        <w:ind w:left="227" w:right="384" w:firstLine="708"/>
        <w:jc w:val="both"/>
      </w:pPr>
      <w:r>
        <w:t>Na EA com manifestações periféricas, a atividade da doença depende essencialmente da avaliação médica, já que o BASDAI e ASAS se referem, principalmente, ao acometimento axial.</w:t>
      </w:r>
    </w:p>
    <w:p w:rsidR="00825E87" w:rsidRDefault="00825E87">
      <w:pPr>
        <w:spacing w:line="276" w:lineRule="auto"/>
        <w:jc w:val="both"/>
        <w:sectPr w:rsidR="00825E87">
          <w:pgSz w:w="11900" w:h="16840"/>
          <w:pgMar w:top="1120" w:right="880" w:bottom="280" w:left="920" w:header="720" w:footer="720" w:gutter="0"/>
          <w:cols w:space="720"/>
        </w:sectPr>
      </w:pPr>
    </w:p>
    <w:p w:rsidR="00825E87" w:rsidRDefault="00CB188B">
      <w:pPr>
        <w:pStyle w:val="Corpodetexto"/>
        <w:spacing w:before="63" w:line="268" w:lineRule="auto"/>
        <w:ind w:left="227" w:right="377"/>
        <w:jc w:val="both"/>
      </w:pPr>
      <w:r>
        <w:lastRenderedPageBreak/>
        <w:t xml:space="preserve">Novos critérios, como o ASDAS </w:t>
      </w:r>
      <w:r>
        <w:rPr>
          <w:i/>
        </w:rPr>
        <w:t>(Ankylosi</w:t>
      </w:r>
      <w:r>
        <w:rPr>
          <w:i/>
        </w:rPr>
        <w:t>ng Spondylitis Disease Activity Score)</w:t>
      </w:r>
      <w:r>
        <w:t>, têm sido validados, contemplando diversas manifestações de atividade da doença, além do resultado das provas inflamatórias (velocidade de hemossedimentação ou proteína C reativa)</w:t>
      </w:r>
      <w:r>
        <w:rPr>
          <w:position w:val="9"/>
          <w:sz w:val="16"/>
        </w:rPr>
        <w:t>(16)</w:t>
      </w:r>
      <w:r>
        <w:t>.</w:t>
      </w:r>
    </w:p>
    <w:p w:rsidR="00825E87" w:rsidRDefault="00CB188B">
      <w:pPr>
        <w:pStyle w:val="Corpodetexto"/>
        <w:spacing w:before="8" w:line="273" w:lineRule="auto"/>
        <w:ind w:left="227" w:right="394" w:firstLine="708"/>
        <w:jc w:val="both"/>
      </w:pPr>
      <w:r>
        <w:t>O escore ASDAS tem a vantagem de</w:t>
      </w:r>
      <w:r>
        <w:t xml:space="preserve"> categorizar a atividade de doença em inativa, moderada, elevada ou muito elevada. Os três pontos de corte selecionados para diferenciar esses estados foram: 1,3, 2,1 e 3,5. Como desvantagem, necessita de calculadoras específicas para obter seu resultado. </w:t>
      </w:r>
      <w:r>
        <w:t>Uma redução maior ou igual a 1,1 ponto representa uma melhora clínica relevante, enquanto uma redução maior ou igual a 2 pontos representa uma melhora significativa (</w:t>
      </w:r>
      <w:r>
        <w:rPr>
          <w:b/>
        </w:rPr>
        <w:t>Apêndice</w:t>
      </w:r>
      <w:r>
        <w:rPr>
          <w:b/>
          <w:position w:val="-8"/>
        </w:rPr>
        <w:t xml:space="preserve"> 1</w:t>
      </w:r>
      <w:r>
        <w:rPr>
          <w:position w:val="-8"/>
        </w:rPr>
        <w:t>)</w:t>
      </w:r>
      <w:r>
        <w:rPr>
          <w:sz w:val="16"/>
        </w:rPr>
        <w:t>(17)</w:t>
      </w:r>
      <w:r>
        <w:rPr>
          <w:position w:val="-8"/>
        </w:rPr>
        <w:t>.</w:t>
      </w:r>
    </w:p>
    <w:p w:rsidR="00825E87" w:rsidRDefault="00825E87">
      <w:pPr>
        <w:pStyle w:val="Corpodetexto"/>
        <w:ind w:left="0"/>
        <w:rPr>
          <w:sz w:val="28"/>
        </w:rPr>
      </w:pPr>
    </w:p>
    <w:p w:rsidR="00825E87" w:rsidRDefault="00CB188B">
      <w:pPr>
        <w:pStyle w:val="Ttulo1"/>
        <w:numPr>
          <w:ilvl w:val="0"/>
          <w:numId w:val="13"/>
        </w:numPr>
        <w:tabs>
          <w:tab w:val="left" w:pos="408"/>
        </w:tabs>
        <w:spacing w:line="275" w:lineRule="exact"/>
        <w:ind w:firstLine="0"/>
      </w:pPr>
      <w:r>
        <w:t>CRITÉRIOS DE</w:t>
      </w:r>
      <w:r>
        <w:rPr>
          <w:spacing w:val="-1"/>
        </w:rPr>
        <w:t xml:space="preserve"> </w:t>
      </w:r>
      <w:r>
        <w:t>INCLUSÃO</w:t>
      </w:r>
    </w:p>
    <w:p w:rsidR="00825E87" w:rsidRDefault="00CB188B">
      <w:pPr>
        <w:pStyle w:val="Corpodetexto"/>
        <w:spacing w:line="276" w:lineRule="auto"/>
        <w:ind w:left="227" w:right="401" w:firstLine="708"/>
        <w:jc w:val="both"/>
      </w:pPr>
      <w:r>
        <w:t>Serão incluídos neste Protocolo pacientes que preenchem os critérios de classificação modificados de Nova Iorque ou os critérios ASAS e que apresentem doença axial ou periférica em atividade. Doença axial ou periférica em atividade preferencialmente deve s</w:t>
      </w:r>
      <w:r>
        <w:t>er estabelecida por pelo menos um dos índices de atividade, ASDAS ou BASDAI.</w:t>
      </w:r>
    </w:p>
    <w:p w:rsidR="00825E87" w:rsidRDefault="00825E87">
      <w:pPr>
        <w:pStyle w:val="Corpodetexto"/>
        <w:spacing w:before="8"/>
        <w:ind w:left="0"/>
        <w:rPr>
          <w:sz w:val="27"/>
        </w:rPr>
      </w:pPr>
    </w:p>
    <w:p w:rsidR="00825E87" w:rsidRDefault="00CB188B">
      <w:pPr>
        <w:pStyle w:val="Ttulo1"/>
        <w:numPr>
          <w:ilvl w:val="0"/>
          <w:numId w:val="13"/>
        </w:numPr>
        <w:tabs>
          <w:tab w:val="left" w:pos="408"/>
        </w:tabs>
        <w:spacing w:line="275" w:lineRule="exact"/>
        <w:ind w:firstLine="0"/>
      </w:pPr>
      <w:r>
        <w:t>CRITÉRIOS DE</w:t>
      </w:r>
      <w:r>
        <w:rPr>
          <w:spacing w:val="-1"/>
        </w:rPr>
        <w:t xml:space="preserve"> </w:t>
      </w:r>
      <w:r>
        <w:t>EXCLUSÃO</w:t>
      </w:r>
    </w:p>
    <w:p w:rsidR="00825E87" w:rsidRDefault="00CB188B">
      <w:pPr>
        <w:pStyle w:val="Corpodetexto"/>
        <w:spacing w:line="276" w:lineRule="auto"/>
        <w:ind w:left="227" w:right="1274" w:firstLine="708"/>
      </w:pPr>
      <w:r>
        <w:t>Serão excluídos deste Protocolo os pacientes que apresentarem ao menos uma das seguintes condições, de acordo com a terapia indicada:</w:t>
      </w:r>
    </w:p>
    <w:p w:rsidR="00825E87" w:rsidRDefault="00CB188B">
      <w:pPr>
        <w:pStyle w:val="PargrafodaLista"/>
        <w:numPr>
          <w:ilvl w:val="1"/>
          <w:numId w:val="13"/>
        </w:numPr>
        <w:tabs>
          <w:tab w:val="left" w:pos="1047"/>
        </w:tabs>
        <w:spacing w:before="2" w:line="235" w:lineRule="auto"/>
        <w:ind w:left="227" w:right="378" w:firstLine="701"/>
        <w:jc w:val="both"/>
        <w:rPr>
          <w:sz w:val="24"/>
        </w:rPr>
      </w:pPr>
      <w:r>
        <w:rPr>
          <w:sz w:val="24"/>
        </w:rPr>
        <w:t>Para naproxeno e ibupr</w:t>
      </w:r>
      <w:r>
        <w:rPr>
          <w:sz w:val="24"/>
        </w:rPr>
        <w:t>ofeno: sangramento gastrointestinal não controlado; úlcera gastroduodenal; elevação de aminotransferases (ALT e AST)/transaminases (TGP e TGO) igual ou 3 vezes acima do limite superior da normalidade (LSN); taxa de depuração de creatinina inferior a 30 mL/</w:t>
      </w:r>
      <w:r>
        <w:rPr>
          <w:sz w:val="24"/>
        </w:rPr>
        <w:t>min/1,73m</w:t>
      </w:r>
      <w:r>
        <w:rPr>
          <w:position w:val="9"/>
          <w:sz w:val="16"/>
        </w:rPr>
        <w:t xml:space="preserve">2 </w:t>
      </w:r>
      <w:r>
        <w:rPr>
          <w:sz w:val="24"/>
        </w:rPr>
        <w:t>de superfície corporal na ausência de terapia dialítica</w:t>
      </w:r>
      <w:r>
        <w:rPr>
          <w:spacing w:val="-32"/>
          <w:sz w:val="24"/>
        </w:rPr>
        <w:t xml:space="preserve"> </w:t>
      </w:r>
      <w:r>
        <w:rPr>
          <w:sz w:val="24"/>
        </w:rPr>
        <w:t>crônica;</w:t>
      </w:r>
    </w:p>
    <w:p w:rsidR="00825E87" w:rsidRDefault="00CB188B">
      <w:pPr>
        <w:pStyle w:val="PargrafodaLista"/>
        <w:numPr>
          <w:ilvl w:val="1"/>
          <w:numId w:val="13"/>
        </w:numPr>
        <w:tabs>
          <w:tab w:val="left" w:pos="1049"/>
        </w:tabs>
        <w:spacing w:before="3" w:line="275" w:lineRule="exact"/>
        <w:rPr>
          <w:sz w:val="24"/>
        </w:rPr>
      </w:pPr>
      <w:r>
        <w:rPr>
          <w:sz w:val="24"/>
        </w:rPr>
        <w:t>Para metilprednisolona: tuberculose sem</w:t>
      </w:r>
      <w:r>
        <w:rPr>
          <w:spacing w:val="-3"/>
          <w:sz w:val="24"/>
        </w:rPr>
        <w:t xml:space="preserve"> </w:t>
      </w:r>
      <w:r>
        <w:rPr>
          <w:sz w:val="24"/>
        </w:rPr>
        <w:t>tratamento;</w:t>
      </w:r>
    </w:p>
    <w:p w:rsidR="00825E87" w:rsidRDefault="00CB188B">
      <w:pPr>
        <w:pStyle w:val="PargrafodaLista"/>
        <w:numPr>
          <w:ilvl w:val="1"/>
          <w:numId w:val="13"/>
        </w:numPr>
        <w:tabs>
          <w:tab w:val="left" w:pos="1073"/>
        </w:tabs>
        <w:spacing w:before="1" w:line="237" w:lineRule="auto"/>
        <w:ind w:left="246" w:right="372" w:firstLine="682"/>
        <w:jc w:val="both"/>
        <w:rPr>
          <w:sz w:val="24"/>
        </w:rPr>
      </w:pPr>
      <w:r>
        <w:rPr>
          <w:sz w:val="24"/>
        </w:rPr>
        <w:t>Para metotrexato: tuberculose sem tratamento; infecção bacteriana com indicação de uso de antibióticos; infecção fúngica ameaçad</w:t>
      </w:r>
      <w:r>
        <w:rPr>
          <w:sz w:val="24"/>
        </w:rPr>
        <w:t>ora à vida; infecção por herpes-zoster ativa; hepatites B ou C agudas; elevação de aminotransferases (ALT e AST)/transaminases (TGP e TGO) igual ou três vezes superior o LSN; taxa de depuração de creatinina inferior a 30 mL/min/1,73m</w:t>
      </w:r>
      <w:r>
        <w:rPr>
          <w:position w:val="9"/>
          <w:sz w:val="16"/>
        </w:rPr>
        <w:t xml:space="preserve">2 </w:t>
      </w:r>
      <w:r>
        <w:rPr>
          <w:sz w:val="24"/>
        </w:rPr>
        <w:t>de superfície corpora</w:t>
      </w:r>
      <w:r>
        <w:rPr>
          <w:sz w:val="24"/>
        </w:rPr>
        <w:t>l na ausência de terapia dialítica crônica;gestação, amamentação e concepção (homens e</w:t>
      </w:r>
      <w:r>
        <w:rPr>
          <w:spacing w:val="-2"/>
          <w:sz w:val="24"/>
        </w:rPr>
        <w:t xml:space="preserve"> </w:t>
      </w:r>
      <w:r>
        <w:rPr>
          <w:sz w:val="24"/>
        </w:rPr>
        <w:t>mulheres);</w:t>
      </w:r>
    </w:p>
    <w:p w:rsidR="00825E87" w:rsidRDefault="00CB188B">
      <w:pPr>
        <w:pStyle w:val="PargrafodaLista"/>
        <w:numPr>
          <w:ilvl w:val="1"/>
          <w:numId w:val="13"/>
        </w:numPr>
        <w:tabs>
          <w:tab w:val="left" w:pos="1044"/>
        </w:tabs>
        <w:spacing w:before="1" w:line="237" w:lineRule="auto"/>
        <w:ind w:left="246" w:right="403" w:firstLine="682"/>
        <w:jc w:val="both"/>
        <w:rPr>
          <w:sz w:val="24"/>
        </w:rPr>
      </w:pPr>
      <w:r>
        <w:rPr>
          <w:sz w:val="24"/>
        </w:rPr>
        <w:t>Para a sulfassalazina (SSZ): porfiria, tuberculose sem tratamento, hepatites B ou C agudas; artrite reumatoide juvenil, forma sistêmica; elevação de aminotransferases (ALT e AST)/transaminases (TGP e TGO) igual ou 3 vezes acima do LSN; obstrução urinária o</w:t>
      </w:r>
      <w:r>
        <w:rPr>
          <w:sz w:val="24"/>
        </w:rPr>
        <w:t>u intestinal, depressão da medula óssea; insuficiência renal moderada a grave (taxa de depuração de creatinina inferior a 30 mL/min/1,73m</w:t>
      </w:r>
      <w:r>
        <w:rPr>
          <w:position w:val="9"/>
          <w:sz w:val="16"/>
        </w:rPr>
        <w:t xml:space="preserve">2 </w:t>
      </w:r>
      <w:r>
        <w:rPr>
          <w:sz w:val="24"/>
        </w:rPr>
        <w:t>de superfície</w:t>
      </w:r>
      <w:r>
        <w:rPr>
          <w:spacing w:val="-23"/>
          <w:sz w:val="24"/>
        </w:rPr>
        <w:t xml:space="preserve"> </w:t>
      </w:r>
      <w:r>
        <w:rPr>
          <w:sz w:val="24"/>
        </w:rPr>
        <w:t>corporal);</w:t>
      </w:r>
    </w:p>
    <w:p w:rsidR="00825E87" w:rsidRDefault="00CB188B">
      <w:pPr>
        <w:pStyle w:val="PargrafodaLista"/>
        <w:numPr>
          <w:ilvl w:val="1"/>
          <w:numId w:val="13"/>
        </w:numPr>
        <w:tabs>
          <w:tab w:val="left" w:pos="1054"/>
        </w:tabs>
        <w:ind w:left="246" w:right="378" w:firstLine="682"/>
        <w:jc w:val="both"/>
        <w:rPr>
          <w:sz w:val="24"/>
        </w:rPr>
      </w:pPr>
      <w:r>
        <w:rPr>
          <w:sz w:val="24"/>
        </w:rPr>
        <w:t>Para adalimumabe, etanercepte, infliximabe, golimumabe certolizumabe pegol ou secuquinumabe: tuberculose sem tratamento; infecção bacteriana com indicação de uso de antibiótico; infecção fúngica ameaçadora à vida; infecção por herpes-zoster ativa; hepatite</w:t>
      </w:r>
      <w:r>
        <w:rPr>
          <w:sz w:val="24"/>
        </w:rPr>
        <w:t>s B ou C agudas; doença linfoproliferativa nos últimos cinco anos; insuficiência cardíaca congestiva classes III ou IV; doença neurológica</w:t>
      </w:r>
      <w:r>
        <w:rPr>
          <w:spacing w:val="1"/>
          <w:sz w:val="24"/>
        </w:rPr>
        <w:t xml:space="preserve"> </w:t>
      </w:r>
      <w:r>
        <w:rPr>
          <w:sz w:val="24"/>
        </w:rPr>
        <w:t>desmielinizante.</w:t>
      </w:r>
    </w:p>
    <w:p w:rsidR="00825E87" w:rsidRDefault="00825E87">
      <w:pPr>
        <w:pStyle w:val="Corpodetexto"/>
        <w:spacing w:before="11"/>
        <w:ind w:left="0"/>
        <w:rPr>
          <w:sz w:val="27"/>
        </w:rPr>
      </w:pPr>
    </w:p>
    <w:p w:rsidR="00825E87" w:rsidRDefault="00CB188B">
      <w:pPr>
        <w:pStyle w:val="Ttulo1"/>
        <w:numPr>
          <w:ilvl w:val="0"/>
          <w:numId w:val="13"/>
        </w:numPr>
        <w:tabs>
          <w:tab w:val="left" w:pos="408"/>
        </w:tabs>
        <w:spacing w:line="275" w:lineRule="exact"/>
        <w:ind w:firstLine="0"/>
      </w:pPr>
      <w:r>
        <w:t>CASOS ESPECIAIS</w:t>
      </w:r>
    </w:p>
    <w:p w:rsidR="00825E87" w:rsidRDefault="00CB188B">
      <w:pPr>
        <w:pStyle w:val="Corpodetexto"/>
        <w:spacing w:line="276" w:lineRule="auto"/>
        <w:ind w:left="227" w:right="627" w:firstLine="708"/>
      </w:pPr>
      <w:r>
        <w:t>De forma geral, o uso de medicamentos deve ser considerado individualmente, com uma</w:t>
      </w:r>
      <w:r>
        <w:t xml:space="preserve"> rigorosa avaliação do risco-benefício nos seguintes casos:</w:t>
      </w:r>
    </w:p>
    <w:p w:rsidR="00825E87" w:rsidRDefault="00CB188B">
      <w:pPr>
        <w:pStyle w:val="PargrafodaLista"/>
        <w:numPr>
          <w:ilvl w:val="1"/>
          <w:numId w:val="13"/>
        </w:numPr>
        <w:tabs>
          <w:tab w:val="left" w:pos="1049"/>
        </w:tabs>
        <w:spacing w:line="272" w:lineRule="exact"/>
        <w:ind w:left="227" w:firstLine="701"/>
        <w:rPr>
          <w:sz w:val="24"/>
        </w:rPr>
      </w:pPr>
      <w:r>
        <w:rPr>
          <w:sz w:val="24"/>
        </w:rPr>
        <w:t>gestantes, lactantes, crianças e adolescentes;</w:t>
      </w:r>
    </w:p>
    <w:p w:rsidR="00825E87" w:rsidRDefault="00CB188B">
      <w:pPr>
        <w:pStyle w:val="PargrafodaLista"/>
        <w:numPr>
          <w:ilvl w:val="1"/>
          <w:numId w:val="13"/>
        </w:numPr>
        <w:tabs>
          <w:tab w:val="left" w:pos="1049"/>
        </w:tabs>
        <w:ind w:left="227" w:firstLine="701"/>
        <w:rPr>
          <w:sz w:val="24"/>
        </w:rPr>
      </w:pPr>
      <w:r>
        <w:rPr>
          <w:sz w:val="24"/>
        </w:rPr>
        <w:t>pacientes com UAA ou</w:t>
      </w:r>
      <w:r>
        <w:rPr>
          <w:spacing w:val="-2"/>
          <w:sz w:val="24"/>
        </w:rPr>
        <w:t xml:space="preserve"> </w:t>
      </w:r>
      <w:r>
        <w:rPr>
          <w:sz w:val="24"/>
        </w:rPr>
        <w:t>recorrente;</w:t>
      </w:r>
    </w:p>
    <w:p w:rsidR="00825E87" w:rsidRDefault="00825E87">
      <w:pPr>
        <w:rPr>
          <w:sz w:val="24"/>
        </w:rPr>
        <w:sectPr w:rsidR="00825E87">
          <w:pgSz w:w="11900" w:h="16840"/>
          <w:pgMar w:top="1120" w:right="880" w:bottom="280" w:left="920" w:header="720" w:footer="720" w:gutter="0"/>
          <w:cols w:space="720"/>
        </w:sectPr>
      </w:pPr>
    </w:p>
    <w:p w:rsidR="00825E87" w:rsidRDefault="00CB188B">
      <w:pPr>
        <w:pStyle w:val="PargrafodaLista"/>
        <w:numPr>
          <w:ilvl w:val="1"/>
          <w:numId w:val="13"/>
        </w:numPr>
        <w:tabs>
          <w:tab w:val="left" w:pos="1054"/>
        </w:tabs>
        <w:spacing w:before="60"/>
        <w:ind w:left="227" w:right="402" w:firstLine="701"/>
        <w:jc w:val="both"/>
        <w:rPr>
          <w:sz w:val="24"/>
        </w:rPr>
      </w:pPr>
      <w:r>
        <w:rPr>
          <w:sz w:val="24"/>
        </w:rPr>
        <w:lastRenderedPageBreak/>
        <w:t xml:space="preserve">infecção ativa ou com alto risco para infecção (úlcera crônica de perna, tuberculose latente, artrite </w:t>
      </w:r>
      <w:r>
        <w:rPr>
          <w:sz w:val="24"/>
        </w:rPr>
        <w:t>séptica nos últimos 12 meses ou indefinidamente no caso de prótese não removida, infecções respiratórias persistentes ou recorrentes, cateter urinário de longa</w:t>
      </w:r>
      <w:r>
        <w:rPr>
          <w:spacing w:val="-7"/>
          <w:sz w:val="24"/>
        </w:rPr>
        <w:t xml:space="preserve"> </w:t>
      </w:r>
      <w:r>
        <w:rPr>
          <w:sz w:val="24"/>
        </w:rPr>
        <w:t>permanência);</w:t>
      </w:r>
    </w:p>
    <w:p w:rsidR="00825E87" w:rsidRDefault="00CB188B">
      <w:pPr>
        <w:pStyle w:val="PargrafodaLista"/>
        <w:numPr>
          <w:ilvl w:val="1"/>
          <w:numId w:val="13"/>
        </w:numPr>
        <w:tabs>
          <w:tab w:val="left" w:pos="1049"/>
        </w:tabs>
        <w:spacing w:line="274" w:lineRule="exact"/>
        <w:ind w:left="227" w:firstLine="701"/>
        <w:rPr>
          <w:sz w:val="24"/>
        </w:rPr>
      </w:pPr>
      <w:r>
        <w:rPr>
          <w:sz w:val="24"/>
        </w:rPr>
        <w:t>história de lúpus eritematoso sistêmico ou esclerose</w:t>
      </w:r>
      <w:r>
        <w:rPr>
          <w:spacing w:val="-5"/>
          <w:sz w:val="24"/>
        </w:rPr>
        <w:t xml:space="preserve"> </w:t>
      </w:r>
      <w:r>
        <w:rPr>
          <w:sz w:val="24"/>
        </w:rPr>
        <w:t>múltipla;</w:t>
      </w:r>
    </w:p>
    <w:p w:rsidR="00825E87" w:rsidRDefault="00CB188B">
      <w:pPr>
        <w:pStyle w:val="PargrafodaLista"/>
        <w:numPr>
          <w:ilvl w:val="1"/>
          <w:numId w:val="13"/>
        </w:numPr>
        <w:tabs>
          <w:tab w:val="left" w:pos="1059"/>
        </w:tabs>
        <w:ind w:left="227" w:right="528" w:firstLine="701"/>
        <w:rPr>
          <w:sz w:val="24"/>
        </w:rPr>
      </w:pPr>
      <w:r>
        <w:rPr>
          <w:sz w:val="24"/>
        </w:rPr>
        <w:t>doença maligna (excluindo carcinoma basocelular e malignidades tratadas há mais de 10 anos) ou estados de</w:t>
      </w:r>
      <w:r>
        <w:rPr>
          <w:spacing w:val="-2"/>
          <w:sz w:val="24"/>
        </w:rPr>
        <w:t xml:space="preserve"> </w:t>
      </w:r>
      <w:r>
        <w:rPr>
          <w:sz w:val="24"/>
        </w:rPr>
        <w:t>pré-malignidade;</w:t>
      </w:r>
    </w:p>
    <w:p w:rsidR="00825E87" w:rsidRDefault="00CB188B">
      <w:pPr>
        <w:pStyle w:val="PargrafodaLista"/>
        <w:numPr>
          <w:ilvl w:val="1"/>
          <w:numId w:val="13"/>
        </w:numPr>
        <w:tabs>
          <w:tab w:val="left" w:pos="1071"/>
        </w:tabs>
        <w:spacing w:before="7" w:line="232" w:lineRule="auto"/>
        <w:ind w:left="227" w:right="399" w:firstLine="701"/>
        <w:jc w:val="both"/>
        <w:rPr>
          <w:sz w:val="24"/>
        </w:rPr>
      </w:pPr>
      <w:r>
        <w:rPr>
          <w:sz w:val="24"/>
        </w:rPr>
        <w:t>fibromialgia: está presente em 15% dos pacientes com EA e pode causar piora dos índices de atividade de doença, funcionalidade e qual</w:t>
      </w:r>
      <w:r>
        <w:rPr>
          <w:sz w:val="24"/>
        </w:rPr>
        <w:t>idade de vida</w:t>
      </w:r>
      <w:r>
        <w:rPr>
          <w:position w:val="9"/>
          <w:sz w:val="16"/>
        </w:rPr>
        <w:t>(12)</w:t>
      </w:r>
      <w:r>
        <w:rPr>
          <w:sz w:val="24"/>
        </w:rPr>
        <w:t>. Com isso, ela deve ser identificada e tratada nos pacientes com EA para não induzir erros no</w:t>
      </w:r>
      <w:r>
        <w:rPr>
          <w:spacing w:val="-5"/>
          <w:sz w:val="24"/>
        </w:rPr>
        <w:t xml:space="preserve"> </w:t>
      </w:r>
      <w:r>
        <w:rPr>
          <w:sz w:val="24"/>
        </w:rPr>
        <w:t>tratamento.</w:t>
      </w:r>
    </w:p>
    <w:p w:rsidR="00825E87" w:rsidRDefault="00825E87">
      <w:pPr>
        <w:pStyle w:val="Corpodetexto"/>
        <w:spacing w:before="5"/>
        <w:ind w:left="0"/>
        <w:rPr>
          <w:sz w:val="28"/>
        </w:rPr>
      </w:pPr>
    </w:p>
    <w:p w:rsidR="00825E87" w:rsidRDefault="00CB188B">
      <w:pPr>
        <w:pStyle w:val="Ttulo1"/>
        <w:numPr>
          <w:ilvl w:val="0"/>
          <w:numId w:val="13"/>
        </w:numPr>
        <w:tabs>
          <w:tab w:val="left" w:pos="408"/>
        </w:tabs>
        <w:spacing w:line="275" w:lineRule="exact"/>
        <w:ind w:firstLine="0"/>
      </w:pPr>
      <w:r>
        <w:t>TRATAMENTO</w:t>
      </w:r>
    </w:p>
    <w:p w:rsidR="00825E87" w:rsidRDefault="00CB188B">
      <w:pPr>
        <w:pStyle w:val="Corpodetexto"/>
        <w:spacing w:line="268" w:lineRule="auto"/>
        <w:ind w:left="227" w:right="396" w:firstLine="708"/>
        <w:jc w:val="both"/>
      </w:pPr>
      <w:r>
        <w:t>Os objetivos do tratamento são reduzir os sintomas, manter a flexibilidade axial e a postura normal, reduzir as limitaçõ</w:t>
      </w:r>
      <w:r>
        <w:t>es funcionais, manter habilidade laboral e reduzir complicações associadas à doença</w:t>
      </w:r>
      <w:r>
        <w:rPr>
          <w:position w:val="9"/>
          <w:sz w:val="16"/>
        </w:rPr>
        <w:t>(13)</w:t>
      </w:r>
      <w:r>
        <w:t>.</w:t>
      </w:r>
    </w:p>
    <w:p w:rsidR="00825E87" w:rsidRDefault="00CB188B">
      <w:pPr>
        <w:pStyle w:val="Corpodetexto"/>
        <w:spacing w:before="7" w:line="264" w:lineRule="auto"/>
        <w:ind w:left="227" w:right="1205" w:firstLine="708"/>
      </w:pPr>
      <w:r>
        <w:t>A conduta ideal para EA inclui tratamentos não medicamentoso e medicamentosos combinados</w:t>
      </w:r>
      <w:r>
        <w:rPr>
          <w:position w:val="9"/>
          <w:sz w:val="16"/>
        </w:rPr>
        <w:t>(21-24)</w:t>
      </w:r>
      <w:r>
        <w:t>, que serão discutidos a seguir.</w:t>
      </w:r>
    </w:p>
    <w:p w:rsidR="00825E87" w:rsidRDefault="00825E87">
      <w:pPr>
        <w:pStyle w:val="Corpodetexto"/>
        <w:spacing w:before="2"/>
        <w:ind w:left="0"/>
        <w:rPr>
          <w:sz w:val="29"/>
        </w:rPr>
      </w:pPr>
    </w:p>
    <w:p w:rsidR="00825E87" w:rsidRDefault="00CB188B">
      <w:pPr>
        <w:pStyle w:val="Ttulo1"/>
        <w:numPr>
          <w:ilvl w:val="1"/>
          <w:numId w:val="10"/>
        </w:numPr>
        <w:tabs>
          <w:tab w:val="left" w:pos="1296"/>
        </w:tabs>
      </w:pPr>
      <w:r>
        <w:t>TRATAMENTO NÃO</w:t>
      </w:r>
      <w:r>
        <w:rPr>
          <w:spacing w:val="-1"/>
        </w:rPr>
        <w:t xml:space="preserve"> </w:t>
      </w:r>
      <w:r>
        <w:t>MEDICAMENTOSO</w:t>
      </w:r>
    </w:p>
    <w:p w:rsidR="00825E87" w:rsidRDefault="00CB188B">
      <w:pPr>
        <w:pStyle w:val="Corpodetexto"/>
        <w:spacing w:before="36" w:line="271" w:lineRule="auto"/>
        <w:ind w:left="227" w:right="396" w:firstLine="708"/>
        <w:jc w:val="both"/>
      </w:pPr>
      <w:r>
        <w:t>O tratame</w:t>
      </w:r>
      <w:r>
        <w:t>nto não medicamentoso é essencial e deve ser sempre considerado. Seus dois princípios fundamentais são a educação do paciente e a realização de exercícios físicos. Os exercícios devem incluir alongamento, educação postural, atividades recreacionais ou hidr</w:t>
      </w:r>
      <w:r>
        <w:t>oterapia</w:t>
      </w:r>
      <w:r>
        <w:rPr>
          <w:position w:val="9"/>
          <w:sz w:val="16"/>
        </w:rPr>
        <w:t>(8,13,18–21)</w:t>
      </w:r>
      <w:r>
        <w:t>. A reabilitação e a atividade física parecem ter um efeito adicional ou sinérgico com a terapia biológica, conforme demonstrado em revisões sistemáticas. Os programas de atividade em grupo, supervisionados ou fisioterapia individual fo</w:t>
      </w:r>
      <w:r>
        <w:t>ram mais efetivos quando comparados com exercícios convencionais ou domiciliares</w:t>
      </w:r>
      <w:r>
        <w:rPr>
          <w:position w:val="9"/>
          <w:sz w:val="16"/>
        </w:rPr>
        <w:t>(22)</w:t>
      </w:r>
      <w:r>
        <w:t>. A maioria dos benefícios observados imediatamente após a intervenção não se mantém no acompanhamento. Consequentemente, considerando a natureza crônica da doença, exercíc</w:t>
      </w:r>
      <w:r>
        <w:t>ios regulares e contínuos são fundamentais. Além disso, a frequência necessária para obter esses benefícios ainda não está estabelecida</w:t>
      </w:r>
      <w:r>
        <w:rPr>
          <w:position w:val="9"/>
          <w:sz w:val="16"/>
        </w:rPr>
        <w:t>(23)</w:t>
      </w:r>
      <w:r>
        <w:t>.</w:t>
      </w:r>
    </w:p>
    <w:p w:rsidR="00825E87" w:rsidRDefault="00825E87">
      <w:pPr>
        <w:pStyle w:val="Corpodetexto"/>
        <w:spacing w:before="4"/>
        <w:ind w:left="0"/>
        <w:rPr>
          <w:sz w:val="29"/>
        </w:rPr>
      </w:pPr>
    </w:p>
    <w:p w:rsidR="00825E87" w:rsidRDefault="00CB188B">
      <w:pPr>
        <w:pStyle w:val="Ttulo1"/>
        <w:numPr>
          <w:ilvl w:val="1"/>
          <w:numId w:val="10"/>
        </w:numPr>
        <w:tabs>
          <w:tab w:val="left" w:pos="1296"/>
        </w:tabs>
      </w:pPr>
      <w:r>
        <w:t>TRATAMENTO</w:t>
      </w:r>
      <w:r>
        <w:rPr>
          <w:spacing w:val="-1"/>
        </w:rPr>
        <w:t xml:space="preserve"> </w:t>
      </w:r>
      <w:r>
        <w:t>MEDICAMENTOSO</w:t>
      </w:r>
    </w:p>
    <w:p w:rsidR="00825E87" w:rsidRDefault="00CB188B">
      <w:pPr>
        <w:pStyle w:val="Corpodetexto"/>
        <w:spacing w:before="36" w:line="273" w:lineRule="auto"/>
        <w:ind w:left="227" w:right="373" w:firstLine="708"/>
        <w:jc w:val="both"/>
      </w:pPr>
      <w:r>
        <w:t>O tratamento medicamentoso inclui anti-inflamatórios não esteroidais - AINE, glicocorticoides e medicamentos modificadores do curso da doença – MMCD (sulfassalazina - SSZ, metotrexato – MTX e adalimumabe, etanercepte, infliximabe, golimumabe, certolizumabe</w:t>
      </w:r>
      <w:r>
        <w:t xml:space="preserve"> pegol ou secuquinumabe)</w:t>
      </w:r>
      <w:r>
        <w:rPr>
          <w:position w:val="9"/>
          <w:sz w:val="16"/>
        </w:rPr>
        <w:t>(8,13,18)</w:t>
      </w:r>
      <w:r>
        <w:t>. Esses fármacos estão contraindicados em caso de hipersensibilidade a qualquer um de seus componentes ou em casos de contraindicação absoluta.</w:t>
      </w:r>
    </w:p>
    <w:p w:rsidR="00825E87" w:rsidRDefault="00825E87">
      <w:pPr>
        <w:pStyle w:val="Corpodetexto"/>
        <w:ind w:left="0"/>
        <w:rPr>
          <w:sz w:val="28"/>
        </w:rPr>
      </w:pPr>
    </w:p>
    <w:p w:rsidR="00825E87" w:rsidRDefault="00CB188B">
      <w:pPr>
        <w:pStyle w:val="Ttulo1"/>
        <w:ind w:left="935"/>
      </w:pPr>
      <w:r>
        <w:t>Anti-inflamatórios não-esteroidais (AINE)</w:t>
      </w:r>
    </w:p>
    <w:p w:rsidR="00825E87" w:rsidRDefault="00CB188B">
      <w:pPr>
        <w:pStyle w:val="Corpodetexto"/>
        <w:spacing w:before="36" w:line="268" w:lineRule="auto"/>
        <w:ind w:left="227" w:right="373" w:firstLine="708"/>
        <w:jc w:val="both"/>
      </w:pPr>
      <w:r>
        <w:t>Os AINE são recomendados como a primeira linha de tratamento em pacientes com espodiloartrite axial em atividade</w:t>
      </w:r>
      <w:r>
        <w:rPr>
          <w:position w:val="9"/>
          <w:sz w:val="16"/>
        </w:rPr>
        <w:t>(13,18)</w:t>
      </w:r>
      <w:r>
        <w:t>. Cerca de 70% a 80% dos pacientes com EA apresentam melhora dos sintomas, incluindo melhora da dor e da rigidez axial, apenas com AINE</w:t>
      </w:r>
      <w:r>
        <w:rPr>
          <w:position w:val="9"/>
          <w:sz w:val="16"/>
        </w:rPr>
        <w:t>(8</w:t>
      </w:r>
      <w:r>
        <w:rPr>
          <w:position w:val="9"/>
          <w:sz w:val="16"/>
        </w:rPr>
        <w:t>)</w:t>
      </w:r>
      <w:r>
        <w:t>. Revisão sistemática que comparou desfecho entre AINE tradicionais e inibidores seletivos da COX-2 não observou diferença em medidas de atividade de doença, provas inflamatórias, função física ou efeitos adversos. Além disso, não foi observado efeito dos</w:t>
      </w:r>
      <w:r>
        <w:t>e-resposta em estudos comparando dose baixa e alta de AINE</w:t>
      </w:r>
      <w:r>
        <w:rPr>
          <w:position w:val="9"/>
          <w:sz w:val="16"/>
        </w:rPr>
        <w:t>(24)</w:t>
      </w:r>
      <w:r>
        <w:t>.</w:t>
      </w:r>
    </w:p>
    <w:p w:rsidR="00825E87" w:rsidRDefault="00825E87">
      <w:pPr>
        <w:spacing w:line="268" w:lineRule="auto"/>
        <w:jc w:val="both"/>
        <w:sectPr w:rsidR="00825E87">
          <w:pgSz w:w="11900" w:h="16840"/>
          <w:pgMar w:top="1120" w:right="880" w:bottom="280" w:left="920" w:header="720" w:footer="720" w:gutter="0"/>
          <w:cols w:space="720"/>
        </w:sectPr>
      </w:pPr>
    </w:p>
    <w:p w:rsidR="00825E87" w:rsidRDefault="00CB188B">
      <w:pPr>
        <w:pStyle w:val="Corpodetexto"/>
        <w:spacing w:before="63" w:line="271" w:lineRule="auto"/>
        <w:ind w:left="227" w:right="377" w:firstLine="708"/>
        <w:jc w:val="both"/>
      </w:pPr>
      <w:r>
        <w:lastRenderedPageBreak/>
        <w:t>Um estudo comparou o efeito do uso contínuo com o uso sob demanda de inibidores seletivos da COX-2 na atividade de doença em pacientes com EA. Após 2 anos, não foi observada dife</w:t>
      </w:r>
      <w:r>
        <w:t>rença significativa em BASDAI, avaliação global e de dor do paciente ou medidas de proteína C reativa</w:t>
      </w:r>
      <w:r>
        <w:rPr>
          <w:position w:val="9"/>
          <w:sz w:val="16"/>
        </w:rPr>
        <w:t>(25)</w:t>
      </w:r>
      <w:r>
        <w:t>. O naproxeno tem se revelado mais seguro com relação aos eventos cardiovasculares do que os outros AINE utilizados para o tratamento da EA. Em meta-an</w:t>
      </w:r>
      <w:r>
        <w:t xml:space="preserve">álise que comparou AINE com placebo, foi demonstrado que o ibuprofeno e o diclofenaco possuem risco relativo (RR) similares (RR=1,51 [IC=0,96-2,37] e 1,63 [IC=1,12–2,37], respectivamente) para eventos cardiovasculares. O naproxeno foi o único AINE que não </w:t>
      </w:r>
      <w:r>
        <w:t>aumentou o risco relativo para tal evento (RR=0,92 [IC= 0.67-1.26]), podendo isso ser explicado pela sua maior capacidade de inibição da agregação plaquetária</w:t>
      </w:r>
      <w:r>
        <w:rPr>
          <w:position w:val="9"/>
          <w:sz w:val="16"/>
        </w:rPr>
        <w:t>(29)</w:t>
      </w:r>
      <w:r>
        <w:t>. Em revisão sistemática de estudos observacionais (caso-controle e coortes), o naproxeno reve</w:t>
      </w:r>
      <w:r>
        <w:t>lou-se como o AINE com menor risco relativo para infarto agudo do miocárdio comparado com o ibuprofeno e diclofenaco</w:t>
      </w:r>
      <w:r>
        <w:rPr>
          <w:position w:val="9"/>
          <w:sz w:val="16"/>
        </w:rPr>
        <w:t>(30)</w:t>
      </w:r>
      <w:r>
        <w:t>. Outra recente revisão sistemática não encontrou diferença no número de eventos adversos entre naproxeno e outros AINE, embora não tenh</w:t>
      </w:r>
      <w:r>
        <w:t>a avaliado eventos cardiovasculares especificamente</w:t>
      </w:r>
      <w:r>
        <w:rPr>
          <w:position w:val="9"/>
          <w:sz w:val="16"/>
        </w:rPr>
        <w:t>(24)</w:t>
      </w:r>
      <w:r>
        <w:t>.</w:t>
      </w:r>
    </w:p>
    <w:p w:rsidR="00825E87" w:rsidRDefault="00CB188B">
      <w:pPr>
        <w:pStyle w:val="Corpodetexto"/>
        <w:spacing w:before="16" w:line="271" w:lineRule="auto"/>
        <w:ind w:left="227" w:right="377" w:firstLine="708"/>
        <w:jc w:val="both"/>
      </w:pPr>
      <w:r>
        <w:t>Apesar de eficácias similares, há respostas terapêuticas individuais e diferenciadas. Em pacientes não responsivos a um dado AINE, pode-se substituí-lo por outro, devendo a escolha ser individualizad</w:t>
      </w:r>
      <w:r>
        <w:t>a conforme contraindicações de cada medicamento, conveniência para o paciente, toxicidade relativa, custo e experiência de uso</w:t>
      </w:r>
      <w:r>
        <w:rPr>
          <w:position w:val="9"/>
          <w:sz w:val="16"/>
        </w:rPr>
        <w:t>(31)</w:t>
      </w:r>
      <w:r>
        <w:t>.</w:t>
      </w:r>
    </w:p>
    <w:p w:rsidR="00825E87" w:rsidRDefault="00CB188B">
      <w:pPr>
        <w:pStyle w:val="Corpodetexto"/>
        <w:spacing w:before="7" w:line="271" w:lineRule="auto"/>
        <w:ind w:left="227" w:right="373" w:firstLine="708"/>
        <w:jc w:val="both"/>
      </w:pPr>
      <w:r>
        <w:t>Os estudos que avaliaram a inibição da progressão radiográfica com o uso contínuo ou sob demanda de AINE apresentaram result</w:t>
      </w:r>
      <w:r>
        <w:t>ados conflitantes. O estudo citado previamente, que avaliou o uso de inibidores da COX-2, observou progressão radiológica três vezes maior no esquema de uso por demanda (quando necessário) em comparação com o esquema de uso contínuo</w:t>
      </w:r>
      <w:r>
        <w:rPr>
          <w:position w:val="9"/>
          <w:sz w:val="16"/>
        </w:rPr>
        <w:t>(25)</w:t>
      </w:r>
      <w:r>
        <w:t>. Entretanto, ensaio</w:t>
      </w:r>
      <w:r>
        <w:t xml:space="preserve"> clínico publicado recentemente, realizado com diclofenaco, também com 2 anos de seguimento, não demonstrou diferença no escore radiográfico entre os grupos</w:t>
      </w:r>
      <w:r>
        <w:rPr>
          <w:position w:val="9"/>
          <w:sz w:val="16"/>
        </w:rPr>
        <w:t>(32)</w:t>
      </w:r>
      <w:r>
        <w:t>. Mais estudos são necessários para investigar as diferentes classes de AINE na formação óssea d</w:t>
      </w:r>
      <w:r>
        <w:t>e pacientes com espondiloartrite. Apesar de não existir evidência clara na literatura, algumas entidades sugerem o uso contínuo de AINE em pacientes persistentemente sintomáticos e com doença ativa</w:t>
      </w:r>
      <w:r>
        <w:rPr>
          <w:position w:val="9"/>
          <w:sz w:val="16"/>
        </w:rPr>
        <w:t>(13,18)</w:t>
      </w:r>
      <w:r>
        <w:t>.</w:t>
      </w:r>
    </w:p>
    <w:p w:rsidR="00825E87" w:rsidRDefault="00CB188B">
      <w:pPr>
        <w:pStyle w:val="Ttulo1"/>
        <w:spacing w:before="246"/>
        <w:ind w:left="935"/>
      </w:pPr>
      <w:r>
        <w:t>Medicamentos modificadores do curso da doença (MMC</w:t>
      </w:r>
      <w:r>
        <w:t>D)</w:t>
      </w:r>
    </w:p>
    <w:p w:rsidR="00825E87" w:rsidRDefault="00CB188B">
      <w:pPr>
        <w:pStyle w:val="Ttulo2"/>
        <w:ind w:left="935"/>
      </w:pPr>
      <w:r>
        <w:t>MMCD - sintéticos</w:t>
      </w:r>
    </w:p>
    <w:p w:rsidR="00825E87" w:rsidRDefault="00CB188B">
      <w:pPr>
        <w:pStyle w:val="Corpodetexto"/>
        <w:spacing w:before="5" w:line="235" w:lineRule="auto"/>
        <w:ind w:left="227" w:right="396" w:firstLine="708"/>
        <w:jc w:val="both"/>
      </w:pPr>
      <w:r>
        <w:t>Uma meta-análise de 11 ensaios clínicos randomizados, incluindo 895 doentes de EA, comparou a efetividade da sulfassalazina contra placebo. Nenhum dos estudos incluídos realizou avaliação por BASDAI ou progressão radiográfica. Nessa meta-análise, o único t</w:t>
      </w:r>
      <w:r>
        <w:t>rabalho que observou benefício da sulfassalazina, em reduzir a velocidade de sedimentação globular e a gravidade da rigidez axial foi também o realizado com pacientes com menor tempo de doença e mais artrite periférica. Desta forma, pacientes com menor tem</w:t>
      </w:r>
      <w:r>
        <w:t>po de doença, manifestações periféricas e maiores níveis de velocidade de sedimentação globular são os que mais podem se beneficiar da sulfassalazina</w:t>
      </w:r>
      <w:r>
        <w:rPr>
          <w:position w:val="9"/>
          <w:sz w:val="16"/>
        </w:rPr>
        <w:t>(33)</w:t>
      </w:r>
      <w:r>
        <w:t>.</w:t>
      </w:r>
    </w:p>
    <w:p w:rsidR="00825E87" w:rsidRDefault="00CB188B">
      <w:pPr>
        <w:pStyle w:val="Corpodetexto"/>
        <w:spacing w:before="21" w:line="235" w:lineRule="auto"/>
        <w:ind w:left="227" w:right="374" w:firstLine="708"/>
        <w:jc w:val="both"/>
      </w:pPr>
      <w:r>
        <w:t>Em uma meta-análise com 3 ensaios clínicos, incluindo 116 portadores de EA pelos critérios de Nova Io</w:t>
      </w:r>
      <w:r>
        <w:t>rque, na sua maioria homens com mais de 5 anos de doença, o benefício do metotrexato comparado com placebo foi questionável, uma vez que não houve diferença estatisticamente significativa nos desfechos primários estudados (por exemplo, dor, capacidade func</w:t>
      </w:r>
      <w:r>
        <w:t>ional, artrite, entesite, alterações radiográficas), mas apenas em desfechos compostos, incluindo rigidez matinal, bem-estar físico, atividade de doença e capacidade funcional</w:t>
      </w:r>
      <w:r>
        <w:rPr>
          <w:position w:val="9"/>
          <w:sz w:val="16"/>
        </w:rPr>
        <w:t>(34)</w:t>
      </w:r>
      <w:r>
        <w:t>. Além disso, o metotrexato não parece acrescentar benefício em pacientes com</w:t>
      </w:r>
      <w:r>
        <w:t xml:space="preserve"> manifestações axiais em uso de anti-TNF. Três outros estudos compararam o tratamento com metotrexato e infliximabe</w:t>
      </w:r>
    </w:p>
    <w:p w:rsidR="00825E87" w:rsidRDefault="00825E87">
      <w:pPr>
        <w:spacing w:line="235" w:lineRule="auto"/>
        <w:jc w:val="both"/>
        <w:sectPr w:rsidR="00825E87">
          <w:pgSz w:w="11900" w:h="16840"/>
          <w:pgMar w:top="1120" w:right="880" w:bottom="280" w:left="920" w:header="720" w:footer="720" w:gutter="0"/>
          <w:cols w:space="720"/>
        </w:sectPr>
      </w:pPr>
    </w:p>
    <w:p w:rsidR="00825E87" w:rsidRDefault="00CB188B">
      <w:pPr>
        <w:pStyle w:val="Corpodetexto"/>
        <w:spacing w:before="74" w:line="225" w:lineRule="auto"/>
        <w:ind w:left="227" w:right="363"/>
      </w:pPr>
      <w:r>
        <w:lastRenderedPageBreak/>
        <w:t>com infliximabe em monoterapia em 142 pacientes portadores de EA. Não foi observada diferença estatisticamente significativa n</w:t>
      </w:r>
      <w:r>
        <w:t>o desfecho primário (ASAS20)</w:t>
      </w:r>
      <w:r>
        <w:rPr>
          <w:position w:val="9"/>
          <w:sz w:val="16"/>
        </w:rPr>
        <w:t>(35)</w:t>
      </w:r>
      <w:r>
        <w:t>.</w:t>
      </w:r>
    </w:p>
    <w:p w:rsidR="00825E87" w:rsidRDefault="00CB188B">
      <w:pPr>
        <w:pStyle w:val="Ttulo2"/>
        <w:spacing w:before="242" w:line="271" w:lineRule="exact"/>
      </w:pPr>
      <w:r>
        <w:t>MMCD - biológicos</w:t>
      </w:r>
    </w:p>
    <w:p w:rsidR="00825E87" w:rsidRDefault="00CB188B">
      <w:pPr>
        <w:pStyle w:val="Corpodetexto"/>
        <w:spacing w:before="4" w:line="230" w:lineRule="auto"/>
        <w:ind w:right="379" w:firstLine="708"/>
        <w:jc w:val="both"/>
      </w:pPr>
      <w:r>
        <w:t xml:space="preserve">O uso de anti-TNF deve ser considerado se houver doença ativa e grave, definida clinicamente como ASDAS </w:t>
      </w:r>
      <w:r>
        <w:rPr>
          <w:u w:val="single"/>
        </w:rPr>
        <w:t>&gt;</w:t>
      </w:r>
      <w:r>
        <w:t xml:space="preserve"> 2,1 ou BASDAI 4 e dor na coluna &gt; 4 pela Escala Visual Analógica (EVA) de dor, além de falha terap</w:t>
      </w:r>
      <w:r>
        <w:t>êutica com o uso de AINE ou, no caso de artrite periférica, falha com sulfassalazina (ou metotrexato)</w:t>
      </w:r>
      <w:r>
        <w:rPr>
          <w:position w:val="9"/>
          <w:sz w:val="16"/>
        </w:rPr>
        <w:t>(36,37)</w:t>
      </w:r>
      <w:r>
        <w:t>. Tanto na EA quanto na espondiloartrite axial não radiográfica, os anti-TNFs acarretam benefícios relevantes, como redução da atividade da doença e</w:t>
      </w:r>
      <w:r>
        <w:t xml:space="preserve"> melhora da função física. Entretanto, a eficácia dos anti-TNFs pode ser um pouco menor em pacientes com espondiloartrite axial não radiográfica, quando comparado com pacientes com</w:t>
      </w:r>
      <w:r>
        <w:rPr>
          <w:position w:val="-8"/>
        </w:rPr>
        <w:t xml:space="preserve"> EA</w:t>
      </w:r>
      <w:r>
        <w:rPr>
          <w:sz w:val="16"/>
        </w:rPr>
        <w:t>(38,39)</w:t>
      </w:r>
      <w:r>
        <w:rPr>
          <w:position w:val="-8"/>
        </w:rPr>
        <w:t>.</w:t>
      </w:r>
    </w:p>
    <w:p w:rsidR="00825E87" w:rsidRDefault="00CB188B">
      <w:pPr>
        <w:pStyle w:val="Corpodetexto"/>
        <w:spacing w:before="23" w:line="235" w:lineRule="auto"/>
        <w:ind w:left="227" w:right="397" w:firstLine="708"/>
        <w:jc w:val="both"/>
      </w:pPr>
      <w:r>
        <w:t>Em uma revisão sistemática da Cochrane sobre a resposta aos anti</w:t>
      </w:r>
      <w:r>
        <w:t>-TNFs adalimumabe, etanercepte, infliximabe e golimumabe na EA, observou-se que pacientes em uso desses medicamentos apresentaram uma probabilidade 3 a 4 vezes maior de atingir ASAS40 em seis meses quando comparado com placebo. O número necessário para tra</w:t>
      </w:r>
      <w:r>
        <w:t>tar (NNT) para atingir ASAS40 variou entre 3 e 5. A mesma revisão também demonstrou melhora na função física, com NNT para atingir uma diferença clinicamente significativa entre 2 e 4</w:t>
      </w:r>
      <w:r>
        <w:rPr>
          <w:position w:val="9"/>
          <w:sz w:val="16"/>
        </w:rPr>
        <w:t>(39)</w:t>
      </w:r>
      <w:r>
        <w:t>.</w:t>
      </w:r>
    </w:p>
    <w:p w:rsidR="00825E87" w:rsidRDefault="00CB188B">
      <w:pPr>
        <w:pStyle w:val="Corpodetexto"/>
        <w:spacing w:before="9" w:line="249" w:lineRule="auto"/>
        <w:ind w:left="227" w:right="396" w:firstLine="708"/>
        <w:jc w:val="both"/>
      </w:pPr>
      <w:r>
        <w:t>Meta-análise que incluiu dados de cinco ensaios randomizados compar</w:t>
      </w:r>
      <w:r>
        <w:t>ou a eficácia dos anti-TNFs subcutâneos. Adalimumabe, etanercepte, golimumabe e certolizumabe pegol foram todos mais eficazes do que placebo em induzir resposta ASAS20 em 12 semanas. O golimumabe foi o medicamento com maior probabilidade de atingir esta re</w:t>
      </w:r>
      <w:r>
        <w:t>sposta em comparação com o placebo. Não houve diferença estatisticamente significativa na comparação direta entre eles</w:t>
      </w:r>
      <w:r>
        <w:rPr>
          <w:position w:val="9"/>
          <w:sz w:val="16"/>
        </w:rPr>
        <w:t>(40)</w:t>
      </w:r>
      <w:r>
        <w:t>.</w:t>
      </w:r>
    </w:p>
    <w:p w:rsidR="00825E87" w:rsidRDefault="00CB188B">
      <w:pPr>
        <w:pStyle w:val="Corpodetexto"/>
        <w:spacing w:line="247" w:lineRule="auto"/>
        <w:ind w:left="227" w:right="396" w:firstLine="708"/>
        <w:jc w:val="both"/>
      </w:pPr>
      <w:r>
        <w:t xml:space="preserve">Estudo semelhante comparando o efeito desses medicamentos, porém incluindo infliximabe, evidenciou que este último apresentou maior </w:t>
      </w:r>
      <w:r>
        <w:t>probabilidade (67,6%) de ser o melhor tratamento. Adalimumabe, golimumabe, etanercepte e certolizumabe pegol demonstraram probabilidades de 17,7%, 10,6%, 4% e 0,1%, respectivamente</w:t>
      </w:r>
      <w:r>
        <w:rPr>
          <w:position w:val="9"/>
          <w:sz w:val="16"/>
        </w:rPr>
        <w:t>(41)</w:t>
      </w:r>
      <w:r>
        <w:t>.</w:t>
      </w:r>
    </w:p>
    <w:p w:rsidR="00825E87" w:rsidRDefault="00CB188B">
      <w:pPr>
        <w:pStyle w:val="Corpodetexto"/>
        <w:spacing w:before="41" w:line="230" w:lineRule="auto"/>
        <w:ind w:right="375" w:firstLine="708"/>
        <w:jc w:val="both"/>
      </w:pPr>
      <w:r>
        <w:t>Em geral, a resposta a estas MMCD biológicas é rápida, menos de 6 semanas, e mantido por até 10 anos</w:t>
      </w:r>
      <w:r>
        <w:rPr>
          <w:position w:val="9"/>
          <w:sz w:val="16"/>
        </w:rPr>
        <w:t>(38,42–44)</w:t>
      </w:r>
      <w:r>
        <w:t>. Após 1 ano, cerca de 75% dos pacientes mantiveram boa resposta clínica e, após 2 anos, cerca de 60%</w:t>
      </w:r>
      <w:r>
        <w:rPr>
          <w:position w:val="9"/>
          <w:sz w:val="16"/>
        </w:rPr>
        <w:t>(38)</w:t>
      </w:r>
      <w:r>
        <w:t>. Em estudos populacionais, os fatores as</w:t>
      </w:r>
      <w:r>
        <w:t>sociados a melhor resposta aos anti-TNF foram idade jovem, sexo masculino, proteína C reativa elevada, presença de HLA-B27, menos fadiga e ausência de uso prévio de anti-TNF</w:t>
      </w:r>
      <w:r>
        <w:rPr>
          <w:position w:val="9"/>
          <w:sz w:val="16"/>
        </w:rPr>
        <w:t>(8,45,46)</w:t>
      </w:r>
      <w:r>
        <w:t>. Até o momento, consideram-se os anti-TNF igualmente eficazes, não havend</w:t>
      </w:r>
      <w:r>
        <w:t>o recomendação baseada em evidência do uso de um agente antes dos</w:t>
      </w:r>
      <w:r>
        <w:rPr>
          <w:spacing w:val="-2"/>
        </w:rPr>
        <w:t xml:space="preserve"> </w:t>
      </w:r>
      <w:r>
        <w:t>outros</w:t>
      </w:r>
      <w:r>
        <w:rPr>
          <w:position w:val="9"/>
          <w:sz w:val="16"/>
        </w:rPr>
        <w:t>(18)</w:t>
      </w:r>
      <w:r>
        <w:t>.</w:t>
      </w:r>
    </w:p>
    <w:p w:rsidR="00825E87" w:rsidRDefault="00CB188B">
      <w:pPr>
        <w:pStyle w:val="Corpodetexto"/>
        <w:spacing w:before="6" w:line="242" w:lineRule="auto"/>
        <w:ind w:right="376" w:firstLine="708"/>
        <w:jc w:val="both"/>
      </w:pPr>
      <w:r>
        <w:t>Dois ensaios clínicos avaliaram a troca de etanercepte ou infliximabe para adalimumabe, em pacientes intolerantes ou resistentes, com melhora na resposta ao tratamento, independe</w:t>
      </w:r>
      <w:r>
        <w:t>ntemente do motivo da troca</w:t>
      </w:r>
      <w:r>
        <w:rPr>
          <w:position w:val="9"/>
          <w:sz w:val="16"/>
        </w:rPr>
        <w:t>(47,48)</w:t>
      </w:r>
      <w:r>
        <w:t>. Outros estudos retrospectivos também confirmaram esses resultados, com outros medicamentos, na prática diária</w:t>
      </w:r>
      <w:r>
        <w:rPr>
          <w:position w:val="9"/>
          <w:sz w:val="16"/>
        </w:rPr>
        <w:t>(49,50)</w:t>
      </w:r>
      <w:r>
        <w:t>.</w:t>
      </w:r>
    </w:p>
    <w:p w:rsidR="00825E87" w:rsidRDefault="00CB188B">
      <w:pPr>
        <w:pStyle w:val="Corpodetexto"/>
        <w:spacing w:before="18" w:line="235" w:lineRule="auto"/>
        <w:ind w:right="393" w:firstLine="708"/>
        <w:jc w:val="both"/>
      </w:pPr>
      <w:r>
        <w:t>A evidência sobre o efeito dos anti-TNF na progressão radiográfica ainda é limitada. Sete ensaios clín</w:t>
      </w:r>
      <w:r>
        <w:t>icos forneceram resultados comparativos sobre o efeito dos anti-TNF na progressão radiográfica. Quatro desses estudos evidenciaram progressão radiográfica após 2 anos em pacientes em uso de adalimumabe, etanercepte, infliximabe e golimumabe. Outros três es</w:t>
      </w:r>
      <w:r>
        <w:t xml:space="preserve">tudos compararam seus resultados com os de uma coorte de pacientes sem uso de biológicos (OASIS - </w:t>
      </w:r>
      <w:r>
        <w:rPr>
          <w:i/>
        </w:rPr>
        <w:t>Outcomes in Ankylosing Spondylitis International Study</w:t>
      </w:r>
      <w:r>
        <w:t>), não encontrando diferença na taxa de progressão radiográfica</w:t>
      </w:r>
      <w:r>
        <w:rPr>
          <w:position w:val="9"/>
          <w:sz w:val="16"/>
        </w:rPr>
        <w:t>(38,51)</w:t>
      </w:r>
      <w:r>
        <w:t>.</w:t>
      </w:r>
    </w:p>
    <w:p w:rsidR="00825E87" w:rsidRDefault="00CB188B">
      <w:pPr>
        <w:pStyle w:val="Corpodetexto"/>
        <w:spacing w:before="19" w:line="235" w:lineRule="auto"/>
        <w:ind w:right="374" w:firstLine="708"/>
        <w:jc w:val="both"/>
      </w:pPr>
      <w:r>
        <w:t>Estudo observacional de vida-real com 176 portadores de EA em atividade avaliou um escore radiográfico, após 2, 4 e 6 anos da introdução da terapia com anti-TNF (infliximabe, adalimumabe ou etanercepte). Foi observada progressão radiográfica lenta e linear</w:t>
      </w:r>
      <w:r>
        <w:t xml:space="preserve"> nestes pacientes, apesar da atividade de doença e das provas inflamatórias terem se reduzido significativamente com a terapia</w:t>
      </w:r>
      <w:r>
        <w:rPr>
          <w:position w:val="9"/>
          <w:sz w:val="16"/>
        </w:rPr>
        <w:t>(52)</w:t>
      </w:r>
      <w:r>
        <w:t>. Os resultados desses estudos devem ser interpretados com</w:t>
      </w:r>
    </w:p>
    <w:p w:rsidR="00825E87" w:rsidRDefault="00825E87">
      <w:pPr>
        <w:spacing w:line="235" w:lineRule="auto"/>
        <w:jc w:val="both"/>
        <w:sectPr w:rsidR="00825E87">
          <w:pgSz w:w="11900" w:h="16840"/>
          <w:pgMar w:top="1120" w:right="880" w:bottom="280" w:left="920" w:header="720" w:footer="720" w:gutter="0"/>
          <w:cols w:space="720"/>
        </w:sectPr>
      </w:pPr>
    </w:p>
    <w:p w:rsidR="00825E87" w:rsidRDefault="00CB188B">
      <w:pPr>
        <w:pStyle w:val="Corpodetexto"/>
        <w:spacing w:before="63" w:line="237" w:lineRule="auto"/>
      </w:pPr>
      <w:r>
        <w:lastRenderedPageBreak/>
        <w:t>cautela. O acompanhamento por período relativamente c</w:t>
      </w:r>
      <w:r>
        <w:t>urto e a baixa sensibilidade da radiografia impedem a elaboração de conclusões acuradas.</w:t>
      </w:r>
    </w:p>
    <w:p w:rsidR="00825E87" w:rsidRDefault="00CB188B">
      <w:pPr>
        <w:pStyle w:val="Corpodetexto"/>
        <w:spacing w:before="15" w:line="235" w:lineRule="auto"/>
        <w:ind w:right="393" w:firstLine="708"/>
        <w:jc w:val="both"/>
      </w:pPr>
      <w:r>
        <w:t xml:space="preserve">A presença de lesões inflamatórias nos cantos vertebrais, visualizadas pela ressonância magnética, parece estar relacionada ao desenvolvimento de sindesmófitos nesses </w:t>
      </w:r>
      <w:r>
        <w:t>locais</w:t>
      </w:r>
      <w:r>
        <w:rPr>
          <w:position w:val="9"/>
          <w:sz w:val="16"/>
        </w:rPr>
        <w:t>(53–55)</w:t>
      </w:r>
      <w:r>
        <w:t>. Em revisão sistemática, os anti-TNFs não demonstraram efeito significativo na neoformação óssea na EA. Este resultado foi atribuído ao curto período de observação, ao avançado estágio de doença da população estudada, à ausência de um control</w:t>
      </w:r>
      <w:r>
        <w:t>e e às limitações do escore radiográfico utilizado. O uso de anti-TNFs poderia retardar a progressão radiográfica em pacientes com doença inicial e com maior tempo de uso destes medicamentos. De forma contrária, não houve benefício em estágio mais avançado</w:t>
      </w:r>
      <w:r>
        <w:t xml:space="preserve"> da doença, quando sindesmófitos ou infiltração gordurosa já estão presentes</w:t>
      </w:r>
      <w:r>
        <w:rPr>
          <w:position w:val="9"/>
          <w:sz w:val="16"/>
        </w:rPr>
        <w:t>(56)</w:t>
      </w:r>
      <w:r>
        <w:t>.</w:t>
      </w:r>
    </w:p>
    <w:p w:rsidR="00825E87" w:rsidRDefault="00CB188B">
      <w:pPr>
        <w:pStyle w:val="Corpodetexto"/>
        <w:spacing w:before="14" w:line="230" w:lineRule="auto"/>
        <w:ind w:right="392" w:firstLine="708"/>
        <w:jc w:val="both"/>
      </w:pPr>
      <w:r>
        <w:t>Além disso, o uso de anti-TNFs parece melhorar a massa óssea de pacientes com EA. Revisão sistemática de sete estudos longitudinais e um ensaio clínico, que incluiu 568 pacie</w:t>
      </w:r>
      <w:r>
        <w:t>ntes, evidenciou aumento da massa óssea da coluna e do quadril total após dois anos de seguimento</w:t>
      </w:r>
      <w:r>
        <w:rPr>
          <w:position w:val="9"/>
          <w:sz w:val="16"/>
        </w:rPr>
        <w:t>(57)</w:t>
      </w:r>
      <w:r>
        <w:t>. Esses estudos não avaliaram o risco de fratura nesta população de pacientes.</w:t>
      </w:r>
    </w:p>
    <w:p w:rsidR="00825E87" w:rsidRDefault="00CB188B">
      <w:pPr>
        <w:pStyle w:val="Corpodetexto"/>
        <w:spacing w:before="23" w:line="232" w:lineRule="auto"/>
        <w:ind w:right="373" w:firstLine="708"/>
        <w:jc w:val="both"/>
      </w:pPr>
      <w:r>
        <w:t>Um estudo de registro nacional observou que a sobrevida dos pacientes tratad</w:t>
      </w:r>
      <w:r>
        <w:t>os com anti- TNFs é significamente maior naqueles com EA do que em pacientes com artrite reumatoide (AR). Além disso, os pacientes com EA descontinuam anti-TNFs duas vezes menos do que os com AR, mesmo após ajustes para gênero e uso de corticosteroides. Os</w:t>
      </w:r>
      <w:r>
        <w:t xml:space="preserve"> principais motivos para descontinuação foram ineficácia e efeitos adversos em ambas doenças</w:t>
      </w:r>
      <w:r>
        <w:rPr>
          <w:position w:val="9"/>
          <w:sz w:val="16"/>
        </w:rPr>
        <w:t>(58)</w:t>
      </w:r>
      <w:r>
        <w:t>.</w:t>
      </w:r>
    </w:p>
    <w:p w:rsidR="00825E87" w:rsidRDefault="00CB188B">
      <w:pPr>
        <w:pStyle w:val="Corpodetexto"/>
        <w:spacing w:before="19" w:line="232" w:lineRule="auto"/>
        <w:ind w:right="376" w:firstLine="708"/>
        <w:jc w:val="both"/>
      </w:pPr>
      <w:r>
        <w:t>Dados de revisões sistemáticas sugerem que, em curto prazo, os anti-TNFs estão associados a maiores taxas de efeitos adversos, infecções graves, reativação de</w:t>
      </w:r>
      <w:r>
        <w:t xml:space="preserve"> tuberculose, câncer não melanótico de pele e suspensão da terapia em comparação ao tratamento controle. Avaliações de longo prazo são escassas, apesar de sugerir perfis de segurança semelhantes entre os anti- </w:t>
      </w:r>
      <w:r>
        <w:rPr>
          <w:position w:val="-8"/>
        </w:rPr>
        <w:t>TNF</w:t>
      </w:r>
      <w:r>
        <w:rPr>
          <w:sz w:val="16"/>
        </w:rPr>
        <w:t>(38,59)</w:t>
      </w:r>
      <w:r>
        <w:rPr>
          <w:position w:val="-8"/>
        </w:rPr>
        <w:t>.</w:t>
      </w:r>
    </w:p>
    <w:p w:rsidR="00825E87" w:rsidRDefault="00CB188B">
      <w:pPr>
        <w:pStyle w:val="Corpodetexto"/>
        <w:spacing w:before="17" w:line="249" w:lineRule="auto"/>
        <w:ind w:right="376" w:firstLine="708"/>
        <w:jc w:val="both"/>
      </w:pPr>
      <w:r>
        <w:t xml:space="preserve">A evidência publicada até o momento sobre a descontinuação ou a redução de anti-TNFs em pacientes com espondiloartrite axial é escassa e fraca. Uma revisão sistemática da literatura avaliou cinco estudos sobre a descontinuação e oito estudos sobre redução </w:t>
      </w:r>
      <w:r>
        <w:t>dos anti-TNFs após obtenção de redução ou baixa atividade de doença. A descontinuação da terapia anti-TNF em pacientes com espondiloartrite axial levou à reativação na maioria dos casos. Cerca de 79% dos paciente apresentaram agudização em tempo médio de 1</w:t>
      </w:r>
      <w:r>
        <w:t>6 semanas. Por outro lado, a redução na terapia biológica apresentou melhores resultados. O percentual de pacientes que manteveram remissão ou baixa atividade de doença, informado em cinco estudos, variou entre 53% e 100%. Os três estudos restantes, que re</w:t>
      </w:r>
      <w:r>
        <w:t xml:space="preserve">portaram seus dados pela mudança média do BASDAI e </w:t>
      </w:r>
      <w:r>
        <w:rPr>
          <w:spacing w:val="4"/>
        </w:rPr>
        <w:t xml:space="preserve">da </w:t>
      </w:r>
      <w:r>
        <w:t>proteína C reativa, não observaram aumento significativo nesses</w:t>
      </w:r>
      <w:r>
        <w:rPr>
          <w:spacing w:val="-2"/>
        </w:rPr>
        <w:t xml:space="preserve"> </w:t>
      </w:r>
      <w:r>
        <w:t>parâmetros</w:t>
      </w:r>
      <w:r>
        <w:rPr>
          <w:position w:val="9"/>
          <w:sz w:val="16"/>
        </w:rPr>
        <w:t>(60)</w:t>
      </w:r>
      <w:r>
        <w:t>.</w:t>
      </w:r>
    </w:p>
    <w:p w:rsidR="00825E87" w:rsidRDefault="00CB188B">
      <w:pPr>
        <w:pStyle w:val="Corpodetexto"/>
        <w:spacing w:before="21" w:line="235" w:lineRule="auto"/>
        <w:ind w:right="376" w:firstLine="708"/>
        <w:jc w:val="both"/>
      </w:pPr>
      <w:r>
        <w:t xml:space="preserve">O certolizumabe pegol é um fragmento </w:t>
      </w:r>
      <w:r>
        <w:rPr>
          <w:i/>
        </w:rPr>
        <w:t xml:space="preserve">Fab </w:t>
      </w:r>
      <w:r>
        <w:t>de um anticorpo recombinante humanizado contra o fator de necrose tumoral alfa (T</w:t>
      </w:r>
      <w:r>
        <w:t>NFα) e conjugado com polietilenoglicol (PEG). A peguilação atrasa a eliminação deste medicamento da circulação por uma variedade de mecanismos, incluindo a diminuição da depuração renal, diminuição da proteólise e diminuição da imunogenicidade. O estudo RA</w:t>
      </w:r>
      <w:r>
        <w:t>PID-axSpA demonstrou a eficácia do certolizumabe pegol em pacientes com EA e com espondiloartrite axial não radiográfica em atividade em comparação com placebo. A melhora na atividade de doença foi observada na primeira semana e mantida até a 96º semana de</w:t>
      </w:r>
      <w:r>
        <w:t xml:space="preserve"> tratamento</w:t>
      </w:r>
      <w:r>
        <w:rPr>
          <w:position w:val="9"/>
          <w:sz w:val="16"/>
        </w:rPr>
        <w:t>(61,62)</w:t>
      </w:r>
      <w:r>
        <w:t>. Meta-análises não observaram diferença de eficácia entre o certolizumabe pegol e os demais anti-TNFs</w:t>
      </w:r>
      <w:r>
        <w:rPr>
          <w:position w:val="9"/>
          <w:sz w:val="16"/>
        </w:rPr>
        <w:t>(40,43,63,64)</w:t>
      </w:r>
      <w:r>
        <w:t>.</w:t>
      </w:r>
    </w:p>
    <w:p w:rsidR="00825E87" w:rsidRDefault="00CB188B">
      <w:pPr>
        <w:pStyle w:val="Corpodetexto"/>
        <w:spacing w:line="244" w:lineRule="auto"/>
        <w:ind w:right="394" w:firstLine="708"/>
        <w:jc w:val="both"/>
      </w:pPr>
      <w:r>
        <w:t>O secuquinumabe, um anticorpo monoclonal anti-interleucina-17A, demonstrou benefício em pacientes com EA moderada a grave</w:t>
      </w:r>
      <w:r>
        <w:t xml:space="preserve"> em dois estudos multicêntricos de fase 3</w:t>
      </w:r>
      <w:r>
        <w:rPr>
          <w:position w:val="9"/>
          <w:sz w:val="16"/>
        </w:rPr>
        <w:t>(65)</w:t>
      </w:r>
      <w:r>
        <w:t>. Na dose de 150mg, por via subcutânea, 61% dos pacientes atingiram ASAS20 em 16 semanas, contra 28% do placebo</w:t>
      </w:r>
      <w:r>
        <w:rPr>
          <w:position w:val="9"/>
          <w:sz w:val="16"/>
        </w:rPr>
        <w:t>(66)</w:t>
      </w:r>
      <w:r>
        <w:t>. Nesses estudos, a terapia com secuquinumabe beneficiou tanto os pacientes que utilizaram anti-</w:t>
      </w:r>
      <w:r>
        <w:t>TNFs previamente quanto os pacientes sem histórico de medicamentos biológicos.</w:t>
      </w:r>
    </w:p>
    <w:p w:rsidR="00825E87" w:rsidRDefault="00825E87">
      <w:pPr>
        <w:spacing w:line="244" w:lineRule="auto"/>
        <w:jc w:val="both"/>
        <w:sectPr w:rsidR="00825E87">
          <w:pgSz w:w="11900" w:h="16840"/>
          <w:pgMar w:top="1120" w:right="880" w:bottom="280" w:left="920" w:header="720" w:footer="720" w:gutter="0"/>
          <w:cols w:space="720"/>
        </w:sectPr>
      </w:pPr>
    </w:p>
    <w:p w:rsidR="00825E87" w:rsidRDefault="00CB188B">
      <w:pPr>
        <w:pStyle w:val="Ttulo1"/>
        <w:spacing w:before="65" w:line="274" w:lineRule="exact"/>
        <w:ind w:left="837"/>
      </w:pPr>
      <w:r>
        <w:lastRenderedPageBreak/>
        <w:t>Glicocorticoides</w:t>
      </w:r>
    </w:p>
    <w:p w:rsidR="00825E87" w:rsidRDefault="00CB188B">
      <w:pPr>
        <w:pStyle w:val="Corpodetexto"/>
        <w:spacing w:before="5" w:line="232" w:lineRule="auto"/>
        <w:ind w:right="380" w:firstLine="708"/>
        <w:jc w:val="both"/>
      </w:pPr>
      <w:r>
        <w:t xml:space="preserve">A injeção intra-articular nas sacroilíacas pode trazer benefício de curto a médio prazo, sendo opção terapêutica para os casos não responsivos ao </w:t>
      </w:r>
      <w:r>
        <w:t>uso de AINE e com dor isolada nas sacroilíacas. Inexistem evidências que permitam avaliar o uso de baixas doses de prednisona (ou corticosteroide equivalente) em EA</w:t>
      </w:r>
      <w:r>
        <w:rPr>
          <w:position w:val="9"/>
          <w:sz w:val="16"/>
        </w:rPr>
        <w:t>(18)</w:t>
      </w:r>
      <w:r>
        <w:t>. Doses elevadas de glicocorticoide não são recomendadas por não acrescentarem benefício</w:t>
      </w:r>
      <w:r>
        <w:t xml:space="preserve"> superior aos malefícios oferecidos.</w:t>
      </w:r>
    </w:p>
    <w:p w:rsidR="00825E87" w:rsidRDefault="00825E87">
      <w:pPr>
        <w:pStyle w:val="Corpodetexto"/>
        <w:ind w:left="0"/>
        <w:rPr>
          <w:sz w:val="26"/>
        </w:rPr>
      </w:pPr>
    </w:p>
    <w:p w:rsidR="00825E87" w:rsidRDefault="00825E87">
      <w:pPr>
        <w:pStyle w:val="Corpodetexto"/>
        <w:spacing w:before="9"/>
        <w:ind w:left="0"/>
        <w:rPr>
          <w:sz w:val="21"/>
        </w:rPr>
      </w:pPr>
    </w:p>
    <w:p w:rsidR="00825E87" w:rsidRDefault="00CB188B">
      <w:pPr>
        <w:pStyle w:val="Corpodetexto"/>
        <w:ind w:right="381" w:firstLine="701"/>
        <w:jc w:val="both"/>
      </w:pPr>
      <w:r>
        <w:t>O tratamento de EA pode ser instituído conforme a manifestação musculoesquelética predominante (</w:t>
      </w:r>
      <w:r>
        <w:rPr>
          <w:b/>
        </w:rPr>
        <w:t>Apêndice 3</w:t>
      </w:r>
      <w:r>
        <w:t>):</w:t>
      </w:r>
    </w:p>
    <w:p w:rsidR="00825E87" w:rsidRDefault="00825E87">
      <w:pPr>
        <w:pStyle w:val="Corpodetexto"/>
        <w:spacing w:before="9"/>
        <w:ind w:left="0"/>
      </w:pPr>
    </w:p>
    <w:p w:rsidR="00825E87" w:rsidRDefault="00CB188B">
      <w:pPr>
        <w:pStyle w:val="Ttulo1"/>
        <w:spacing w:before="1" w:line="232" w:lineRule="auto"/>
        <w:ind w:right="395" w:firstLine="701"/>
        <w:jc w:val="both"/>
      </w:pPr>
      <w:r>
        <w:t>A - O tratamento da lombalgia inflamatória e da entesite, especialmente aquela documentada por exame de ima</w:t>
      </w:r>
      <w:r>
        <w:t>gem, deve respeitar o seguinte protocolo (Apêndice 3 – Fluxo A):</w:t>
      </w:r>
    </w:p>
    <w:p w:rsidR="00825E87" w:rsidRDefault="00CB188B">
      <w:pPr>
        <w:pStyle w:val="PargrafodaLista"/>
        <w:numPr>
          <w:ilvl w:val="1"/>
          <w:numId w:val="13"/>
        </w:numPr>
        <w:tabs>
          <w:tab w:val="left" w:pos="1049"/>
        </w:tabs>
        <w:spacing w:before="8" w:line="232" w:lineRule="auto"/>
        <w:ind w:left="220" w:right="620" w:firstLine="701"/>
        <w:rPr>
          <w:sz w:val="24"/>
        </w:rPr>
      </w:pPr>
      <w:r>
        <w:rPr>
          <w:sz w:val="24"/>
        </w:rPr>
        <w:t xml:space="preserve">no diagnóstico, se escore ASDAS </w:t>
      </w:r>
      <w:r>
        <w:rPr>
          <w:sz w:val="24"/>
          <w:u w:val="single"/>
        </w:rPr>
        <w:t>&lt;</w:t>
      </w:r>
      <w:r>
        <w:rPr>
          <w:sz w:val="24"/>
        </w:rPr>
        <w:t xml:space="preserve"> 2,1 ou BASDAI &lt; 4, deve-se considerar tratamento medicamentoso sintomático (AINE) e implementar medidas não</w:t>
      </w:r>
      <w:r>
        <w:rPr>
          <w:spacing w:val="-5"/>
          <w:sz w:val="24"/>
        </w:rPr>
        <w:t xml:space="preserve"> </w:t>
      </w:r>
      <w:r>
        <w:rPr>
          <w:sz w:val="24"/>
        </w:rPr>
        <w:t>medicamentosas;</w:t>
      </w:r>
    </w:p>
    <w:p w:rsidR="00825E87" w:rsidRDefault="00CB188B">
      <w:pPr>
        <w:pStyle w:val="PargrafodaLista"/>
        <w:numPr>
          <w:ilvl w:val="1"/>
          <w:numId w:val="13"/>
        </w:numPr>
        <w:tabs>
          <w:tab w:val="left" w:pos="1042"/>
        </w:tabs>
        <w:spacing w:before="12" w:line="232" w:lineRule="auto"/>
        <w:ind w:left="220" w:right="734" w:firstLine="701"/>
        <w:rPr>
          <w:sz w:val="24"/>
        </w:rPr>
      </w:pPr>
      <w:r>
        <w:rPr>
          <w:sz w:val="24"/>
        </w:rPr>
        <w:t xml:space="preserve">no diagnóstico, se o escore ASDAS </w:t>
      </w:r>
      <w:r>
        <w:rPr>
          <w:sz w:val="24"/>
          <w:u w:val="single"/>
        </w:rPr>
        <w:t>&gt;</w:t>
      </w:r>
      <w:r>
        <w:rPr>
          <w:sz w:val="24"/>
        </w:rPr>
        <w:t xml:space="preserve"> 2,1 ou BASDAI </w:t>
      </w:r>
      <w:r>
        <w:rPr>
          <w:sz w:val="24"/>
          <w:u w:val="single"/>
        </w:rPr>
        <w:t>&gt;</w:t>
      </w:r>
      <w:r>
        <w:rPr>
          <w:sz w:val="24"/>
        </w:rPr>
        <w:t xml:space="preserve"> a 4, deve-se prescrever AINE conforme esquemas de administração;</w:t>
      </w:r>
    </w:p>
    <w:p w:rsidR="00825E87" w:rsidRDefault="00CB188B">
      <w:pPr>
        <w:pStyle w:val="PargrafodaLista"/>
        <w:numPr>
          <w:ilvl w:val="1"/>
          <w:numId w:val="13"/>
        </w:numPr>
        <w:tabs>
          <w:tab w:val="left" w:pos="1042"/>
        </w:tabs>
        <w:ind w:left="1041" w:right="637"/>
        <w:rPr>
          <w:sz w:val="24"/>
        </w:rPr>
      </w:pPr>
      <w:r>
        <w:rPr>
          <w:sz w:val="24"/>
        </w:rPr>
        <w:t>se houver falha</w:t>
      </w:r>
      <w:r>
        <w:rPr>
          <w:b/>
          <w:position w:val="8"/>
          <w:sz w:val="16"/>
        </w:rPr>
        <w:t xml:space="preserve">a </w:t>
      </w:r>
      <w:r>
        <w:rPr>
          <w:sz w:val="24"/>
        </w:rPr>
        <w:t>com AINE em dose adequada por 1 mês, deve-se substituí-lo por outro AINE;</w:t>
      </w:r>
    </w:p>
    <w:p w:rsidR="00825E87" w:rsidRDefault="00CB188B">
      <w:pPr>
        <w:pStyle w:val="PargrafodaLista"/>
        <w:numPr>
          <w:ilvl w:val="1"/>
          <w:numId w:val="13"/>
        </w:numPr>
        <w:tabs>
          <w:tab w:val="left" w:pos="1042"/>
        </w:tabs>
        <w:ind w:left="1041" w:right="1295"/>
        <w:rPr>
          <w:sz w:val="24"/>
        </w:rPr>
      </w:pPr>
      <w:r>
        <w:rPr>
          <w:sz w:val="24"/>
        </w:rPr>
        <w:t>considerar a infiltração da entesite, se possível, ao longo do acompanhamento</w:t>
      </w:r>
      <w:r>
        <w:rPr>
          <w:spacing w:val="-11"/>
          <w:sz w:val="24"/>
        </w:rPr>
        <w:t xml:space="preserve"> </w:t>
      </w:r>
      <w:r>
        <w:rPr>
          <w:sz w:val="24"/>
        </w:rPr>
        <w:t>do paciente;</w:t>
      </w:r>
    </w:p>
    <w:p w:rsidR="00825E87" w:rsidRDefault="00CB188B">
      <w:pPr>
        <w:pStyle w:val="PargrafodaLista"/>
        <w:numPr>
          <w:ilvl w:val="1"/>
          <w:numId w:val="13"/>
        </w:numPr>
        <w:tabs>
          <w:tab w:val="left" w:pos="1037"/>
        </w:tabs>
        <w:spacing w:before="2" w:line="235" w:lineRule="auto"/>
        <w:ind w:left="220" w:right="375" w:firstLine="701"/>
        <w:jc w:val="both"/>
        <w:rPr>
          <w:sz w:val="24"/>
        </w:rPr>
      </w:pPr>
      <w:r>
        <w:rPr>
          <w:sz w:val="24"/>
        </w:rPr>
        <w:t>se houver falha</w:t>
      </w:r>
      <w:r>
        <w:rPr>
          <w:b/>
          <w:position w:val="8"/>
          <w:sz w:val="16"/>
        </w:rPr>
        <w:t xml:space="preserve">a </w:t>
      </w:r>
      <w:r>
        <w:rPr>
          <w:sz w:val="24"/>
        </w:rPr>
        <w:t>com dois AINE diferentes em doses adequadas por 3 meses no total (1 a 2 meses com o primeiro AINE e 1 a 2 meses com o segundo AINE), deve-se conside</w:t>
      </w:r>
      <w:r>
        <w:rPr>
          <w:sz w:val="24"/>
        </w:rPr>
        <w:t>rar o uso de anti-TNF na lombalgia inflamatória ou na entesite confirmada por exame de imagem (ressonância magnética ou</w:t>
      </w:r>
      <w:r>
        <w:rPr>
          <w:spacing w:val="-2"/>
          <w:sz w:val="24"/>
        </w:rPr>
        <w:t xml:space="preserve"> </w:t>
      </w:r>
      <w:r>
        <w:rPr>
          <w:sz w:val="24"/>
        </w:rPr>
        <w:t>ultrassonografia);</w:t>
      </w:r>
    </w:p>
    <w:p w:rsidR="00825E87" w:rsidRDefault="00CB188B">
      <w:pPr>
        <w:pStyle w:val="PargrafodaLista"/>
        <w:numPr>
          <w:ilvl w:val="1"/>
          <w:numId w:val="13"/>
        </w:numPr>
        <w:tabs>
          <w:tab w:val="left" w:pos="1037"/>
        </w:tabs>
        <w:spacing w:line="237" w:lineRule="auto"/>
        <w:ind w:left="220" w:right="379" w:firstLine="701"/>
        <w:rPr>
          <w:sz w:val="24"/>
        </w:rPr>
      </w:pPr>
      <w:r>
        <w:rPr>
          <w:sz w:val="24"/>
        </w:rPr>
        <w:t>se houver falha</w:t>
      </w:r>
      <w:r>
        <w:rPr>
          <w:position w:val="9"/>
          <w:sz w:val="16"/>
        </w:rPr>
        <w:t xml:space="preserve">a </w:t>
      </w:r>
      <w:r>
        <w:rPr>
          <w:sz w:val="24"/>
        </w:rPr>
        <w:t>ou hipersensibilidade com anti-TNF em dose adequada por 6 meses, deve-se considerar sua substituição</w:t>
      </w:r>
      <w:r>
        <w:rPr>
          <w:sz w:val="24"/>
        </w:rPr>
        <w:t xml:space="preserve"> por outro anti-TNF ou</w:t>
      </w:r>
      <w:r>
        <w:rPr>
          <w:spacing w:val="-6"/>
          <w:sz w:val="24"/>
        </w:rPr>
        <w:t xml:space="preserve"> </w:t>
      </w:r>
      <w:r>
        <w:rPr>
          <w:sz w:val="24"/>
        </w:rPr>
        <w:t>secuquinumabe.</w:t>
      </w:r>
    </w:p>
    <w:p w:rsidR="00825E87" w:rsidRDefault="00825E87">
      <w:pPr>
        <w:pStyle w:val="Corpodetexto"/>
        <w:spacing w:before="6"/>
        <w:ind w:left="0"/>
        <w:rPr>
          <w:sz w:val="22"/>
        </w:rPr>
      </w:pPr>
    </w:p>
    <w:p w:rsidR="00825E87" w:rsidRDefault="00CB188B">
      <w:pPr>
        <w:pStyle w:val="Corpodetexto"/>
        <w:spacing w:line="232" w:lineRule="auto"/>
        <w:ind w:right="595" w:firstLine="701"/>
      </w:pPr>
      <w:r>
        <w:rPr>
          <w:b/>
          <w:position w:val="8"/>
          <w:sz w:val="16"/>
        </w:rPr>
        <w:t xml:space="preserve">a </w:t>
      </w:r>
      <w:r>
        <w:t>Considera-se falha a ausência de redução de pelo menos 1,1 ponto na escala ASDAS ou ausência de redução de, pelo menos, 50% ou de 2 pontos absolutos na escala BASDAI).</w:t>
      </w:r>
    </w:p>
    <w:p w:rsidR="00825E87" w:rsidRDefault="00825E87">
      <w:pPr>
        <w:pStyle w:val="Corpodetexto"/>
        <w:spacing w:before="8"/>
        <w:ind w:left="0"/>
        <w:rPr>
          <w:sz w:val="20"/>
        </w:rPr>
      </w:pPr>
    </w:p>
    <w:p w:rsidR="00825E87" w:rsidRDefault="00CB188B">
      <w:pPr>
        <w:pStyle w:val="Ttulo1"/>
        <w:ind w:left="921"/>
      </w:pPr>
      <w:r>
        <w:t>B - O tratamento da artrite periférica deve respeitar o seguinte protocolo (Apêndice 3</w:t>
      </w:r>
    </w:p>
    <w:p w:rsidR="00825E87" w:rsidRDefault="00CB188B">
      <w:pPr>
        <w:pStyle w:val="PargrafodaLista"/>
        <w:numPr>
          <w:ilvl w:val="0"/>
          <w:numId w:val="9"/>
        </w:numPr>
        <w:tabs>
          <w:tab w:val="left" w:pos="401"/>
        </w:tabs>
        <w:spacing w:before="43"/>
        <w:ind w:hanging="180"/>
        <w:rPr>
          <w:b/>
          <w:sz w:val="24"/>
        </w:rPr>
      </w:pPr>
      <w:r>
        <w:rPr>
          <w:b/>
          <w:sz w:val="24"/>
        </w:rPr>
        <w:t>Fluxo</w:t>
      </w:r>
      <w:r>
        <w:rPr>
          <w:b/>
          <w:spacing w:val="-1"/>
          <w:sz w:val="24"/>
        </w:rPr>
        <w:t xml:space="preserve"> </w:t>
      </w:r>
      <w:r>
        <w:rPr>
          <w:b/>
          <w:sz w:val="24"/>
        </w:rPr>
        <w:t>B):</w:t>
      </w:r>
    </w:p>
    <w:p w:rsidR="00825E87" w:rsidRDefault="00CB188B">
      <w:pPr>
        <w:pStyle w:val="PargrafodaLista"/>
        <w:numPr>
          <w:ilvl w:val="1"/>
          <w:numId w:val="9"/>
        </w:numPr>
        <w:tabs>
          <w:tab w:val="left" w:pos="1080"/>
        </w:tabs>
        <w:spacing w:before="34"/>
        <w:ind w:hanging="120"/>
        <w:rPr>
          <w:sz w:val="24"/>
        </w:rPr>
      </w:pPr>
      <w:r>
        <w:rPr>
          <w:sz w:val="24"/>
        </w:rPr>
        <w:t>implementar medidas não</w:t>
      </w:r>
      <w:r>
        <w:rPr>
          <w:spacing w:val="-3"/>
          <w:sz w:val="24"/>
        </w:rPr>
        <w:t xml:space="preserve"> </w:t>
      </w:r>
      <w:r>
        <w:rPr>
          <w:sz w:val="24"/>
        </w:rPr>
        <w:t>medicamentosas;</w:t>
      </w:r>
    </w:p>
    <w:p w:rsidR="00825E87" w:rsidRDefault="00CB188B">
      <w:pPr>
        <w:pStyle w:val="PargrafodaLista"/>
        <w:numPr>
          <w:ilvl w:val="1"/>
          <w:numId w:val="9"/>
        </w:numPr>
        <w:tabs>
          <w:tab w:val="left" w:pos="1073"/>
        </w:tabs>
        <w:ind w:right="1705" w:hanging="120"/>
        <w:rPr>
          <w:sz w:val="24"/>
        </w:rPr>
      </w:pPr>
      <w:r>
        <w:rPr>
          <w:sz w:val="24"/>
        </w:rPr>
        <w:t>considerar sempre a infiltração intra-articular de glicocorticoide ao longo</w:t>
      </w:r>
      <w:r>
        <w:rPr>
          <w:spacing w:val="-15"/>
          <w:sz w:val="24"/>
        </w:rPr>
        <w:t xml:space="preserve"> </w:t>
      </w:r>
      <w:r>
        <w:rPr>
          <w:sz w:val="24"/>
        </w:rPr>
        <w:t>do acompanhamento do</w:t>
      </w:r>
      <w:r>
        <w:rPr>
          <w:spacing w:val="-1"/>
          <w:sz w:val="24"/>
        </w:rPr>
        <w:t xml:space="preserve"> </w:t>
      </w:r>
      <w:r>
        <w:rPr>
          <w:sz w:val="24"/>
        </w:rPr>
        <w:t>paciente;</w:t>
      </w:r>
    </w:p>
    <w:p w:rsidR="00825E87" w:rsidRDefault="00CB188B">
      <w:pPr>
        <w:pStyle w:val="PargrafodaLista"/>
        <w:numPr>
          <w:ilvl w:val="1"/>
          <w:numId w:val="9"/>
        </w:numPr>
        <w:tabs>
          <w:tab w:val="left" w:pos="1042"/>
        </w:tabs>
        <w:spacing w:line="273" w:lineRule="exact"/>
        <w:ind w:hanging="120"/>
        <w:rPr>
          <w:sz w:val="24"/>
        </w:rPr>
      </w:pPr>
      <w:r>
        <w:rPr>
          <w:sz w:val="24"/>
        </w:rPr>
        <w:t>se houver fa</w:t>
      </w:r>
      <w:r>
        <w:rPr>
          <w:sz w:val="24"/>
        </w:rPr>
        <w:t>lha</w:t>
      </w:r>
      <w:r>
        <w:rPr>
          <w:b/>
          <w:position w:val="8"/>
          <w:sz w:val="16"/>
        </w:rPr>
        <w:t xml:space="preserve">b </w:t>
      </w:r>
      <w:r>
        <w:rPr>
          <w:sz w:val="24"/>
        </w:rPr>
        <w:t>com a infiltração, deve-se usar AINE em dose</w:t>
      </w:r>
      <w:r>
        <w:rPr>
          <w:spacing w:val="-26"/>
          <w:sz w:val="24"/>
        </w:rPr>
        <w:t xml:space="preserve"> </w:t>
      </w:r>
      <w:r>
        <w:rPr>
          <w:sz w:val="24"/>
        </w:rPr>
        <w:t>preconizada;</w:t>
      </w:r>
    </w:p>
    <w:p w:rsidR="00825E87" w:rsidRDefault="00CB188B">
      <w:pPr>
        <w:pStyle w:val="PargrafodaLista"/>
        <w:numPr>
          <w:ilvl w:val="1"/>
          <w:numId w:val="9"/>
        </w:numPr>
        <w:tabs>
          <w:tab w:val="left" w:pos="1044"/>
        </w:tabs>
        <w:ind w:left="220" w:right="574" w:firstLine="701"/>
        <w:rPr>
          <w:sz w:val="24"/>
        </w:rPr>
      </w:pPr>
      <w:r>
        <w:rPr>
          <w:sz w:val="24"/>
        </w:rPr>
        <w:t>se houver falha</w:t>
      </w:r>
      <w:r>
        <w:rPr>
          <w:b/>
          <w:position w:val="8"/>
          <w:sz w:val="16"/>
        </w:rPr>
        <w:t xml:space="preserve">b </w:t>
      </w:r>
      <w:r>
        <w:rPr>
          <w:sz w:val="24"/>
        </w:rPr>
        <w:t>persistente com a infiltração e com AINE em dose adequada por 1 mês, deve-se substituí-lo por um outro</w:t>
      </w:r>
      <w:r>
        <w:rPr>
          <w:spacing w:val="-2"/>
          <w:sz w:val="24"/>
        </w:rPr>
        <w:t xml:space="preserve"> </w:t>
      </w:r>
      <w:r>
        <w:rPr>
          <w:sz w:val="24"/>
        </w:rPr>
        <w:t>AINE;</w:t>
      </w:r>
    </w:p>
    <w:p w:rsidR="00825E87" w:rsidRDefault="00CB188B">
      <w:pPr>
        <w:pStyle w:val="PargrafodaLista"/>
        <w:numPr>
          <w:ilvl w:val="1"/>
          <w:numId w:val="9"/>
        </w:numPr>
        <w:tabs>
          <w:tab w:val="left" w:pos="1047"/>
        </w:tabs>
        <w:ind w:left="220" w:right="396" w:firstLine="701"/>
        <w:jc w:val="both"/>
        <w:rPr>
          <w:sz w:val="24"/>
        </w:rPr>
      </w:pPr>
      <w:r>
        <w:rPr>
          <w:sz w:val="24"/>
        </w:rPr>
        <w:t>se houver falha</w:t>
      </w:r>
      <w:r>
        <w:rPr>
          <w:b/>
          <w:position w:val="8"/>
          <w:sz w:val="16"/>
        </w:rPr>
        <w:t xml:space="preserve">b </w:t>
      </w:r>
      <w:r>
        <w:rPr>
          <w:sz w:val="24"/>
        </w:rPr>
        <w:t>persistente com a infiltração e com 2 AINEs difere</w:t>
      </w:r>
      <w:r>
        <w:rPr>
          <w:sz w:val="24"/>
        </w:rPr>
        <w:t>ntes em doses adequadas por 3 meses no total (1 a 2 meses com o primeiro AINE e 1 a 2 meses com o segundo AINE), deve-se considerar, preferencialmente, sulfassalazina (o metotrexato pode ser considerado na contraindicação de uso da</w:t>
      </w:r>
      <w:r>
        <w:rPr>
          <w:spacing w:val="-4"/>
          <w:sz w:val="24"/>
        </w:rPr>
        <w:t xml:space="preserve"> </w:t>
      </w:r>
      <w:r>
        <w:rPr>
          <w:sz w:val="24"/>
        </w:rPr>
        <w:t>sulfassalazina);</w:t>
      </w:r>
    </w:p>
    <w:p w:rsidR="00825E87" w:rsidRDefault="00CB188B">
      <w:pPr>
        <w:pStyle w:val="PargrafodaLista"/>
        <w:numPr>
          <w:ilvl w:val="1"/>
          <w:numId w:val="9"/>
        </w:numPr>
        <w:tabs>
          <w:tab w:val="left" w:pos="1049"/>
        </w:tabs>
        <w:ind w:left="220" w:right="626" w:firstLine="701"/>
        <w:rPr>
          <w:sz w:val="24"/>
        </w:rPr>
      </w:pPr>
      <w:r>
        <w:rPr>
          <w:sz w:val="24"/>
        </w:rPr>
        <w:t>se o us</w:t>
      </w:r>
      <w:r>
        <w:rPr>
          <w:sz w:val="24"/>
        </w:rPr>
        <w:t>o de AINE estiver contraindicado, deve-se considerar, preferencialmente sulfassalazina (o metotrexato pode ser considerado na contraindicação de uso da</w:t>
      </w:r>
      <w:r>
        <w:rPr>
          <w:spacing w:val="-16"/>
          <w:sz w:val="24"/>
        </w:rPr>
        <w:t xml:space="preserve"> </w:t>
      </w:r>
      <w:r>
        <w:rPr>
          <w:sz w:val="24"/>
        </w:rPr>
        <w:t>sulfassalazina);</w:t>
      </w:r>
    </w:p>
    <w:p w:rsidR="00825E87" w:rsidRDefault="00CB188B">
      <w:pPr>
        <w:pStyle w:val="PargrafodaLista"/>
        <w:numPr>
          <w:ilvl w:val="1"/>
          <w:numId w:val="9"/>
        </w:numPr>
        <w:tabs>
          <w:tab w:val="left" w:pos="1051"/>
        </w:tabs>
        <w:ind w:left="220" w:right="399" w:firstLine="701"/>
        <w:jc w:val="both"/>
        <w:rPr>
          <w:sz w:val="24"/>
        </w:rPr>
      </w:pPr>
      <w:r>
        <w:rPr>
          <w:sz w:val="24"/>
        </w:rPr>
        <w:t>se houver falha</w:t>
      </w:r>
      <w:r>
        <w:rPr>
          <w:b/>
          <w:position w:val="8"/>
          <w:sz w:val="16"/>
        </w:rPr>
        <w:t xml:space="preserve">b </w:t>
      </w:r>
      <w:r>
        <w:rPr>
          <w:sz w:val="24"/>
        </w:rPr>
        <w:t>persistente com a infiltração, com 2 AINEs diferentes em doses adequadas por 3 meses no total (1 a 2 meses com o primeiro AINE e 1 a 2 meses com o segundo AINE) e com sulfassalazina (ou metotrexato) em dose adequada por 6 meses, deve-se considerar anti-TNF</w:t>
      </w:r>
      <w:r>
        <w:rPr>
          <w:sz w:val="24"/>
        </w:rPr>
        <w:t>;</w:t>
      </w:r>
    </w:p>
    <w:p w:rsidR="00825E87" w:rsidRDefault="00825E87">
      <w:pPr>
        <w:jc w:val="both"/>
        <w:rPr>
          <w:sz w:val="24"/>
        </w:rPr>
        <w:sectPr w:rsidR="00825E87">
          <w:pgSz w:w="11900" w:h="16840"/>
          <w:pgMar w:top="1120" w:right="880" w:bottom="280" w:left="920" w:header="720" w:footer="720" w:gutter="0"/>
          <w:cols w:space="720"/>
        </w:sectPr>
      </w:pPr>
    </w:p>
    <w:p w:rsidR="00825E87" w:rsidRDefault="00CB188B">
      <w:pPr>
        <w:pStyle w:val="PargrafodaLista"/>
        <w:numPr>
          <w:ilvl w:val="1"/>
          <w:numId w:val="9"/>
        </w:numPr>
        <w:tabs>
          <w:tab w:val="left" w:pos="1068"/>
        </w:tabs>
        <w:spacing w:before="78" w:line="276" w:lineRule="auto"/>
        <w:ind w:left="928" w:right="730" w:firstLine="0"/>
        <w:rPr>
          <w:sz w:val="24"/>
        </w:rPr>
      </w:pPr>
      <w:r>
        <w:rPr>
          <w:sz w:val="24"/>
        </w:rPr>
        <w:lastRenderedPageBreak/>
        <w:t>se houver falha</w:t>
      </w:r>
      <w:r>
        <w:rPr>
          <w:b/>
          <w:position w:val="8"/>
          <w:sz w:val="16"/>
        </w:rPr>
        <w:t xml:space="preserve">b </w:t>
      </w:r>
      <w:r>
        <w:rPr>
          <w:sz w:val="24"/>
        </w:rPr>
        <w:t>com anti-TNF em dose adequada por 6 meses, deve-se considerar sua substituição por outro</w:t>
      </w:r>
      <w:r>
        <w:rPr>
          <w:spacing w:val="-2"/>
          <w:sz w:val="24"/>
        </w:rPr>
        <w:t xml:space="preserve"> </w:t>
      </w:r>
      <w:r>
        <w:rPr>
          <w:sz w:val="24"/>
        </w:rPr>
        <w:t>anti-TNF.</w:t>
      </w:r>
    </w:p>
    <w:p w:rsidR="00825E87" w:rsidRDefault="00CB188B">
      <w:pPr>
        <w:pStyle w:val="PargrafodaLista"/>
        <w:numPr>
          <w:ilvl w:val="1"/>
          <w:numId w:val="9"/>
        </w:numPr>
        <w:tabs>
          <w:tab w:val="left" w:pos="1051"/>
        </w:tabs>
        <w:spacing w:line="273" w:lineRule="exact"/>
        <w:ind w:left="1050" w:hanging="129"/>
        <w:rPr>
          <w:sz w:val="24"/>
        </w:rPr>
      </w:pPr>
      <w:r>
        <w:rPr>
          <w:sz w:val="24"/>
        </w:rPr>
        <w:t>se</w:t>
      </w:r>
      <w:r>
        <w:rPr>
          <w:spacing w:val="38"/>
          <w:sz w:val="24"/>
        </w:rPr>
        <w:t xml:space="preserve"> </w:t>
      </w:r>
      <w:r>
        <w:rPr>
          <w:sz w:val="24"/>
        </w:rPr>
        <w:t>houver</w:t>
      </w:r>
      <w:r>
        <w:rPr>
          <w:spacing w:val="38"/>
          <w:sz w:val="24"/>
        </w:rPr>
        <w:t xml:space="preserve"> </w:t>
      </w:r>
      <w:r>
        <w:rPr>
          <w:sz w:val="24"/>
        </w:rPr>
        <w:t>falha</w:t>
      </w:r>
      <w:r>
        <w:rPr>
          <w:position w:val="9"/>
          <w:sz w:val="16"/>
        </w:rPr>
        <w:t>b</w:t>
      </w:r>
      <w:r>
        <w:rPr>
          <w:spacing w:val="21"/>
          <w:position w:val="9"/>
          <w:sz w:val="16"/>
        </w:rPr>
        <w:t xml:space="preserve"> </w:t>
      </w:r>
      <w:r>
        <w:rPr>
          <w:sz w:val="24"/>
        </w:rPr>
        <w:t>ou</w:t>
      </w:r>
      <w:r>
        <w:rPr>
          <w:spacing w:val="40"/>
          <w:sz w:val="24"/>
        </w:rPr>
        <w:t xml:space="preserve"> </w:t>
      </w:r>
      <w:r>
        <w:rPr>
          <w:sz w:val="24"/>
        </w:rPr>
        <w:t>hipersensibilidade</w:t>
      </w:r>
      <w:r>
        <w:rPr>
          <w:spacing w:val="38"/>
          <w:sz w:val="24"/>
        </w:rPr>
        <w:t xml:space="preserve"> </w:t>
      </w:r>
      <w:r>
        <w:rPr>
          <w:sz w:val="24"/>
        </w:rPr>
        <w:t>com</w:t>
      </w:r>
      <w:r>
        <w:rPr>
          <w:spacing w:val="40"/>
          <w:sz w:val="24"/>
        </w:rPr>
        <w:t xml:space="preserve"> </w:t>
      </w:r>
      <w:r>
        <w:rPr>
          <w:sz w:val="24"/>
        </w:rPr>
        <w:t>anti-TNF</w:t>
      </w:r>
      <w:r>
        <w:rPr>
          <w:spacing w:val="39"/>
          <w:sz w:val="24"/>
        </w:rPr>
        <w:t xml:space="preserve"> </w:t>
      </w:r>
      <w:r>
        <w:rPr>
          <w:sz w:val="24"/>
        </w:rPr>
        <w:t>em</w:t>
      </w:r>
      <w:r>
        <w:rPr>
          <w:spacing w:val="40"/>
          <w:sz w:val="24"/>
        </w:rPr>
        <w:t xml:space="preserve"> </w:t>
      </w:r>
      <w:r>
        <w:rPr>
          <w:sz w:val="24"/>
        </w:rPr>
        <w:t>dose</w:t>
      </w:r>
      <w:r>
        <w:rPr>
          <w:spacing w:val="41"/>
          <w:sz w:val="24"/>
        </w:rPr>
        <w:t xml:space="preserve"> </w:t>
      </w:r>
      <w:r>
        <w:rPr>
          <w:sz w:val="24"/>
        </w:rPr>
        <w:t>adequada</w:t>
      </w:r>
      <w:r>
        <w:rPr>
          <w:spacing w:val="39"/>
          <w:sz w:val="24"/>
        </w:rPr>
        <w:t xml:space="preserve"> </w:t>
      </w:r>
      <w:r>
        <w:rPr>
          <w:sz w:val="24"/>
        </w:rPr>
        <w:t>por</w:t>
      </w:r>
      <w:r>
        <w:rPr>
          <w:spacing w:val="38"/>
          <w:sz w:val="24"/>
        </w:rPr>
        <w:t xml:space="preserve"> </w:t>
      </w:r>
      <w:r>
        <w:rPr>
          <w:sz w:val="24"/>
        </w:rPr>
        <w:t>6</w:t>
      </w:r>
      <w:r>
        <w:rPr>
          <w:spacing w:val="39"/>
          <w:sz w:val="24"/>
        </w:rPr>
        <w:t xml:space="preserve"> </w:t>
      </w:r>
      <w:r>
        <w:rPr>
          <w:sz w:val="24"/>
        </w:rPr>
        <w:t>meses,</w:t>
      </w:r>
    </w:p>
    <w:p w:rsidR="00825E87" w:rsidRDefault="00CB188B">
      <w:pPr>
        <w:pStyle w:val="Corpodetexto"/>
        <w:spacing w:before="10"/>
        <w:ind w:left="197" w:right="2663"/>
        <w:jc w:val="center"/>
        <w:rPr>
          <w:rFonts w:ascii="Arial" w:hAnsi="Arial"/>
        </w:rPr>
      </w:pPr>
      <w:r>
        <w:t>deve-se considerar sua substituição por outro anti-TNF ou secuquinumabe</w:t>
      </w:r>
      <w:r>
        <w:rPr>
          <w:rFonts w:ascii="Arial" w:hAnsi="Arial"/>
        </w:rPr>
        <w:t>.</w:t>
      </w:r>
    </w:p>
    <w:p w:rsidR="00825E87" w:rsidRDefault="00825E87">
      <w:pPr>
        <w:pStyle w:val="Corpodetexto"/>
        <w:spacing w:before="2"/>
        <w:ind w:left="0"/>
        <w:rPr>
          <w:rFonts w:ascii="Arial"/>
        </w:rPr>
      </w:pPr>
    </w:p>
    <w:p w:rsidR="00825E87" w:rsidRDefault="00CB188B">
      <w:pPr>
        <w:pStyle w:val="Corpodetexto"/>
        <w:ind w:left="921"/>
      </w:pPr>
      <w:r>
        <w:rPr>
          <w:b/>
          <w:position w:val="8"/>
          <w:sz w:val="16"/>
        </w:rPr>
        <w:t xml:space="preserve">b </w:t>
      </w:r>
      <w:r>
        <w:t>Considera-se falha a ausência de redução de pelo menos 1,1 ponto na escala ASDAS.</w:t>
      </w:r>
    </w:p>
    <w:p w:rsidR="00825E87" w:rsidRDefault="00825E87">
      <w:pPr>
        <w:pStyle w:val="Corpodetexto"/>
        <w:spacing w:before="9"/>
        <w:ind w:left="0"/>
        <w:rPr>
          <w:sz w:val="31"/>
        </w:rPr>
      </w:pPr>
    </w:p>
    <w:p w:rsidR="00825E87" w:rsidRDefault="00CB188B">
      <w:pPr>
        <w:pStyle w:val="Ttulo1"/>
        <w:numPr>
          <w:ilvl w:val="1"/>
          <w:numId w:val="10"/>
        </w:numPr>
        <w:tabs>
          <w:tab w:val="left" w:pos="1282"/>
        </w:tabs>
        <w:ind w:left="1281"/>
      </w:pPr>
      <w:r>
        <w:t>FÁRMACOS</w:t>
      </w:r>
    </w:p>
    <w:p w:rsidR="00825E87" w:rsidRDefault="00CB188B">
      <w:pPr>
        <w:pStyle w:val="PargrafodaLista"/>
        <w:numPr>
          <w:ilvl w:val="1"/>
          <w:numId w:val="9"/>
        </w:numPr>
        <w:tabs>
          <w:tab w:val="left" w:pos="1200"/>
        </w:tabs>
        <w:spacing w:before="33"/>
        <w:ind w:left="1199" w:right="662" w:hanging="278"/>
        <w:rPr>
          <w:sz w:val="24"/>
        </w:rPr>
      </w:pPr>
      <w:r>
        <w:rPr>
          <w:sz w:val="24"/>
        </w:rPr>
        <w:t>Ibuprofeno: comprimidos revestidos de 200 mg, 300 mg e 600 mg, solução oral de</w:t>
      </w:r>
      <w:r>
        <w:rPr>
          <w:spacing w:val="-13"/>
          <w:sz w:val="24"/>
        </w:rPr>
        <w:t xml:space="preserve"> </w:t>
      </w:r>
      <w:r>
        <w:rPr>
          <w:sz w:val="24"/>
        </w:rPr>
        <w:t>50 mg/mL.</w:t>
      </w:r>
    </w:p>
    <w:p w:rsidR="00825E87" w:rsidRDefault="00CB188B">
      <w:pPr>
        <w:pStyle w:val="PargrafodaLista"/>
        <w:numPr>
          <w:ilvl w:val="1"/>
          <w:numId w:val="9"/>
        </w:numPr>
        <w:tabs>
          <w:tab w:val="left" w:pos="1200"/>
        </w:tabs>
        <w:ind w:left="1199" w:hanging="278"/>
        <w:rPr>
          <w:sz w:val="24"/>
        </w:rPr>
      </w:pPr>
      <w:r>
        <w:rPr>
          <w:sz w:val="24"/>
        </w:rPr>
        <w:t>Naproxeno: comprimidos de 250 mg e 500</w:t>
      </w:r>
      <w:r>
        <w:rPr>
          <w:spacing w:val="-3"/>
          <w:sz w:val="24"/>
        </w:rPr>
        <w:t xml:space="preserve"> </w:t>
      </w:r>
      <w:r>
        <w:rPr>
          <w:sz w:val="24"/>
        </w:rPr>
        <w:t>mg.</w:t>
      </w:r>
    </w:p>
    <w:p w:rsidR="00825E87" w:rsidRDefault="00CB188B">
      <w:pPr>
        <w:pStyle w:val="PargrafodaLista"/>
        <w:numPr>
          <w:ilvl w:val="1"/>
          <w:numId w:val="9"/>
        </w:numPr>
        <w:tabs>
          <w:tab w:val="left" w:pos="1200"/>
        </w:tabs>
        <w:ind w:left="1199" w:hanging="278"/>
        <w:rPr>
          <w:sz w:val="24"/>
        </w:rPr>
      </w:pPr>
      <w:r>
        <w:rPr>
          <w:sz w:val="24"/>
        </w:rPr>
        <w:t>Sulfassalazina: comprimidos de 500</w:t>
      </w:r>
      <w:r>
        <w:rPr>
          <w:spacing w:val="-2"/>
          <w:sz w:val="24"/>
        </w:rPr>
        <w:t xml:space="preserve"> </w:t>
      </w:r>
      <w:r>
        <w:rPr>
          <w:sz w:val="24"/>
        </w:rPr>
        <w:t>mg.</w:t>
      </w:r>
    </w:p>
    <w:p w:rsidR="00825E87" w:rsidRDefault="00CB188B">
      <w:pPr>
        <w:pStyle w:val="PargrafodaLista"/>
        <w:numPr>
          <w:ilvl w:val="1"/>
          <w:numId w:val="9"/>
        </w:numPr>
        <w:tabs>
          <w:tab w:val="left" w:pos="1200"/>
        </w:tabs>
        <w:ind w:left="1199" w:hanging="278"/>
        <w:rPr>
          <w:sz w:val="24"/>
        </w:rPr>
      </w:pPr>
      <w:r>
        <w:rPr>
          <w:sz w:val="24"/>
        </w:rPr>
        <w:t>Metilprednisolona: frasco de 40 mg/2</w:t>
      </w:r>
      <w:r>
        <w:rPr>
          <w:spacing w:val="-2"/>
          <w:sz w:val="24"/>
        </w:rPr>
        <w:t xml:space="preserve"> </w:t>
      </w:r>
      <w:r>
        <w:rPr>
          <w:sz w:val="24"/>
        </w:rPr>
        <w:t>mL.</w:t>
      </w:r>
    </w:p>
    <w:p w:rsidR="00825E87" w:rsidRDefault="00CB188B">
      <w:pPr>
        <w:pStyle w:val="PargrafodaLista"/>
        <w:numPr>
          <w:ilvl w:val="1"/>
          <w:numId w:val="9"/>
        </w:numPr>
        <w:tabs>
          <w:tab w:val="left" w:pos="1200"/>
        </w:tabs>
        <w:spacing w:before="1"/>
        <w:ind w:left="1199" w:hanging="278"/>
        <w:rPr>
          <w:sz w:val="24"/>
        </w:rPr>
      </w:pPr>
      <w:r>
        <w:rPr>
          <w:sz w:val="24"/>
        </w:rPr>
        <w:t>Metotrexato: comprimidos de 2,5 mg; frasco-ampola com 50 mg/2</w:t>
      </w:r>
      <w:r>
        <w:rPr>
          <w:spacing w:val="-4"/>
          <w:sz w:val="24"/>
        </w:rPr>
        <w:t xml:space="preserve"> </w:t>
      </w:r>
      <w:r>
        <w:rPr>
          <w:sz w:val="24"/>
        </w:rPr>
        <w:t>mL.</w:t>
      </w:r>
    </w:p>
    <w:p w:rsidR="00825E87" w:rsidRDefault="00CB188B">
      <w:pPr>
        <w:pStyle w:val="PargrafodaLista"/>
        <w:numPr>
          <w:ilvl w:val="1"/>
          <w:numId w:val="9"/>
        </w:numPr>
        <w:tabs>
          <w:tab w:val="left" w:pos="1200"/>
        </w:tabs>
        <w:ind w:left="1199" w:hanging="278"/>
        <w:rPr>
          <w:sz w:val="24"/>
        </w:rPr>
      </w:pPr>
      <w:r>
        <w:rPr>
          <w:sz w:val="24"/>
        </w:rPr>
        <w:t>Adalimumabe: solução injetável de 40</w:t>
      </w:r>
      <w:r>
        <w:rPr>
          <w:spacing w:val="-1"/>
          <w:sz w:val="24"/>
        </w:rPr>
        <w:t xml:space="preserve"> </w:t>
      </w:r>
      <w:r>
        <w:rPr>
          <w:sz w:val="24"/>
        </w:rPr>
        <w:t>mg.</w:t>
      </w:r>
    </w:p>
    <w:p w:rsidR="00825E87" w:rsidRDefault="00CB188B">
      <w:pPr>
        <w:pStyle w:val="PargrafodaLista"/>
        <w:numPr>
          <w:ilvl w:val="1"/>
          <w:numId w:val="9"/>
        </w:numPr>
        <w:tabs>
          <w:tab w:val="left" w:pos="1200"/>
        </w:tabs>
        <w:ind w:left="1199" w:hanging="278"/>
        <w:rPr>
          <w:sz w:val="24"/>
        </w:rPr>
      </w:pPr>
      <w:r>
        <w:rPr>
          <w:sz w:val="24"/>
        </w:rPr>
        <w:t>Etanercepte: frasco-ampola ou seringa preenchida de 25 mg e 50</w:t>
      </w:r>
      <w:r>
        <w:rPr>
          <w:spacing w:val="-10"/>
          <w:sz w:val="24"/>
        </w:rPr>
        <w:t xml:space="preserve"> </w:t>
      </w:r>
      <w:r>
        <w:rPr>
          <w:sz w:val="24"/>
        </w:rPr>
        <w:t>mg.</w:t>
      </w:r>
    </w:p>
    <w:p w:rsidR="00825E87" w:rsidRDefault="00CB188B">
      <w:pPr>
        <w:pStyle w:val="PargrafodaLista"/>
        <w:numPr>
          <w:ilvl w:val="1"/>
          <w:numId w:val="9"/>
        </w:numPr>
        <w:tabs>
          <w:tab w:val="left" w:pos="1200"/>
        </w:tabs>
        <w:ind w:left="1199" w:hanging="278"/>
        <w:rPr>
          <w:sz w:val="24"/>
        </w:rPr>
      </w:pPr>
      <w:r>
        <w:rPr>
          <w:sz w:val="24"/>
        </w:rPr>
        <w:t>Infliximabe: frasco-ampola com 100 mg/10</w:t>
      </w:r>
      <w:r>
        <w:rPr>
          <w:spacing w:val="-1"/>
          <w:sz w:val="24"/>
        </w:rPr>
        <w:t xml:space="preserve"> </w:t>
      </w:r>
      <w:r>
        <w:rPr>
          <w:sz w:val="24"/>
        </w:rPr>
        <w:t>mL.</w:t>
      </w:r>
    </w:p>
    <w:p w:rsidR="00825E87" w:rsidRDefault="00CB188B">
      <w:pPr>
        <w:pStyle w:val="PargrafodaLista"/>
        <w:numPr>
          <w:ilvl w:val="1"/>
          <w:numId w:val="9"/>
        </w:numPr>
        <w:tabs>
          <w:tab w:val="left" w:pos="1207"/>
        </w:tabs>
        <w:ind w:left="1206" w:hanging="278"/>
        <w:rPr>
          <w:sz w:val="24"/>
        </w:rPr>
      </w:pPr>
      <w:r>
        <w:rPr>
          <w:sz w:val="24"/>
        </w:rPr>
        <w:t>Golimumabe: seringa preenchida com 50 mg. Aprovado apenas para pacientes</w:t>
      </w:r>
      <w:r>
        <w:rPr>
          <w:spacing w:val="-5"/>
          <w:sz w:val="24"/>
        </w:rPr>
        <w:t xml:space="preserve"> </w:t>
      </w:r>
      <w:r>
        <w:rPr>
          <w:sz w:val="24"/>
        </w:rPr>
        <w:t>adultos.</w:t>
      </w:r>
    </w:p>
    <w:p w:rsidR="00825E87" w:rsidRDefault="00CB188B">
      <w:pPr>
        <w:pStyle w:val="PargrafodaLista"/>
        <w:numPr>
          <w:ilvl w:val="1"/>
          <w:numId w:val="9"/>
        </w:numPr>
        <w:tabs>
          <w:tab w:val="left" w:pos="1207"/>
        </w:tabs>
        <w:ind w:left="1206" w:hanging="278"/>
        <w:rPr>
          <w:sz w:val="24"/>
        </w:rPr>
      </w:pPr>
      <w:r>
        <w:rPr>
          <w:sz w:val="24"/>
        </w:rPr>
        <w:t>Certolizumabe pegol: solução injetável com 200mg/mL com caneta</w:t>
      </w:r>
      <w:r>
        <w:rPr>
          <w:spacing w:val="-8"/>
          <w:sz w:val="24"/>
        </w:rPr>
        <w:t xml:space="preserve"> </w:t>
      </w:r>
      <w:r>
        <w:rPr>
          <w:sz w:val="24"/>
        </w:rPr>
        <w:t>aplicadora.</w:t>
      </w:r>
    </w:p>
    <w:p w:rsidR="00825E87" w:rsidRDefault="00CB188B">
      <w:pPr>
        <w:pStyle w:val="Corpodetexto"/>
        <w:ind w:left="1187" w:right="4960"/>
        <w:jc w:val="center"/>
      </w:pPr>
      <w:r>
        <w:t>Aprovado apenas para pacientes adultos.</w:t>
      </w:r>
    </w:p>
    <w:p w:rsidR="00825E87" w:rsidRDefault="00CB188B">
      <w:pPr>
        <w:pStyle w:val="PargrafodaLista"/>
        <w:numPr>
          <w:ilvl w:val="1"/>
          <w:numId w:val="9"/>
        </w:numPr>
        <w:tabs>
          <w:tab w:val="left" w:pos="1207"/>
        </w:tabs>
        <w:ind w:left="1206" w:right="805" w:hanging="278"/>
        <w:rPr>
          <w:sz w:val="24"/>
        </w:rPr>
      </w:pPr>
      <w:r>
        <w:rPr>
          <w:sz w:val="24"/>
        </w:rPr>
        <w:t>Secuquinumabe: solução injetável com 150mg/ml com caneta aplicadora. Aprovado apenas para pacientes</w:t>
      </w:r>
      <w:r>
        <w:rPr>
          <w:spacing w:val="-1"/>
          <w:sz w:val="24"/>
        </w:rPr>
        <w:t xml:space="preserve"> </w:t>
      </w:r>
      <w:r>
        <w:rPr>
          <w:sz w:val="24"/>
        </w:rPr>
        <w:t>adultos.</w:t>
      </w:r>
    </w:p>
    <w:p w:rsidR="00825E87" w:rsidRDefault="00825E87">
      <w:pPr>
        <w:pStyle w:val="Corpodetexto"/>
        <w:spacing w:before="2"/>
        <w:ind w:left="0"/>
        <w:rPr>
          <w:sz w:val="28"/>
        </w:rPr>
      </w:pPr>
    </w:p>
    <w:p w:rsidR="00825E87" w:rsidRDefault="00CB188B">
      <w:pPr>
        <w:pStyle w:val="Ttulo1"/>
        <w:numPr>
          <w:ilvl w:val="1"/>
          <w:numId w:val="10"/>
        </w:numPr>
        <w:tabs>
          <w:tab w:val="left" w:pos="1289"/>
        </w:tabs>
        <w:ind w:left="1288"/>
      </w:pPr>
      <w:r>
        <w:t>ESQUEMAS DE</w:t>
      </w:r>
      <w:r>
        <w:rPr>
          <w:spacing w:val="-1"/>
        </w:rPr>
        <w:t xml:space="preserve"> </w:t>
      </w:r>
      <w:r>
        <w:t>ADMINISTRAÇÃO</w:t>
      </w:r>
    </w:p>
    <w:p w:rsidR="00825E87" w:rsidRDefault="00CB188B">
      <w:pPr>
        <w:pStyle w:val="PargrafodaLista"/>
        <w:numPr>
          <w:ilvl w:val="1"/>
          <w:numId w:val="9"/>
        </w:numPr>
        <w:tabs>
          <w:tab w:val="left" w:pos="1207"/>
        </w:tabs>
        <w:spacing w:before="34"/>
        <w:ind w:left="1206" w:right="404" w:hanging="278"/>
        <w:rPr>
          <w:sz w:val="24"/>
        </w:rPr>
      </w:pPr>
      <w:r>
        <w:rPr>
          <w:sz w:val="24"/>
        </w:rPr>
        <w:t>Ibuprofeno: 600 mg/dia a 2.700 mg/dia, por via oral, divididos em 3</w:t>
      </w:r>
      <w:r>
        <w:rPr>
          <w:sz w:val="24"/>
        </w:rPr>
        <w:t xml:space="preserve"> administrações</w:t>
      </w:r>
      <w:r>
        <w:rPr>
          <w:spacing w:val="-14"/>
          <w:sz w:val="24"/>
        </w:rPr>
        <w:t xml:space="preserve"> </w:t>
      </w:r>
      <w:r>
        <w:rPr>
          <w:sz w:val="24"/>
        </w:rPr>
        <w:t>(8/8 horas).</w:t>
      </w:r>
    </w:p>
    <w:p w:rsidR="00825E87" w:rsidRDefault="00CB188B">
      <w:pPr>
        <w:pStyle w:val="PargrafodaLista"/>
        <w:numPr>
          <w:ilvl w:val="1"/>
          <w:numId w:val="9"/>
        </w:numPr>
        <w:tabs>
          <w:tab w:val="left" w:pos="1207"/>
        </w:tabs>
        <w:ind w:left="1206" w:right="506" w:hanging="278"/>
        <w:rPr>
          <w:sz w:val="24"/>
        </w:rPr>
      </w:pPr>
      <w:r>
        <w:rPr>
          <w:sz w:val="24"/>
        </w:rPr>
        <w:t>Naproxeno: 500 mg/dia a 1.500 mg/dia, por via oral, divididos em até 3 administrações (8/8</w:t>
      </w:r>
      <w:r>
        <w:rPr>
          <w:spacing w:val="-1"/>
          <w:sz w:val="24"/>
        </w:rPr>
        <w:t xml:space="preserve"> </w:t>
      </w:r>
      <w:r>
        <w:rPr>
          <w:sz w:val="24"/>
        </w:rPr>
        <w:t>horas).</w:t>
      </w:r>
    </w:p>
    <w:p w:rsidR="00825E87" w:rsidRDefault="00CB188B">
      <w:pPr>
        <w:pStyle w:val="PargrafodaLista"/>
        <w:numPr>
          <w:ilvl w:val="1"/>
          <w:numId w:val="9"/>
        </w:numPr>
        <w:tabs>
          <w:tab w:val="left" w:pos="1207"/>
        </w:tabs>
        <w:ind w:left="1206" w:right="544" w:hanging="278"/>
        <w:rPr>
          <w:sz w:val="24"/>
        </w:rPr>
      </w:pPr>
      <w:r>
        <w:rPr>
          <w:sz w:val="24"/>
        </w:rPr>
        <w:t>Sulfassalazina: 500 mg/dia a 3.000 mg/dia, por via oral, divididos em 2</w:t>
      </w:r>
      <w:r>
        <w:rPr>
          <w:spacing w:val="-16"/>
          <w:sz w:val="24"/>
        </w:rPr>
        <w:t xml:space="preserve"> </w:t>
      </w:r>
      <w:r>
        <w:rPr>
          <w:sz w:val="24"/>
        </w:rPr>
        <w:t>administrações (12/12</w:t>
      </w:r>
      <w:r>
        <w:rPr>
          <w:spacing w:val="-1"/>
          <w:sz w:val="24"/>
        </w:rPr>
        <w:t xml:space="preserve"> </w:t>
      </w:r>
      <w:r>
        <w:rPr>
          <w:sz w:val="24"/>
        </w:rPr>
        <w:t>horas).</w:t>
      </w:r>
    </w:p>
    <w:p w:rsidR="00825E87" w:rsidRDefault="00CB188B">
      <w:pPr>
        <w:pStyle w:val="PargrafodaLista"/>
        <w:numPr>
          <w:ilvl w:val="1"/>
          <w:numId w:val="9"/>
        </w:numPr>
        <w:tabs>
          <w:tab w:val="left" w:pos="1207"/>
        </w:tabs>
        <w:spacing w:before="1"/>
        <w:ind w:left="1206" w:hanging="278"/>
        <w:rPr>
          <w:sz w:val="24"/>
        </w:rPr>
      </w:pPr>
      <w:r>
        <w:rPr>
          <w:sz w:val="24"/>
        </w:rPr>
        <w:t>Metiprednisolona: 40 mg a 80 mg, intra ou periarticular, a cada 3</w:t>
      </w:r>
      <w:r>
        <w:rPr>
          <w:spacing w:val="-5"/>
          <w:sz w:val="24"/>
        </w:rPr>
        <w:t xml:space="preserve"> </w:t>
      </w:r>
      <w:r>
        <w:rPr>
          <w:sz w:val="24"/>
        </w:rPr>
        <w:t>meses.</w:t>
      </w:r>
    </w:p>
    <w:p w:rsidR="00825E87" w:rsidRDefault="00CB188B">
      <w:pPr>
        <w:pStyle w:val="PargrafodaLista"/>
        <w:numPr>
          <w:ilvl w:val="1"/>
          <w:numId w:val="9"/>
        </w:numPr>
        <w:tabs>
          <w:tab w:val="left" w:pos="1207"/>
        </w:tabs>
        <w:ind w:left="1206" w:hanging="278"/>
        <w:rPr>
          <w:sz w:val="24"/>
        </w:rPr>
      </w:pPr>
      <w:r>
        <w:rPr>
          <w:sz w:val="24"/>
        </w:rPr>
        <w:t>Metotrexato: 7,5 mg a 25 mg, por via oral, subcutânea ou intramuscular, a cada</w:t>
      </w:r>
      <w:r>
        <w:rPr>
          <w:spacing w:val="-11"/>
          <w:sz w:val="24"/>
        </w:rPr>
        <w:t xml:space="preserve"> </w:t>
      </w:r>
      <w:r>
        <w:rPr>
          <w:sz w:val="24"/>
        </w:rPr>
        <w:t>semana.</w:t>
      </w:r>
    </w:p>
    <w:p w:rsidR="00825E87" w:rsidRDefault="00CB188B">
      <w:pPr>
        <w:pStyle w:val="PargrafodaLista"/>
        <w:numPr>
          <w:ilvl w:val="1"/>
          <w:numId w:val="9"/>
        </w:numPr>
        <w:tabs>
          <w:tab w:val="left" w:pos="1207"/>
        </w:tabs>
        <w:ind w:left="1206" w:hanging="278"/>
        <w:rPr>
          <w:sz w:val="24"/>
        </w:rPr>
      </w:pPr>
      <w:r>
        <w:rPr>
          <w:sz w:val="24"/>
        </w:rPr>
        <w:t>Adalimumabe: 40 mg, por via subcutânea, a cada 2</w:t>
      </w:r>
      <w:r>
        <w:rPr>
          <w:spacing w:val="-2"/>
          <w:sz w:val="24"/>
        </w:rPr>
        <w:t xml:space="preserve"> </w:t>
      </w:r>
      <w:r>
        <w:rPr>
          <w:sz w:val="24"/>
        </w:rPr>
        <w:t>semanas.</w:t>
      </w:r>
    </w:p>
    <w:p w:rsidR="00825E87" w:rsidRDefault="00CB188B">
      <w:pPr>
        <w:pStyle w:val="PargrafodaLista"/>
        <w:numPr>
          <w:ilvl w:val="1"/>
          <w:numId w:val="9"/>
        </w:numPr>
        <w:tabs>
          <w:tab w:val="left" w:pos="1207"/>
        </w:tabs>
        <w:ind w:left="1206" w:hanging="278"/>
        <w:rPr>
          <w:sz w:val="24"/>
        </w:rPr>
      </w:pPr>
      <w:r>
        <w:rPr>
          <w:sz w:val="24"/>
        </w:rPr>
        <w:t>Etanercepte: 50 mg, por via subcutânea</w:t>
      </w:r>
      <w:r>
        <w:rPr>
          <w:sz w:val="24"/>
        </w:rPr>
        <w:t>, a cada</w:t>
      </w:r>
      <w:r>
        <w:rPr>
          <w:spacing w:val="-1"/>
          <w:sz w:val="24"/>
        </w:rPr>
        <w:t xml:space="preserve"> </w:t>
      </w:r>
      <w:r>
        <w:rPr>
          <w:sz w:val="24"/>
        </w:rPr>
        <w:t>semana.</w:t>
      </w:r>
    </w:p>
    <w:p w:rsidR="00825E87" w:rsidRDefault="00CB188B">
      <w:pPr>
        <w:pStyle w:val="PargrafodaLista"/>
        <w:numPr>
          <w:ilvl w:val="1"/>
          <w:numId w:val="9"/>
        </w:numPr>
        <w:tabs>
          <w:tab w:val="left" w:pos="1207"/>
        </w:tabs>
        <w:ind w:left="1206" w:right="1100" w:hanging="278"/>
        <w:rPr>
          <w:sz w:val="24"/>
        </w:rPr>
      </w:pPr>
      <w:r>
        <w:rPr>
          <w:sz w:val="24"/>
        </w:rPr>
        <w:t>Infliximabe: 5 mg/kg, por via intravenosa, nas semanas 0, 2, 6 e, depois, a cada 8 semanas.</w:t>
      </w:r>
    </w:p>
    <w:p w:rsidR="00825E87" w:rsidRDefault="00CB188B">
      <w:pPr>
        <w:pStyle w:val="PargrafodaLista"/>
        <w:numPr>
          <w:ilvl w:val="1"/>
          <w:numId w:val="9"/>
        </w:numPr>
        <w:tabs>
          <w:tab w:val="left" w:pos="1207"/>
        </w:tabs>
        <w:ind w:left="1206" w:right="999" w:hanging="278"/>
        <w:rPr>
          <w:sz w:val="24"/>
        </w:rPr>
      </w:pPr>
      <w:r>
        <w:rPr>
          <w:sz w:val="24"/>
        </w:rPr>
        <w:t>Golimumabe: 50mg, por via subcutânea, a cada 4 semanas. Aprovado apenas para pacientes</w:t>
      </w:r>
      <w:r>
        <w:rPr>
          <w:spacing w:val="-1"/>
          <w:sz w:val="24"/>
        </w:rPr>
        <w:t xml:space="preserve"> </w:t>
      </w:r>
      <w:r>
        <w:rPr>
          <w:sz w:val="24"/>
        </w:rPr>
        <w:t>adultos.</w:t>
      </w:r>
    </w:p>
    <w:p w:rsidR="00825E87" w:rsidRDefault="00CB188B">
      <w:pPr>
        <w:pStyle w:val="PargrafodaLista"/>
        <w:numPr>
          <w:ilvl w:val="1"/>
          <w:numId w:val="9"/>
        </w:numPr>
        <w:tabs>
          <w:tab w:val="left" w:pos="1207"/>
        </w:tabs>
        <w:ind w:left="1206" w:right="1052" w:hanging="278"/>
        <w:rPr>
          <w:sz w:val="24"/>
        </w:rPr>
      </w:pPr>
      <w:r>
        <w:rPr>
          <w:sz w:val="24"/>
        </w:rPr>
        <w:t>Certolizumabe pegol: dose de indução de 400 mg (dua</w:t>
      </w:r>
      <w:r>
        <w:rPr>
          <w:sz w:val="24"/>
        </w:rPr>
        <w:t>s aplicações de 200 mg</w:t>
      </w:r>
      <w:r>
        <w:rPr>
          <w:spacing w:val="-15"/>
          <w:sz w:val="24"/>
        </w:rPr>
        <w:t xml:space="preserve"> </w:t>
      </w:r>
      <w:r>
        <w:rPr>
          <w:sz w:val="24"/>
        </w:rPr>
        <w:t>nas semanas 0, 2 e 4). Após, 200 mg a cada duas semanas ou 400 mg a cada quatro semanas. Aprovado apenas para pacientes</w:t>
      </w:r>
      <w:r>
        <w:rPr>
          <w:spacing w:val="-3"/>
          <w:sz w:val="24"/>
        </w:rPr>
        <w:t xml:space="preserve"> </w:t>
      </w:r>
      <w:r>
        <w:rPr>
          <w:sz w:val="24"/>
        </w:rPr>
        <w:t>adultos.</w:t>
      </w:r>
    </w:p>
    <w:p w:rsidR="00825E87" w:rsidRDefault="00CB188B">
      <w:pPr>
        <w:pStyle w:val="PargrafodaLista"/>
        <w:numPr>
          <w:ilvl w:val="1"/>
          <w:numId w:val="9"/>
        </w:numPr>
        <w:tabs>
          <w:tab w:val="left" w:pos="1207"/>
        </w:tabs>
        <w:ind w:left="1206" w:right="381" w:hanging="278"/>
        <w:jc w:val="both"/>
        <w:rPr>
          <w:sz w:val="24"/>
        </w:rPr>
      </w:pPr>
      <w:r>
        <w:rPr>
          <w:sz w:val="24"/>
        </w:rPr>
        <w:t>Secuquinumabe: A dose de indução é 150 mg por injeção subcutânea com administração inicial nas semanas 0, 1, 2, 3 e 4, seguida por administração de manutenção uma vez a cada 4 semanas. Aprovado apenas para pacientes</w:t>
      </w:r>
      <w:r>
        <w:rPr>
          <w:spacing w:val="-3"/>
          <w:sz w:val="24"/>
        </w:rPr>
        <w:t xml:space="preserve"> </w:t>
      </w:r>
      <w:r>
        <w:rPr>
          <w:sz w:val="24"/>
        </w:rPr>
        <w:t>adultos.</w:t>
      </w:r>
    </w:p>
    <w:p w:rsidR="00825E87" w:rsidRDefault="00CB188B">
      <w:pPr>
        <w:pStyle w:val="Corpodetexto"/>
        <w:ind w:left="928"/>
      </w:pPr>
      <w:r>
        <w:rPr>
          <w:w w:val="99"/>
        </w:rPr>
        <w:t>-</w:t>
      </w:r>
    </w:p>
    <w:p w:rsidR="00825E87" w:rsidRDefault="00825E87">
      <w:pPr>
        <w:pStyle w:val="Corpodetexto"/>
        <w:spacing w:before="2"/>
        <w:ind w:left="0"/>
        <w:rPr>
          <w:sz w:val="28"/>
        </w:rPr>
      </w:pPr>
    </w:p>
    <w:p w:rsidR="00825E87" w:rsidRDefault="00CB188B">
      <w:pPr>
        <w:pStyle w:val="Ttulo1"/>
        <w:numPr>
          <w:ilvl w:val="1"/>
          <w:numId w:val="10"/>
        </w:numPr>
        <w:tabs>
          <w:tab w:val="left" w:pos="1289"/>
        </w:tabs>
        <w:spacing w:before="1"/>
        <w:ind w:left="1288"/>
      </w:pPr>
      <w:r>
        <w:t>TEMPO DE TRATAMENTO - CRITÉRIOS DE</w:t>
      </w:r>
      <w:r>
        <w:rPr>
          <w:spacing w:val="-1"/>
        </w:rPr>
        <w:t xml:space="preserve"> </w:t>
      </w:r>
      <w:r>
        <w:t>INTERRUPÇÃO</w:t>
      </w:r>
    </w:p>
    <w:p w:rsidR="00825E87" w:rsidRDefault="00CB188B">
      <w:pPr>
        <w:pStyle w:val="Corpodetexto"/>
        <w:spacing w:before="36" w:line="278" w:lineRule="auto"/>
        <w:ind w:left="227" w:firstLine="708"/>
      </w:pPr>
      <w:r>
        <w:t>O tempo de tratamento não é pré-determinado, devendo o tratamento ser mantido enquanto houver benefício clínico. Apesar de alguns estudos observarem manutenção de remissão após a</w:t>
      </w:r>
    </w:p>
    <w:p w:rsidR="00825E87" w:rsidRDefault="00825E87">
      <w:pPr>
        <w:spacing w:line="278" w:lineRule="auto"/>
        <w:sectPr w:rsidR="00825E87">
          <w:pgSz w:w="11900" w:h="16840"/>
          <w:pgMar w:top="1100" w:right="880" w:bottom="280" w:left="920" w:header="720" w:footer="720" w:gutter="0"/>
          <w:cols w:space="720"/>
        </w:sectPr>
      </w:pPr>
    </w:p>
    <w:p w:rsidR="00825E87" w:rsidRDefault="00CB188B">
      <w:pPr>
        <w:pStyle w:val="Corpodetexto"/>
        <w:spacing w:before="68" w:line="271" w:lineRule="auto"/>
        <w:ind w:left="227" w:right="376"/>
        <w:jc w:val="right"/>
      </w:pPr>
      <w:r>
        <w:lastRenderedPageBreak/>
        <w:t>retirada dos bio</w:t>
      </w:r>
      <w:r>
        <w:t>lógicos anti-TNF</w:t>
      </w:r>
      <w:r>
        <w:rPr>
          <w:position w:val="9"/>
          <w:sz w:val="16"/>
        </w:rPr>
        <w:t>(60,67–69)</w:t>
      </w:r>
      <w:r>
        <w:t>, inexistem critérios para a interrupção</w:t>
      </w:r>
      <w:r>
        <w:rPr>
          <w:spacing w:val="18"/>
        </w:rPr>
        <w:t xml:space="preserve"> </w:t>
      </w:r>
      <w:r>
        <w:t>do</w:t>
      </w:r>
      <w:r>
        <w:rPr>
          <w:spacing w:val="48"/>
        </w:rPr>
        <w:t xml:space="preserve"> </w:t>
      </w:r>
      <w:r>
        <w:t>tratamento. Após a remissão, a maioria dos pacientes apresenta recidiva com a interrupção</w:t>
      </w:r>
      <w:r>
        <w:rPr>
          <w:spacing w:val="-10"/>
        </w:rPr>
        <w:t xml:space="preserve"> </w:t>
      </w:r>
      <w:r>
        <w:t>do tratamento</w:t>
      </w:r>
      <w:r>
        <w:rPr>
          <w:position w:val="9"/>
          <w:sz w:val="16"/>
        </w:rPr>
        <w:t>(60,70)</w:t>
      </w:r>
      <w:r>
        <w:t>. Na</w:t>
      </w:r>
      <w:r>
        <w:rPr>
          <w:spacing w:val="31"/>
        </w:rPr>
        <w:t xml:space="preserve"> </w:t>
      </w:r>
      <w:r>
        <w:t>falha</w:t>
      </w:r>
      <w:r>
        <w:rPr>
          <w:spacing w:val="32"/>
        </w:rPr>
        <w:t xml:space="preserve"> </w:t>
      </w:r>
      <w:r>
        <w:t>ao</w:t>
      </w:r>
      <w:r>
        <w:rPr>
          <w:spacing w:val="33"/>
        </w:rPr>
        <w:t xml:space="preserve"> </w:t>
      </w:r>
      <w:r>
        <w:t>segundo</w:t>
      </w:r>
      <w:r>
        <w:rPr>
          <w:spacing w:val="33"/>
        </w:rPr>
        <w:t xml:space="preserve"> </w:t>
      </w:r>
      <w:r>
        <w:t>anti-TNF</w:t>
      </w:r>
      <w:r>
        <w:rPr>
          <w:spacing w:val="31"/>
        </w:rPr>
        <w:t xml:space="preserve"> </w:t>
      </w:r>
      <w:r>
        <w:t>ou</w:t>
      </w:r>
      <w:r>
        <w:rPr>
          <w:spacing w:val="33"/>
        </w:rPr>
        <w:t xml:space="preserve"> </w:t>
      </w:r>
      <w:r>
        <w:t>secuquinumabe</w:t>
      </w:r>
      <w:r>
        <w:rPr>
          <w:spacing w:val="32"/>
        </w:rPr>
        <w:t xml:space="preserve"> </w:t>
      </w:r>
      <w:r>
        <w:t>(ausência</w:t>
      </w:r>
      <w:r>
        <w:rPr>
          <w:spacing w:val="32"/>
        </w:rPr>
        <w:t xml:space="preserve"> </w:t>
      </w:r>
      <w:r>
        <w:t>de</w:t>
      </w:r>
      <w:r>
        <w:rPr>
          <w:spacing w:val="32"/>
        </w:rPr>
        <w:t xml:space="preserve"> </w:t>
      </w:r>
      <w:r>
        <w:t>resposta</w:t>
      </w:r>
      <w:r>
        <w:rPr>
          <w:spacing w:val="34"/>
        </w:rPr>
        <w:t xml:space="preserve"> </w:t>
      </w:r>
      <w:r>
        <w:t>depois</w:t>
      </w:r>
      <w:r>
        <w:rPr>
          <w:spacing w:val="34"/>
        </w:rPr>
        <w:t xml:space="preserve"> </w:t>
      </w:r>
      <w:r>
        <w:t>de,</w:t>
      </w:r>
      <w:r>
        <w:rPr>
          <w:spacing w:val="33"/>
        </w:rPr>
        <w:t xml:space="preserve"> </w:t>
      </w:r>
      <w:r>
        <w:t>pelo menos,</w:t>
      </w:r>
      <w:r>
        <w:rPr>
          <w:spacing w:val="46"/>
        </w:rPr>
        <w:t xml:space="preserve"> </w:t>
      </w:r>
      <w:r>
        <w:t>6</w:t>
      </w:r>
      <w:r>
        <w:rPr>
          <w:spacing w:val="46"/>
        </w:rPr>
        <w:t xml:space="preserve"> </w:t>
      </w:r>
      <w:r>
        <w:t>meses</w:t>
      </w:r>
      <w:r>
        <w:rPr>
          <w:spacing w:val="48"/>
        </w:rPr>
        <w:t xml:space="preserve"> </w:t>
      </w:r>
      <w:r>
        <w:t>de</w:t>
      </w:r>
      <w:r>
        <w:rPr>
          <w:spacing w:val="45"/>
        </w:rPr>
        <w:t xml:space="preserve"> </w:t>
      </w:r>
      <w:r>
        <w:t>uso</w:t>
      </w:r>
      <w:r>
        <w:rPr>
          <w:spacing w:val="44"/>
        </w:rPr>
        <w:t xml:space="preserve"> </w:t>
      </w:r>
      <w:r>
        <w:t>da</w:t>
      </w:r>
      <w:r>
        <w:rPr>
          <w:spacing w:val="46"/>
        </w:rPr>
        <w:t xml:space="preserve"> </w:t>
      </w:r>
      <w:r>
        <w:t>dose</w:t>
      </w:r>
      <w:r>
        <w:rPr>
          <w:spacing w:val="46"/>
        </w:rPr>
        <w:t xml:space="preserve"> </w:t>
      </w:r>
      <w:r>
        <w:t>preconizada),</w:t>
      </w:r>
      <w:r>
        <w:rPr>
          <w:spacing w:val="46"/>
        </w:rPr>
        <w:t xml:space="preserve"> </w:t>
      </w:r>
      <w:r>
        <w:t>pode</w:t>
      </w:r>
      <w:r>
        <w:rPr>
          <w:spacing w:val="46"/>
        </w:rPr>
        <w:t xml:space="preserve"> </w:t>
      </w:r>
      <w:r>
        <w:t>ser</w:t>
      </w:r>
      <w:r>
        <w:rPr>
          <w:spacing w:val="46"/>
        </w:rPr>
        <w:t xml:space="preserve"> </w:t>
      </w:r>
      <w:r>
        <w:t>considerado</w:t>
      </w:r>
      <w:r>
        <w:rPr>
          <w:spacing w:val="46"/>
        </w:rPr>
        <w:t xml:space="preserve"> </w:t>
      </w:r>
      <w:r>
        <w:t>um</w:t>
      </w:r>
      <w:r>
        <w:rPr>
          <w:spacing w:val="48"/>
        </w:rPr>
        <w:t xml:space="preserve"> </w:t>
      </w:r>
      <w:r>
        <w:t>terceiro</w:t>
      </w:r>
      <w:r>
        <w:rPr>
          <w:spacing w:val="46"/>
        </w:rPr>
        <w:t xml:space="preserve"> </w:t>
      </w:r>
      <w:r>
        <w:t>anti-TNF</w:t>
      </w:r>
      <w:r>
        <w:rPr>
          <w:spacing w:val="45"/>
        </w:rPr>
        <w:t xml:space="preserve"> </w:t>
      </w:r>
      <w:r>
        <w:t>ou secuquinumabe (se este último não foi usado anteriormente), embora as evidências em</w:t>
      </w:r>
      <w:r>
        <w:rPr>
          <w:spacing w:val="20"/>
        </w:rPr>
        <w:t xml:space="preserve"> </w:t>
      </w:r>
      <w:r>
        <w:t>favor dessa</w:t>
      </w:r>
      <w:r>
        <w:rPr>
          <w:w w:val="99"/>
        </w:rPr>
        <w:t xml:space="preserve"> </w:t>
      </w:r>
      <w:r>
        <w:t>conduta</w:t>
      </w:r>
      <w:r>
        <w:rPr>
          <w:spacing w:val="7"/>
        </w:rPr>
        <w:t xml:space="preserve"> </w:t>
      </w:r>
      <w:r>
        <w:t>sejam</w:t>
      </w:r>
      <w:r>
        <w:rPr>
          <w:spacing w:val="9"/>
        </w:rPr>
        <w:t xml:space="preserve"> </w:t>
      </w:r>
      <w:r>
        <w:t>escassas</w:t>
      </w:r>
      <w:r>
        <w:rPr>
          <w:position w:val="9"/>
          <w:sz w:val="16"/>
        </w:rPr>
        <w:t>(49,50)</w:t>
      </w:r>
      <w:r>
        <w:t>.</w:t>
      </w:r>
      <w:r>
        <w:rPr>
          <w:spacing w:val="8"/>
        </w:rPr>
        <w:t xml:space="preserve"> </w:t>
      </w:r>
      <w:r>
        <w:t>Na</w:t>
      </w:r>
      <w:r>
        <w:rPr>
          <w:spacing w:val="7"/>
        </w:rPr>
        <w:t xml:space="preserve"> </w:t>
      </w:r>
      <w:r>
        <w:t>ausência</w:t>
      </w:r>
      <w:r>
        <w:rPr>
          <w:spacing w:val="7"/>
        </w:rPr>
        <w:t xml:space="preserve"> </w:t>
      </w:r>
      <w:r>
        <w:t>de</w:t>
      </w:r>
      <w:r>
        <w:rPr>
          <w:spacing w:val="10"/>
        </w:rPr>
        <w:t xml:space="preserve"> </w:t>
      </w:r>
      <w:r>
        <w:t>resposta</w:t>
      </w:r>
      <w:r>
        <w:rPr>
          <w:spacing w:val="8"/>
        </w:rPr>
        <w:t xml:space="preserve"> </w:t>
      </w:r>
      <w:r>
        <w:t>com</w:t>
      </w:r>
      <w:r>
        <w:rPr>
          <w:spacing w:val="9"/>
        </w:rPr>
        <w:t xml:space="preserve"> </w:t>
      </w:r>
      <w:r>
        <w:t>o</w:t>
      </w:r>
      <w:r>
        <w:rPr>
          <w:spacing w:val="9"/>
        </w:rPr>
        <w:t xml:space="preserve"> </w:t>
      </w:r>
      <w:r>
        <w:t>terceiro</w:t>
      </w:r>
      <w:r>
        <w:rPr>
          <w:spacing w:val="8"/>
        </w:rPr>
        <w:t xml:space="preserve"> </w:t>
      </w:r>
      <w:r>
        <w:t>anti-TNF</w:t>
      </w:r>
      <w:r>
        <w:rPr>
          <w:spacing w:val="7"/>
        </w:rPr>
        <w:t xml:space="preserve"> </w:t>
      </w:r>
      <w:r>
        <w:t>ou</w:t>
      </w:r>
      <w:r>
        <w:rPr>
          <w:spacing w:val="8"/>
        </w:rPr>
        <w:t xml:space="preserve"> </w:t>
      </w:r>
      <w:r>
        <w:t>secuquinumabe</w:t>
      </w:r>
    </w:p>
    <w:p w:rsidR="00825E87" w:rsidRDefault="00CB188B">
      <w:pPr>
        <w:pStyle w:val="Corpodetexto"/>
        <w:spacing w:before="1"/>
        <w:ind w:left="227"/>
      </w:pPr>
      <w:r>
        <w:t>por, pelo menos, 6 meses, deve-se suspender a terapia.</w:t>
      </w:r>
    </w:p>
    <w:p w:rsidR="00825E87" w:rsidRDefault="00825E87">
      <w:pPr>
        <w:pStyle w:val="Corpodetexto"/>
        <w:ind w:left="0"/>
        <w:rPr>
          <w:sz w:val="26"/>
        </w:rPr>
      </w:pPr>
    </w:p>
    <w:p w:rsidR="00825E87" w:rsidRDefault="00825E87">
      <w:pPr>
        <w:pStyle w:val="Corpodetexto"/>
        <w:ind w:left="0"/>
        <w:rPr>
          <w:sz w:val="26"/>
        </w:rPr>
      </w:pPr>
    </w:p>
    <w:p w:rsidR="00825E87" w:rsidRDefault="00825E87">
      <w:pPr>
        <w:pStyle w:val="Corpodetexto"/>
        <w:spacing w:before="10"/>
        <w:ind w:left="0"/>
        <w:rPr>
          <w:sz w:val="34"/>
        </w:rPr>
      </w:pPr>
    </w:p>
    <w:p w:rsidR="00825E87" w:rsidRDefault="00CB188B">
      <w:pPr>
        <w:pStyle w:val="Ttulo1"/>
        <w:numPr>
          <w:ilvl w:val="1"/>
          <w:numId w:val="10"/>
        </w:numPr>
        <w:tabs>
          <w:tab w:val="left" w:pos="1296"/>
        </w:tabs>
      </w:pPr>
      <w:r>
        <w:t>BENEFÍCIOS ESPERADOS</w:t>
      </w:r>
    </w:p>
    <w:p w:rsidR="00825E87" w:rsidRDefault="00CB188B">
      <w:pPr>
        <w:pStyle w:val="Corpodetexto"/>
        <w:spacing w:before="36" w:line="276" w:lineRule="auto"/>
        <w:ind w:left="227" w:right="400" w:firstLine="708"/>
        <w:jc w:val="both"/>
      </w:pPr>
      <w:r>
        <w:t>Com o tratamento adequado, espera-se melhora da dor, rigidez axial e periférica, capacidade funcional e laboral e qualidade de vida do pacient</w:t>
      </w:r>
      <w:r>
        <w:t>e.</w:t>
      </w:r>
    </w:p>
    <w:p w:rsidR="00825E87" w:rsidRDefault="00825E87">
      <w:pPr>
        <w:pStyle w:val="Corpodetexto"/>
        <w:spacing w:before="10"/>
        <w:ind w:left="0"/>
        <w:rPr>
          <w:sz w:val="27"/>
        </w:rPr>
      </w:pPr>
    </w:p>
    <w:p w:rsidR="00825E87" w:rsidRDefault="00CB188B">
      <w:pPr>
        <w:pStyle w:val="Ttulo1"/>
        <w:numPr>
          <w:ilvl w:val="0"/>
          <w:numId w:val="13"/>
        </w:numPr>
        <w:tabs>
          <w:tab w:val="left" w:pos="408"/>
        </w:tabs>
        <w:spacing w:line="267" w:lineRule="exact"/>
        <w:ind w:firstLine="0"/>
      </w:pPr>
      <w:r>
        <w:t>MONITORIZAÇÃO</w:t>
      </w:r>
    </w:p>
    <w:p w:rsidR="00825E87" w:rsidRDefault="00CB188B">
      <w:pPr>
        <w:pStyle w:val="Corpodetexto"/>
        <w:spacing w:line="282" w:lineRule="exact"/>
        <w:ind w:left="928"/>
      </w:pPr>
      <w:r>
        <w:t>Devem ser monitoradas as resposta terapêutica e os efeitos colaterais</w:t>
      </w:r>
      <w:r>
        <w:rPr>
          <w:position w:val="9"/>
          <w:sz w:val="16"/>
        </w:rPr>
        <w:t>(13,71)</w:t>
      </w:r>
      <w:r>
        <w:t>.</w:t>
      </w:r>
    </w:p>
    <w:p w:rsidR="00825E87" w:rsidRDefault="00CB188B">
      <w:pPr>
        <w:pStyle w:val="Corpodetexto"/>
        <w:spacing w:before="41" w:line="273" w:lineRule="auto"/>
        <w:ind w:left="227" w:right="375" w:firstLine="708"/>
        <w:jc w:val="both"/>
      </w:pPr>
      <w:r>
        <w:t xml:space="preserve">A resposta ao tratamento de EA axial consiste na redução de pelo menos 1,1 ponto no escore ASDAS ou na redução mínima de 50% ou de 2 pontos (valor absoluto) no escore BASDAI ou a partir de 12 semanas. Artrite periférica, entesite e dactilite são avaliadas </w:t>
      </w:r>
      <w:r>
        <w:t>por anamnese e exame físico. Reavaliações clínicas podem ser realizadas a cada 3 meses em doença ativa e anualmente em doença estável. Exames laboratoriais (velocidade de hemossedimentação e proteína C reativa), que devem ser feitos antes e durante o trata</w:t>
      </w:r>
      <w:r>
        <w:t>mento (nos períodos de maior atividade de doença, a cada 1-3 meses e de menor, a cada 3 meses), são úteis na avaliação de atividade de doença. Radiografias simples de articulações sacroilíacas, bacia, coluna dorsal e lombossacra podem ser realizadas no iní</w:t>
      </w:r>
      <w:r>
        <w:t>cio do acompanhamento e a cada 2 anos, buscando danos estruturais evolutivos, que, quando presentes, podem indicar mudança de</w:t>
      </w:r>
      <w:r>
        <w:rPr>
          <w:spacing w:val="-5"/>
        </w:rPr>
        <w:t xml:space="preserve"> </w:t>
      </w:r>
      <w:r>
        <w:t>tratamento</w:t>
      </w:r>
      <w:r>
        <w:rPr>
          <w:position w:val="9"/>
          <w:sz w:val="16"/>
        </w:rPr>
        <w:t>(8,37)</w:t>
      </w:r>
      <w:r>
        <w:t>.</w:t>
      </w:r>
    </w:p>
    <w:p w:rsidR="00825E87" w:rsidRDefault="00CB188B">
      <w:pPr>
        <w:pStyle w:val="Corpodetexto"/>
        <w:spacing w:before="12" w:line="273" w:lineRule="auto"/>
        <w:ind w:left="227" w:right="374" w:firstLine="708"/>
        <w:jc w:val="both"/>
      </w:pPr>
      <w:r>
        <w:t xml:space="preserve">Exames laboratoriais, tais como hemograma, contagem de plaquetas e dosagens séricas de AST/TGO e ALT/TGP, devem </w:t>
      </w:r>
      <w:r>
        <w:t>ser realizados antes do início do tratamento, constituindo o painel laboratorial de monitorização trimestral dos principais efeitos adversos relacionados aos medicamentos preconizados neste PCDT (</w:t>
      </w:r>
      <w:r>
        <w:rPr>
          <w:b/>
        </w:rPr>
        <w:t>Quadro 3</w:t>
      </w:r>
      <w:r>
        <w:t>). Antes do início do uso dos anti-TNF, deve- se rea</w:t>
      </w:r>
      <w:r>
        <w:t>lizar a investigação de tuberculose latente (com teste tuberculínico e radiografia de tórax), de hepatites virais B e C e de infecção pelo HIV (vírus da imunodeficiência humana)</w:t>
      </w:r>
      <w:r>
        <w:rPr>
          <w:position w:val="9"/>
          <w:sz w:val="16"/>
        </w:rPr>
        <w:t>(8)</w:t>
      </w:r>
      <w:r>
        <w:t>. Casos positivos devem ser considerados como especiais e a conduta deve ser</w:t>
      </w:r>
      <w:r>
        <w:t xml:space="preserve"> individualizada. De forma geral, a tuberculose latente pode receber tratamento conjuntamente com o uso de anti-TNF após tempo adequado de quimioprofilaxia. Não há necessidade de repetir o HLA-B27 durante o acompanhamento dos pacientes. Teste tuberculínico</w:t>
      </w:r>
      <w:r>
        <w:t>, radiografia de tórax e sorologias para hepatites B e C e HIV só devem ser repetidos a critério médico.</w:t>
      </w:r>
    </w:p>
    <w:p w:rsidR="00825E87" w:rsidRDefault="00CB188B">
      <w:pPr>
        <w:pStyle w:val="Corpodetexto"/>
        <w:spacing w:before="17" w:line="266" w:lineRule="auto"/>
        <w:ind w:left="227" w:right="398" w:firstLine="708"/>
        <w:jc w:val="both"/>
      </w:pPr>
      <w:r>
        <w:t>Durante o uso de imunossupressores, especialmente os anti-TNF, a eficácia de algumas vacinas, tais como antipneumocócica e contra influenza, pode ser r</w:t>
      </w:r>
      <w:r>
        <w:t>eduzida</w:t>
      </w:r>
      <w:r>
        <w:rPr>
          <w:position w:val="9"/>
          <w:sz w:val="16"/>
        </w:rPr>
        <w:t>(72)</w:t>
      </w:r>
      <w:r>
        <w:t>. O uso de vacinas com vírus vivos (vacina oral contra poliomielite – Sabin, sarampo, varicela, febre amarela e bacilo de Calmette-Guerin – BCG) é contraindicado</w:t>
      </w:r>
      <w:r>
        <w:rPr>
          <w:position w:val="9"/>
          <w:sz w:val="16"/>
        </w:rPr>
        <w:t>(73)</w:t>
      </w:r>
      <w:r>
        <w:t>.</w:t>
      </w:r>
    </w:p>
    <w:p w:rsidR="00825E87" w:rsidRDefault="00825E87">
      <w:pPr>
        <w:pStyle w:val="Corpodetexto"/>
        <w:spacing w:before="8"/>
        <w:ind w:left="0"/>
        <w:rPr>
          <w:sz w:val="28"/>
        </w:rPr>
      </w:pPr>
    </w:p>
    <w:p w:rsidR="00825E87" w:rsidRDefault="00CB188B">
      <w:pPr>
        <w:pStyle w:val="Corpodetexto"/>
        <w:spacing w:after="49"/>
        <w:ind w:left="227"/>
      </w:pPr>
      <w:r>
        <w:rPr>
          <w:b/>
        </w:rPr>
        <w:t xml:space="preserve">Quadro 3 </w:t>
      </w:r>
      <w:r>
        <w:t>- Monitorização dos Principais Efeitos Adversos no Tratamento de EA</w:t>
      </w:r>
    </w:p>
    <w:tbl>
      <w:tblPr>
        <w:tblStyle w:val="TableNormal"/>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2"/>
        <w:gridCol w:w="1986"/>
        <w:gridCol w:w="5759"/>
      </w:tblGrid>
      <w:tr w:rsidR="00825E87">
        <w:trPr>
          <w:trHeight w:val="315"/>
        </w:trPr>
        <w:tc>
          <w:tcPr>
            <w:tcW w:w="1712" w:type="dxa"/>
          </w:tcPr>
          <w:p w:rsidR="00825E87" w:rsidRDefault="00CB188B">
            <w:pPr>
              <w:pStyle w:val="TableParagraph"/>
              <w:spacing w:line="275" w:lineRule="exact"/>
              <w:ind w:left="129"/>
              <w:rPr>
                <w:b/>
                <w:sz w:val="24"/>
              </w:rPr>
            </w:pPr>
            <w:r>
              <w:rPr>
                <w:b/>
                <w:sz w:val="24"/>
              </w:rPr>
              <w:t>Medicamento</w:t>
            </w:r>
          </w:p>
        </w:tc>
        <w:tc>
          <w:tcPr>
            <w:tcW w:w="1986" w:type="dxa"/>
          </w:tcPr>
          <w:p w:rsidR="00825E87" w:rsidRDefault="00CB188B">
            <w:pPr>
              <w:pStyle w:val="TableParagraph"/>
              <w:spacing w:line="275" w:lineRule="exact"/>
              <w:ind w:left="100"/>
              <w:rPr>
                <w:b/>
                <w:sz w:val="24"/>
              </w:rPr>
            </w:pPr>
            <w:r>
              <w:rPr>
                <w:b/>
                <w:sz w:val="24"/>
              </w:rPr>
              <w:t>Avaliação</w:t>
            </w:r>
          </w:p>
        </w:tc>
        <w:tc>
          <w:tcPr>
            <w:tcW w:w="5759" w:type="dxa"/>
          </w:tcPr>
          <w:p w:rsidR="00825E87" w:rsidRDefault="00CB188B">
            <w:pPr>
              <w:pStyle w:val="TableParagraph"/>
              <w:spacing w:line="275" w:lineRule="exact"/>
              <w:ind w:left="99"/>
              <w:rPr>
                <w:b/>
                <w:sz w:val="24"/>
              </w:rPr>
            </w:pPr>
            <w:r>
              <w:rPr>
                <w:b/>
                <w:sz w:val="24"/>
              </w:rPr>
              <w:t>Conduta diante de alterações</w:t>
            </w:r>
          </w:p>
        </w:tc>
      </w:tr>
    </w:tbl>
    <w:p w:rsidR="00825E87" w:rsidRDefault="00825E87">
      <w:pPr>
        <w:spacing w:line="275" w:lineRule="exact"/>
        <w:rPr>
          <w:sz w:val="24"/>
        </w:rPr>
        <w:sectPr w:rsidR="00825E87">
          <w:pgSz w:w="11900" w:h="16840"/>
          <w:pgMar w:top="1100" w:right="880" w:bottom="280" w:left="920" w:header="720" w:footer="720" w:gutter="0"/>
          <w:cols w:space="720"/>
        </w:sectPr>
      </w:pPr>
    </w:p>
    <w:tbl>
      <w:tblPr>
        <w:tblStyle w:val="TableNormal"/>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12"/>
        <w:gridCol w:w="1986"/>
        <w:gridCol w:w="5759"/>
      </w:tblGrid>
      <w:tr w:rsidR="00825E87">
        <w:trPr>
          <w:trHeight w:val="4759"/>
        </w:trPr>
        <w:tc>
          <w:tcPr>
            <w:tcW w:w="1712" w:type="dxa"/>
            <w:tcBorders>
              <w:bottom w:val="single" w:sz="4" w:space="0" w:color="000000"/>
            </w:tcBorders>
          </w:tcPr>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spacing w:before="8"/>
              <w:rPr>
                <w:sz w:val="36"/>
              </w:rPr>
            </w:pPr>
          </w:p>
          <w:p w:rsidR="00825E87" w:rsidRDefault="00CB188B">
            <w:pPr>
              <w:pStyle w:val="TableParagraph"/>
              <w:spacing w:before="1"/>
              <w:ind w:left="129"/>
              <w:rPr>
                <w:sz w:val="24"/>
              </w:rPr>
            </w:pPr>
            <w:r>
              <w:rPr>
                <w:sz w:val="24"/>
              </w:rPr>
              <w:t>Metotrexato</w:t>
            </w:r>
          </w:p>
        </w:tc>
        <w:tc>
          <w:tcPr>
            <w:tcW w:w="1986" w:type="dxa"/>
            <w:tcBorders>
              <w:bottom w:val="single" w:sz="4" w:space="0" w:color="000000"/>
            </w:tcBorders>
          </w:tcPr>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spacing w:before="5"/>
              <w:rPr>
                <w:sz w:val="33"/>
              </w:rPr>
            </w:pPr>
          </w:p>
          <w:p w:rsidR="00825E87" w:rsidRDefault="00CB188B">
            <w:pPr>
              <w:pStyle w:val="TableParagraph"/>
              <w:spacing w:line="276" w:lineRule="auto"/>
              <w:ind w:left="100"/>
              <w:rPr>
                <w:sz w:val="24"/>
              </w:rPr>
            </w:pPr>
            <w:r>
              <w:rPr>
                <w:sz w:val="24"/>
              </w:rPr>
              <w:t>Hemograma, creatinina, AST/TGO e</w:t>
            </w:r>
          </w:p>
          <w:p w:rsidR="00825E87" w:rsidRDefault="00CB188B">
            <w:pPr>
              <w:pStyle w:val="TableParagraph"/>
              <w:spacing w:before="1" w:line="276" w:lineRule="auto"/>
              <w:ind w:left="100" w:right="13"/>
              <w:rPr>
                <w:sz w:val="24"/>
              </w:rPr>
            </w:pPr>
            <w:r>
              <w:rPr>
                <w:sz w:val="24"/>
              </w:rPr>
              <w:t>ALT/TGP a cada 3 meses</w:t>
            </w:r>
          </w:p>
        </w:tc>
        <w:tc>
          <w:tcPr>
            <w:tcW w:w="5759" w:type="dxa"/>
            <w:tcBorders>
              <w:bottom w:val="single" w:sz="4" w:space="0" w:color="000000"/>
            </w:tcBorders>
          </w:tcPr>
          <w:p w:rsidR="00825E87" w:rsidRDefault="00CB188B">
            <w:pPr>
              <w:pStyle w:val="TableParagraph"/>
              <w:numPr>
                <w:ilvl w:val="0"/>
                <w:numId w:val="8"/>
              </w:numPr>
              <w:tabs>
                <w:tab w:val="left" w:pos="239"/>
              </w:tabs>
              <w:spacing w:line="276" w:lineRule="auto"/>
              <w:ind w:right="155" w:firstLine="0"/>
              <w:jc w:val="both"/>
              <w:rPr>
                <w:sz w:val="24"/>
              </w:rPr>
            </w:pPr>
            <w:r>
              <w:rPr>
                <w:sz w:val="24"/>
              </w:rPr>
              <w:t>Anemia, leucopenia ou trombocitopenia novas ou mais acentuadas: reduzir a dose em 25% a 50%; interromper</w:t>
            </w:r>
            <w:r>
              <w:rPr>
                <w:spacing w:val="-10"/>
                <w:sz w:val="24"/>
              </w:rPr>
              <w:t xml:space="preserve"> </w:t>
            </w:r>
            <w:r>
              <w:rPr>
                <w:sz w:val="24"/>
              </w:rPr>
              <w:t>o uso do medicamento se persistirem as</w:t>
            </w:r>
            <w:r>
              <w:rPr>
                <w:spacing w:val="-4"/>
                <w:sz w:val="24"/>
              </w:rPr>
              <w:t xml:space="preserve"> </w:t>
            </w:r>
            <w:r>
              <w:rPr>
                <w:sz w:val="24"/>
              </w:rPr>
              <w:t>alterações.</w:t>
            </w:r>
          </w:p>
          <w:p w:rsidR="00825E87" w:rsidRDefault="00CB188B">
            <w:pPr>
              <w:pStyle w:val="TableParagraph"/>
              <w:numPr>
                <w:ilvl w:val="0"/>
                <w:numId w:val="8"/>
              </w:numPr>
              <w:tabs>
                <w:tab w:val="left" w:pos="239"/>
              </w:tabs>
              <w:spacing w:line="276" w:lineRule="auto"/>
              <w:ind w:right="208" w:firstLine="0"/>
              <w:rPr>
                <w:sz w:val="24"/>
              </w:rPr>
            </w:pPr>
            <w:r>
              <w:rPr>
                <w:sz w:val="24"/>
              </w:rPr>
              <w:t>Elevação de AST/TGO e ALT/TGP entre 1 e 3 vezes</w:t>
            </w:r>
            <w:r>
              <w:rPr>
                <w:spacing w:val="-7"/>
                <w:sz w:val="24"/>
              </w:rPr>
              <w:t xml:space="preserve"> </w:t>
            </w:r>
            <w:r>
              <w:rPr>
                <w:sz w:val="24"/>
              </w:rPr>
              <w:t>o LSN: reduzir a dose em 25% a</w:t>
            </w:r>
            <w:r>
              <w:rPr>
                <w:spacing w:val="-4"/>
                <w:sz w:val="24"/>
              </w:rPr>
              <w:t xml:space="preserve"> </w:t>
            </w:r>
            <w:r>
              <w:rPr>
                <w:sz w:val="24"/>
              </w:rPr>
              <w:t>50%.</w:t>
            </w:r>
          </w:p>
          <w:p w:rsidR="00825E87" w:rsidRDefault="00CB188B">
            <w:pPr>
              <w:pStyle w:val="TableParagraph"/>
              <w:numPr>
                <w:ilvl w:val="0"/>
                <w:numId w:val="8"/>
              </w:numPr>
              <w:tabs>
                <w:tab w:val="left" w:pos="239"/>
              </w:tabs>
              <w:spacing w:line="276" w:lineRule="auto"/>
              <w:ind w:right="16" w:firstLine="0"/>
              <w:rPr>
                <w:sz w:val="24"/>
              </w:rPr>
            </w:pPr>
            <w:r>
              <w:rPr>
                <w:sz w:val="24"/>
              </w:rPr>
              <w:t>Elevação de AST/TGO e ALT/TGP entre 3 e 5 vezes o LSN: suspender o uso do medicamento até AST/TGO e ALT/TGP entre 1 e 3 v</w:t>
            </w:r>
            <w:r>
              <w:rPr>
                <w:sz w:val="24"/>
              </w:rPr>
              <w:t>ezes o LSN e reiniciar com 50%</w:t>
            </w:r>
            <w:r>
              <w:rPr>
                <w:spacing w:val="-13"/>
                <w:sz w:val="24"/>
              </w:rPr>
              <w:t xml:space="preserve"> </w:t>
            </w:r>
            <w:r>
              <w:rPr>
                <w:sz w:val="24"/>
              </w:rPr>
              <w:t>da dose.</w:t>
            </w:r>
          </w:p>
          <w:p w:rsidR="00825E87" w:rsidRDefault="00CB188B">
            <w:pPr>
              <w:pStyle w:val="TableParagraph"/>
              <w:numPr>
                <w:ilvl w:val="0"/>
                <w:numId w:val="8"/>
              </w:numPr>
              <w:tabs>
                <w:tab w:val="left" w:pos="239"/>
              </w:tabs>
              <w:spacing w:line="276" w:lineRule="auto"/>
              <w:ind w:right="175" w:firstLine="0"/>
              <w:rPr>
                <w:sz w:val="24"/>
              </w:rPr>
            </w:pPr>
            <w:r>
              <w:rPr>
                <w:sz w:val="24"/>
              </w:rPr>
              <w:t>Elevação de AST/TGO e ALT/TGP acima de 5 vezes</w:t>
            </w:r>
            <w:r>
              <w:rPr>
                <w:spacing w:val="-8"/>
                <w:sz w:val="24"/>
              </w:rPr>
              <w:t xml:space="preserve"> </w:t>
            </w:r>
            <w:r>
              <w:rPr>
                <w:sz w:val="24"/>
              </w:rPr>
              <w:t>o LSN: interromper o uso do</w:t>
            </w:r>
            <w:r>
              <w:rPr>
                <w:spacing w:val="-1"/>
                <w:sz w:val="24"/>
              </w:rPr>
              <w:t xml:space="preserve"> </w:t>
            </w:r>
            <w:r>
              <w:rPr>
                <w:sz w:val="24"/>
              </w:rPr>
              <w:t>medicamento.</w:t>
            </w:r>
          </w:p>
          <w:p w:rsidR="00825E87" w:rsidRDefault="00CB188B">
            <w:pPr>
              <w:pStyle w:val="TableParagraph"/>
              <w:numPr>
                <w:ilvl w:val="0"/>
                <w:numId w:val="8"/>
              </w:numPr>
              <w:tabs>
                <w:tab w:val="left" w:pos="239"/>
              </w:tabs>
              <w:spacing w:line="278" w:lineRule="auto"/>
              <w:ind w:right="1180" w:firstLine="0"/>
              <w:rPr>
                <w:sz w:val="24"/>
              </w:rPr>
            </w:pPr>
            <w:r>
              <w:rPr>
                <w:sz w:val="24"/>
              </w:rPr>
              <w:t>Depuração de creatinina endógena entre 10 e 50ml/minuto: administrar 50% da</w:t>
            </w:r>
            <w:r>
              <w:rPr>
                <w:spacing w:val="-5"/>
                <w:sz w:val="24"/>
              </w:rPr>
              <w:t xml:space="preserve"> </w:t>
            </w:r>
            <w:r>
              <w:rPr>
                <w:sz w:val="24"/>
              </w:rPr>
              <w:t>dose.</w:t>
            </w:r>
          </w:p>
          <w:p w:rsidR="00825E87" w:rsidRDefault="00CB188B">
            <w:pPr>
              <w:pStyle w:val="TableParagraph"/>
              <w:numPr>
                <w:ilvl w:val="0"/>
                <w:numId w:val="8"/>
              </w:numPr>
              <w:tabs>
                <w:tab w:val="left" w:pos="239"/>
              </w:tabs>
              <w:spacing w:line="272" w:lineRule="exact"/>
              <w:ind w:firstLine="0"/>
              <w:rPr>
                <w:sz w:val="24"/>
              </w:rPr>
            </w:pPr>
            <w:r>
              <w:rPr>
                <w:sz w:val="24"/>
              </w:rPr>
              <w:t>Depuração de creatinina endógena abaixo</w:t>
            </w:r>
            <w:r>
              <w:rPr>
                <w:spacing w:val="-4"/>
                <w:sz w:val="24"/>
              </w:rPr>
              <w:t xml:space="preserve"> </w:t>
            </w:r>
            <w:r>
              <w:rPr>
                <w:sz w:val="24"/>
              </w:rPr>
              <w:t>de</w:t>
            </w:r>
          </w:p>
          <w:p w:rsidR="00825E87" w:rsidRDefault="00CB188B">
            <w:pPr>
              <w:pStyle w:val="TableParagraph"/>
              <w:spacing w:before="33"/>
              <w:ind w:left="99"/>
              <w:rPr>
                <w:sz w:val="24"/>
              </w:rPr>
            </w:pPr>
            <w:r>
              <w:rPr>
                <w:sz w:val="24"/>
              </w:rPr>
              <w:t>10ml/minuto: evitar o uso do medicamento.</w:t>
            </w:r>
          </w:p>
        </w:tc>
      </w:tr>
      <w:tr w:rsidR="00825E87">
        <w:trPr>
          <w:trHeight w:val="3491"/>
        </w:trPr>
        <w:tc>
          <w:tcPr>
            <w:tcW w:w="1712" w:type="dxa"/>
            <w:tcBorders>
              <w:top w:val="single" w:sz="4" w:space="0" w:color="000000"/>
            </w:tcBorders>
          </w:tcPr>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spacing w:before="7"/>
              <w:rPr>
                <w:sz w:val="33"/>
              </w:rPr>
            </w:pPr>
          </w:p>
          <w:p w:rsidR="00825E87" w:rsidRDefault="00CB188B">
            <w:pPr>
              <w:pStyle w:val="TableParagraph"/>
              <w:ind w:left="189"/>
              <w:rPr>
                <w:sz w:val="24"/>
              </w:rPr>
            </w:pPr>
            <w:r>
              <w:rPr>
                <w:sz w:val="24"/>
              </w:rPr>
              <w:t>Sulfassalazina</w:t>
            </w:r>
          </w:p>
        </w:tc>
        <w:tc>
          <w:tcPr>
            <w:tcW w:w="1986" w:type="dxa"/>
            <w:tcBorders>
              <w:top w:val="single" w:sz="4" w:space="0" w:color="000000"/>
            </w:tcBorders>
          </w:tcPr>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CB188B">
            <w:pPr>
              <w:pStyle w:val="TableParagraph"/>
              <w:spacing w:before="208" w:line="278" w:lineRule="auto"/>
              <w:ind w:left="100" w:right="19"/>
              <w:rPr>
                <w:sz w:val="24"/>
              </w:rPr>
            </w:pPr>
            <w:r>
              <w:rPr>
                <w:sz w:val="24"/>
              </w:rPr>
              <w:t>Hemograma, AST/ TGO e</w:t>
            </w:r>
          </w:p>
          <w:p w:rsidR="00825E87" w:rsidRDefault="00CB188B">
            <w:pPr>
              <w:pStyle w:val="TableParagraph"/>
              <w:spacing w:line="276" w:lineRule="auto"/>
              <w:ind w:left="100" w:right="13"/>
              <w:rPr>
                <w:sz w:val="24"/>
              </w:rPr>
            </w:pPr>
            <w:r>
              <w:rPr>
                <w:sz w:val="24"/>
              </w:rPr>
              <w:t>ALT/TGP a cada 3 meses</w:t>
            </w:r>
          </w:p>
        </w:tc>
        <w:tc>
          <w:tcPr>
            <w:tcW w:w="5759" w:type="dxa"/>
            <w:tcBorders>
              <w:top w:val="single" w:sz="4" w:space="0" w:color="000000"/>
            </w:tcBorders>
          </w:tcPr>
          <w:p w:rsidR="00825E87" w:rsidRDefault="00CB188B">
            <w:pPr>
              <w:pStyle w:val="TableParagraph"/>
              <w:numPr>
                <w:ilvl w:val="0"/>
                <w:numId w:val="7"/>
              </w:numPr>
              <w:tabs>
                <w:tab w:val="left" w:pos="239"/>
              </w:tabs>
              <w:spacing w:line="276" w:lineRule="auto"/>
              <w:ind w:right="155" w:firstLine="0"/>
              <w:jc w:val="both"/>
              <w:rPr>
                <w:sz w:val="24"/>
              </w:rPr>
            </w:pPr>
            <w:r>
              <w:rPr>
                <w:sz w:val="24"/>
              </w:rPr>
              <w:t>Anemia, leucopenia ou trombocitopenia novas ou mais acentuadas: reduzir a dose em 25% a 50%; interromper</w:t>
            </w:r>
            <w:r>
              <w:rPr>
                <w:spacing w:val="-10"/>
                <w:sz w:val="24"/>
              </w:rPr>
              <w:t xml:space="preserve"> </w:t>
            </w:r>
            <w:r>
              <w:rPr>
                <w:sz w:val="24"/>
              </w:rPr>
              <w:t>o uso do medicamento se persistirem as</w:t>
            </w:r>
            <w:r>
              <w:rPr>
                <w:spacing w:val="-4"/>
                <w:sz w:val="24"/>
              </w:rPr>
              <w:t xml:space="preserve"> </w:t>
            </w:r>
            <w:r>
              <w:rPr>
                <w:sz w:val="24"/>
              </w:rPr>
              <w:t>alterações.</w:t>
            </w:r>
          </w:p>
          <w:p w:rsidR="00825E87" w:rsidRDefault="00CB188B">
            <w:pPr>
              <w:pStyle w:val="TableParagraph"/>
              <w:numPr>
                <w:ilvl w:val="0"/>
                <w:numId w:val="7"/>
              </w:numPr>
              <w:tabs>
                <w:tab w:val="left" w:pos="239"/>
              </w:tabs>
              <w:spacing w:line="278" w:lineRule="auto"/>
              <w:ind w:right="208" w:firstLine="0"/>
              <w:rPr>
                <w:sz w:val="24"/>
              </w:rPr>
            </w:pPr>
            <w:r>
              <w:rPr>
                <w:sz w:val="24"/>
              </w:rPr>
              <w:t>Elevação de AST/TGO e ALT/TGP entre 1 e 3 vezes</w:t>
            </w:r>
            <w:r>
              <w:rPr>
                <w:spacing w:val="-7"/>
                <w:sz w:val="24"/>
              </w:rPr>
              <w:t xml:space="preserve"> </w:t>
            </w:r>
            <w:r>
              <w:rPr>
                <w:sz w:val="24"/>
              </w:rPr>
              <w:t>o LSN: reduzir a dose em 25% a</w:t>
            </w:r>
            <w:r>
              <w:rPr>
                <w:spacing w:val="-4"/>
                <w:sz w:val="24"/>
              </w:rPr>
              <w:t xml:space="preserve"> </w:t>
            </w:r>
            <w:r>
              <w:rPr>
                <w:sz w:val="24"/>
              </w:rPr>
              <w:t>50%.</w:t>
            </w:r>
          </w:p>
          <w:p w:rsidR="00825E87" w:rsidRDefault="00CB188B">
            <w:pPr>
              <w:pStyle w:val="TableParagraph"/>
              <w:numPr>
                <w:ilvl w:val="0"/>
                <w:numId w:val="7"/>
              </w:numPr>
              <w:tabs>
                <w:tab w:val="left" w:pos="239"/>
              </w:tabs>
              <w:spacing w:line="276" w:lineRule="auto"/>
              <w:ind w:right="16" w:firstLine="0"/>
              <w:rPr>
                <w:sz w:val="24"/>
              </w:rPr>
            </w:pPr>
            <w:r>
              <w:rPr>
                <w:sz w:val="24"/>
              </w:rPr>
              <w:t>Elevação de AST/TGO e ALT/TGP entre 3 e 5 vezes o LSN: suspender o uso do medicamento até AST/TGO e ALT/TGP entre 1 e 3 vezes o LSN e reiniciar com 50%</w:t>
            </w:r>
            <w:r>
              <w:rPr>
                <w:spacing w:val="-13"/>
                <w:sz w:val="24"/>
              </w:rPr>
              <w:t xml:space="preserve"> </w:t>
            </w:r>
            <w:r>
              <w:rPr>
                <w:sz w:val="24"/>
              </w:rPr>
              <w:t>da dose.</w:t>
            </w:r>
          </w:p>
          <w:p w:rsidR="00825E87" w:rsidRDefault="00CB188B">
            <w:pPr>
              <w:pStyle w:val="TableParagraph"/>
              <w:numPr>
                <w:ilvl w:val="0"/>
                <w:numId w:val="7"/>
              </w:numPr>
              <w:tabs>
                <w:tab w:val="left" w:pos="239"/>
              </w:tabs>
              <w:ind w:firstLine="0"/>
              <w:rPr>
                <w:sz w:val="24"/>
              </w:rPr>
            </w:pPr>
            <w:r>
              <w:rPr>
                <w:sz w:val="24"/>
              </w:rPr>
              <w:t>Elevação de AST/TGO e ALT/TGP acima de 5 vezes</w:t>
            </w:r>
            <w:r>
              <w:rPr>
                <w:spacing w:val="-7"/>
                <w:sz w:val="24"/>
              </w:rPr>
              <w:t xml:space="preserve"> </w:t>
            </w:r>
            <w:r>
              <w:rPr>
                <w:sz w:val="24"/>
              </w:rPr>
              <w:t>o</w:t>
            </w:r>
          </w:p>
          <w:p w:rsidR="00825E87" w:rsidRDefault="00CB188B">
            <w:pPr>
              <w:pStyle w:val="TableParagraph"/>
              <w:spacing w:before="32"/>
              <w:ind w:left="99"/>
              <w:rPr>
                <w:sz w:val="24"/>
              </w:rPr>
            </w:pPr>
            <w:r>
              <w:rPr>
                <w:sz w:val="24"/>
              </w:rPr>
              <w:t>LSN: interromper o uso do medicamento.</w:t>
            </w:r>
          </w:p>
        </w:tc>
      </w:tr>
      <w:tr w:rsidR="00825E87">
        <w:trPr>
          <w:trHeight w:val="3491"/>
        </w:trPr>
        <w:tc>
          <w:tcPr>
            <w:tcW w:w="1712" w:type="dxa"/>
            <w:tcBorders>
              <w:bottom w:val="single" w:sz="4" w:space="0" w:color="000000"/>
            </w:tcBorders>
          </w:tcPr>
          <w:p w:rsidR="00825E87" w:rsidRDefault="00825E87">
            <w:pPr>
              <w:pStyle w:val="TableParagraph"/>
              <w:rPr>
                <w:sz w:val="26"/>
              </w:rPr>
            </w:pPr>
          </w:p>
          <w:p w:rsidR="00825E87" w:rsidRDefault="00CB188B">
            <w:pPr>
              <w:pStyle w:val="TableParagraph"/>
              <w:spacing w:before="172" w:line="276" w:lineRule="auto"/>
              <w:ind w:left="129" w:right="10" w:firstLine="60"/>
              <w:rPr>
                <w:sz w:val="24"/>
              </w:rPr>
            </w:pPr>
            <w:r>
              <w:rPr>
                <w:sz w:val="24"/>
              </w:rPr>
              <w:t>Etanercepte, Adalimumabe, Infliximabe, Golimumabe*, Certolizumabe Pegol* ou Secuquinumabe</w:t>
            </w:r>
          </w:p>
          <w:p w:rsidR="00825E87" w:rsidRDefault="00CB188B">
            <w:pPr>
              <w:pStyle w:val="TableParagraph"/>
              <w:spacing w:before="1"/>
              <w:ind w:left="129"/>
              <w:rPr>
                <w:sz w:val="24"/>
              </w:rPr>
            </w:pPr>
            <w:r>
              <w:rPr>
                <w:sz w:val="24"/>
              </w:rPr>
              <w:t>*</w:t>
            </w:r>
          </w:p>
        </w:tc>
        <w:tc>
          <w:tcPr>
            <w:tcW w:w="1986" w:type="dxa"/>
            <w:tcBorders>
              <w:bottom w:val="single" w:sz="4" w:space="0" w:color="000000"/>
            </w:tcBorders>
          </w:tcPr>
          <w:p w:rsidR="00825E87" w:rsidRDefault="00825E87">
            <w:pPr>
              <w:pStyle w:val="TableParagraph"/>
              <w:rPr>
                <w:sz w:val="26"/>
              </w:rPr>
            </w:pPr>
          </w:p>
          <w:p w:rsidR="00825E87" w:rsidRDefault="00825E87">
            <w:pPr>
              <w:pStyle w:val="TableParagraph"/>
              <w:rPr>
                <w:sz w:val="26"/>
              </w:rPr>
            </w:pPr>
          </w:p>
          <w:p w:rsidR="00825E87" w:rsidRDefault="00825E87">
            <w:pPr>
              <w:pStyle w:val="TableParagraph"/>
              <w:rPr>
                <w:sz w:val="26"/>
              </w:rPr>
            </w:pPr>
          </w:p>
          <w:p w:rsidR="00825E87" w:rsidRDefault="00825E87">
            <w:pPr>
              <w:pStyle w:val="TableParagraph"/>
              <w:spacing w:before="10"/>
              <w:rPr>
                <w:sz w:val="31"/>
              </w:rPr>
            </w:pPr>
          </w:p>
          <w:p w:rsidR="00825E87" w:rsidRDefault="00CB188B">
            <w:pPr>
              <w:pStyle w:val="TableParagraph"/>
              <w:spacing w:line="278" w:lineRule="auto"/>
              <w:ind w:left="100" w:right="19"/>
              <w:rPr>
                <w:sz w:val="24"/>
              </w:rPr>
            </w:pPr>
            <w:r>
              <w:rPr>
                <w:sz w:val="24"/>
              </w:rPr>
              <w:t>Hemograma, AST/ TGO e ALT/TGP</w:t>
            </w:r>
          </w:p>
          <w:p w:rsidR="00825E87" w:rsidRDefault="00CB188B">
            <w:pPr>
              <w:pStyle w:val="TableParagraph"/>
              <w:spacing w:line="272" w:lineRule="exact"/>
              <w:ind w:left="100"/>
              <w:rPr>
                <w:sz w:val="24"/>
              </w:rPr>
            </w:pPr>
            <w:r>
              <w:rPr>
                <w:sz w:val="24"/>
              </w:rPr>
              <w:t>a cada 3 meses</w:t>
            </w:r>
          </w:p>
        </w:tc>
        <w:tc>
          <w:tcPr>
            <w:tcW w:w="5759" w:type="dxa"/>
            <w:tcBorders>
              <w:bottom w:val="single" w:sz="4" w:space="0" w:color="000000"/>
            </w:tcBorders>
          </w:tcPr>
          <w:p w:rsidR="00825E87" w:rsidRDefault="00CB188B">
            <w:pPr>
              <w:pStyle w:val="TableParagraph"/>
              <w:numPr>
                <w:ilvl w:val="0"/>
                <w:numId w:val="6"/>
              </w:numPr>
              <w:tabs>
                <w:tab w:val="left" w:pos="280"/>
              </w:tabs>
              <w:spacing w:line="276" w:lineRule="auto"/>
              <w:ind w:right="114" w:firstLine="0"/>
              <w:jc w:val="both"/>
              <w:rPr>
                <w:sz w:val="24"/>
              </w:rPr>
            </w:pPr>
            <w:r>
              <w:rPr>
                <w:sz w:val="24"/>
              </w:rPr>
              <w:t>Anemia, leucopenia ou trombocitopenia novas ou mais acentuadas: reduzir a dose em 25% a 50%; interromper</w:t>
            </w:r>
            <w:r>
              <w:rPr>
                <w:spacing w:val="-10"/>
                <w:sz w:val="24"/>
              </w:rPr>
              <w:t xml:space="preserve"> </w:t>
            </w:r>
            <w:r>
              <w:rPr>
                <w:sz w:val="24"/>
              </w:rPr>
              <w:t>o uso do medicamento se persistirem as</w:t>
            </w:r>
            <w:r>
              <w:rPr>
                <w:spacing w:val="-4"/>
                <w:sz w:val="24"/>
              </w:rPr>
              <w:t xml:space="preserve"> </w:t>
            </w:r>
            <w:r>
              <w:rPr>
                <w:sz w:val="24"/>
              </w:rPr>
              <w:t>alterações.</w:t>
            </w:r>
          </w:p>
          <w:p w:rsidR="00825E87" w:rsidRDefault="00CB188B">
            <w:pPr>
              <w:pStyle w:val="TableParagraph"/>
              <w:numPr>
                <w:ilvl w:val="0"/>
                <w:numId w:val="6"/>
              </w:numPr>
              <w:tabs>
                <w:tab w:val="left" w:pos="280"/>
              </w:tabs>
              <w:spacing w:line="276" w:lineRule="auto"/>
              <w:ind w:right="166" w:firstLine="0"/>
              <w:rPr>
                <w:sz w:val="24"/>
              </w:rPr>
            </w:pPr>
            <w:r>
              <w:rPr>
                <w:sz w:val="24"/>
              </w:rPr>
              <w:t>Elevação de AST/TGO e ALT/TGP entre 1 e 3 vezes o LSN: reduzir a dose em 25% a</w:t>
            </w:r>
            <w:r>
              <w:rPr>
                <w:spacing w:val="-4"/>
                <w:sz w:val="24"/>
              </w:rPr>
              <w:t xml:space="preserve"> </w:t>
            </w:r>
            <w:r>
              <w:rPr>
                <w:sz w:val="24"/>
              </w:rPr>
              <w:t>50%.</w:t>
            </w:r>
          </w:p>
          <w:p w:rsidR="00825E87" w:rsidRDefault="00CB188B">
            <w:pPr>
              <w:pStyle w:val="TableParagraph"/>
              <w:numPr>
                <w:ilvl w:val="0"/>
                <w:numId w:val="6"/>
              </w:numPr>
              <w:tabs>
                <w:tab w:val="left" w:pos="280"/>
              </w:tabs>
              <w:spacing w:line="276" w:lineRule="auto"/>
              <w:ind w:right="167" w:firstLine="0"/>
              <w:rPr>
                <w:sz w:val="24"/>
              </w:rPr>
            </w:pPr>
            <w:r>
              <w:rPr>
                <w:sz w:val="24"/>
              </w:rPr>
              <w:t>Elevação de AST/</w:t>
            </w:r>
            <w:r>
              <w:rPr>
                <w:sz w:val="24"/>
              </w:rPr>
              <w:t>TGO e ALT/TGP entre 3 e 5 vezes</w:t>
            </w:r>
            <w:r>
              <w:rPr>
                <w:spacing w:val="-7"/>
                <w:sz w:val="24"/>
              </w:rPr>
              <w:t xml:space="preserve"> </w:t>
            </w:r>
            <w:r>
              <w:rPr>
                <w:sz w:val="24"/>
              </w:rPr>
              <w:t>o LSN: suspender o uso do medicamento até AST/TGO e ALT/TGP entre 1 e 3 vezes o LSN e reiniciar com 50% da</w:t>
            </w:r>
            <w:r>
              <w:rPr>
                <w:spacing w:val="-2"/>
                <w:sz w:val="24"/>
              </w:rPr>
              <w:t xml:space="preserve"> </w:t>
            </w:r>
            <w:r>
              <w:rPr>
                <w:sz w:val="24"/>
              </w:rPr>
              <w:t>dose.</w:t>
            </w:r>
          </w:p>
          <w:p w:rsidR="00825E87" w:rsidRDefault="00CB188B">
            <w:pPr>
              <w:pStyle w:val="TableParagraph"/>
              <w:numPr>
                <w:ilvl w:val="0"/>
                <w:numId w:val="6"/>
              </w:numPr>
              <w:tabs>
                <w:tab w:val="left" w:pos="280"/>
              </w:tabs>
              <w:ind w:firstLine="0"/>
              <w:rPr>
                <w:sz w:val="24"/>
              </w:rPr>
            </w:pPr>
            <w:r>
              <w:rPr>
                <w:sz w:val="24"/>
              </w:rPr>
              <w:t>Elevação de AST/TGO e ALT/TGP acima de 5 vezes</w:t>
            </w:r>
            <w:r>
              <w:rPr>
                <w:spacing w:val="-5"/>
                <w:sz w:val="24"/>
              </w:rPr>
              <w:t xml:space="preserve"> </w:t>
            </w:r>
            <w:r>
              <w:rPr>
                <w:sz w:val="24"/>
              </w:rPr>
              <w:t>o</w:t>
            </w:r>
          </w:p>
          <w:p w:rsidR="00825E87" w:rsidRDefault="00CB188B">
            <w:pPr>
              <w:pStyle w:val="TableParagraph"/>
              <w:spacing w:before="37"/>
              <w:ind w:left="140"/>
              <w:rPr>
                <w:sz w:val="24"/>
              </w:rPr>
            </w:pPr>
            <w:r>
              <w:rPr>
                <w:sz w:val="24"/>
              </w:rPr>
              <w:t>LSN: interromper o uso do medicamento.</w:t>
            </w:r>
          </w:p>
        </w:tc>
      </w:tr>
    </w:tbl>
    <w:p w:rsidR="00825E87" w:rsidRDefault="00CB188B">
      <w:pPr>
        <w:pStyle w:val="Corpodetexto"/>
        <w:spacing w:before="3"/>
      </w:pPr>
      <w:r>
        <w:t>*Aprovado apenas para pacientes adultos.</w:t>
      </w:r>
    </w:p>
    <w:p w:rsidR="00825E87" w:rsidRDefault="00825E87">
      <w:pPr>
        <w:pStyle w:val="Corpodetexto"/>
        <w:ind w:left="0"/>
        <w:rPr>
          <w:sz w:val="26"/>
        </w:rPr>
      </w:pPr>
    </w:p>
    <w:p w:rsidR="00825E87" w:rsidRDefault="00CB188B">
      <w:pPr>
        <w:pStyle w:val="Ttulo1"/>
        <w:spacing w:before="162"/>
      </w:pPr>
      <w:r>
        <w:t>8.1 ACOMPANHAMENTO PÓS-TRATAMENTO</w:t>
      </w:r>
    </w:p>
    <w:p w:rsidR="00825E87" w:rsidRDefault="00CB188B">
      <w:pPr>
        <w:pStyle w:val="Corpodetexto"/>
        <w:spacing w:before="21" w:line="268" w:lineRule="auto"/>
        <w:ind w:left="227" w:right="393" w:firstLine="708"/>
        <w:jc w:val="both"/>
      </w:pPr>
      <w:r>
        <w:t>O tempo de tratamento de EA é imprevisível</w:t>
      </w:r>
      <w:r>
        <w:rPr>
          <w:position w:val="9"/>
          <w:sz w:val="16"/>
        </w:rPr>
        <w:t>(8)</w:t>
      </w:r>
      <w:r>
        <w:t>. Nos raros casos de remissão após interrupção de tratamento, revisões anuais podem ser adotadas</w:t>
      </w:r>
      <w:r>
        <w:rPr>
          <w:position w:val="9"/>
          <w:sz w:val="16"/>
        </w:rPr>
        <w:t>(67)</w:t>
      </w:r>
      <w:r>
        <w:t>. Nessas consultas, além da históri</w:t>
      </w:r>
      <w:r>
        <w:t>a e do exame físico, exames como velocidade de hemossedimentação e proteína C reativa</w:t>
      </w:r>
    </w:p>
    <w:p w:rsidR="00825E87" w:rsidRDefault="00825E87">
      <w:pPr>
        <w:spacing w:line="268" w:lineRule="auto"/>
        <w:jc w:val="both"/>
        <w:sectPr w:rsidR="00825E87">
          <w:pgSz w:w="11900" w:h="16840"/>
          <w:pgMar w:top="1180" w:right="880" w:bottom="280" w:left="920" w:header="720" w:footer="720" w:gutter="0"/>
          <w:cols w:space="720"/>
        </w:sectPr>
      </w:pPr>
    </w:p>
    <w:p w:rsidR="00825E87" w:rsidRDefault="00CB188B">
      <w:pPr>
        <w:pStyle w:val="Corpodetexto"/>
        <w:spacing w:before="63" w:line="276" w:lineRule="auto"/>
        <w:ind w:left="227" w:right="627"/>
      </w:pPr>
      <w:r>
        <w:lastRenderedPageBreak/>
        <w:t>podem ser solicitados. Se houver recidiva, retoma-se o tratamento segundo as recomendações deste Protocolo.</w:t>
      </w:r>
    </w:p>
    <w:p w:rsidR="00825E87" w:rsidRDefault="00825E87">
      <w:pPr>
        <w:pStyle w:val="Corpodetexto"/>
        <w:spacing w:before="8"/>
        <w:ind w:left="0"/>
        <w:rPr>
          <w:sz w:val="27"/>
        </w:rPr>
      </w:pPr>
    </w:p>
    <w:p w:rsidR="00825E87" w:rsidRDefault="00CB188B">
      <w:pPr>
        <w:pStyle w:val="Ttulo1"/>
        <w:numPr>
          <w:ilvl w:val="0"/>
          <w:numId w:val="13"/>
        </w:numPr>
        <w:tabs>
          <w:tab w:val="left" w:pos="408"/>
        </w:tabs>
        <w:spacing w:line="275" w:lineRule="exact"/>
        <w:ind w:firstLine="0"/>
      </w:pPr>
      <w:r>
        <w:t>REGULAÇÃO/CONTROLE/AVALIAÇÃO PELO</w:t>
      </w:r>
      <w:r>
        <w:rPr>
          <w:spacing w:val="-1"/>
        </w:rPr>
        <w:t xml:space="preserve"> </w:t>
      </w:r>
      <w:r>
        <w:t>GESTOR</w:t>
      </w:r>
    </w:p>
    <w:p w:rsidR="00825E87" w:rsidRDefault="00CB188B">
      <w:pPr>
        <w:pStyle w:val="Corpodetexto"/>
        <w:spacing w:line="276" w:lineRule="auto"/>
        <w:ind w:left="227" w:right="378" w:firstLine="566"/>
        <w:jc w:val="both"/>
      </w:pPr>
      <w:r>
        <w:t>Doentes de EA devem ser atendidos por equipe em serviço especializado, que conte com reumatologista, para seu adequado diagnóstico, inclusão no tratamento e acompanhamento. Como o controle dessa doença exige experiência e familiaridade com manifestações cl</w:t>
      </w:r>
      <w:r>
        <w:t>ínicas próprias, convém que o médico responsável tenha experiência e seja treinado nesse atendimento.</w:t>
      </w:r>
    </w:p>
    <w:p w:rsidR="00825E87" w:rsidRDefault="00CB188B">
      <w:pPr>
        <w:pStyle w:val="Corpodetexto"/>
        <w:spacing w:line="276" w:lineRule="auto"/>
        <w:ind w:left="227" w:right="377" w:firstLine="566"/>
        <w:jc w:val="both"/>
      </w:pPr>
      <w:r>
        <w:t>Assim, devem ser observados os critérios de inclusão e exclusão de doentes neste Protocolo, a duração e a monitorização do tratamento, bem como para a ver</w:t>
      </w:r>
      <w:r>
        <w:t>ificação periódica das doses de medicamento(s) prescritas e dispensadas e da adequação de uso e do acompanhamento pós- tratamento.</w:t>
      </w:r>
    </w:p>
    <w:p w:rsidR="00825E87" w:rsidRDefault="00CB188B">
      <w:pPr>
        <w:pStyle w:val="Corpodetexto"/>
        <w:spacing w:line="276" w:lineRule="auto"/>
        <w:ind w:left="227" w:right="403" w:firstLine="566"/>
        <w:jc w:val="both"/>
      </w:pPr>
      <w:r>
        <w:t>Deve-se verificar na Relação Nacional de Medicamentos Essenciais (RENAME) vigente em qual componente da assistência farmacêut</w:t>
      </w:r>
      <w:r>
        <w:t>ica se encontram os medicamentos preconizados neste Protocolo.</w:t>
      </w:r>
    </w:p>
    <w:p w:rsidR="00825E87" w:rsidRDefault="00CB188B">
      <w:pPr>
        <w:pStyle w:val="Corpodetexto"/>
        <w:spacing w:line="276" w:lineRule="auto"/>
        <w:ind w:left="227" w:right="405" w:firstLine="566"/>
        <w:jc w:val="both"/>
      </w:pPr>
      <w:r>
        <w:t>Para a administração dos medicamentos biológicos intravenosos, é essencial o atendimento centralizado para maior racionalidade do uso e avaliação da efetividade dos medicamentos.</w:t>
      </w:r>
    </w:p>
    <w:p w:rsidR="00825E87" w:rsidRDefault="00CB188B">
      <w:pPr>
        <w:pStyle w:val="Corpodetexto"/>
        <w:spacing w:line="276" w:lineRule="auto"/>
        <w:ind w:right="762" w:firstLine="566"/>
      </w:pPr>
      <w:r>
        <w:t>A administraçã</w:t>
      </w:r>
      <w:r>
        <w:t>o intra-articular de metilprednisolona é compatível com o procedimento 03.03.09.003-0 - Infiltração de substâncias em cavidade sinovial, da Tabela de Procedimentos, Medicamentos, Órteses, Próteses e Materiais Especiais do Sistema Único de Saúde (SUS).</w:t>
      </w:r>
    </w:p>
    <w:p w:rsidR="00825E87" w:rsidRDefault="00825E87">
      <w:pPr>
        <w:pStyle w:val="Corpodetexto"/>
        <w:spacing w:before="8"/>
        <w:ind w:left="0"/>
        <w:rPr>
          <w:sz w:val="27"/>
        </w:rPr>
      </w:pPr>
    </w:p>
    <w:p w:rsidR="00825E87" w:rsidRDefault="00CB188B">
      <w:pPr>
        <w:pStyle w:val="Ttulo1"/>
        <w:numPr>
          <w:ilvl w:val="0"/>
          <w:numId w:val="13"/>
        </w:numPr>
        <w:tabs>
          <w:tab w:val="left" w:pos="528"/>
        </w:tabs>
        <w:spacing w:line="275" w:lineRule="exact"/>
        <w:ind w:left="527" w:hanging="307"/>
      </w:pPr>
      <w:r>
        <w:t>TERMO DE ESCLARECIMENTO E RESPONSABILIDADE -</w:t>
      </w:r>
      <w:r>
        <w:rPr>
          <w:spacing w:val="1"/>
        </w:rPr>
        <w:t xml:space="preserve"> </w:t>
      </w:r>
      <w:r>
        <w:t>TER</w:t>
      </w:r>
    </w:p>
    <w:p w:rsidR="00825E87" w:rsidRDefault="00CB188B">
      <w:pPr>
        <w:pStyle w:val="Corpodetexto"/>
        <w:spacing w:line="276" w:lineRule="auto"/>
        <w:ind w:left="227" w:right="400" w:firstLine="566"/>
        <w:jc w:val="both"/>
      </w:pPr>
      <w:r>
        <w:t>Deve-se cientificar o paciente, ou seu responsável legal, sobre os potenciais riscos, benefícios e efeitos adversos relacionados ao uso dos medicamentos preconizados neste Protocolo, levando-se em consideraç</w:t>
      </w:r>
      <w:r>
        <w:t>ão as informações contidas no</w:t>
      </w:r>
      <w:r>
        <w:rPr>
          <w:spacing w:val="-1"/>
        </w:rPr>
        <w:t xml:space="preserve"> </w:t>
      </w:r>
      <w:r>
        <w:t>TER.</w:t>
      </w:r>
    </w:p>
    <w:p w:rsidR="00825E87" w:rsidRDefault="00825E87">
      <w:pPr>
        <w:pStyle w:val="Corpodetexto"/>
        <w:spacing w:before="8"/>
        <w:ind w:left="0"/>
        <w:rPr>
          <w:sz w:val="20"/>
        </w:rPr>
      </w:pPr>
    </w:p>
    <w:p w:rsidR="00825E87" w:rsidRDefault="00CB188B">
      <w:pPr>
        <w:pStyle w:val="Ttulo1"/>
        <w:numPr>
          <w:ilvl w:val="0"/>
          <w:numId w:val="13"/>
        </w:numPr>
        <w:tabs>
          <w:tab w:val="left" w:pos="940"/>
          <w:tab w:val="left" w:pos="941"/>
        </w:tabs>
        <w:spacing w:line="272" w:lineRule="exact"/>
        <w:ind w:left="940" w:hanging="720"/>
      </w:pPr>
      <w:r>
        <w:t>REFERÊNCIAS</w:t>
      </w:r>
    </w:p>
    <w:p w:rsidR="00825E87" w:rsidRDefault="00CB188B">
      <w:pPr>
        <w:pStyle w:val="PargrafodaLista"/>
        <w:numPr>
          <w:ilvl w:val="0"/>
          <w:numId w:val="5"/>
        </w:numPr>
        <w:tabs>
          <w:tab w:val="left" w:pos="504"/>
        </w:tabs>
        <w:spacing w:before="3" w:line="232" w:lineRule="auto"/>
        <w:ind w:right="944" w:firstLine="0"/>
        <w:rPr>
          <w:sz w:val="24"/>
        </w:rPr>
      </w:pPr>
      <w:r>
        <w:rPr>
          <w:sz w:val="24"/>
        </w:rPr>
        <w:t xml:space="preserve">Conde RA, Sampaio-Barros PD, Donadi EA, Kraemer MHS, Persoli </w:t>
      </w:r>
      <w:r>
        <w:rPr>
          <w:spacing w:val="-3"/>
          <w:sz w:val="24"/>
        </w:rPr>
        <w:t xml:space="preserve">L, </w:t>
      </w:r>
      <w:r>
        <w:rPr>
          <w:sz w:val="24"/>
        </w:rPr>
        <w:t xml:space="preserve">Coimbra </w:t>
      </w:r>
      <w:r>
        <w:rPr>
          <w:spacing w:val="-2"/>
          <w:sz w:val="24"/>
        </w:rPr>
        <w:t xml:space="preserve">IB, </w:t>
      </w:r>
      <w:r>
        <w:rPr>
          <w:sz w:val="24"/>
        </w:rPr>
        <w:t xml:space="preserve">et al. </w:t>
      </w:r>
      <w:r w:rsidRPr="00CB188B">
        <w:rPr>
          <w:sz w:val="24"/>
          <w:lang w:val="en-US"/>
        </w:rPr>
        <w:t xml:space="preserve">Frequency of the HLA-B27 alleles in Brazilian patients with AS. </w:t>
      </w:r>
      <w:r>
        <w:rPr>
          <w:sz w:val="24"/>
        </w:rPr>
        <w:t>J Rheumatol. 2003 Nov;30(11):2512.</w:t>
      </w:r>
    </w:p>
    <w:p w:rsidR="00825E87" w:rsidRPr="00CB188B" w:rsidRDefault="00CB188B">
      <w:pPr>
        <w:pStyle w:val="PargrafodaLista"/>
        <w:numPr>
          <w:ilvl w:val="0"/>
          <w:numId w:val="5"/>
        </w:numPr>
        <w:tabs>
          <w:tab w:val="left" w:pos="504"/>
        </w:tabs>
        <w:spacing w:before="4" w:line="237" w:lineRule="auto"/>
        <w:ind w:right="1211" w:firstLine="0"/>
        <w:rPr>
          <w:sz w:val="24"/>
          <w:lang w:val="en-US"/>
        </w:rPr>
      </w:pPr>
      <w:r w:rsidRPr="00CB188B">
        <w:rPr>
          <w:sz w:val="24"/>
          <w:lang w:val="en-US"/>
        </w:rPr>
        <w:t>Sampaio-Barros PD. Epidemiology of Spondyloarthritis in Brazil. Am J Med Sci.</w:t>
      </w:r>
      <w:r w:rsidRPr="00CB188B">
        <w:rPr>
          <w:spacing w:val="-18"/>
          <w:sz w:val="24"/>
          <w:lang w:val="en-US"/>
        </w:rPr>
        <w:t xml:space="preserve"> </w:t>
      </w:r>
      <w:r w:rsidRPr="00CB188B">
        <w:rPr>
          <w:sz w:val="24"/>
          <w:lang w:val="en-US"/>
        </w:rPr>
        <w:t>2011 Apr;341(4):287–8.</w:t>
      </w:r>
    </w:p>
    <w:p w:rsidR="00825E87" w:rsidRDefault="00CB188B">
      <w:pPr>
        <w:pStyle w:val="PargrafodaLista"/>
        <w:numPr>
          <w:ilvl w:val="0"/>
          <w:numId w:val="5"/>
        </w:numPr>
        <w:tabs>
          <w:tab w:val="left" w:pos="504"/>
        </w:tabs>
        <w:spacing w:before="10" w:line="235" w:lineRule="auto"/>
        <w:ind w:right="402" w:firstLine="0"/>
        <w:rPr>
          <w:sz w:val="24"/>
        </w:rPr>
      </w:pPr>
      <w:r w:rsidRPr="00CB188B">
        <w:rPr>
          <w:sz w:val="24"/>
          <w:lang w:val="en-US"/>
        </w:rPr>
        <w:t>Gehlen M, Regis KC, Skare TL. Demographic, clinical, laboratory and treatment characteristics of spondyloarthritis patients with and without acute anterior</w:t>
      </w:r>
      <w:r w:rsidRPr="00CB188B">
        <w:rPr>
          <w:sz w:val="24"/>
          <w:lang w:val="en-US"/>
        </w:rPr>
        <w:t xml:space="preserve"> uveitis. </w:t>
      </w:r>
      <w:r>
        <w:rPr>
          <w:sz w:val="24"/>
        </w:rPr>
        <w:t>Sao Paulo Med J. 2012;130(3):141–4.</w:t>
      </w:r>
    </w:p>
    <w:p w:rsidR="00825E87" w:rsidRDefault="00CB188B">
      <w:pPr>
        <w:pStyle w:val="PargrafodaLista"/>
        <w:numPr>
          <w:ilvl w:val="0"/>
          <w:numId w:val="5"/>
        </w:numPr>
        <w:tabs>
          <w:tab w:val="left" w:pos="504"/>
        </w:tabs>
        <w:spacing w:before="9" w:line="235" w:lineRule="auto"/>
        <w:ind w:right="397" w:firstLine="0"/>
        <w:jc w:val="both"/>
        <w:rPr>
          <w:sz w:val="24"/>
        </w:rPr>
      </w:pPr>
      <w:r>
        <w:rPr>
          <w:sz w:val="24"/>
        </w:rPr>
        <w:t xml:space="preserve">Skare TL, Leite N, Bortoluzzo AB, Gonçalves CR, da Silva JAB, Ximenes AC, et al. </w:t>
      </w:r>
      <w:r w:rsidRPr="00CB188B">
        <w:rPr>
          <w:sz w:val="24"/>
          <w:lang w:val="en-US"/>
        </w:rPr>
        <w:t xml:space="preserve">Effect of age at disease onset in the clinical profile of spondyloarthritis: a study of 1424 Brazilian patients. </w:t>
      </w:r>
      <w:r>
        <w:rPr>
          <w:sz w:val="24"/>
        </w:rPr>
        <w:t>Clin Exp Rheumat</w:t>
      </w:r>
      <w:r>
        <w:rPr>
          <w:sz w:val="24"/>
        </w:rPr>
        <w:t>ol. 2012;</w:t>
      </w:r>
      <w:r>
        <w:rPr>
          <w:spacing w:val="-1"/>
          <w:sz w:val="24"/>
        </w:rPr>
        <w:t xml:space="preserve"> </w:t>
      </w:r>
      <w:r>
        <w:rPr>
          <w:sz w:val="24"/>
        </w:rPr>
        <w:t>30(3):351–7.</w:t>
      </w:r>
    </w:p>
    <w:p w:rsidR="00825E87" w:rsidRDefault="00CB188B">
      <w:pPr>
        <w:pStyle w:val="PargrafodaLista"/>
        <w:numPr>
          <w:ilvl w:val="0"/>
          <w:numId w:val="5"/>
        </w:numPr>
        <w:tabs>
          <w:tab w:val="left" w:pos="504"/>
        </w:tabs>
        <w:spacing w:line="237" w:lineRule="auto"/>
        <w:ind w:right="1344" w:firstLine="0"/>
        <w:rPr>
          <w:sz w:val="24"/>
        </w:rPr>
      </w:pPr>
      <w:r w:rsidRPr="00CB188B">
        <w:rPr>
          <w:sz w:val="24"/>
          <w:lang w:val="en-US"/>
        </w:rPr>
        <w:t>Yu, David T; Tubergen A. Clinical manifestations of ankylosing spondylitis in</w:t>
      </w:r>
      <w:r w:rsidRPr="00CB188B">
        <w:rPr>
          <w:spacing w:val="-15"/>
          <w:sz w:val="24"/>
          <w:lang w:val="en-US"/>
        </w:rPr>
        <w:t xml:space="preserve"> </w:t>
      </w:r>
      <w:r w:rsidRPr="00CB188B">
        <w:rPr>
          <w:sz w:val="24"/>
          <w:lang w:val="en-US"/>
        </w:rPr>
        <w:t xml:space="preserve">adults. </w:t>
      </w:r>
      <w:r>
        <w:rPr>
          <w:sz w:val="24"/>
        </w:rPr>
        <w:t>UpToDate.</w:t>
      </w:r>
      <w:r>
        <w:rPr>
          <w:spacing w:val="-1"/>
          <w:sz w:val="24"/>
        </w:rPr>
        <w:t xml:space="preserve"> </w:t>
      </w:r>
      <w:r>
        <w:rPr>
          <w:sz w:val="24"/>
        </w:rPr>
        <w:t>2015.</w:t>
      </w:r>
    </w:p>
    <w:p w:rsidR="00825E87" w:rsidRDefault="00CB188B">
      <w:pPr>
        <w:pStyle w:val="PargrafodaLista"/>
        <w:numPr>
          <w:ilvl w:val="0"/>
          <w:numId w:val="5"/>
        </w:numPr>
        <w:tabs>
          <w:tab w:val="left" w:pos="504"/>
        </w:tabs>
        <w:spacing w:before="11" w:line="237" w:lineRule="auto"/>
        <w:ind w:right="376" w:firstLine="0"/>
        <w:jc w:val="both"/>
        <w:rPr>
          <w:sz w:val="24"/>
        </w:rPr>
      </w:pPr>
      <w:r>
        <w:rPr>
          <w:sz w:val="24"/>
        </w:rPr>
        <w:t xml:space="preserve">Sampaio-Barros PD, Pereira IA, Hernández-Cuevas C, Berman A, Burgos-Vargas R, Gutierrez MA, et al. </w:t>
      </w:r>
      <w:r w:rsidRPr="00CB188B">
        <w:rPr>
          <w:sz w:val="24"/>
          <w:lang w:val="en-US"/>
        </w:rPr>
        <w:t>An analysis of 372 patients with</w:t>
      </w:r>
      <w:r w:rsidRPr="00CB188B">
        <w:rPr>
          <w:sz w:val="24"/>
          <w:lang w:val="en-US"/>
        </w:rPr>
        <w:t xml:space="preserve"> anterior uveitis in a large Ibero-American cohort of spondyloarthritis: the RESPONDIA Group. </w:t>
      </w:r>
      <w:r>
        <w:rPr>
          <w:sz w:val="24"/>
        </w:rPr>
        <w:t>Clin Exp Rheumatol. 2013;</w:t>
      </w:r>
      <w:r>
        <w:rPr>
          <w:spacing w:val="-1"/>
          <w:sz w:val="24"/>
        </w:rPr>
        <w:t xml:space="preserve"> </w:t>
      </w:r>
      <w:r>
        <w:rPr>
          <w:sz w:val="24"/>
        </w:rPr>
        <w:t>31(4):484–9.</w:t>
      </w:r>
    </w:p>
    <w:p w:rsidR="00825E87" w:rsidRDefault="00CB188B">
      <w:pPr>
        <w:pStyle w:val="PargrafodaLista"/>
        <w:numPr>
          <w:ilvl w:val="0"/>
          <w:numId w:val="5"/>
        </w:numPr>
        <w:tabs>
          <w:tab w:val="left" w:pos="504"/>
        </w:tabs>
        <w:spacing w:before="13" w:line="232" w:lineRule="auto"/>
        <w:ind w:right="1286" w:firstLine="0"/>
        <w:rPr>
          <w:sz w:val="24"/>
        </w:rPr>
      </w:pPr>
      <w:r w:rsidRPr="00CB188B">
        <w:rPr>
          <w:sz w:val="24"/>
          <w:lang w:val="en-US"/>
        </w:rPr>
        <w:t>Marc C. Hochberg, Alan J. Silman, Josef S. Smolen, Michael E. Weinblatt and</w:t>
      </w:r>
      <w:r w:rsidRPr="00CB188B">
        <w:rPr>
          <w:spacing w:val="-17"/>
          <w:sz w:val="24"/>
          <w:lang w:val="en-US"/>
        </w:rPr>
        <w:t xml:space="preserve"> </w:t>
      </w:r>
      <w:r w:rsidRPr="00CB188B">
        <w:rPr>
          <w:sz w:val="24"/>
          <w:lang w:val="en-US"/>
        </w:rPr>
        <w:t xml:space="preserve">MHW. </w:t>
      </w:r>
      <w:r>
        <w:rPr>
          <w:sz w:val="24"/>
        </w:rPr>
        <w:t>Rheumatology. 6th editio. Elsevier;</w:t>
      </w:r>
      <w:r>
        <w:rPr>
          <w:spacing w:val="1"/>
          <w:sz w:val="24"/>
        </w:rPr>
        <w:t xml:space="preserve"> </w:t>
      </w:r>
      <w:r>
        <w:rPr>
          <w:sz w:val="24"/>
        </w:rPr>
        <w:t>2015.</w:t>
      </w:r>
    </w:p>
    <w:p w:rsidR="00825E87" w:rsidRDefault="00CB188B">
      <w:pPr>
        <w:pStyle w:val="PargrafodaLista"/>
        <w:numPr>
          <w:ilvl w:val="0"/>
          <w:numId w:val="5"/>
        </w:numPr>
        <w:tabs>
          <w:tab w:val="left" w:pos="504"/>
        </w:tabs>
        <w:spacing w:line="271" w:lineRule="exact"/>
        <w:ind w:firstLine="0"/>
        <w:rPr>
          <w:sz w:val="24"/>
        </w:rPr>
      </w:pPr>
      <w:r w:rsidRPr="00CB188B">
        <w:rPr>
          <w:sz w:val="24"/>
          <w:lang w:val="en-US"/>
        </w:rPr>
        <w:t xml:space="preserve">Yu D. Assessment and treatment of ankylosing spondylitis in adults. </w:t>
      </w:r>
      <w:r>
        <w:rPr>
          <w:sz w:val="24"/>
        </w:rPr>
        <w:t>UpToDate.</w:t>
      </w:r>
      <w:r>
        <w:rPr>
          <w:spacing w:val="-3"/>
          <w:sz w:val="24"/>
        </w:rPr>
        <w:t xml:space="preserve"> </w:t>
      </w:r>
      <w:r>
        <w:rPr>
          <w:sz w:val="24"/>
        </w:rPr>
        <w:t>2016.</w:t>
      </w:r>
    </w:p>
    <w:p w:rsidR="00825E87" w:rsidRDefault="00CB188B">
      <w:pPr>
        <w:pStyle w:val="PargrafodaLista"/>
        <w:numPr>
          <w:ilvl w:val="0"/>
          <w:numId w:val="5"/>
        </w:numPr>
        <w:tabs>
          <w:tab w:val="left" w:pos="504"/>
        </w:tabs>
        <w:spacing w:before="16" w:line="232" w:lineRule="auto"/>
        <w:ind w:right="442" w:firstLine="0"/>
        <w:rPr>
          <w:sz w:val="24"/>
        </w:rPr>
      </w:pPr>
      <w:r w:rsidRPr="00CB188B">
        <w:rPr>
          <w:sz w:val="24"/>
          <w:lang w:val="en-US"/>
        </w:rPr>
        <w:t>Yu, David; van Tubergen A. Diagnosis and differential diagnosis of ankylosing spondylitis</w:t>
      </w:r>
      <w:r w:rsidRPr="00CB188B">
        <w:rPr>
          <w:spacing w:val="-21"/>
          <w:sz w:val="24"/>
          <w:lang w:val="en-US"/>
        </w:rPr>
        <w:t xml:space="preserve"> </w:t>
      </w:r>
      <w:r w:rsidRPr="00CB188B">
        <w:rPr>
          <w:sz w:val="24"/>
          <w:lang w:val="en-US"/>
        </w:rPr>
        <w:t xml:space="preserve">and non-radiographic axial spondyloarthritis in adults. </w:t>
      </w:r>
      <w:r>
        <w:rPr>
          <w:sz w:val="24"/>
        </w:rPr>
        <w:t>UpToDate. 2016.</w:t>
      </w:r>
    </w:p>
    <w:p w:rsidR="00825E87" w:rsidRDefault="00825E87">
      <w:pPr>
        <w:spacing w:line="232" w:lineRule="auto"/>
        <w:rPr>
          <w:sz w:val="24"/>
        </w:rPr>
        <w:sectPr w:rsidR="00825E87">
          <w:pgSz w:w="11900" w:h="16840"/>
          <w:pgMar w:top="1120" w:right="880" w:bottom="280" w:left="920" w:header="720" w:footer="720" w:gutter="0"/>
          <w:cols w:space="720"/>
        </w:sectPr>
      </w:pPr>
    </w:p>
    <w:p w:rsidR="00825E87" w:rsidRDefault="00CB188B">
      <w:pPr>
        <w:pStyle w:val="PargrafodaLista"/>
        <w:numPr>
          <w:ilvl w:val="0"/>
          <w:numId w:val="5"/>
        </w:numPr>
        <w:tabs>
          <w:tab w:val="left" w:pos="941"/>
        </w:tabs>
        <w:spacing w:before="80" w:line="235" w:lineRule="auto"/>
        <w:ind w:right="397" w:firstLine="0"/>
        <w:jc w:val="both"/>
        <w:rPr>
          <w:sz w:val="24"/>
        </w:rPr>
      </w:pPr>
      <w:r w:rsidRPr="00CB188B">
        <w:rPr>
          <w:sz w:val="24"/>
          <w:lang w:val="en-US"/>
        </w:rPr>
        <w:lastRenderedPageBreak/>
        <w:t>Rudwaleit M, van der Heijde D, Landewe R, Listing J, Akkoc N, Brandt J, et al. The development of Assessment of SpondyloArthritis international Society classification criteria for axial spondyloarthritis (part II): validation and final selec</w:t>
      </w:r>
      <w:r w:rsidRPr="00CB188B">
        <w:rPr>
          <w:sz w:val="24"/>
          <w:lang w:val="en-US"/>
        </w:rPr>
        <w:t xml:space="preserve">tion. </w:t>
      </w:r>
      <w:r>
        <w:rPr>
          <w:sz w:val="24"/>
        </w:rPr>
        <w:t>Ann Rheum Dis. 2009 Jun 1;68(6):777–83.</w:t>
      </w:r>
    </w:p>
    <w:p w:rsidR="00825E87" w:rsidRDefault="00CB188B">
      <w:pPr>
        <w:pStyle w:val="PargrafodaLista"/>
        <w:numPr>
          <w:ilvl w:val="0"/>
          <w:numId w:val="5"/>
        </w:numPr>
        <w:tabs>
          <w:tab w:val="left" w:pos="940"/>
          <w:tab w:val="left" w:pos="941"/>
        </w:tabs>
        <w:spacing w:before="13" w:line="235" w:lineRule="auto"/>
        <w:ind w:right="414" w:firstLine="0"/>
        <w:rPr>
          <w:sz w:val="24"/>
        </w:rPr>
      </w:pPr>
      <w:r w:rsidRPr="00CB188B">
        <w:rPr>
          <w:sz w:val="24"/>
          <w:lang w:val="en-US"/>
        </w:rPr>
        <w:t>van der Linden S, Valkenburg HA, Cats A. Evaluation of diagnostic criteria for</w:t>
      </w:r>
      <w:r w:rsidRPr="00CB188B">
        <w:rPr>
          <w:spacing w:val="-13"/>
          <w:sz w:val="24"/>
          <w:lang w:val="en-US"/>
        </w:rPr>
        <w:t xml:space="preserve"> </w:t>
      </w:r>
      <w:r w:rsidRPr="00CB188B">
        <w:rPr>
          <w:sz w:val="24"/>
          <w:lang w:val="en-US"/>
        </w:rPr>
        <w:t xml:space="preserve">ankylosing spondylitis. A proposal for modification of the New York criteria. Arthritis Rheum. </w:t>
      </w:r>
      <w:r>
        <w:rPr>
          <w:sz w:val="24"/>
        </w:rPr>
        <w:t>1984 Apr;27(4):361–8.</w:t>
      </w:r>
    </w:p>
    <w:p w:rsidR="00825E87" w:rsidRDefault="00CB188B">
      <w:pPr>
        <w:pStyle w:val="PargrafodaLista"/>
        <w:numPr>
          <w:ilvl w:val="0"/>
          <w:numId w:val="5"/>
        </w:numPr>
        <w:tabs>
          <w:tab w:val="left" w:pos="940"/>
          <w:tab w:val="left" w:pos="941"/>
        </w:tabs>
        <w:spacing w:before="12" w:line="232" w:lineRule="auto"/>
        <w:ind w:right="793" w:firstLine="0"/>
        <w:rPr>
          <w:sz w:val="24"/>
        </w:rPr>
      </w:pPr>
      <w:r>
        <w:rPr>
          <w:sz w:val="24"/>
        </w:rPr>
        <w:t>Azevedo VF, Pa</w:t>
      </w:r>
      <w:r>
        <w:rPr>
          <w:sz w:val="24"/>
        </w:rPr>
        <w:t xml:space="preserve">iva E dos S, Felippe LRH, Moreira RA. </w:t>
      </w:r>
      <w:r w:rsidRPr="00CB188B">
        <w:rPr>
          <w:sz w:val="24"/>
          <w:lang w:val="en-US"/>
        </w:rPr>
        <w:t xml:space="preserve">Occurrence of fibromyalgia in patients with ankylosing spondylitis. </w:t>
      </w:r>
      <w:r>
        <w:rPr>
          <w:sz w:val="24"/>
        </w:rPr>
        <w:t>Rev Bras Reumatol. 2010;50(6):646–50.</w:t>
      </w:r>
    </w:p>
    <w:p w:rsidR="00825E87" w:rsidRDefault="00CB188B">
      <w:pPr>
        <w:pStyle w:val="PargrafodaLista"/>
        <w:numPr>
          <w:ilvl w:val="0"/>
          <w:numId w:val="5"/>
        </w:numPr>
        <w:tabs>
          <w:tab w:val="left" w:pos="941"/>
        </w:tabs>
        <w:spacing w:before="12" w:line="235" w:lineRule="auto"/>
        <w:ind w:right="400" w:firstLine="0"/>
        <w:jc w:val="both"/>
        <w:rPr>
          <w:sz w:val="24"/>
        </w:rPr>
      </w:pPr>
      <w:r w:rsidRPr="00CB188B">
        <w:rPr>
          <w:sz w:val="24"/>
          <w:lang w:val="en-US"/>
        </w:rPr>
        <w:t>Ward MM, Deodhar A, Akl EA, Lui A, Ermann J, Gensler LS, et al. American College of Rheumatology/Spondylitis Ass</w:t>
      </w:r>
      <w:r w:rsidRPr="00CB188B">
        <w:rPr>
          <w:sz w:val="24"/>
          <w:lang w:val="en-US"/>
        </w:rPr>
        <w:t xml:space="preserve">ociation of America/Spondyloarthritis Research and Treatment Network 2015 Recommendations for the Treatment of Ankylosing Spondylitis and Nonradiographic Axial Spondyloarthritis. </w:t>
      </w:r>
      <w:r>
        <w:rPr>
          <w:sz w:val="24"/>
        </w:rPr>
        <w:t>Arthritis Rheumatol. 2016;68(2):282–98.</w:t>
      </w:r>
    </w:p>
    <w:p w:rsidR="00825E87" w:rsidRDefault="00CB188B">
      <w:pPr>
        <w:pStyle w:val="PargrafodaLista"/>
        <w:numPr>
          <w:ilvl w:val="0"/>
          <w:numId w:val="5"/>
        </w:numPr>
        <w:tabs>
          <w:tab w:val="left" w:pos="940"/>
          <w:tab w:val="left" w:pos="941"/>
        </w:tabs>
        <w:spacing w:before="19" w:line="232" w:lineRule="auto"/>
        <w:ind w:right="719" w:firstLine="0"/>
        <w:rPr>
          <w:sz w:val="24"/>
        </w:rPr>
      </w:pPr>
      <w:r w:rsidRPr="00CB188B">
        <w:rPr>
          <w:sz w:val="24"/>
          <w:lang w:val="en-US"/>
        </w:rPr>
        <w:t>Sieper J. Management of ankylosing sp</w:t>
      </w:r>
      <w:r w:rsidRPr="00CB188B">
        <w:rPr>
          <w:sz w:val="24"/>
          <w:lang w:val="en-US"/>
        </w:rPr>
        <w:t xml:space="preserve">ondylitis/axial spondyloarthritis. </w:t>
      </w:r>
      <w:r>
        <w:rPr>
          <w:sz w:val="24"/>
        </w:rPr>
        <w:t>Rheumatology. Sixth edit. 2015. p. 970–</w:t>
      </w:r>
      <w:r>
        <w:rPr>
          <w:spacing w:val="-3"/>
          <w:sz w:val="24"/>
        </w:rPr>
        <w:t xml:space="preserve"> </w:t>
      </w:r>
      <w:r>
        <w:rPr>
          <w:sz w:val="24"/>
        </w:rPr>
        <w:t>85.</w:t>
      </w:r>
    </w:p>
    <w:p w:rsidR="00825E87" w:rsidRDefault="00CB188B">
      <w:pPr>
        <w:pStyle w:val="PargrafodaLista"/>
        <w:numPr>
          <w:ilvl w:val="0"/>
          <w:numId w:val="5"/>
        </w:numPr>
        <w:tabs>
          <w:tab w:val="left" w:pos="941"/>
        </w:tabs>
        <w:spacing w:before="10" w:line="235" w:lineRule="auto"/>
        <w:ind w:right="391" w:firstLine="0"/>
        <w:jc w:val="both"/>
        <w:rPr>
          <w:sz w:val="24"/>
        </w:rPr>
      </w:pPr>
      <w:r>
        <w:rPr>
          <w:sz w:val="24"/>
        </w:rPr>
        <w:t xml:space="preserve">Sieper J, Rudwaleit M, Baraliakos X, Brandt J, Braun J, Burgos-Vargas R, et al. </w:t>
      </w:r>
      <w:r w:rsidRPr="00CB188B">
        <w:rPr>
          <w:sz w:val="24"/>
          <w:lang w:val="en-US"/>
        </w:rPr>
        <w:t xml:space="preserve">The Assessment of SpondyloArthritis international Society (ASAS) handbook: a guide to assess spondyloarthritis. </w:t>
      </w:r>
      <w:r>
        <w:rPr>
          <w:sz w:val="24"/>
        </w:rPr>
        <w:t>Ann Rheum Dis. 2009 Jun 1;68(Suppl</w:t>
      </w:r>
      <w:r>
        <w:rPr>
          <w:spacing w:val="-1"/>
          <w:sz w:val="24"/>
        </w:rPr>
        <w:t xml:space="preserve"> </w:t>
      </w:r>
      <w:r>
        <w:rPr>
          <w:sz w:val="24"/>
        </w:rPr>
        <w:t>2):ii1-ii44.</w:t>
      </w:r>
    </w:p>
    <w:p w:rsidR="00825E87" w:rsidRDefault="00CB188B">
      <w:pPr>
        <w:pStyle w:val="PargrafodaLista"/>
        <w:numPr>
          <w:ilvl w:val="0"/>
          <w:numId w:val="5"/>
        </w:numPr>
        <w:tabs>
          <w:tab w:val="left" w:pos="940"/>
          <w:tab w:val="left" w:pos="941"/>
        </w:tabs>
        <w:spacing w:before="15" w:line="254" w:lineRule="auto"/>
        <w:ind w:right="702" w:firstLine="0"/>
        <w:rPr>
          <w:sz w:val="24"/>
        </w:rPr>
      </w:pPr>
      <w:r>
        <w:rPr>
          <w:sz w:val="24"/>
        </w:rPr>
        <w:t>Lukas C, Landewé</w:t>
      </w:r>
      <w:r>
        <w:rPr>
          <w:sz w:val="24"/>
        </w:rPr>
        <w:t xml:space="preserve"> R, Sieper J, Dougados M, Davis J, Braun J, et al. </w:t>
      </w:r>
      <w:r w:rsidRPr="00CB188B">
        <w:rPr>
          <w:sz w:val="24"/>
          <w:lang w:val="en-US"/>
        </w:rPr>
        <w:t>Development of</w:t>
      </w:r>
      <w:r w:rsidRPr="00CB188B">
        <w:rPr>
          <w:spacing w:val="-13"/>
          <w:sz w:val="24"/>
          <w:lang w:val="en-US"/>
        </w:rPr>
        <w:t xml:space="preserve"> </w:t>
      </w:r>
      <w:r w:rsidRPr="00CB188B">
        <w:rPr>
          <w:sz w:val="24"/>
          <w:lang w:val="en-US"/>
        </w:rPr>
        <w:t xml:space="preserve">an ASAS-endorsed disease activity score (ASDAS) in patients with ankylosing spondylitis. </w:t>
      </w:r>
      <w:r>
        <w:rPr>
          <w:sz w:val="24"/>
        </w:rPr>
        <w:t>Ann Rheum Dis. 2009</w:t>
      </w:r>
      <w:r>
        <w:rPr>
          <w:spacing w:val="-1"/>
          <w:sz w:val="24"/>
        </w:rPr>
        <w:t xml:space="preserve"> </w:t>
      </w:r>
      <w:r>
        <w:rPr>
          <w:sz w:val="24"/>
        </w:rPr>
        <w:t>Jan;68(1):18–24.</w:t>
      </w:r>
    </w:p>
    <w:p w:rsidR="00825E87" w:rsidRDefault="00CB188B">
      <w:pPr>
        <w:pStyle w:val="PargrafodaLista"/>
        <w:numPr>
          <w:ilvl w:val="0"/>
          <w:numId w:val="5"/>
        </w:numPr>
        <w:tabs>
          <w:tab w:val="left" w:pos="941"/>
        </w:tabs>
        <w:spacing w:line="235" w:lineRule="auto"/>
        <w:ind w:right="398" w:firstLine="0"/>
        <w:jc w:val="both"/>
        <w:rPr>
          <w:sz w:val="24"/>
        </w:rPr>
      </w:pPr>
      <w:r w:rsidRPr="00CB188B">
        <w:rPr>
          <w:sz w:val="24"/>
          <w:lang w:val="en-US"/>
        </w:rPr>
        <w:t xml:space="preserve">Machado P, Landewe R, Lie E, Kvien TK, Braun J, Baker D, et al. Ankylosing Spondylitis Disease Activity Score (ASDAS): defining cut-off values for disease activity states and improvement scores. </w:t>
      </w:r>
      <w:r>
        <w:rPr>
          <w:sz w:val="24"/>
        </w:rPr>
        <w:t>Ann Rheum Dis. 2011 Jan</w:t>
      </w:r>
      <w:r>
        <w:rPr>
          <w:spacing w:val="-1"/>
          <w:sz w:val="24"/>
        </w:rPr>
        <w:t xml:space="preserve"> </w:t>
      </w:r>
      <w:r>
        <w:rPr>
          <w:sz w:val="24"/>
        </w:rPr>
        <w:t>1;70(1):47–53.</w:t>
      </w:r>
    </w:p>
    <w:p w:rsidR="00825E87" w:rsidRDefault="00CB188B">
      <w:pPr>
        <w:pStyle w:val="PargrafodaLista"/>
        <w:numPr>
          <w:ilvl w:val="0"/>
          <w:numId w:val="5"/>
        </w:numPr>
        <w:tabs>
          <w:tab w:val="left" w:pos="941"/>
        </w:tabs>
        <w:spacing w:before="8" w:line="235" w:lineRule="auto"/>
        <w:ind w:right="379" w:firstLine="0"/>
        <w:jc w:val="both"/>
        <w:rPr>
          <w:sz w:val="24"/>
        </w:rPr>
      </w:pPr>
      <w:r>
        <w:rPr>
          <w:sz w:val="24"/>
        </w:rPr>
        <w:t>Sampaio-Barros PD, Kei</w:t>
      </w:r>
      <w:r>
        <w:rPr>
          <w:sz w:val="24"/>
        </w:rPr>
        <w:t>serman M, Souza Meirelles E de, Medeiros Pinheiro M de, Ximenes AC, Azevedo VF, et al. Recomendações sobre diagnóstico e tratamento da espondilite anquilosante. Rev Bras Reumatol. 2013</w:t>
      </w:r>
      <w:r>
        <w:rPr>
          <w:spacing w:val="-1"/>
          <w:sz w:val="24"/>
        </w:rPr>
        <w:t xml:space="preserve"> </w:t>
      </w:r>
      <w:r>
        <w:rPr>
          <w:sz w:val="24"/>
        </w:rPr>
        <w:t>May;53(3):242–57.</w:t>
      </w:r>
    </w:p>
    <w:p w:rsidR="00825E87" w:rsidRDefault="00CB188B">
      <w:pPr>
        <w:pStyle w:val="PargrafodaLista"/>
        <w:numPr>
          <w:ilvl w:val="0"/>
          <w:numId w:val="5"/>
        </w:numPr>
        <w:tabs>
          <w:tab w:val="left" w:pos="940"/>
          <w:tab w:val="left" w:pos="941"/>
        </w:tabs>
        <w:spacing w:before="16" w:line="232" w:lineRule="auto"/>
        <w:ind w:right="1053" w:firstLine="0"/>
        <w:rPr>
          <w:sz w:val="24"/>
        </w:rPr>
      </w:pPr>
      <w:r w:rsidRPr="00CB188B">
        <w:rPr>
          <w:sz w:val="24"/>
          <w:lang w:val="en-US"/>
        </w:rPr>
        <w:t>O’Dwyer T, O’Shea F, Wilson F. Physical activity in s</w:t>
      </w:r>
      <w:r w:rsidRPr="00CB188B">
        <w:rPr>
          <w:sz w:val="24"/>
          <w:lang w:val="en-US"/>
        </w:rPr>
        <w:t>pondyloarthritis: a</w:t>
      </w:r>
      <w:r w:rsidRPr="00CB188B">
        <w:rPr>
          <w:spacing w:val="-27"/>
          <w:sz w:val="24"/>
          <w:lang w:val="en-US"/>
        </w:rPr>
        <w:t xml:space="preserve"> </w:t>
      </w:r>
      <w:r w:rsidRPr="00CB188B">
        <w:rPr>
          <w:sz w:val="24"/>
          <w:lang w:val="en-US"/>
        </w:rPr>
        <w:t xml:space="preserve">systematic review. </w:t>
      </w:r>
      <w:r>
        <w:rPr>
          <w:sz w:val="24"/>
        </w:rPr>
        <w:t>Rheumatol Int. Germany; 2015</w:t>
      </w:r>
      <w:r>
        <w:rPr>
          <w:spacing w:val="1"/>
          <w:sz w:val="24"/>
        </w:rPr>
        <w:t xml:space="preserve"> </w:t>
      </w:r>
      <w:r>
        <w:rPr>
          <w:sz w:val="24"/>
        </w:rPr>
        <w:t>Mar;35(3):393–404.</w:t>
      </w:r>
    </w:p>
    <w:p w:rsidR="00825E87" w:rsidRDefault="00CB188B">
      <w:pPr>
        <w:pStyle w:val="PargrafodaLista"/>
        <w:numPr>
          <w:ilvl w:val="0"/>
          <w:numId w:val="5"/>
        </w:numPr>
        <w:tabs>
          <w:tab w:val="left" w:pos="941"/>
        </w:tabs>
        <w:spacing w:before="12" w:line="232" w:lineRule="auto"/>
        <w:ind w:right="380" w:firstLine="0"/>
        <w:jc w:val="both"/>
        <w:rPr>
          <w:sz w:val="24"/>
        </w:rPr>
      </w:pPr>
      <w:r w:rsidRPr="00CB188B">
        <w:rPr>
          <w:sz w:val="24"/>
          <w:lang w:val="en-US"/>
        </w:rPr>
        <w:t xml:space="preserve">Rosu OM, Ancuta C. McKenzie training in patients with early stages of ankylosing spondylitis: results of a 24-week controlled study. </w:t>
      </w:r>
      <w:r>
        <w:rPr>
          <w:sz w:val="24"/>
        </w:rPr>
        <w:t>Eur J Phys Rehabil Med. 2015</w:t>
      </w:r>
      <w:r>
        <w:rPr>
          <w:spacing w:val="-9"/>
          <w:sz w:val="24"/>
        </w:rPr>
        <w:t xml:space="preserve"> </w:t>
      </w:r>
      <w:r>
        <w:rPr>
          <w:sz w:val="24"/>
        </w:rPr>
        <w:t>Jun;51(</w:t>
      </w:r>
      <w:r>
        <w:rPr>
          <w:sz w:val="24"/>
        </w:rPr>
        <w:t>3):261–8.</w:t>
      </w:r>
    </w:p>
    <w:p w:rsidR="00825E87" w:rsidRDefault="00CB188B">
      <w:pPr>
        <w:pStyle w:val="PargrafodaLista"/>
        <w:numPr>
          <w:ilvl w:val="0"/>
          <w:numId w:val="5"/>
        </w:numPr>
        <w:tabs>
          <w:tab w:val="left" w:pos="940"/>
          <w:tab w:val="left" w:pos="941"/>
        </w:tabs>
        <w:spacing w:before="17" w:line="232" w:lineRule="auto"/>
        <w:ind w:right="445" w:firstLine="0"/>
        <w:rPr>
          <w:sz w:val="24"/>
        </w:rPr>
      </w:pPr>
      <w:r>
        <w:rPr>
          <w:sz w:val="24"/>
        </w:rPr>
        <w:t xml:space="preserve">Dundar U, Solak O, Toktas H, Demirdal US, Subasi V, Kavuncu V, et al. </w:t>
      </w:r>
      <w:r w:rsidRPr="00CB188B">
        <w:rPr>
          <w:sz w:val="24"/>
          <w:lang w:val="en-US"/>
        </w:rPr>
        <w:t xml:space="preserve">Effect of aquatic exercise on ankylosing spondylitis: a randomized controlled trial. </w:t>
      </w:r>
      <w:r>
        <w:rPr>
          <w:sz w:val="24"/>
        </w:rPr>
        <w:t>Rheumatol Int. 2014 Nov 14;34(11):1505–11.</w:t>
      </w:r>
    </w:p>
    <w:p w:rsidR="00825E87" w:rsidRDefault="00CB188B">
      <w:pPr>
        <w:pStyle w:val="PargrafodaLista"/>
        <w:numPr>
          <w:ilvl w:val="0"/>
          <w:numId w:val="5"/>
        </w:numPr>
        <w:tabs>
          <w:tab w:val="left" w:pos="940"/>
          <w:tab w:val="left" w:pos="941"/>
        </w:tabs>
        <w:ind w:right="1453" w:firstLine="0"/>
        <w:rPr>
          <w:sz w:val="24"/>
        </w:rPr>
      </w:pPr>
      <w:r w:rsidRPr="00CB188B">
        <w:rPr>
          <w:sz w:val="24"/>
          <w:lang w:val="en-US"/>
        </w:rPr>
        <w:t>Dagfinrud H, Hagen KB, Kvien TK. Physiotherapy interventions for</w:t>
      </w:r>
      <w:r w:rsidRPr="00CB188B">
        <w:rPr>
          <w:spacing w:val="-14"/>
          <w:sz w:val="24"/>
          <w:lang w:val="en-US"/>
        </w:rPr>
        <w:t xml:space="preserve"> </w:t>
      </w:r>
      <w:r w:rsidRPr="00CB188B">
        <w:rPr>
          <w:sz w:val="24"/>
          <w:lang w:val="en-US"/>
        </w:rPr>
        <w:t xml:space="preserve">ankylosing spondylitis. </w:t>
      </w:r>
      <w:r>
        <w:rPr>
          <w:sz w:val="24"/>
        </w:rPr>
        <w:t>In: Dagfinrud</w:t>
      </w:r>
      <w:r>
        <w:rPr>
          <w:spacing w:val="2"/>
          <w:sz w:val="24"/>
        </w:rPr>
        <w:t xml:space="preserve"> </w:t>
      </w:r>
      <w:r>
        <w:rPr>
          <w:sz w:val="24"/>
        </w:rPr>
        <w:t>H,</w:t>
      </w:r>
    </w:p>
    <w:p w:rsidR="00825E87" w:rsidRPr="00CB188B" w:rsidRDefault="00CB188B">
      <w:pPr>
        <w:pStyle w:val="Corpodetexto"/>
        <w:spacing w:line="237" w:lineRule="auto"/>
        <w:ind w:right="627"/>
        <w:rPr>
          <w:lang w:val="en-US"/>
        </w:rPr>
      </w:pPr>
      <w:r w:rsidRPr="00CB188B">
        <w:rPr>
          <w:lang w:val="en-US"/>
        </w:rPr>
        <w:t>editor. Cochrane Database of Systematic Reviews. Chichester, UK: John Wiley &amp; Sons, Ltd; 2008.</w:t>
      </w:r>
    </w:p>
    <w:p w:rsidR="00825E87" w:rsidRDefault="00CB188B">
      <w:pPr>
        <w:pStyle w:val="PargrafodaLista"/>
        <w:numPr>
          <w:ilvl w:val="0"/>
          <w:numId w:val="5"/>
        </w:numPr>
        <w:tabs>
          <w:tab w:val="left" w:pos="940"/>
          <w:tab w:val="left" w:pos="941"/>
        </w:tabs>
        <w:spacing w:before="11" w:line="235" w:lineRule="auto"/>
        <w:ind w:right="943" w:firstLine="0"/>
        <w:rPr>
          <w:sz w:val="24"/>
        </w:rPr>
      </w:pPr>
      <w:r w:rsidRPr="00CB188B">
        <w:rPr>
          <w:sz w:val="24"/>
          <w:lang w:val="en-US"/>
        </w:rPr>
        <w:t>O’Dwyer T, O’Shea F, Wilson F. Exercise therapy for spo</w:t>
      </w:r>
      <w:r w:rsidRPr="00CB188B">
        <w:rPr>
          <w:sz w:val="24"/>
          <w:lang w:val="en-US"/>
        </w:rPr>
        <w:t xml:space="preserve">ndyloarthritis: a systematic review. </w:t>
      </w:r>
      <w:r>
        <w:rPr>
          <w:sz w:val="24"/>
        </w:rPr>
        <w:t>Rheumatol Int. Germany; 2014</w:t>
      </w:r>
      <w:r>
        <w:rPr>
          <w:spacing w:val="1"/>
          <w:sz w:val="24"/>
        </w:rPr>
        <w:t xml:space="preserve"> </w:t>
      </w:r>
      <w:r>
        <w:rPr>
          <w:sz w:val="24"/>
        </w:rPr>
        <w:t>Jul;34(7):887–902.</w:t>
      </w:r>
    </w:p>
    <w:p w:rsidR="00825E87" w:rsidRPr="00CB188B" w:rsidRDefault="00CB188B">
      <w:pPr>
        <w:pStyle w:val="PargrafodaLista"/>
        <w:numPr>
          <w:ilvl w:val="0"/>
          <w:numId w:val="5"/>
        </w:numPr>
        <w:tabs>
          <w:tab w:val="left" w:pos="941"/>
        </w:tabs>
        <w:spacing w:before="11" w:line="235" w:lineRule="auto"/>
        <w:ind w:right="377" w:firstLine="0"/>
        <w:jc w:val="both"/>
        <w:rPr>
          <w:sz w:val="24"/>
          <w:lang w:val="en-US"/>
        </w:rPr>
      </w:pPr>
      <w:r w:rsidRPr="00CB188B">
        <w:rPr>
          <w:sz w:val="24"/>
          <w:lang w:val="en-US"/>
        </w:rPr>
        <w:t xml:space="preserve">Kroon FP, van der Burg LR, Ramiro S, Landewé RB, Buchbinder R, Falzon </w:t>
      </w:r>
      <w:r w:rsidRPr="00CB188B">
        <w:rPr>
          <w:spacing w:val="-3"/>
          <w:sz w:val="24"/>
          <w:lang w:val="en-US"/>
        </w:rPr>
        <w:t xml:space="preserve">L, </w:t>
      </w:r>
      <w:r w:rsidRPr="00CB188B">
        <w:rPr>
          <w:sz w:val="24"/>
          <w:lang w:val="en-US"/>
        </w:rPr>
        <w:t>et al. Non- steroidal anti-inflammatory drugs (NSAIDs) for axial spondyloarthritis (ankylosing spo</w:t>
      </w:r>
      <w:r w:rsidRPr="00CB188B">
        <w:rPr>
          <w:sz w:val="24"/>
          <w:lang w:val="en-US"/>
        </w:rPr>
        <w:t>ndylitis and non-radiographic axial spondyloarthritis). In: Kroon FP, editor. Cochrane Database of Systematic Reviews. Chichester, UK: John Wiley &amp; Sons, Ltd;</w:t>
      </w:r>
      <w:r w:rsidRPr="00CB188B">
        <w:rPr>
          <w:spacing w:val="-6"/>
          <w:sz w:val="24"/>
          <w:lang w:val="en-US"/>
        </w:rPr>
        <w:t xml:space="preserve"> </w:t>
      </w:r>
      <w:r w:rsidRPr="00CB188B">
        <w:rPr>
          <w:sz w:val="24"/>
          <w:lang w:val="en-US"/>
        </w:rPr>
        <w:t>2015.</w:t>
      </w:r>
    </w:p>
    <w:p w:rsidR="00825E87" w:rsidRDefault="00CB188B">
      <w:pPr>
        <w:pStyle w:val="PargrafodaLista"/>
        <w:numPr>
          <w:ilvl w:val="0"/>
          <w:numId w:val="5"/>
        </w:numPr>
        <w:tabs>
          <w:tab w:val="left" w:pos="941"/>
        </w:tabs>
        <w:spacing w:before="18" w:line="235" w:lineRule="auto"/>
        <w:ind w:right="379" w:firstLine="0"/>
        <w:jc w:val="both"/>
        <w:rPr>
          <w:sz w:val="24"/>
        </w:rPr>
      </w:pPr>
      <w:r w:rsidRPr="00CB188B">
        <w:rPr>
          <w:sz w:val="24"/>
          <w:lang w:val="en-US"/>
        </w:rPr>
        <w:t xml:space="preserve">Wanders A, Heijde D van der, Landewé R, Béhier J-M, Calin A, Olivieri </w:t>
      </w:r>
      <w:r w:rsidRPr="00CB188B">
        <w:rPr>
          <w:spacing w:val="-3"/>
          <w:sz w:val="24"/>
          <w:lang w:val="en-US"/>
        </w:rPr>
        <w:t xml:space="preserve">I, </w:t>
      </w:r>
      <w:r w:rsidRPr="00CB188B">
        <w:rPr>
          <w:sz w:val="24"/>
          <w:lang w:val="en-US"/>
        </w:rPr>
        <w:t>et al. Nonsteroida</w:t>
      </w:r>
      <w:r w:rsidRPr="00CB188B">
        <w:rPr>
          <w:sz w:val="24"/>
          <w:lang w:val="en-US"/>
        </w:rPr>
        <w:t xml:space="preserve">l antiinflammatory drugs reduce radiographic progression in patients with ankylosing spondylitis: A randomized clinical trial. </w:t>
      </w:r>
      <w:r>
        <w:rPr>
          <w:sz w:val="24"/>
        </w:rPr>
        <w:t>Arthritis Rheum. 2005</w:t>
      </w:r>
      <w:r>
        <w:rPr>
          <w:spacing w:val="-1"/>
          <w:sz w:val="24"/>
        </w:rPr>
        <w:t xml:space="preserve"> </w:t>
      </w:r>
      <w:r>
        <w:rPr>
          <w:sz w:val="24"/>
        </w:rPr>
        <w:t>Jun;52(6):1756–65.</w:t>
      </w:r>
    </w:p>
    <w:p w:rsidR="00825E87" w:rsidRDefault="00CB188B">
      <w:pPr>
        <w:pStyle w:val="PargrafodaLista"/>
        <w:numPr>
          <w:ilvl w:val="0"/>
          <w:numId w:val="5"/>
        </w:numPr>
        <w:tabs>
          <w:tab w:val="left" w:pos="941"/>
        </w:tabs>
        <w:spacing w:before="12" w:line="235" w:lineRule="auto"/>
        <w:ind w:right="379" w:firstLine="0"/>
        <w:jc w:val="both"/>
        <w:rPr>
          <w:sz w:val="24"/>
        </w:rPr>
      </w:pPr>
      <w:r w:rsidRPr="00CB188B">
        <w:rPr>
          <w:sz w:val="24"/>
          <w:lang w:val="en-US"/>
        </w:rPr>
        <w:t>Escalas C, Trijau S, Dougados M. Evaluation of the treatment effect of NSAIDs/TNF blocke</w:t>
      </w:r>
      <w:r w:rsidRPr="00CB188B">
        <w:rPr>
          <w:sz w:val="24"/>
          <w:lang w:val="en-US"/>
        </w:rPr>
        <w:t xml:space="preserve">rs according to different domains in ankylosing spondylitis: results of a meta-analysis. </w:t>
      </w:r>
      <w:r>
        <w:rPr>
          <w:sz w:val="24"/>
        </w:rPr>
        <w:t>Rheumatology. 2010 Jul 1;49(7):1317–</w:t>
      </w:r>
      <w:r>
        <w:rPr>
          <w:spacing w:val="-1"/>
          <w:sz w:val="24"/>
        </w:rPr>
        <w:t xml:space="preserve"> </w:t>
      </w:r>
      <w:r>
        <w:rPr>
          <w:sz w:val="24"/>
        </w:rPr>
        <w:t>25.</w:t>
      </w:r>
    </w:p>
    <w:p w:rsidR="00825E87" w:rsidRDefault="00825E87">
      <w:pPr>
        <w:spacing w:line="235" w:lineRule="auto"/>
        <w:jc w:val="both"/>
        <w:rPr>
          <w:sz w:val="24"/>
        </w:rPr>
        <w:sectPr w:rsidR="00825E87">
          <w:pgSz w:w="11900" w:h="16840"/>
          <w:pgMar w:top="1100" w:right="880" w:bottom="280" w:left="920" w:header="720" w:footer="720" w:gutter="0"/>
          <w:cols w:space="720"/>
        </w:sectPr>
      </w:pPr>
    </w:p>
    <w:p w:rsidR="00825E87" w:rsidRDefault="00CB188B">
      <w:pPr>
        <w:pStyle w:val="PargrafodaLista"/>
        <w:numPr>
          <w:ilvl w:val="0"/>
          <w:numId w:val="5"/>
        </w:numPr>
        <w:tabs>
          <w:tab w:val="left" w:pos="941"/>
        </w:tabs>
        <w:spacing w:before="60"/>
        <w:ind w:right="399" w:firstLine="0"/>
        <w:jc w:val="both"/>
        <w:rPr>
          <w:sz w:val="24"/>
        </w:rPr>
      </w:pPr>
      <w:r>
        <w:rPr>
          <w:sz w:val="24"/>
        </w:rPr>
        <w:lastRenderedPageBreak/>
        <w:t xml:space="preserve">Sieper J, Lenaerts J, Wollenhaupt J, Rudwaleit M, Mazurov VI, Myasoutova L, et al. </w:t>
      </w:r>
      <w:r w:rsidRPr="00CB188B">
        <w:rPr>
          <w:sz w:val="24"/>
          <w:lang w:val="en-US"/>
        </w:rPr>
        <w:t>Efficacy and safety of inflix</w:t>
      </w:r>
      <w:r w:rsidRPr="00CB188B">
        <w:rPr>
          <w:sz w:val="24"/>
          <w:lang w:val="en-US"/>
        </w:rPr>
        <w:t xml:space="preserve">imab plus naproxen versus naproxen alone in patients with early, active axial spondyloarthritis: results from the double-blind, placebo-controlled INFAST study, Part 1. </w:t>
      </w:r>
      <w:r>
        <w:rPr>
          <w:sz w:val="24"/>
        </w:rPr>
        <w:t>Ann Rheum Dis. 2014</w:t>
      </w:r>
      <w:r>
        <w:rPr>
          <w:spacing w:val="-1"/>
          <w:sz w:val="24"/>
        </w:rPr>
        <w:t xml:space="preserve"> </w:t>
      </w:r>
      <w:r>
        <w:rPr>
          <w:sz w:val="24"/>
        </w:rPr>
        <w:t>Jan;73(1):101–7.</w:t>
      </w:r>
    </w:p>
    <w:p w:rsidR="00825E87" w:rsidRDefault="00CB188B">
      <w:pPr>
        <w:pStyle w:val="PargrafodaLista"/>
        <w:numPr>
          <w:ilvl w:val="0"/>
          <w:numId w:val="5"/>
        </w:numPr>
        <w:tabs>
          <w:tab w:val="left" w:pos="941"/>
        </w:tabs>
        <w:spacing w:before="10" w:line="235" w:lineRule="auto"/>
        <w:ind w:right="376" w:firstLine="0"/>
        <w:jc w:val="both"/>
        <w:rPr>
          <w:sz w:val="24"/>
        </w:rPr>
      </w:pPr>
      <w:r>
        <w:rPr>
          <w:sz w:val="24"/>
        </w:rPr>
        <w:t xml:space="preserve">Sieper J, Lenaerts J, Wollenhaupt J, Rudwaleit M, Mazurov VI, Myasoutova </w:t>
      </w:r>
      <w:r>
        <w:rPr>
          <w:spacing w:val="-3"/>
          <w:sz w:val="24"/>
        </w:rPr>
        <w:t xml:space="preserve">L, </w:t>
      </w:r>
      <w:r>
        <w:rPr>
          <w:sz w:val="24"/>
        </w:rPr>
        <w:t xml:space="preserve">et al. </w:t>
      </w:r>
      <w:r w:rsidRPr="00CB188B">
        <w:rPr>
          <w:sz w:val="24"/>
          <w:lang w:val="en-US"/>
        </w:rPr>
        <w:t>Maintenance of biologic-free remission with naproxen or no treatment in patients with early, active axial spondyloarthritis: results from a 6-month, randomised, open-label f</w:t>
      </w:r>
      <w:r w:rsidRPr="00CB188B">
        <w:rPr>
          <w:sz w:val="24"/>
          <w:lang w:val="en-US"/>
        </w:rPr>
        <w:t xml:space="preserve">ollow-up study, INFAST Part 2. </w:t>
      </w:r>
      <w:r>
        <w:rPr>
          <w:sz w:val="24"/>
        </w:rPr>
        <w:t>Ann Rheum Dis. 2014</w:t>
      </w:r>
      <w:r>
        <w:rPr>
          <w:spacing w:val="-1"/>
          <w:sz w:val="24"/>
        </w:rPr>
        <w:t xml:space="preserve"> </w:t>
      </w:r>
      <w:r>
        <w:rPr>
          <w:sz w:val="24"/>
        </w:rPr>
        <w:t>Jan;73(1):108–13.</w:t>
      </w:r>
    </w:p>
    <w:p w:rsidR="00825E87" w:rsidRDefault="00CB188B">
      <w:pPr>
        <w:pStyle w:val="PargrafodaLista"/>
        <w:numPr>
          <w:ilvl w:val="0"/>
          <w:numId w:val="5"/>
        </w:numPr>
        <w:tabs>
          <w:tab w:val="left" w:pos="941"/>
        </w:tabs>
        <w:spacing w:before="17" w:line="232" w:lineRule="auto"/>
        <w:ind w:right="377" w:firstLine="0"/>
        <w:jc w:val="both"/>
        <w:rPr>
          <w:sz w:val="24"/>
        </w:rPr>
      </w:pPr>
      <w:r w:rsidRPr="00CB188B">
        <w:rPr>
          <w:sz w:val="24"/>
          <w:lang w:val="en-US"/>
        </w:rPr>
        <w:t xml:space="preserve">Kearney PM. Do selective cyclo-oxygenase-2 inhibitors and traditional non-steroidal anti- inflammatory drugs increase the risk of atherothrombosis? </w:t>
      </w:r>
      <w:r>
        <w:rPr>
          <w:sz w:val="24"/>
        </w:rPr>
        <w:t>Meta-analysis of randomised trials. BMJ</w:t>
      </w:r>
      <w:r>
        <w:rPr>
          <w:sz w:val="24"/>
        </w:rPr>
        <w:t>. 2006 Jun</w:t>
      </w:r>
      <w:r>
        <w:rPr>
          <w:spacing w:val="-3"/>
          <w:sz w:val="24"/>
        </w:rPr>
        <w:t xml:space="preserve"> </w:t>
      </w:r>
      <w:r>
        <w:rPr>
          <w:sz w:val="24"/>
        </w:rPr>
        <w:t>3;332(7553):1302–8.</w:t>
      </w:r>
    </w:p>
    <w:p w:rsidR="00825E87" w:rsidRDefault="00CB188B">
      <w:pPr>
        <w:pStyle w:val="PargrafodaLista"/>
        <w:numPr>
          <w:ilvl w:val="0"/>
          <w:numId w:val="5"/>
        </w:numPr>
        <w:tabs>
          <w:tab w:val="left" w:pos="940"/>
          <w:tab w:val="left" w:pos="941"/>
        </w:tabs>
        <w:spacing w:before="16" w:line="232" w:lineRule="auto"/>
        <w:ind w:right="1346" w:firstLine="0"/>
        <w:rPr>
          <w:sz w:val="24"/>
        </w:rPr>
      </w:pPr>
      <w:r>
        <w:rPr>
          <w:sz w:val="24"/>
        </w:rPr>
        <w:t xml:space="preserve">Hernandez-Diaz S, Varas-Lorenzo C, Garcia Rodriguez LA. </w:t>
      </w:r>
      <w:r w:rsidRPr="00CB188B">
        <w:rPr>
          <w:sz w:val="24"/>
          <w:lang w:val="en-US"/>
        </w:rPr>
        <w:t xml:space="preserve">Non-Steroidal Antiinflammatory Drugs and the Risk of Acute Myocardial Infarction. </w:t>
      </w:r>
      <w:r>
        <w:rPr>
          <w:sz w:val="24"/>
        </w:rPr>
        <w:t>Toxicology. 2006 Mar;98(3):266–74.</w:t>
      </w:r>
    </w:p>
    <w:p w:rsidR="00825E87" w:rsidRDefault="00CB188B">
      <w:pPr>
        <w:pStyle w:val="PargrafodaLista"/>
        <w:numPr>
          <w:ilvl w:val="0"/>
          <w:numId w:val="5"/>
        </w:numPr>
        <w:tabs>
          <w:tab w:val="left" w:pos="940"/>
          <w:tab w:val="left" w:pos="941"/>
        </w:tabs>
        <w:spacing w:before="13" w:line="232" w:lineRule="auto"/>
        <w:ind w:right="673" w:firstLine="0"/>
        <w:rPr>
          <w:sz w:val="24"/>
        </w:rPr>
      </w:pPr>
      <w:r>
        <w:rPr>
          <w:sz w:val="24"/>
        </w:rPr>
        <w:t xml:space="preserve">Fuchs, FD; Wannmacher </w:t>
      </w:r>
      <w:r>
        <w:rPr>
          <w:spacing w:val="-3"/>
          <w:sz w:val="24"/>
        </w:rPr>
        <w:t xml:space="preserve">L. </w:t>
      </w:r>
      <w:r>
        <w:rPr>
          <w:sz w:val="24"/>
        </w:rPr>
        <w:t>Farmacologia clínica - fund</w:t>
      </w:r>
      <w:r>
        <w:rPr>
          <w:sz w:val="24"/>
        </w:rPr>
        <w:t>amentos da terapêutica racional. 4th ed. Rio de Janeiro: Guanabara Koogan;</w:t>
      </w:r>
      <w:r>
        <w:rPr>
          <w:spacing w:val="-2"/>
          <w:sz w:val="24"/>
        </w:rPr>
        <w:t xml:space="preserve"> </w:t>
      </w:r>
      <w:r>
        <w:rPr>
          <w:sz w:val="24"/>
        </w:rPr>
        <w:t>2010.</w:t>
      </w:r>
    </w:p>
    <w:p w:rsidR="00825E87" w:rsidRDefault="00CB188B">
      <w:pPr>
        <w:pStyle w:val="PargrafodaLista"/>
        <w:numPr>
          <w:ilvl w:val="0"/>
          <w:numId w:val="5"/>
        </w:numPr>
        <w:tabs>
          <w:tab w:val="left" w:pos="941"/>
        </w:tabs>
        <w:spacing w:before="15" w:line="235" w:lineRule="auto"/>
        <w:ind w:right="376" w:firstLine="0"/>
        <w:jc w:val="both"/>
        <w:rPr>
          <w:sz w:val="24"/>
        </w:rPr>
      </w:pPr>
      <w:r w:rsidRPr="00CB188B">
        <w:rPr>
          <w:sz w:val="24"/>
          <w:lang w:val="en-US"/>
        </w:rPr>
        <w:t>Sieper J, Listing J, Poddubnyy D, Song I-H, Hermann K-G, Callhoff J, et al. Effect of continuous versus on-demand treatment of ankylosing spondylitis with diclofenac over 2 ye</w:t>
      </w:r>
      <w:r w:rsidRPr="00CB188B">
        <w:rPr>
          <w:sz w:val="24"/>
          <w:lang w:val="en-US"/>
        </w:rPr>
        <w:t xml:space="preserve">ars on radiographic progression of the spine: results from a randomised multicentre trial (ENRADAS). </w:t>
      </w:r>
      <w:r>
        <w:rPr>
          <w:sz w:val="24"/>
        </w:rPr>
        <w:t>Ann Rheum Dis. 2016</w:t>
      </w:r>
      <w:r>
        <w:rPr>
          <w:spacing w:val="-1"/>
          <w:sz w:val="24"/>
        </w:rPr>
        <w:t xml:space="preserve"> </w:t>
      </w:r>
      <w:r>
        <w:rPr>
          <w:sz w:val="24"/>
        </w:rPr>
        <w:t>Aug;75(8):1438–43.</w:t>
      </w:r>
    </w:p>
    <w:p w:rsidR="00825E87" w:rsidRPr="00CB188B" w:rsidRDefault="00CB188B">
      <w:pPr>
        <w:pStyle w:val="PargrafodaLista"/>
        <w:numPr>
          <w:ilvl w:val="0"/>
          <w:numId w:val="5"/>
        </w:numPr>
        <w:tabs>
          <w:tab w:val="left" w:pos="941"/>
        </w:tabs>
        <w:ind w:right="388" w:firstLine="0"/>
        <w:jc w:val="both"/>
        <w:rPr>
          <w:sz w:val="24"/>
          <w:lang w:val="en-US"/>
        </w:rPr>
      </w:pPr>
      <w:r w:rsidRPr="00CB188B">
        <w:rPr>
          <w:sz w:val="24"/>
          <w:lang w:val="en-US"/>
        </w:rPr>
        <w:t>Chen J, Lin S, Liu C. Sulfasalazine for ankylosing spondylitis. In: Chen J, editor.</w:t>
      </w:r>
      <w:r w:rsidRPr="00CB188B">
        <w:rPr>
          <w:spacing w:val="-20"/>
          <w:sz w:val="24"/>
          <w:lang w:val="en-US"/>
        </w:rPr>
        <w:t xml:space="preserve"> </w:t>
      </w:r>
      <w:r w:rsidRPr="00CB188B">
        <w:rPr>
          <w:sz w:val="24"/>
          <w:lang w:val="en-US"/>
        </w:rPr>
        <w:t>Cochrane Database</w:t>
      </w:r>
      <w:r w:rsidRPr="00CB188B">
        <w:rPr>
          <w:spacing w:val="-2"/>
          <w:sz w:val="24"/>
          <w:lang w:val="en-US"/>
        </w:rPr>
        <w:t xml:space="preserve"> </w:t>
      </w:r>
      <w:r w:rsidRPr="00CB188B">
        <w:rPr>
          <w:sz w:val="24"/>
          <w:lang w:val="en-US"/>
        </w:rPr>
        <w:t>of</w:t>
      </w:r>
    </w:p>
    <w:p w:rsidR="00825E87" w:rsidRPr="00CB188B" w:rsidRDefault="00CB188B">
      <w:pPr>
        <w:pStyle w:val="Corpodetexto"/>
        <w:spacing w:line="274" w:lineRule="exact"/>
        <w:jc w:val="both"/>
        <w:rPr>
          <w:lang w:val="en-US"/>
        </w:rPr>
      </w:pPr>
      <w:r w:rsidRPr="00CB188B">
        <w:rPr>
          <w:lang w:val="en-US"/>
        </w:rPr>
        <w:t>Systematic Reviews. Chichester, UK: John Wiley &amp; Sons, Ltd; 2014.</w:t>
      </w:r>
    </w:p>
    <w:p w:rsidR="00825E87" w:rsidRDefault="00CB188B">
      <w:pPr>
        <w:pStyle w:val="PargrafodaLista"/>
        <w:numPr>
          <w:ilvl w:val="0"/>
          <w:numId w:val="5"/>
        </w:numPr>
        <w:tabs>
          <w:tab w:val="left" w:pos="940"/>
          <w:tab w:val="left" w:pos="941"/>
        </w:tabs>
        <w:spacing w:before="13"/>
        <w:ind w:right="916" w:firstLine="0"/>
        <w:rPr>
          <w:sz w:val="24"/>
        </w:rPr>
      </w:pPr>
      <w:r w:rsidRPr="00CB188B">
        <w:rPr>
          <w:sz w:val="24"/>
          <w:lang w:val="en-US"/>
        </w:rPr>
        <w:t xml:space="preserve">Chen J, Veras MM, Liu C, Lin J. Methotrexate for ankylosing spondylitis. </w:t>
      </w:r>
      <w:r>
        <w:rPr>
          <w:sz w:val="24"/>
        </w:rPr>
        <w:t>In: Chen J, editor. Cochrane Database</w:t>
      </w:r>
    </w:p>
    <w:p w:rsidR="00825E87" w:rsidRPr="00CB188B" w:rsidRDefault="00CB188B">
      <w:pPr>
        <w:pStyle w:val="Corpodetexto"/>
        <w:jc w:val="both"/>
        <w:rPr>
          <w:lang w:val="en-US"/>
        </w:rPr>
      </w:pPr>
      <w:r w:rsidRPr="00CB188B">
        <w:rPr>
          <w:lang w:val="en-US"/>
        </w:rPr>
        <w:t>of Systematic Reviews. Chichester, UK: John Wiley &amp; Sons, Ltd; 2013.</w:t>
      </w:r>
    </w:p>
    <w:p w:rsidR="00825E87" w:rsidRDefault="00CB188B">
      <w:pPr>
        <w:pStyle w:val="PargrafodaLista"/>
        <w:numPr>
          <w:ilvl w:val="0"/>
          <w:numId w:val="5"/>
        </w:numPr>
        <w:tabs>
          <w:tab w:val="left" w:pos="940"/>
          <w:tab w:val="left" w:pos="941"/>
        </w:tabs>
        <w:spacing w:before="16" w:line="232" w:lineRule="auto"/>
        <w:ind w:right="644" w:firstLine="0"/>
        <w:rPr>
          <w:sz w:val="24"/>
        </w:rPr>
      </w:pPr>
      <w:r w:rsidRPr="00CB188B">
        <w:rPr>
          <w:sz w:val="24"/>
          <w:lang w:val="en-US"/>
        </w:rPr>
        <w:t xml:space="preserve">Lin S, He M, Chen J. Tumor necrosis factor-alpha inhibitor combined with methotrexate for ankylosing spondylitis: A systematic review and meta-analysis. </w:t>
      </w:r>
      <w:r>
        <w:rPr>
          <w:sz w:val="24"/>
        </w:rPr>
        <w:t>Rheumatol Reports. 2014;6(1):6–11.</w:t>
      </w:r>
    </w:p>
    <w:p w:rsidR="00825E87" w:rsidRDefault="00CB188B">
      <w:pPr>
        <w:pStyle w:val="PargrafodaLista"/>
        <w:numPr>
          <w:ilvl w:val="0"/>
          <w:numId w:val="5"/>
        </w:numPr>
        <w:tabs>
          <w:tab w:val="left" w:pos="940"/>
          <w:tab w:val="left" w:pos="941"/>
        </w:tabs>
        <w:spacing w:before="13" w:line="232" w:lineRule="auto"/>
        <w:ind w:right="573" w:firstLine="0"/>
        <w:rPr>
          <w:sz w:val="24"/>
        </w:rPr>
      </w:pPr>
      <w:r w:rsidRPr="00CB188B">
        <w:rPr>
          <w:sz w:val="24"/>
          <w:lang w:val="en-US"/>
        </w:rPr>
        <w:t>Yu D. General guidelines for use of anti-tumor necrosis factor alpha</w:t>
      </w:r>
      <w:r w:rsidRPr="00CB188B">
        <w:rPr>
          <w:sz w:val="24"/>
          <w:lang w:val="en-US"/>
        </w:rPr>
        <w:t xml:space="preserve"> agents in ankylosing spondylitis and in peripheral and non-radiographic axial spondyloarthritis. </w:t>
      </w:r>
      <w:r>
        <w:rPr>
          <w:sz w:val="24"/>
        </w:rPr>
        <w:t>UpToDate.</w:t>
      </w:r>
      <w:r>
        <w:rPr>
          <w:spacing w:val="-4"/>
          <w:sz w:val="24"/>
        </w:rPr>
        <w:t xml:space="preserve"> </w:t>
      </w:r>
      <w:r>
        <w:rPr>
          <w:sz w:val="24"/>
        </w:rPr>
        <w:t>2015.</w:t>
      </w:r>
    </w:p>
    <w:p w:rsidR="00825E87" w:rsidRDefault="00CB188B">
      <w:pPr>
        <w:pStyle w:val="PargrafodaLista"/>
        <w:numPr>
          <w:ilvl w:val="0"/>
          <w:numId w:val="5"/>
        </w:numPr>
        <w:tabs>
          <w:tab w:val="left" w:pos="941"/>
        </w:tabs>
        <w:spacing w:before="10" w:line="237" w:lineRule="auto"/>
        <w:ind w:right="376" w:firstLine="0"/>
        <w:jc w:val="both"/>
        <w:rPr>
          <w:sz w:val="24"/>
        </w:rPr>
      </w:pPr>
      <w:r w:rsidRPr="00CB188B">
        <w:rPr>
          <w:sz w:val="24"/>
          <w:lang w:val="en-US"/>
        </w:rPr>
        <w:t>van der Heijde D, Sieper J, Maksymowych WP, Dougados M, Burgos-Vargas R, Landewe R, et al. 2010 Update of the international ASAS recommendatio</w:t>
      </w:r>
      <w:r w:rsidRPr="00CB188B">
        <w:rPr>
          <w:sz w:val="24"/>
          <w:lang w:val="en-US"/>
        </w:rPr>
        <w:t xml:space="preserve">ns for the use of anti-TNF agents in patients with axial spondyloarthritis. </w:t>
      </w:r>
      <w:r>
        <w:rPr>
          <w:sz w:val="24"/>
        </w:rPr>
        <w:t>Ann Rheum Dis. 2011 Jun</w:t>
      </w:r>
      <w:r>
        <w:rPr>
          <w:spacing w:val="-1"/>
          <w:sz w:val="24"/>
        </w:rPr>
        <w:t xml:space="preserve"> </w:t>
      </w:r>
      <w:r>
        <w:rPr>
          <w:sz w:val="24"/>
        </w:rPr>
        <w:t>1;70(6):905–8.</w:t>
      </w:r>
    </w:p>
    <w:p w:rsidR="00825E87" w:rsidRDefault="00CB188B">
      <w:pPr>
        <w:pStyle w:val="PargrafodaLista"/>
        <w:numPr>
          <w:ilvl w:val="0"/>
          <w:numId w:val="5"/>
        </w:numPr>
        <w:tabs>
          <w:tab w:val="left" w:pos="941"/>
        </w:tabs>
        <w:spacing w:before="8" w:line="235" w:lineRule="auto"/>
        <w:ind w:right="397" w:firstLine="0"/>
        <w:jc w:val="both"/>
        <w:rPr>
          <w:sz w:val="24"/>
        </w:rPr>
      </w:pPr>
      <w:r w:rsidRPr="00CB188B">
        <w:rPr>
          <w:sz w:val="24"/>
          <w:lang w:val="en-US"/>
        </w:rPr>
        <w:t>Corbett M, Soares M, Jhuti G, Rice S, Spackman E, Sideris E, et al. Tumour necrosis factor-</w:t>
      </w:r>
      <w:r>
        <w:rPr>
          <w:sz w:val="24"/>
        </w:rPr>
        <w:t>α</w:t>
      </w:r>
      <w:r w:rsidRPr="00CB188B">
        <w:rPr>
          <w:sz w:val="24"/>
          <w:lang w:val="en-US"/>
        </w:rPr>
        <w:t xml:space="preserve"> inhibitors for ankylosing spondylitis and non-ra</w:t>
      </w:r>
      <w:r w:rsidRPr="00CB188B">
        <w:rPr>
          <w:sz w:val="24"/>
          <w:lang w:val="en-US"/>
        </w:rPr>
        <w:t xml:space="preserve">diographic axial spondyloarthritis: A systematic review and economic evaluation. </w:t>
      </w:r>
      <w:r>
        <w:rPr>
          <w:sz w:val="24"/>
        </w:rPr>
        <w:t>Health Technol Assess (Rockv).</w:t>
      </w:r>
      <w:r>
        <w:rPr>
          <w:spacing w:val="-5"/>
          <w:sz w:val="24"/>
        </w:rPr>
        <w:t xml:space="preserve"> </w:t>
      </w:r>
      <w:r>
        <w:rPr>
          <w:sz w:val="24"/>
        </w:rPr>
        <w:t>2016;20(9):333.</w:t>
      </w:r>
    </w:p>
    <w:p w:rsidR="00825E87" w:rsidRPr="00CB188B" w:rsidRDefault="00CB188B">
      <w:pPr>
        <w:pStyle w:val="PargrafodaLista"/>
        <w:numPr>
          <w:ilvl w:val="0"/>
          <w:numId w:val="5"/>
        </w:numPr>
        <w:tabs>
          <w:tab w:val="left" w:pos="941"/>
        </w:tabs>
        <w:spacing w:before="14" w:line="235" w:lineRule="auto"/>
        <w:ind w:right="384" w:firstLine="0"/>
        <w:jc w:val="both"/>
        <w:rPr>
          <w:sz w:val="24"/>
          <w:lang w:val="en-US"/>
        </w:rPr>
      </w:pPr>
      <w:r>
        <w:rPr>
          <w:sz w:val="24"/>
        </w:rPr>
        <w:t xml:space="preserve">Maxwell LJ, Zochling J, Boonen A, Singh JA, Veras MM, Tanjong Ghogomu E, et al. </w:t>
      </w:r>
      <w:r w:rsidRPr="00CB188B">
        <w:rPr>
          <w:sz w:val="24"/>
          <w:lang w:val="en-US"/>
        </w:rPr>
        <w:t>TNF-alpha inhibitors for ankylosing spondylitis.</w:t>
      </w:r>
      <w:r w:rsidRPr="00CB188B">
        <w:rPr>
          <w:sz w:val="24"/>
          <w:lang w:val="en-US"/>
        </w:rPr>
        <w:t xml:space="preserve"> In: Maxwell LJ, editor. Cochrane Database of Systematic Reviews. Chichester, UK: John Wiley &amp; Sons, Ltd;</w:t>
      </w:r>
      <w:r w:rsidRPr="00CB188B">
        <w:rPr>
          <w:spacing w:val="-5"/>
          <w:sz w:val="24"/>
          <w:lang w:val="en-US"/>
        </w:rPr>
        <w:t xml:space="preserve"> </w:t>
      </w:r>
      <w:r w:rsidRPr="00CB188B">
        <w:rPr>
          <w:sz w:val="24"/>
          <w:lang w:val="en-US"/>
        </w:rPr>
        <w:t>2015.</w:t>
      </w:r>
    </w:p>
    <w:p w:rsidR="00825E87" w:rsidRDefault="00CB188B">
      <w:pPr>
        <w:pStyle w:val="PargrafodaLista"/>
        <w:numPr>
          <w:ilvl w:val="0"/>
          <w:numId w:val="5"/>
        </w:numPr>
        <w:tabs>
          <w:tab w:val="left" w:pos="941"/>
        </w:tabs>
        <w:spacing w:before="12" w:line="235" w:lineRule="auto"/>
        <w:ind w:right="381" w:firstLine="0"/>
        <w:jc w:val="both"/>
        <w:rPr>
          <w:sz w:val="24"/>
        </w:rPr>
      </w:pPr>
      <w:r>
        <w:rPr>
          <w:sz w:val="24"/>
        </w:rPr>
        <w:t xml:space="preserve">Migliore A, Bizzi E, Bernardi M, Picchianti Diamanti A, Lagana B, Petrella L, et al. </w:t>
      </w:r>
      <w:r w:rsidRPr="00CB188B">
        <w:rPr>
          <w:sz w:val="24"/>
          <w:lang w:val="en-US"/>
        </w:rPr>
        <w:t>Indirect Comparison Between Subcutaneous Biologic Agents in</w:t>
      </w:r>
      <w:r w:rsidRPr="00CB188B">
        <w:rPr>
          <w:sz w:val="24"/>
          <w:lang w:val="en-US"/>
        </w:rPr>
        <w:t xml:space="preserve"> Ankylosing Spondylitis. Clin Drug Investig. </w:t>
      </w:r>
      <w:r>
        <w:rPr>
          <w:sz w:val="24"/>
        </w:rPr>
        <w:t>2015 Jan 12;35(1):23–</w:t>
      </w:r>
      <w:r>
        <w:rPr>
          <w:spacing w:val="-1"/>
          <w:sz w:val="24"/>
        </w:rPr>
        <w:t xml:space="preserve"> </w:t>
      </w:r>
      <w:r>
        <w:rPr>
          <w:sz w:val="24"/>
        </w:rPr>
        <w:t>9.</w:t>
      </w:r>
    </w:p>
    <w:p w:rsidR="00825E87" w:rsidRDefault="00CB188B">
      <w:pPr>
        <w:pStyle w:val="PargrafodaLista"/>
        <w:numPr>
          <w:ilvl w:val="0"/>
          <w:numId w:val="5"/>
        </w:numPr>
        <w:tabs>
          <w:tab w:val="left" w:pos="941"/>
        </w:tabs>
        <w:spacing w:before="13" w:line="237" w:lineRule="auto"/>
        <w:ind w:right="396" w:firstLine="0"/>
        <w:jc w:val="both"/>
        <w:rPr>
          <w:sz w:val="24"/>
        </w:rPr>
      </w:pPr>
      <w:r w:rsidRPr="00CB188B">
        <w:rPr>
          <w:sz w:val="24"/>
          <w:lang w:val="en-US"/>
        </w:rPr>
        <w:t>Migliore A, Bizzi E, Massafra U. Indirect comparison of the effects of anti-tnf biological agents in patients with ankylosing spondylitis by means of a mixed treatment comparison perform</w:t>
      </w:r>
      <w:r w:rsidRPr="00CB188B">
        <w:rPr>
          <w:sz w:val="24"/>
          <w:lang w:val="en-US"/>
        </w:rPr>
        <w:t xml:space="preserve">ed on efficacy data from published randomised, controlled trials. </w:t>
      </w:r>
      <w:r>
        <w:rPr>
          <w:sz w:val="24"/>
        </w:rPr>
        <w:t>Value heal. 2014 nov;17(7):a555.</w:t>
      </w:r>
    </w:p>
    <w:p w:rsidR="00825E87" w:rsidRDefault="00CB188B">
      <w:pPr>
        <w:pStyle w:val="PargrafodaLista"/>
        <w:numPr>
          <w:ilvl w:val="0"/>
          <w:numId w:val="5"/>
        </w:numPr>
        <w:tabs>
          <w:tab w:val="left" w:pos="941"/>
        </w:tabs>
        <w:spacing w:before="18" w:line="237" w:lineRule="auto"/>
        <w:ind w:right="374" w:firstLine="0"/>
        <w:jc w:val="both"/>
        <w:rPr>
          <w:sz w:val="24"/>
        </w:rPr>
      </w:pPr>
      <w:r w:rsidRPr="00CB188B">
        <w:rPr>
          <w:sz w:val="24"/>
          <w:lang w:val="en-US"/>
        </w:rPr>
        <w:t xml:space="preserve">Braun J, Deodhar A, Inman RD, van der Heijde D, Mack M, Xu S, et al. Golimumab administered subcutaneously every 4 weeks in ankylosing spondylitis: 104-week results of the GO-RAISE study. </w:t>
      </w:r>
      <w:r>
        <w:rPr>
          <w:sz w:val="24"/>
        </w:rPr>
        <w:t>Ann Rheum Dis. 2012</w:t>
      </w:r>
      <w:r>
        <w:rPr>
          <w:spacing w:val="2"/>
          <w:sz w:val="24"/>
        </w:rPr>
        <w:t xml:space="preserve"> </w:t>
      </w:r>
      <w:r>
        <w:rPr>
          <w:sz w:val="24"/>
        </w:rPr>
        <w:t>May;71(5):661–7.</w:t>
      </w:r>
    </w:p>
    <w:p w:rsidR="00825E87" w:rsidRDefault="00825E87">
      <w:pPr>
        <w:spacing w:line="237" w:lineRule="auto"/>
        <w:jc w:val="both"/>
        <w:rPr>
          <w:sz w:val="24"/>
        </w:rPr>
        <w:sectPr w:rsidR="00825E87">
          <w:pgSz w:w="11900" w:h="16840"/>
          <w:pgMar w:top="1120" w:right="880" w:bottom="280" w:left="920" w:header="720" w:footer="720" w:gutter="0"/>
          <w:cols w:space="720"/>
        </w:sectPr>
      </w:pPr>
    </w:p>
    <w:p w:rsidR="00825E87" w:rsidRDefault="00CB188B">
      <w:pPr>
        <w:pStyle w:val="PargrafodaLista"/>
        <w:numPr>
          <w:ilvl w:val="0"/>
          <w:numId w:val="5"/>
        </w:numPr>
        <w:tabs>
          <w:tab w:val="left" w:pos="941"/>
        </w:tabs>
        <w:spacing w:before="83" w:line="235" w:lineRule="auto"/>
        <w:ind w:right="397" w:firstLine="0"/>
        <w:jc w:val="both"/>
        <w:rPr>
          <w:sz w:val="24"/>
        </w:rPr>
      </w:pPr>
      <w:r w:rsidRPr="00CB188B">
        <w:rPr>
          <w:sz w:val="24"/>
          <w:lang w:val="en-US"/>
        </w:rPr>
        <w:lastRenderedPageBreak/>
        <w:t>Corbett M, Soares</w:t>
      </w:r>
      <w:r w:rsidRPr="00CB188B">
        <w:rPr>
          <w:sz w:val="24"/>
          <w:lang w:val="en-US"/>
        </w:rPr>
        <w:t xml:space="preserve"> M, Jhuti G, Rice S, Spackman E, Sideris E, et al. Tumour necrosis factor-</w:t>
      </w:r>
      <w:r>
        <w:rPr>
          <w:sz w:val="24"/>
        </w:rPr>
        <w:t>α</w:t>
      </w:r>
      <w:r w:rsidRPr="00CB188B">
        <w:rPr>
          <w:sz w:val="24"/>
          <w:lang w:val="en-US"/>
        </w:rPr>
        <w:t xml:space="preserve"> inhibitors for ankylosing spondylitis and non-radiographic axial spondyloarthritis: A systematic review and economic evaluation. </w:t>
      </w:r>
      <w:r>
        <w:rPr>
          <w:sz w:val="24"/>
        </w:rPr>
        <w:t>Health Technol Assess (Rockv). 2016</w:t>
      </w:r>
      <w:r>
        <w:rPr>
          <w:spacing w:val="-12"/>
          <w:sz w:val="24"/>
        </w:rPr>
        <w:t xml:space="preserve"> </w:t>
      </w:r>
      <w:r>
        <w:rPr>
          <w:sz w:val="24"/>
        </w:rPr>
        <w:t>Feb;20(9):333.</w:t>
      </w:r>
    </w:p>
    <w:p w:rsidR="00825E87" w:rsidRDefault="00CB188B">
      <w:pPr>
        <w:pStyle w:val="PargrafodaLista"/>
        <w:numPr>
          <w:ilvl w:val="0"/>
          <w:numId w:val="5"/>
        </w:numPr>
        <w:tabs>
          <w:tab w:val="left" w:pos="941"/>
        </w:tabs>
        <w:spacing w:before="14" w:line="235" w:lineRule="auto"/>
        <w:ind w:right="396" w:firstLine="0"/>
        <w:jc w:val="both"/>
        <w:rPr>
          <w:sz w:val="24"/>
        </w:rPr>
      </w:pPr>
      <w:r w:rsidRPr="00CB188B">
        <w:rPr>
          <w:sz w:val="24"/>
          <w:lang w:val="en-US"/>
        </w:rPr>
        <w:t xml:space="preserve">Baraliakos X, Listing J, Fritz C, Haibel H, Alten R, Burmester G-R, et al. Persistent clinical efficacy and safety of infliximab in ankylosing spondylitis after 8 years--early clinical response predicts long-term outcome. </w:t>
      </w:r>
      <w:r>
        <w:rPr>
          <w:sz w:val="24"/>
        </w:rPr>
        <w:t>Rheumatology. 2011 Sep</w:t>
      </w:r>
      <w:r>
        <w:rPr>
          <w:spacing w:val="-1"/>
          <w:sz w:val="24"/>
        </w:rPr>
        <w:t xml:space="preserve"> </w:t>
      </w:r>
      <w:r>
        <w:rPr>
          <w:sz w:val="24"/>
        </w:rPr>
        <w:t>1;50(9):169</w:t>
      </w:r>
      <w:r>
        <w:rPr>
          <w:sz w:val="24"/>
        </w:rPr>
        <w:t>0–9.</w:t>
      </w:r>
    </w:p>
    <w:p w:rsidR="00825E87" w:rsidRDefault="00CB188B">
      <w:pPr>
        <w:pStyle w:val="PargrafodaLista"/>
        <w:numPr>
          <w:ilvl w:val="0"/>
          <w:numId w:val="5"/>
        </w:numPr>
        <w:tabs>
          <w:tab w:val="left" w:pos="941"/>
        </w:tabs>
        <w:spacing w:before="12" w:line="235" w:lineRule="auto"/>
        <w:ind w:right="397" w:firstLine="0"/>
        <w:jc w:val="both"/>
        <w:rPr>
          <w:sz w:val="24"/>
        </w:rPr>
      </w:pPr>
      <w:r w:rsidRPr="00CB188B">
        <w:rPr>
          <w:sz w:val="24"/>
          <w:lang w:val="en-US"/>
        </w:rPr>
        <w:t xml:space="preserve">RUDWALEIT M, CLAUDEPIERRE P, WORDSWORTH P, CORTINA EL, SIEPER J, KRON M, et al. Effectiveness, Safety, and Predictors of Good Clinical Response in 1250 Patients Treated with Adalimumab for Active Ankylosing Spondylitis. </w:t>
      </w:r>
      <w:r>
        <w:rPr>
          <w:sz w:val="24"/>
        </w:rPr>
        <w:t>J Rheumatol. 2009 Apr 1;36(4):8</w:t>
      </w:r>
      <w:r>
        <w:rPr>
          <w:sz w:val="24"/>
        </w:rPr>
        <w:t>01–8.</w:t>
      </w:r>
    </w:p>
    <w:p w:rsidR="00825E87" w:rsidRDefault="00CB188B">
      <w:pPr>
        <w:pStyle w:val="PargrafodaLista"/>
        <w:numPr>
          <w:ilvl w:val="0"/>
          <w:numId w:val="5"/>
        </w:numPr>
        <w:tabs>
          <w:tab w:val="left" w:pos="941"/>
        </w:tabs>
        <w:spacing w:before="17" w:line="235" w:lineRule="auto"/>
        <w:ind w:right="376" w:firstLine="0"/>
        <w:jc w:val="both"/>
        <w:rPr>
          <w:sz w:val="24"/>
        </w:rPr>
      </w:pPr>
      <w:r w:rsidRPr="00CB188B">
        <w:rPr>
          <w:sz w:val="24"/>
          <w:lang w:val="en-US"/>
        </w:rPr>
        <w:t xml:space="preserve">Glintborg B, Ostergaard M, Krogh NS, Dreyer L, Kristensen HL, Hetland ML. Predictors of treatment response and drug continuation in 842 patients with ankylosing spondylitis treated with anti-tumour necrosis factor: results from 8 years’ surveillance </w:t>
      </w:r>
      <w:r w:rsidRPr="00CB188B">
        <w:rPr>
          <w:sz w:val="24"/>
          <w:lang w:val="en-US"/>
        </w:rPr>
        <w:t xml:space="preserve">in the Danish nationwide DANBIO registry. </w:t>
      </w:r>
      <w:r>
        <w:rPr>
          <w:sz w:val="24"/>
        </w:rPr>
        <w:t>Ann Rheum Dis. 2010 Nov</w:t>
      </w:r>
      <w:r>
        <w:rPr>
          <w:spacing w:val="3"/>
          <w:sz w:val="24"/>
        </w:rPr>
        <w:t xml:space="preserve"> </w:t>
      </w:r>
      <w:r>
        <w:rPr>
          <w:sz w:val="24"/>
        </w:rPr>
        <w:t>1;69(11):2002–8</w:t>
      </w:r>
    </w:p>
    <w:p w:rsidR="00825E87" w:rsidRDefault="00CB188B">
      <w:pPr>
        <w:pStyle w:val="PargrafodaLista"/>
        <w:numPr>
          <w:ilvl w:val="0"/>
          <w:numId w:val="5"/>
        </w:numPr>
        <w:tabs>
          <w:tab w:val="left" w:pos="941"/>
        </w:tabs>
        <w:spacing w:before="18" w:line="235" w:lineRule="auto"/>
        <w:ind w:right="375" w:firstLine="0"/>
        <w:jc w:val="both"/>
        <w:rPr>
          <w:sz w:val="24"/>
        </w:rPr>
      </w:pPr>
      <w:r w:rsidRPr="00CB188B">
        <w:rPr>
          <w:sz w:val="24"/>
          <w:lang w:val="en-US"/>
        </w:rPr>
        <w:t>Rudwaleit M, Van den Bosch F, Kron M, Kary S, Kupper H. Effectiveness and safety of adalimumab in patients with ankylosing spondylitis or psoriatic arthritis and history of a</w:t>
      </w:r>
      <w:r w:rsidRPr="00CB188B">
        <w:rPr>
          <w:sz w:val="24"/>
          <w:lang w:val="en-US"/>
        </w:rPr>
        <w:t xml:space="preserve">nti-tumor necrosis factor therapy. </w:t>
      </w:r>
      <w:r>
        <w:rPr>
          <w:sz w:val="24"/>
        </w:rPr>
        <w:t>Arthritis Res Ther.</w:t>
      </w:r>
      <w:r>
        <w:rPr>
          <w:spacing w:val="1"/>
          <w:sz w:val="24"/>
        </w:rPr>
        <w:t xml:space="preserve"> </w:t>
      </w:r>
      <w:r>
        <w:rPr>
          <w:sz w:val="24"/>
        </w:rPr>
        <w:t>2010;12(3):R117.</w:t>
      </w:r>
    </w:p>
    <w:p w:rsidR="00825E87" w:rsidRDefault="00CB188B">
      <w:pPr>
        <w:pStyle w:val="PargrafodaLista"/>
        <w:numPr>
          <w:ilvl w:val="0"/>
          <w:numId w:val="5"/>
        </w:numPr>
        <w:tabs>
          <w:tab w:val="left" w:pos="941"/>
        </w:tabs>
        <w:spacing w:before="12" w:line="235" w:lineRule="auto"/>
        <w:ind w:right="395" w:firstLine="0"/>
        <w:jc w:val="both"/>
        <w:rPr>
          <w:sz w:val="24"/>
        </w:rPr>
      </w:pPr>
      <w:r>
        <w:rPr>
          <w:sz w:val="24"/>
        </w:rPr>
        <w:t xml:space="preserve">Spadaro A, Punzi </w:t>
      </w:r>
      <w:r>
        <w:rPr>
          <w:spacing w:val="-3"/>
          <w:sz w:val="24"/>
        </w:rPr>
        <w:t xml:space="preserve">L, </w:t>
      </w:r>
      <w:r>
        <w:rPr>
          <w:sz w:val="24"/>
        </w:rPr>
        <w:t xml:space="preserve">Marchesoni A, Lubrano E, Mathieu A, Cantini F, et al. </w:t>
      </w:r>
      <w:r w:rsidRPr="00CB188B">
        <w:rPr>
          <w:sz w:val="24"/>
          <w:lang w:val="en-US"/>
        </w:rPr>
        <w:t>Switching from infliximab or etanercept to adalimumab in resistant or intolerant patients with spondyloarthrit</w:t>
      </w:r>
      <w:r w:rsidRPr="00CB188B">
        <w:rPr>
          <w:sz w:val="24"/>
          <w:lang w:val="en-US"/>
        </w:rPr>
        <w:t xml:space="preserve">is: a 4-year study. </w:t>
      </w:r>
      <w:r>
        <w:rPr>
          <w:sz w:val="24"/>
        </w:rPr>
        <w:t>Rheumatology (Oxford). 2010</w:t>
      </w:r>
      <w:r>
        <w:rPr>
          <w:spacing w:val="-6"/>
          <w:sz w:val="24"/>
        </w:rPr>
        <w:t xml:space="preserve"> </w:t>
      </w:r>
      <w:r>
        <w:rPr>
          <w:sz w:val="24"/>
        </w:rPr>
        <w:t>Jun;49(6):1107–11.</w:t>
      </w:r>
    </w:p>
    <w:p w:rsidR="00825E87" w:rsidRDefault="00CB188B">
      <w:pPr>
        <w:pStyle w:val="PargrafodaLista"/>
        <w:numPr>
          <w:ilvl w:val="0"/>
          <w:numId w:val="5"/>
        </w:numPr>
        <w:tabs>
          <w:tab w:val="left" w:pos="941"/>
        </w:tabs>
        <w:spacing w:before="12"/>
        <w:ind w:right="372" w:firstLine="0"/>
        <w:jc w:val="both"/>
        <w:rPr>
          <w:sz w:val="24"/>
        </w:rPr>
      </w:pPr>
      <w:r w:rsidRPr="00CB188B">
        <w:rPr>
          <w:sz w:val="24"/>
          <w:lang w:val="en-US"/>
        </w:rPr>
        <w:t xml:space="preserve">Lie E, van der Heijde D, Uhlig T, Mikkelsen K, Rodevand E, Koldingsnes W, et al. Effectiveness of switching between TNF inhibitors in ankylosing spondylitis: data from the NOR- DMARD register. </w:t>
      </w:r>
      <w:r>
        <w:rPr>
          <w:sz w:val="24"/>
        </w:rPr>
        <w:t>Ann Rheum Dis. 2011 Jan</w:t>
      </w:r>
      <w:r>
        <w:rPr>
          <w:spacing w:val="-1"/>
          <w:sz w:val="24"/>
        </w:rPr>
        <w:t xml:space="preserve"> </w:t>
      </w:r>
      <w:r>
        <w:rPr>
          <w:sz w:val="24"/>
        </w:rPr>
        <w:t>1;70(1):157–63.</w:t>
      </w:r>
    </w:p>
    <w:p w:rsidR="00825E87" w:rsidRDefault="00CB188B">
      <w:pPr>
        <w:pStyle w:val="PargrafodaLista"/>
        <w:numPr>
          <w:ilvl w:val="0"/>
          <w:numId w:val="5"/>
        </w:numPr>
        <w:tabs>
          <w:tab w:val="left" w:pos="940"/>
          <w:tab w:val="left" w:pos="941"/>
        </w:tabs>
        <w:spacing w:before="14" w:line="232" w:lineRule="auto"/>
        <w:ind w:right="818" w:firstLine="0"/>
        <w:rPr>
          <w:sz w:val="24"/>
        </w:rPr>
      </w:pPr>
      <w:r w:rsidRPr="00CB188B">
        <w:rPr>
          <w:sz w:val="24"/>
          <w:lang w:val="en-US"/>
        </w:rPr>
        <w:t>Dadoun S, Geri G, Pater</w:t>
      </w:r>
      <w:r w:rsidRPr="00CB188B">
        <w:rPr>
          <w:sz w:val="24"/>
          <w:lang w:val="en-US"/>
        </w:rPr>
        <w:t>notte S, Dougados M, Gossec L. Switching between tumour necrosis factor blockers in spondyloarthritis: a retrospective monocentre study of 222</w:t>
      </w:r>
      <w:r w:rsidRPr="00CB188B">
        <w:rPr>
          <w:spacing w:val="-17"/>
          <w:sz w:val="24"/>
          <w:lang w:val="en-US"/>
        </w:rPr>
        <w:t xml:space="preserve"> </w:t>
      </w:r>
      <w:r w:rsidRPr="00CB188B">
        <w:rPr>
          <w:sz w:val="24"/>
          <w:lang w:val="en-US"/>
        </w:rPr>
        <w:t xml:space="preserve">patients. </w:t>
      </w:r>
      <w:r>
        <w:rPr>
          <w:sz w:val="24"/>
        </w:rPr>
        <w:t>Clin Exp Rheumatol. 2011;</w:t>
      </w:r>
      <w:r>
        <w:rPr>
          <w:spacing w:val="-1"/>
          <w:sz w:val="24"/>
        </w:rPr>
        <w:t xml:space="preserve"> </w:t>
      </w:r>
      <w:r>
        <w:rPr>
          <w:sz w:val="24"/>
        </w:rPr>
        <w:t>9(6):1010–3.</w:t>
      </w:r>
    </w:p>
    <w:p w:rsidR="00825E87" w:rsidRDefault="00CB188B">
      <w:pPr>
        <w:pStyle w:val="PargrafodaLista"/>
        <w:numPr>
          <w:ilvl w:val="0"/>
          <w:numId w:val="5"/>
        </w:numPr>
        <w:tabs>
          <w:tab w:val="left" w:pos="941"/>
        </w:tabs>
        <w:spacing w:before="13" w:line="235" w:lineRule="auto"/>
        <w:ind w:right="378" w:firstLine="0"/>
        <w:jc w:val="both"/>
        <w:rPr>
          <w:sz w:val="24"/>
        </w:rPr>
      </w:pPr>
      <w:r w:rsidRPr="00CB188B">
        <w:rPr>
          <w:sz w:val="24"/>
          <w:lang w:val="en-US"/>
        </w:rPr>
        <w:t xml:space="preserve">Ramiro S, Stolwijk C, van Tubergen A, van der Heijde D, Dougados M, van den Bosch F, et al. Evolution of radiographic damage in ankylosing spondylitis: a 12 year prospective follow-up of the OASIS study. </w:t>
      </w:r>
      <w:r>
        <w:rPr>
          <w:sz w:val="24"/>
        </w:rPr>
        <w:t>Ann Rheum Dis. 2015 Jan</w:t>
      </w:r>
      <w:r>
        <w:rPr>
          <w:spacing w:val="-1"/>
          <w:sz w:val="24"/>
        </w:rPr>
        <w:t xml:space="preserve"> </w:t>
      </w:r>
      <w:r>
        <w:rPr>
          <w:sz w:val="24"/>
        </w:rPr>
        <w:t>10;74(1):52–9.</w:t>
      </w:r>
    </w:p>
    <w:p w:rsidR="00825E87" w:rsidRDefault="00CB188B">
      <w:pPr>
        <w:pStyle w:val="PargrafodaLista"/>
        <w:numPr>
          <w:ilvl w:val="0"/>
          <w:numId w:val="5"/>
        </w:numPr>
        <w:tabs>
          <w:tab w:val="left" w:pos="941"/>
        </w:tabs>
        <w:spacing w:before="13" w:line="235" w:lineRule="auto"/>
        <w:ind w:right="395" w:firstLine="0"/>
        <w:jc w:val="both"/>
        <w:rPr>
          <w:sz w:val="24"/>
        </w:rPr>
      </w:pPr>
      <w:r w:rsidRPr="00CB188B">
        <w:rPr>
          <w:sz w:val="24"/>
          <w:lang w:val="en-US"/>
        </w:rPr>
        <w:t>Maas F, Spoor</w:t>
      </w:r>
      <w:r w:rsidRPr="00CB188B">
        <w:rPr>
          <w:sz w:val="24"/>
          <w:lang w:val="en-US"/>
        </w:rPr>
        <w:t>enberg A, Brouwer E, Bos R, Efde M, Chaudhry RN, et al. Spinal Radiographic Progression in Patients with Ankylosing Spondylitis Treated with TNF-</w:t>
      </w:r>
      <w:r>
        <w:rPr>
          <w:sz w:val="24"/>
        </w:rPr>
        <w:t>α</w:t>
      </w:r>
      <w:r w:rsidRPr="00CB188B">
        <w:rPr>
          <w:sz w:val="24"/>
          <w:lang w:val="en-US"/>
        </w:rPr>
        <w:t xml:space="preserve"> Blocking Therapy: A Prospective Longitudinal Observational Cohort Study. </w:t>
      </w:r>
      <w:r>
        <w:rPr>
          <w:sz w:val="24"/>
        </w:rPr>
        <w:t>2015 Apr</w:t>
      </w:r>
      <w:r>
        <w:rPr>
          <w:spacing w:val="-11"/>
          <w:sz w:val="24"/>
        </w:rPr>
        <w:t xml:space="preserve"> </w:t>
      </w:r>
      <w:r>
        <w:rPr>
          <w:sz w:val="24"/>
        </w:rPr>
        <w:t>16;10(4):e0122693.</w:t>
      </w:r>
    </w:p>
    <w:p w:rsidR="00825E87" w:rsidRDefault="00CB188B">
      <w:pPr>
        <w:pStyle w:val="PargrafodaLista"/>
        <w:numPr>
          <w:ilvl w:val="0"/>
          <w:numId w:val="5"/>
        </w:numPr>
        <w:tabs>
          <w:tab w:val="left" w:pos="940"/>
          <w:tab w:val="left" w:pos="941"/>
        </w:tabs>
        <w:spacing w:before="16" w:line="232" w:lineRule="auto"/>
        <w:ind w:right="488" w:firstLine="0"/>
        <w:rPr>
          <w:sz w:val="24"/>
        </w:rPr>
      </w:pPr>
      <w:r w:rsidRPr="00CB188B">
        <w:rPr>
          <w:sz w:val="24"/>
          <w:lang w:val="en-US"/>
        </w:rPr>
        <w:t>Baraliak</w:t>
      </w:r>
      <w:r w:rsidRPr="00CB188B">
        <w:rPr>
          <w:sz w:val="24"/>
          <w:lang w:val="en-US"/>
        </w:rPr>
        <w:t xml:space="preserve">os X, Listing J, Rudwaleit M, Sieper J, Braun J. The relationship between inflammation and new bone formation in patients with ankylosing spondylitis. </w:t>
      </w:r>
      <w:r>
        <w:rPr>
          <w:sz w:val="24"/>
        </w:rPr>
        <w:t>Arthritis Res Ther. 2008;10(5):R104.</w:t>
      </w:r>
    </w:p>
    <w:p w:rsidR="00825E87" w:rsidRDefault="00CB188B">
      <w:pPr>
        <w:pStyle w:val="PargrafodaLista"/>
        <w:numPr>
          <w:ilvl w:val="0"/>
          <w:numId w:val="5"/>
        </w:numPr>
        <w:tabs>
          <w:tab w:val="left" w:pos="941"/>
        </w:tabs>
        <w:spacing w:before="16" w:line="235" w:lineRule="auto"/>
        <w:ind w:right="379" w:firstLine="0"/>
        <w:jc w:val="both"/>
        <w:rPr>
          <w:sz w:val="24"/>
        </w:rPr>
      </w:pPr>
      <w:r w:rsidRPr="00CB188B">
        <w:rPr>
          <w:sz w:val="24"/>
          <w:lang w:val="en-US"/>
        </w:rPr>
        <w:t>Maksymowych WP, Chiowchanwisawakit P, Clare T, Pedersen SJ, Østergaa</w:t>
      </w:r>
      <w:r w:rsidRPr="00CB188B">
        <w:rPr>
          <w:sz w:val="24"/>
          <w:lang w:val="en-US"/>
        </w:rPr>
        <w:t xml:space="preserve">rd M, Lambert RGW. Inflammatory lesions of the spine on magnetic resonance imaging predict the development of new syndesmophytes in ankylosing spondylitis: Evidence of a relationship between inflammation and new bone formation. </w:t>
      </w:r>
      <w:r>
        <w:rPr>
          <w:sz w:val="24"/>
        </w:rPr>
        <w:t>Arthritis Rheum. 2009</w:t>
      </w:r>
      <w:r>
        <w:rPr>
          <w:spacing w:val="1"/>
          <w:sz w:val="24"/>
        </w:rPr>
        <w:t xml:space="preserve"> </w:t>
      </w:r>
      <w:r>
        <w:rPr>
          <w:sz w:val="24"/>
        </w:rPr>
        <w:t>Jan;60</w:t>
      </w:r>
      <w:r>
        <w:rPr>
          <w:sz w:val="24"/>
        </w:rPr>
        <w:t>(1):93–102.</w:t>
      </w:r>
    </w:p>
    <w:p w:rsidR="00825E87" w:rsidRDefault="00CB188B">
      <w:pPr>
        <w:pStyle w:val="PargrafodaLista"/>
        <w:numPr>
          <w:ilvl w:val="0"/>
          <w:numId w:val="5"/>
        </w:numPr>
        <w:tabs>
          <w:tab w:val="left" w:pos="941"/>
        </w:tabs>
        <w:spacing w:before="17" w:line="235" w:lineRule="auto"/>
        <w:ind w:right="399" w:firstLine="0"/>
        <w:jc w:val="both"/>
        <w:rPr>
          <w:sz w:val="24"/>
        </w:rPr>
      </w:pPr>
      <w:r w:rsidRPr="00CB188B">
        <w:rPr>
          <w:sz w:val="24"/>
          <w:lang w:val="en-US"/>
        </w:rPr>
        <w:t xml:space="preserve">Chiowchanwisawakit P, Lambert RGW, Conner-Spady B, Maksymowych WP. Focal fat lesions at vertebral corners on magnetic resonance imaging predict the development of new syndesmophytes in ankylosing spondylitis. </w:t>
      </w:r>
      <w:r>
        <w:rPr>
          <w:sz w:val="24"/>
        </w:rPr>
        <w:t>Arthritis Rheum. 2011</w:t>
      </w:r>
      <w:r>
        <w:rPr>
          <w:spacing w:val="-2"/>
          <w:sz w:val="24"/>
        </w:rPr>
        <w:t xml:space="preserve"> </w:t>
      </w:r>
      <w:r>
        <w:rPr>
          <w:sz w:val="24"/>
        </w:rPr>
        <w:t>Aug;63(8):221</w:t>
      </w:r>
      <w:r>
        <w:rPr>
          <w:sz w:val="24"/>
        </w:rPr>
        <w:t>5–25.</w:t>
      </w:r>
    </w:p>
    <w:p w:rsidR="00825E87" w:rsidRDefault="00CB188B">
      <w:pPr>
        <w:pStyle w:val="PargrafodaLista"/>
        <w:numPr>
          <w:ilvl w:val="0"/>
          <w:numId w:val="5"/>
        </w:numPr>
        <w:tabs>
          <w:tab w:val="left" w:pos="940"/>
          <w:tab w:val="left" w:pos="941"/>
        </w:tabs>
        <w:spacing w:before="12" w:line="235" w:lineRule="auto"/>
        <w:ind w:right="736" w:firstLine="0"/>
        <w:rPr>
          <w:sz w:val="24"/>
        </w:rPr>
      </w:pPr>
      <w:r>
        <w:rPr>
          <w:sz w:val="24"/>
        </w:rPr>
        <w:t xml:space="preserve">Zhang J-R, Liu X-J, Xu W-D, Dai S-M. </w:t>
      </w:r>
      <w:r w:rsidRPr="00CB188B">
        <w:rPr>
          <w:sz w:val="24"/>
          <w:lang w:val="en-US"/>
        </w:rPr>
        <w:t>Effects of tumor necrosis factor-</w:t>
      </w:r>
      <w:r>
        <w:rPr>
          <w:sz w:val="24"/>
        </w:rPr>
        <w:t>α</w:t>
      </w:r>
      <w:r w:rsidRPr="00CB188B">
        <w:rPr>
          <w:sz w:val="24"/>
          <w:lang w:val="en-US"/>
        </w:rPr>
        <w:t xml:space="preserve"> inhibitors on new bone formation in ankylosing spondylitis. </w:t>
      </w:r>
      <w:r>
        <w:rPr>
          <w:sz w:val="24"/>
        </w:rPr>
        <w:t>Jt Bone Spine.</w:t>
      </w:r>
      <w:r>
        <w:rPr>
          <w:spacing w:val="-7"/>
          <w:sz w:val="24"/>
        </w:rPr>
        <w:t xml:space="preserve"> </w:t>
      </w:r>
      <w:r>
        <w:rPr>
          <w:sz w:val="24"/>
        </w:rPr>
        <w:t>2016;83(3):257–64.</w:t>
      </w:r>
    </w:p>
    <w:p w:rsidR="00825E87" w:rsidRDefault="00CB188B">
      <w:pPr>
        <w:pStyle w:val="PargrafodaLista"/>
        <w:numPr>
          <w:ilvl w:val="0"/>
          <w:numId w:val="5"/>
        </w:numPr>
        <w:tabs>
          <w:tab w:val="left" w:pos="941"/>
        </w:tabs>
        <w:spacing w:before="9" w:line="235" w:lineRule="auto"/>
        <w:ind w:right="377" w:firstLine="0"/>
        <w:jc w:val="both"/>
        <w:rPr>
          <w:sz w:val="24"/>
        </w:rPr>
      </w:pPr>
      <w:r w:rsidRPr="00CB188B">
        <w:rPr>
          <w:sz w:val="24"/>
          <w:lang w:val="en-US"/>
        </w:rPr>
        <w:t xml:space="preserve">Nigil Haroon N, Sriganthan J, Al Ghanim N, Inman RD, Cheung AM. Effect of TNF-alpha inhibitor treatment on bone mineral density in patients with ankylosing spondylitis: A systematic review and meta-analysis. </w:t>
      </w:r>
      <w:r>
        <w:rPr>
          <w:sz w:val="24"/>
        </w:rPr>
        <w:t>Semin Arthritis Rheum.</w:t>
      </w:r>
      <w:r>
        <w:rPr>
          <w:spacing w:val="-3"/>
          <w:sz w:val="24"/>
        </w:rPr>
        <w:t xml:space="preserve"> </w:t>
      </w:r>
      <w:r>
        <w:rPr>
          <w:sz w:val="24"/>
        </w:rPr>
        <w:t>2015;44(2):155–61.</w:t>
      </w:r>
    </w:p>
    <w:p w:rsidR="00825E87" w:rsidRDefault="00CB188B">
      <w:pPr>
        <w:pStyle w:val="PargrafodaLista"/>
        <w:numPr>
          <w:ilvl w:val="0"/>
          <w:numId w:val="5"/>
        </w:numPr>
        <w:tabs>
          <w:tab w:val="left" w:pos="941"/>
        </w:tabs>
        <w:spacing w:before="12" w:line="235" w:lineRule="auto"/>
        <w:ind w:right="395" w:firstLine="0"/>
        <w:jc w:val="both"/>
        <w:rPr>
          <w:sz w:val="24"/>
        </w:rPr>
      </w:pPr>
      <w:r>
        <w:rPr>
          <w:sz w:val="24"/>
        </w:rPr>
        <w:t>Fafá B</w:t>
      </w:r>
      <w:r>
        <w:rPr>
          <w:sz w:val="24"/>
        </w:rPr>
        <w:t>P, Louzada-Junior P, Titton DC, Zandonade E, Ranza R, Laurindo I, et al. Drug survival and causes of discontinuation of the first anti-TNF in ankylosing spondylitis compared with rheumatoid arthritis: analysis from BIOBADABRASIL. Clin Rheumatol. 2015 May 8</w:t>
      </w:r>
      <w:r>
        <w:rPr>
          <w:sz w:val="24"/>
        </w:rPr>
        <w:t>;34(5):921–7.</w:t>
      </w:r>
    </w:p>
    <w:p w:rsidR="00825E87" w:rsidRDefault="00825E87">
      <w:pPr>
        <w:spacing w:line="235" w:lineRule="auto"/>
        <w:jc w:val="both"/>
        <w:rPr>
          <w:sz w:val="24"/>
        </w:rPr>
        <w:sectPr w:rsidR="00825E87">
          <w:pgSz w:w="11900" w:h="16840"/>
          <w:pgMar w:top="1100" w:right="880" w:bottom="280" w:left="920" w:header="720" w:footer="720" w:gutter="0"/>
          <w:cols w:space="720"/>
        </w:sectPr>
      </w:pPr>
    </w:p>
    <w:p w:rsidR="00825E87" w:rsidRDefault="00CB188B">
      <w:pPr>
        <w:pStyle w:val="PargrafodaLista"/>
        <w:numPr>
          <w:ilvl w:val="0"/>
          <w:numId w:val="5"/>
        </w:numPr>
        <w:tabs>
          <w:tab w:val="left" w:pos="941"/>
        </w:tabs>
        <w:spacing w:before="85" w:line="232" w:lineRule="auto"/>
        <w:ind w:right="496" w:firstLine="0"/>
        <w:jc w:val="both"/>
        <w:rPr>
          <w:sz w:val="24"/>
        </w:rPr>
      </w:pPr>
      <w:r>
        <w:rPr>
          <w:sz w:val="24"/>
        </w:rPr>
        <w:lastRenderedPageBreak/>
        <w:t>Pereira R, Lago P, Faria R, Torres T. Safety of Anti-TNF Therapies in Immune-Mediated Inflammatory Diseases: Focus on Infections and Malignancy. Drug Dev Res.</w:t>
      </w:r>
      <w:r>
        <w:rPr>
          <w:spacing w:val="-13"/>
          <w:sz w:val="24"/>
        </w:rPr>
        <w:t xml:space="preserve"> </w:t>
      </w:r>
      <w:r>
        <w:rPr>
          <w:sz w:val="24"/>
        </w:rPr>
        <w:t>2015;76(8):419–27.</w:t>
      </w:r>
    </w:p>
    <w:p w:rsidR="00825E87" w:rsidRDefault="00CB188B">
      <w:pPr>
        <w:pStyle w:val="PargrafodaLista"/>
        <w:numPr>
          <w:ilvl w:val="0"/>
          <w:numId w:val="5"/>
        </w:numPr>
        <w:tabs>
          <w:tab w:val="left" w:pos="941"/>
        </w:tabs>
        <w:spacing w:before="12" w:line="235" w:lineRule="auto"/>
        <w:ind w:right="376" w:firstLine="0"/>
        <w:jc w:val="both"/>
        <w:rPr>
          <w:sz w:val="24"/>
        </w:rPr>
      </w:pPr>
      <w:r>
        <w:rPr>
          <w:sz w:val="24"/>
        </w:rPr>
        <w:t>Navarro-Compán V, Plasencia-Rodríguez C, de Miguel</w:t>
      </w:r>
      <w:r>
        <w:rPr>
          <w:sz w:val="24"/>
        </w:rPr>
        <w:t xml:space="preserve"> E, Balsa A, Martín-Mola E, Seoane-Mato D, et al. Anti-TNF discontinuation and tapering strategies in patients with axial spondyloarthritis: a systematic literature review. Rheumatology. 2016</w:t>
      </w:r>
      <w:r>
        <w:rPr>
          <w:spacing w:val="-6"/>
          <w:sz w:val="24"/>
        </w:rPr>
        <w:t xml:space="preserve"> </w:t>
      </w:r>
      <w:r>
        <w:rPr>
          <w:sz w:val="24"/>
        </w:rPr>
        <w:t>Jul;55(7):1188–94.</w:t>
      </w:r>
    </w:p>
    <w:p w:rsidR="00825E87" w:rsidRDefault="00CB188B">
      <w:pPr>
        <w:pStyle w:val="PargrafodaLista"/>
        <w:numPr>
          <w:ilvl w:val="0"/>
          <w:numId w:val="5"/>
        </w:numPr>
        <w:tabs>
          <w:tab w:val="left" w:pos="941"/>
        </w:tabs>
        <w:spacing w:before="12" w:line="235" w:lineRule="auto"/>
        <w:ind w:right="377" w:firstLine="0"/>
        <w:jc w:val="both"/>
        <w:rPr>
          <w:sz w:val="24"/>
        </w:rPr>
      </w:pPr>
      <w:r>
        <w:rPr>
          <w:sz w:val="24"/>
        </w:rPr>
        <w:t>Landewé R, Braun J, Deodhar A, Dougados M, Ma</w:t>
      </w:r>
      <w:r>
        <w:rPr>
          <w:sz w:val="24"/>
        </w:rPr>
        <w:t>ksymowych WP, Mease PJ, et al. Efficacy of certolizumab pegol on signs and symptoms of axial spondyloarthritis including ankylosing spondylitis: 24-week results of a double-blind randomised placebo-controlled Phase 3 study. Ann Rheum Dis. 2014</w:t>
      </w:r>
      <w:r>
        <w:rPr>
          <w:spacing w:val="-1"/>
          <w:sz w:val="24"/>
        </w:rPr>
        <w:t xml:space="preserve"> </w:t>
      </w:r>
      <w:r>
        <w:rPr>
          <w:sz w:val="24"/>
        </w:rPr>
        <w:t>Jan;73(1):39</w:t>
      </w:r>
      <w:r>
        <w:rPr>
          <w:sz w:val="24"/>
        </w:rPr>
        <w:t>–47.</w:t>
      </w:r>
    </w:p>
    <w:p w:rsidR="00825E87" w:rsidRDefault="00CB188B">
      <w:pPr>
        <w:pStyle w:val="PargrafodaLista"/>
        <w:numPr>
          <w:ilvl w:val="0"/>
          <w:numId w:val="5"/>
        </w:numPr>
        <w:tabs>
          <w:tab w:val="left" w:pos="941"/>
        </w:tabs>
        <w:spacing w:before="13" w:line="237" w:lineRule="auto"/>
        <w:ind w:right="398" w:firstLine="0"/>
        <w:jc w:val="both"/>
        <w:rPr>
          <w:sz w:val="24"/>
        </w:rPr>
      </w:pPr>
      <w:r>
        <w:rPr>
          <w:sz w:val="24"/>
        </w:rPr>
        <w:t>Sieper J, Landewé R, Rudwaleit M, van der Heijde D, Dougados M, Mease PJ, et al. Effect of Certolizumab Pegol Over Ninety-Six Weeks in Patients With Axial Spondyloarthritis: Results from a Phase III Randomized Trial. Arthritis Rheumatol. 2015</w:t>
      </w:r>
      <w:r>
        <w:rPr>
          <w:spacing w:val="-1"/>
          <w:sz w:val="24"/>
        </w:rPr>
        <w:t xml:space="preserve"> </w:t>
      </w:r>
      <w:r>
        <w:rPr>
          <w:sz w:val="24"/>
        </w:rPr>
        <w:t>Mar;67(3</w:t>
      </w:r>
      <w:r>
        <w:rPr>
          <w:sz w:val="24"/>
        </w:rPr>
        <w:t>):668–77.</w:t>
      </w:r>
    </w:p>
    <w:p w:rsidR="00825E87" w:rsidRDefault="00CB188B">
      <w:pPr>
        <w:pStyle w:val="PargrafodaLista"/>
        <w:numPr>
          <w:ilvl w:val="0"/>
          <w:numId w:val="5"/>
        </w:numPr>
        <w:tabs>
          <w:tab w:val="left" w:pos="941"/>
        </w:tabs>
        <w:spacing w:before="8" w:line="235" w:lineRule="auto"/>
        <w:ind w:right="397" w:firstLine="0"/>
        <w:jc w:val="both"/>
        <w:rPr>
          <w:sz w:val="24"/>
        </w:rPr>
      </w:pPr>
      <w:r>
        <w:rPr>
          <w:sz w:val="24"/>
        </w:rPr>
        <w:t>Benedict A, Ishak J, Gal P, Proskorovsky I, Cappelleri JCC, Everiss T, et al. Comparative Analysis of the Effectiveness of anti-TNF Therapies in Non-Radiographic Axial Spondyloarthritis Using Novel Statistical Techniques. Ann Rheum Dis. 2015 Jun 9;74(Suppl</w:t>
      </w:r>
      <w:r>
        <w:rPr>
          <w:spacing w:val="-5"/>
          <w:sz w:val="24"/>
        </w:rPr>
        <w:t xml:space="preserve"> </w:t>
      </w:r>
      <w:r>
        <w:rPr>
          <w:sz w:val="24"/>
        </w:rPr>
        <w:t>2):270.3-271.</w:t>
      </w:r>
    </w:p>
    <w:p w:rsidR="00825E87" w:rsidRDefault="00CB188B">
      <w:pPr>
        <w:pStyle w:val="PargrafodaLista"/>
        <w:numPr>
          <w:ilvl w:val="0"/>
          <w:numId w:val="5"/>
        </w:numPr>
        <w:tabs>
          <w:tab w:val="left" w:pos="941"/>
        </w:tabs>
        <w:spacing w:before="15" w:line="252" w:lineRule="auto"/>
        <w:ind w:right="437" w:firstLine="0"/>
        <w:jc w:val="both"/>
        <w:rPr>
          <w:sz w:val="24"/>
        </w:rPr>
      </w:pPr>
      <w:r>
        <w:rPr>
          <w:sz w:val="24"/>
        </w:rPr>
        <w:t>Callhoff J, Sieper J, Weiß A, Zink A, Listing J. Efficacy of TNFα blockers in patients with ankylosing spondylitis and non-radiographic axial spondyloarthritis: a meta-analysis. Ann Rheum Dis. 2015</w:t>
      </w:r>
      <w:r>
        <w:rPr>
          <w:spacing w:val="-1"/>
          <w:sz w:val="24"/>
        </w:rPr>
        <w:t xml:space="preserve"> </w:t>
      </w:r>
      <w:r>
        <w:rPr>
          <w:sz w:val="24"/>
        </w:rPr>
        <w:t>Jun;74(6):1241–8.</w:t>
      </w:r>
    </w:p>
    <w:p w:rsidR="00825E87" w:rsidRDefault="00CB188B">
      <w:pPr>
        <w:pStyle w:val="PargrafodaLista"/>
        <w:numPr>
          <w:ilvl w:val="0"/>
          <w:numId w:val="5"/>
        </w:numPr>
        <w:tabs>
          <w:tab w:val="left" w:pos="941"/>
        </w:tabs>
        <w:spacing w:line="232" w:lineRule="auto"/>
        <w:ind w:right="491" w:firstLine="0"/>
        <w:jc w:val="both"/>
        <w:rPr>
          <w:sz w:val="24"/>
        </w:rPr>
      </w:pPr>
      <w:r>
        <w:rPr>
          <w:sz w:val="24"/>
        </w:rPr>
        <w:t>Baeten D, Sieper J, Braun</w:t>
      </w:r>
      <w:r>
        <w:rPr>
          <w:sz w:val="24"/>
        </w:rPr>
        <w:t xml:space="preserve"> J, Baraliakos X, Dougados M, Emery P, et al. Secukinumab, an Interleukin-17A Inhibitor, in Ankylosing Spondylitis. N Engl J Med. 2015 Dec 24;373(26):2534– 48.</w:t>
      </w:r>
    </w:p>
    <w:p w:rsidR="00825E87" w:rsidRDefault="00CB188B">
      <w:pPr>
        <w:pStyle w:val="PargrafodaLista"/>
        <w:numPr>
          <w:ilvl w:val="0"/>
          <w:numId w:val="5"/>
        </w:numPr>
        <w:tabs>
          <w:tab w:val="left" w:pos="941"/>
        </w:tabs>
        <w:spacing w:before="14" w:line="235" w:lineRule="auto"/>
        <w:ind w:right="372" w:firstLine="0"/>
        <w:jc w:val="both"/>
        <w:rPr>
          <w:sz w:val="24"/>
        </w:rPr>
      </w:pPr>
      <w:r>
        <w:rPr>
          <w:sz w:val="24"/>
        </w:rPr>
        <w:t>Sieper J, Deodhar A, Marzo-Ortega H, Aelion JA, Blanco R, Jui-Cheng T, et al. Secukinumab effica</w:t>
      </w:r>
      <w:r>
        <w:rPr>
          <w:sz w:val="24"/>
        </w:rPr>
        <w:t>cy in anti-TNF-naive and anti-TNF-experienced subjects with active ankylosing spondylitis: results from the MEASURE 2 Study. Ann Rheum Dis. 2016 Aug 31;annrheumdis-2016-210023.</w:t>
      </w:r>
    </w:p>
    <w:p w:rsidR="00825E87" w:rsidRDefault="00CB188B">
      <w:pPr>
        <w:pStyle w:val="PargrafodaLista"/>
        <w:numPr>
          <w:ilvl w:val="0"/>
          <w:numId w:val="5"/>
        </w:numPr>
        <w:tabs>
          <w:tab w:val="left" w:pos="940"/>
          <w:tab w:val="left" w:pos="941"/>
        </w:tabs>
        <w:spacing w:before="6" w:line="232" w:lineRule="auto"/>
        <w:ind w:right="703" w:firstLine="0"/>
        <w:rPr>
          <w:sz w:val="24"/>
        </w:rPr>
      </w:pPr>
      <w:r>
        <w:rPr>
          <w:sz w:val="24"/>
        </w:rPr>
        <w:t>Song I-H, Haibel H, Poddubnyy D, Braun J, Sieper J. Withdrawal of biologic ther</w:t>
      </w:r>
      <w:r>
        <w:rPr>
          <w:sz w:val="24"/>
        </w:rPr>
        <w:t>apy</w:t>
      </w:r>
      <w:r>
        <w:rPr>
          <w:spacing w:val="-19"/>
          <w:sz w:val="24"/>
        </w:rPr>
        <w:t xml:space="preserve"> </w:t>
      </w:r>
      <w:r>
        <w:rPr>
          <w:sz w:val="24"/>
        </w:rPr>
        <w:t>in axial spondyloarthritis: the experience in early disease. Clin Exp Rheumatol. 2013; 31(4 Suppl 78):S37-42.</w:t>
      </w:r>
    </w:p>
    <w:p w:rsidR="00825E87" w:rsidRDefault="00CB188B">
      <w:pPr>
        <w:pStyle w:val="PargrafodaLista"/>
        <w:numPr>
          <w:ilvl w:val="0"/>
          <w:numId w:val="5"/>
        </w:numPr>
        <w:tabs>
          <w:tab w:val="left" w:pos="941"/>
        </w:tabs>
        <w:spacing w:before="13" w:line="235" w:lineRule="auto"/>
        <w:ind w:right="377" w:firstLine="0"/>
        <w:jc w:val="both"/>
        <w:rPr>
          <w:sz w:val="24"/>
        </w:rPr>
      </w:pPr>
      <w:r>
        <w:rPr>
          <w:sz w:val="24"/>
        </w:rPr>
        <w:t>Song I-H, Althoff CE, Haibel H, Hermann K-GA, Poddubnyy D, Listing J, et al. Frequency and duration of drug-free remission after 1 year of tre</w:t>
      </w:r>
      <w:r>
        <w:rPr>
          <w:sz w:val="24"/>
        </w:rPr>
        <w:t>atment with etanercept versus sulfasalazine in early axial spondyloarthritis: 2 year data of the ESTHER trial. Ann Rheum Dis. 2012 Jul;71(7):1212–5.</w:t>
      </w:r>
    </w:p>
    <w:p w:rsidR="00825E87" w:rsidRDefault="00CB188B">
      <w:pPr>
        <w:pStyle w:val="PargrafodaLista"/>
        <w:numPr>
          <w:ilvl w:val="0"/>
          <w:numId w:val="5"/>
        </w:numPr>
        <w:tabs>
          <w:tab w:val="left" w:pos="940"/>
          <w:tab w:val="left" w:pos="941"/>
        </w:tabs>
        <w:spacing w:before="17" w:line="232" w:lineRule="auto"/>
        <w:ind w:right="1222" w:firstLine="0"/>
        <w:rPr>
          <w:sz w:val="24"/>
        </w:rPr>
      </w:pPr>
      <w:r>
        <w:rPr>
          <w:sz w:val="24"/>
        </w:rPr>
        <w:t>Lunzer R. Is anti-TNF tapering possible in patients with axial spondyloarthritis? A systematic literature r</w:t>
      </w:r>
      <w:r>
        <w:rPr>
          <w:sz w:val="24"/>
        </w:rPr>
        <w:t>eview: Kommentar. J fur Miner.</w:t>
      </w:r>
      <w:r>
        <w:rPr>
          <w:spacing w:val="-5"/>
          <w:sz w:val="24"/>
        </w:rPr>
        <w:t xml:space="preserve"> </w:t>
      </w:r>
      <w:r>
        <w:rPr>
          <w:sz w:val="24"/>
        </w:rPr>
        <w:t>2016;23(1):26–7.</w:t>
      </w:r>
    </w:p>
    <w:p w:rsidR="00825E87" w:rsidRDefault="00CB188B">
      <w:pPr>
        <w:pStyle w:val="PargrafodaLista"/>
        <w:numPr>
          <w:ilvl w:val="0"/>
          <w:numId w:val="5"/>
        </w:numPr>
        <w:tabs>
          <w:tab w:val="left" w:pos="941"/>
        </w:tabs>
        <w:spacing w:before="10" w:line="237" w:lineRule="auto"/>
        <w:ind w:right="385" w:firstLine="0"/>
        <w:jc w:val="both"/>
        <w:rPr>
          <w:sz w:val="24"/>
        </w:rPr>
      </w:pPr>
      <w:r>
        <w:rPr>
          <w:sz w:val="24"/>
        </w:rPr>
        <w:t>Baraliakos X, Listing J, Brandt J, Zink A, Alten R, Burmester G, et al. Clinical response to discontinuation of anti-TNF therapy in patients with ankylosing spondylitis after 3 years of</w:t>
      </w:r>
      <w:r>
        <w:rPr>
          <w:position w:val="8"/>
          <w:sz w:val="24"/>
        </w:rPr>
        <w:t xml:space="preserve"> </w:t>
      </w:r>
      <w:r>
        <w:rPr>
          <w:spacing w:val="-107"/>
          <w:position w:val="8"/>
          <w:sz w:val="24"/>
        </w:rPr>
        <w:t>c</w:t>
      </w:r>
      <w:r>
        <w:rPr>
          <w:spacing w:val="-120"/>
          <w:position w:val="1"/>
          <w:sz w:val="24"/>
        </w:rPr>
        <w:t>7</w:t>
      </w:r>
      <w:r>
        <w:rPr>
          <w:spacing w:val="-147"/>
          <w:position w:val="1"/>
          <w:sz w:val="24"/>
        </w:rPr>
        <w:t>E</w:t>
      </w:r>
      <w:r>
        <w:rPr>
          <w:spacing w:val="-80"/>
          <w:position w:val="1"/>
          <w:sz w:val="24"/>
        </w:rPr>
        <w:t>r</w:t>
      </w:r>
      <w:r>
        <w:rPr>
          <w:spacing w:val="-120"/>
          <w:sz w:val="24"/>
        </w:rPr>
        <w:t>17</w:t>
      </w:r>
      <w:r>
        <w:rPr>
          <w:spacing w:val="-107"/>
          <w:sz w:val="24"/>
        </w:rPr>
        <w:t>e</w:t>
      </w:r>
      <w:r>
        <w:rPr>
          <w:spacing w:val="-41"/>
          <w:sz w:val="24"/>
        </w:rPr>
        <w:t>v</w:t>
      </w:r>
      <w:r>
        <w:rPr>
          <w:spacing w:val="-95"/>
          <w:position w:val="1"/>
          <w:sz w:val="24"/>
        </w:rPr>
        <w:t>h</w:t>
      </w:r>
      <w:r>
        <w:rPr>
          <w:spacing w:val="-67"/>
          <w:sz w:val="24"/>
        </w:rPr>
        <w:t>t</w:t>
      </w:r>
      <w:r>
        <w:rPr>
          <w:spacing w:val="-106"/>
          <w:position w:val="8"/>
          <w:sz w:val="24"/>
        </w:rPr>
        <w:t>o</w:t>
      </w:r>
      <w:r>
        <w:rPr>
          <w:spacing w:val="-107"/>
          <w:sz w:val="24"/>
        </w:rPr>
        <w:t>a</w:t>
      </w:r>
      <w:r>
        <w:rPr>
          <w:spacing w:val="-120"/>
          <w:sz w:val="24"/>
        </w:rPr>
        <w:t>2</w:t>
      </w:r>
      <w:r>
        <w:rPr>
          <w:spacing w:val="-67"/>
          <w:sz w:val="24"/>
        </w:rPr>
        <w:t>;</w:t>
      </w:r>
      <w:r>
        <w:rPr>
          <w:spacing w:val="-94"/>
          <w:position w:val="1"/>
          <w:sz w:val="24"/>
        </w:rPr>
        <w:t>1</w:t>
      </w:r>
      <w:r>
        <w:rPr>
          <w:spacing w:val="-134"/>
          <w:w w:val="99"/>
          <w:position w:val="1"/>
          <w:sz w:val="24"/>
        </w:rPr>
        <w:t>U</w:t>
      </w:r>
      <w:r>
        <w:rPr>
          <w:spacing w:val="-107"/>
          <w:sz w:val="24"/>
        </w:rPr>
        <w:t>6</w:t>
      </w:r>
      <w:r>
        <w:rPr>
          <w:spacing w:val="-81"/>
          <w:position w:val="1"/>
          <w:sz w:val="24"/>
        </w:rPr>
        <w:t>e</w:t>
      </w:r>
      <w:r>
        <w:rPr>
          <w:spacing w:val="-107"/>
          <w:sz w:val="24"/>
        </w:rPr>
        <w:t>c</w:t>
      </w:r>
      <w:r>
        <w:rPr>
          <w:spacing w:val="-111"/>
          <w:position w:val="8"/>
          <w:sz w:val="24"/>
        </w:rPr>
        <w:t>n</w:t>
      </w:r>
      <w:r>
        <w:rPr>
          <w:spacing w:val="-102"/>
          <w:sz w:val="24"/>
        </w:rPr>
        <w:t>a</w:t>
      </w:r>
      <w:r>
        <w:rPr>
          <w:b/>
          <w:spacing w:val="4"/>
          <w:sz w:val="24"/>
        </w:rPr>
        <w:t>.</w:t>
      </w:r>
      <w:r>
        <w:rPr>
          <w:spacing w:val="-119"/>
          <w:position w:val="1"/>
          <w:sz w:val="24"/>
        </w:rPr>
        <w:t>u</w:t>
      </w:r>
      <w:r>
        <w:rPr>
          <w:spacing w:val="-106"/>
          <w:sz w:val="24"/>
        </w:rPr>
        <w:t>9</w:t>
      </w:r>
      <w:r>
        <w:rPr>
          <w:spacing w:val="-137"/>
          <w:position w:val="1"/>
          <w:sz w:val="24"/>
        </w:rPr>
        <w:t>L</w:t>
      </w:r>
      <w:r>
        <w:rPr>
          <w:spacing w:val="-98"/>
          <w:sz w:val="24"/>
        </w:rPr>
        <w:t>c</w:t>
      </w:r>
      <w:r>
        <w:rPr>
          <w:spacing w:val="-62"/>
          <w:sz w:val="24"/>
        </w:rPr>
        <w:t>l</w:t>
      </w:r>
      <w:r>
        <w:rPr>
          <w:spacing w:val="-6"/>
          <w:position w:val="8"/>
          <w:sz w:val="24"/>
        </w:rPr>
        <w:t>t</w:t>
      </w:r>
      <w:r>
        <w:rPr>
          <w:spacing w:val="-55"/>
          <w:sz w:val="24"/>
        </w:rPr>
        <w:t>.</w:t>
      </w:r>
      <w:r>
        <w:rPr>
          <w:spacing w:val="-55"/>
          <w:position w:val="8"/>
          <w:sz w:val="24"/>
        </w:rPr>
        <w:t>i</w:t>
      </w:r>
      <w:r>
        <w:rPr>
          <w:spacing w:val="-185"/>
          <w:position w:val="1"/>
          <w:sz w:val="24"/>
        </w:rPr>
        <w:t>m</w:t>
      </w:r>
      <w:r>
        <w:rPr>
          <w:spacing w:val="-70"/>
          <w:sz w:val="24"/>
        </w:rPr>
        <w:t>(</w:t>
      </w:r>
      <w:r>
        <w:rPr>
          <w:spacing w:val="-39"/>
          <w:sz w:val="24"/>
        </w:rPr>
        <w:t>i</w:t>
      </w:r>
      <w:r>
        <w:rPr>
          <w:spacing w:val="-136"/>
          <w:w w:val="99"/>
          <w:position w:val="1"/>
          <w:sz w:val="24"/>
        </w:rPr>
        <w:t>A</w:t>
      </w:r>
      <w:r>
        <w:rPr>
          <w:spacing w:val="-117"/>
          <w:sz w:val="24"/>
        </w:rPr>
        <w:t>n</w:t>
      </w:r>
      <w:r>
        <w:rPr>
          <w:spacing w:val="-96"/>
          <w:sz w:val="24"/>
        </w:rPr>
        <w:t>2</w:t>
      </w:r>
      <w:r>
        <w:rPr>
          <w:spacing w:val="-67"/>
          <w:sz w:val="24"/>
        </w:rPr>
        <w:t>T</w:t>
      </w:r>
      <w:r>
        <w:rPr>
          <w:spacing w:val="-95"/>
          <w:position w:val="1"/>
          <w:sz w:val="24"/>
        </w:rPr>
        <w:t>a</w:t>
      </w:r>
      <w:r>
        <w:rPr>
          <w:spacing w:val="-104"/>
          <w:sz w:val="24"/>
        </w:rPr>
        <w:t>e</w:t>
      </w:r>
      <w:r>
        <w:rPr>
          <w:spacing w:val="-68"/>
          <w:sz w:val="24"/>
        </w:rPr>
        <w:t>)</w:t>
      </w:r>
      <w:r>
        <w:rPr>
          <w:spacing w:val="-122"/>
          <w:position w:val="1"/>
          <w:sz w:val="24"/>
        </w:rPr>
        <w:t>R</w:t>
      </w:r>
      <w:r>
        <w:rPr>
          <w:spacing w:val="-146"/>
          <w:w w:val="99"/>
          <w:sz w:val="24"/>
        </w:rPr>
        <w:t>N</w:t>
      </w:r>
      <w:r>
        <w:rPr>
          <w:spacing w:val="-55"/>
          <w:sz w:val="24"/>
        </w:rPr>
        <w:t>:</w:t>
      </w:r>
      <w:r>
        <w:rPr>
          <w:spacing w:val="-65"/>
          <w:position w:val="1"/>
          <w:sz w:val="24"/>
        </w:rPr>
        <w:t>t</w:t>
      </w:r>
      <w:r>
        <w:rPr>
          <w:spacing w:val="-120"/>
          <w:position w:val="8"/>
          <w:sz w:val="24"/>
        </w:rPr>
        <w:t>o</w:t>
      </w:r>
      <w:r>
        <w:rPr>
          <w:spacing w:val="-134"/>
          <w:w w:val="99"/>
          <w:position w:val="1"/>
          <w:sz w:val="24"/>
        </w:rPr>
        <w:t>P</w:t>
      </w:r>
      <w:r>
        <w:rPr>
          <w:spacing w:val="-82"/>
          <w:w w:val="99"/>
          <w:sz w:val="24"/>
        </w:rPr>
        <w:t>F</w:t>
      </w:r>
      <w:r>
        <w:rPr>
          <w:spacing w:val="-108"/>
          <w:sz w:val="24"/>
        </w:rPr>
        <w:t>3</w:t>
      </w:r>
      <w:r>
        <w:rPr>
          <w:spacing w:val="-115"/>
          <w:position w:val="1"/>
          <w:sz w:val="24"/>
        </w:rPr>
        <w:t>o</w:t>
      </w:r>
      <w:r>
        <w:rPr>
          <w:spacing w:val="-18"/>
          <w:sz w:val="24"/>
        </w:rPr>
        <w:t>i</w:t>
      </w:r>
      <w:r>
        <w:rPr>
          <w:spacing w:val="-108"/>
          <w:position w:val="8"/>
          <w:sz w:val="24"/>
        </w:rPr>
        <w:t>u</w:t>
      </w:r>
      <w:r>
        <w:rPr>
          <w:spacing w:val="-134"/>
          <w:w w:val="99"/>
          <w:sz w:val="24"/>
        </w:rPr>
        <w:t>F</w:t>
      </w:r>
      <w:r>
        <w:rPr>
          <w:spacing w:val="-78"/>
          <w:w w:val="99"/>
          <w:sz w:val="24"/>
        </w:rPr>
        <w:t>r</w:t>
      </w:r>
      <w:r>
        <w:rPr>
          <w:spacing w:val="-105"/>
          <w:w w:val="99"/>
          <w:position w:val="1"/>
          <w:sz w:val="24"/>
        </w:rPr>
        <w:t>e</w:t>
      </w:r>
      <w:r>
        <w:rPr>
          <w:spacing w:val="-85"/>
          <w:w w:val="99"/>
          <w:sz w:val="24"/>
        </w:rPr>
        <w:t>n</w:t>
      </w:r>
      <w:r>
        <w:rPr>
          <w:spacing w:val="-118"/>
          <w:w w:val="99"/>
          <w:sz w:val="24"/>
        </w:rPr>
        <w:t>2</w:t>
      </w:r>
      <w:r>
        <w:rPr>
          <w:spacing w:val="-97"/>
          <w:w w:val="99"/>
          <w:position w:val="1"/>
          <w:sz w:val="24"/>
        </w:rPr>
        <w:t>e</w:t>
      </w:r>
      <w:r>
        <w:rPr>
          <w:spacing w:val="-39"/>
          <w:w w:val="99"/>
          <w:position w:val="1"/>
          <w:sz w:val="24"/>
        </w:rPr>
        <w:t>i</w:t>
      </w:r>
      <w:r>
        <w:rPr>
          <w:spacing w:val="-80"/>
          <w:w w:val="99"/>
          <w:sz w:val="24"/>
        </w:rPr>
        <w:t>a</w:t>
      </w:r>
      <w:r>
        <w:rPr>
          <w:spacing w:val="-93"/>
          <w:w w:val="99"/>
          <w:position w:val="8"/>
          <w:sz w:val="24"/>
        </w:rPr>
        <w:t>s</w:t>
      </w:r>
      <w:r>
        <w:rPr>
          <w:spacing w:val="-56"/>
          <w:position w:val="1"/>
          <w:sz w:val="24"/>
        </w:rPr>
        <w:t>t</w:t>
      </w:r>
      <w:r>
        <w:rPr>
          <w:spacing w:val="-92"/>
          <w:position w:val="1"/>
          <w:sz w:val="24"/>
        </w:rPr>
        <w:t>d</w:t>
      </w:r>
      <w:r>
        <w:rPr>
          <w:spacing w:val="-108"/>
          <w:position w:val="1"/>
          <w:sz w:val="24"/>
        </w:rPr>
        <w:t>v</w:t>
      </w:r>
      <w:r>
        <w:rPr>
          <w:spacing w:val="-106"/>
          <w:sz w:val="24"/>
        </w:rPr>
        <w:t>5</w:t>
      </w:r>
      <w:r>
        <w:rPr>
          <w:spacing w:val="-97"/>
          <w:position w:val="1"/>
          <w:sz w:val="24"/>
        </w:rPr>
        <w:t>e</w:t>
      </w:r>
      <w:r>
        <w:rPr>
          <w:spacing w:val="-67"/>
          <w:sz w:val="24"/>
        </w:rPr>
        <w:t>i</w:t>
      </w:r>
      <w:r>
        <w:rPr>
          <w:spacing w:val="-111"/>
          <w:sz w:val="24"/>
        </w:rPr>
        <w:t>n</w:t>
      </w:r>
      <w:r>
        <w:rPr>
          <w:spacing w:val="-63"/>
          <w:sz w:val="24"/>
        </w:rPr>
        <w:t>b</w:t>
      </w:r>
      <w:r>
        <w:rPr>
          <w:spacing w:val="-111"/>
          <w:sz w:val="24"/>
        </w:rPr>
        <w:t>n</w:t>
      </w:r>
      <w:r>
        <w:rPr>
          <w:spacing w:val="-60"/>
          <w:position w:val="8"/>
          <w:sz w:val="24"/>
        </w:rPr>
        <w:t>t</w:t>
      </w:r>
      <w:r>
        <w:rPr>
          <w:spacing w:val="-54"/>
          <w:position w:val="1"/>
          <w:sz w:val="24"/>
        </w:rPr>
        <w:t>i</w:t>
      </w:r>
      <w:r>
        <w:rPr>
          <w:spacing w:val="-120"/>
          <w:sz w:val="24"/>
        </w:rPr>
        <w:t>–</w:t>
      </w:r>
      <w:r>
        <w:rPr>
          <w:spacing w:val="-54"/>
          <w:position w:val="1"/>
          <w:sz w:val="24"/>
        </w:rPr>
        <w:t>r</w:t>
      </w:r>
      <w:r>
        <w:rPr>
          <w:spacing w:val="-100"/>
          <w:sz w:val="24"/>
        </w:rPr>
        <w:t>c</w:t>
      </w:r>
      <w:r>
        <w:rPr>
          <w:spacing w:val="-53"/>
          <w:sz w:val="24"/>
        </w:rPr>
        <w:t>l</w:t>
      </w:r>
      <w:r>
        <w:rPr>
          <w:spacing w:val="-74"/>
          <w:position w:val="8"/>
          <w:sz w:val="24"/>
        </w:rPr>
        <w:t>r</w:t>
      </w:r>
      <w:r>
        <w:rPr>
          <w:spacing w:val="-95"/>
          <w:position w:val="1"/>
          <w:sz w:val="24"/>
        </w:rPr>
        <w:t>d</w:t>
      </w:r>
      <w:r>
        <w:rPr>
          <w:spacing w:val="-83"/>
          <w:w w:val="99"/>
          <w:position w:val="1"/>
          <w:sz w:val="24"/>
        </w:rPr>
        <w:t>s</w:t>
      </w:r>
      <w:r>
        <w:rPr>
          <w:spacing w:val="-80"/>
          <w:w w:val="99"/>
          <w:sz w:val="24"/>
        </w:rPr>
        <w:t>f</w:t>
      </w:r>
      <w:r>
        <w:rPr>
          <w:spacing w:val="-97"/>
          <w:w w:val="99"/>
          <w:position w:val="1"/>
          <w:sz w:val="24"/>
        </w:rPr>
        <w:t>a</w:t>
      </w:r>
      <w:r>
        <w:rPr>
          <w:spacing w:val="-100"/>
          <w:w w:val="99"/>
          <w:sz w:val="24"/>
        </w:rPr>
        <w:t>o</w:t>
      </w:r>
      <w:r>
        <w:rPr>
          <w:spacing w:val="-114"/>
          <w:w w:val="99"/>
          <w:sz w:val="24"/>
        </w:rPr>
        <w:t>3</w:t>
      </w:r>
      <w:r>
        <w:rPr>
          <w:spacing w:val="-102"/>
          <w:w w:val="99"/>
          <w:position w:val="8"/>
          <w:sz w:val="24"/>
        </w:rPr>
        <w:t>e</w:t>
      </w:r>
      <w:r>
        <w:rPr>
          <w:spacing w:val="-69"/>
          <w:w w:val="99"/>
          <w:sz w:val="24"/>
        </w:rPr>
        <w:t>a</w:t>
      </w:r>
      <w:r>
        <w:rPr>
          <w:spacing w:val="-64"/>
          <w:w w:val="99"/>
          <w:sz w:val="24"/>
        </w:rPr>
        <w:t>l</w:t>
      </w:r>
      <w:r>
        <w:rPr>
          <w:spacing w:val="-85"/>
          <w:w w:val="99"/>
          <w:position w:val="1"/>
          <w:sz w:val="24"/>
        </w:rPr>
        <w:t>e</w:t>
      </w:r>
      <w:r>
        <w:rPr>
          <w:spacing w:val="-56"/>
          <w:w w:val="99"/>
          <w:position w:val="1"/>
          <w:sz w:val="24"/>
        </w:rPr>
        <w:t>r</w:t>
      </w:r>
      <w:r>
        <w:rPr>
          <w:spacing w:val="-90"/>
          <w:w w:val="99"/>
          <w:sz w:val="24"/>
        </w:rPr>
        <w:t>c</w:t>
      </w:r>
      <w:r>
        <w:rPr>
          <w:spacing w:val="-104"/>
          <w:w w:val="99"/>
          <w:sz w:val="24"/>
        </w:rPr>
        <w:t>a</w:t>
      </w:r>
      <w:r>
        <w:rPr>
          <w:spacing w:val="-87"/>
          <w:w w:val="99"/>
          <w:sz w:val="24"/>
        </w:rPr>
        <w:t>1</w:t>
      </w:r>
      <w:r>
        <w:rPr>
          <w:spacing w:val="-211"/>
          <w:w w:val="99"/>
          <w:position w:val="1"/>
          <w:sz w:val="24"/>
        </w:rPr>
        <w:t>M</w:t>
      </w:r>
      <w:r>
        <w:rPr>
          <w:spacing w:val="-63"/>
          <w:position w:val="1"/>
          <w:sz w:val="24"/>
        </w:rPr>
        <w:t>t</w:t>
      </w:r>
      <w:r>
        <w:rPr>
          <w:spacing w:val="-96"/>
          <w:position w:val="1"/>
          <w:sz w:val="24"/>
        </w:rPr>
        <w:t>n</w:t>
      </w:r>
      <w:r>
        <w:rPr>
          <w:spacing w:val="-58"/>
          <w:sz w:val="24"/>
        </w:rPr>
        <w:t>I</w:t>
      </w:r>
      <w:r>
        <w:rPr>
          <w:spacing w:val="-110"/>
          <w:sz w:val="24"/>
        </w:rPr>
        <w:t>k</w:t>
      </w:r>
      <w:r>
        <w:rPr>
          <w:spacing w:val="-62"/>
          <w:position w:val="8"/>
          <w:sz w:val="24"/>
        </w:rPr>
        <w:t>t</w:t>
      </w:r>
      <w:r>
        <w:rPr>
          <w:spacing w:val="-120"/>
          <w:position w:val="1"/>
          <w:sz w:val="24"/>
        </w:rPr>
        <w:t>h</w:t>
      </w:r>
      <w:r>
        <w:rPr>
          <w:spacing w:val="-146"/>
          <w:sz w:val="24"/>
        </w:rPr>
        <w:t>m</w:t>
      </w:r>
      <w:r>
        <w:rPr>
          <w:spacing w:val="-129"/>
          <w:sz w:val="24"/>
        </w:rPr>
        <w:t>L</w:t>
      </w:r>
      <w:r>
        <w:rPr>
          <w:spacing w:val="-105"/>
          <w:position w:val="1"/>
          <w:sz w:val="24"/>
        </w:rPr>
        <w:t>c</w:t>
      </w:r>
      <w:r>
        <w:rPr>
          <w:spacing w:val="-145"/>
          <w:position w:val="8"/>
          <w:sz w:val="24"/>
        </w:rPr>
        <w:t>m</w:t>
      </w:r>
      <w:r>
        <w:rPr>
          <w:spacing w:val="-91"/>
          <w:sz w:val="24"/>
        </w:rPr>
        <w:t>e</w:t>
      </w:r>
      <w:r>
        <w:rPr>
          <w:spacing w:val="-56"/>
          <w:position w:val="1"/>
          <w:sz w:val="24"/>
        </w:rPr>
        <w:t>r</w:t>
      </w:r>
      <w:r>
        <w:rPr>
          <w:spacing w:val="-73"/>
          <w:w w:val="99"/>
          <w:position w:val="1"/>
          <w:sz w:val="24"/>
        </w:rPr>
        <w:t>J</w:t>
      </w:r>
      <w:r>
        <w:rPr>
          <w:spacing w:val="-87"/>
          <w:position w:val="1"/>
          <w:sz w:val="24"/>
        </w:rPr>
        <w:t>e</w:t>
      </w:r>
      <w:r>
        <w:rPr>
          <w:spacing w:val="-172"/>
          <w:w w:val="99"/>
          <w:sz w:val="24"/>
        </w:rPr>
        <w:t>A</w:t>
      </w:r>
      <w:r>
        <w:rPr>
          <w:spacing w:val="-175"/>
          <w:sz w:val="24"/>
        </w:rPr>
        <w:t>m</w:t>
      </w:r>
      <w:r>
        <w:rPr>
          <w:spacing w:val="-55"/>
          <w:position w:val="1"/>
          <w:sz w:val="24"/>
        </w:rPr>
        <w:t>i</w:t>
      </w:r>
      <w:r>
        <w:rPr>
          <w:spacing w:val="-52"/>
          <w:sz w:val="24"/>
        </w:rPr>
        <w:t>r</w:t>
      </w:r>
      <w:r>
        <w:rPr>
          <w:spacing w:val="-138"/>
          <w:position w:val="1"/>
          <w:sz w:val="24"/>
        </w:rPr>
        <w:t>L</w:t>
      </w:r>
      <w:r>
        <w:rPr>
          <w:spacing w:val="-90"/>
          <w:position w:val="8"/>
          <w:sz w:val="24"/>
        </w:rPr>
        <w:t>e</w:t>
      </w:r>
      <w:r>
        <w:rPr>
          <w:spacing w:val="-61"/>
          <w:position w:val="1"/>
          <w:sz w:val="24"/>
        </w:rPr>
        <w:t>t-</w:t>
      </w:r>
      <w:r>
        <w:rPr>
          <w:spacing w:val="-52"/>
          <w:w w:val="99"/>
          <w:sz w:val="24"/>
        </w:rPr>
        <w:t>s</w:t>
      </w:r>
      <w:r>
        <w:rPr>
          <w:spacing w:val="-49"/>
          <w:position w:val="1"/>
          <w:sz w:val="24"/>
        </w:rPr>
        <w:t>i</w:t>
      </w:r>
      <w:r>
        <w:rPr>
          <w:spacing w:val="-117"/>
          <w:position w:val="1"/>
          <w:sz w:val="24"/>
        </w:rPr>
        <w:t>b</w:t>
      </w:r>
      <w:r>
        <w:rPr>
          <w:spacing w:val="-117"/>
          <w:position w:val="8"/>
          <w:sz w:val="24"/>
        </w:rPr>
        <w:t>n</w:t>
      </w:r>
      <w:r>
        <w:rPr>
          <w:spacing w:val="-44"/>
          <w:sz w:val="24"/>
        </w:rPr>
        <w:t>,</w:t>
      </w:r>
      <w:r>
        <w:rPr>
          <w:spacing w:val="-100"/>
          <w:sz w:val="24"/>
        </w:rPr>
        <w:t>a</w:t>
      </w:r>
      <w:r>
        <w:rPr>
          <w:spacing w:val="-42"/>
          <w:position w:val="1"/>
          <w:sz w:val="24"/>
        </w:rPr>
        <w:t>,</w:t>
      </w:r>
      <w:r>
        <w:rPr>
          <w:spacing w:val="-48"/>
          <w:w w:val="99"/>
          <w:position w:val="1"/>
          <w:sz w:val="24"/>
        </w:rPr>
        <w:t>s</w:t>
      </w:r>
      <w:r>
        <w:rPr>
          <w:spacing w:val="-67"/>
          <w:w w:val="99"/>
          <w:sz w:val="24"/>
        </w:rPr>
        <w:t>s</w:t>
      </w:r>
      <w:r>
        <w:rPr>
          <w:spacing w:val="-106"/>
          <w:position w:val="1"/>
          <w:sz w:val="24"/>
        </w:rPr>
        <w:t>a</w:t>
      </w:r>
      <w:r>
        <w:rPr>
          <w:spacing w:val="-62"/>
          <w:position w:val="8"/>
          <w:sz w:val="24"/>
        </w:rPr>
        <w:t>t</w:t>
      </w:r>
      <w:r>
        <w:rPr>
          <w:spacing w:val="-161"/>
          <w:sz w:val="24"/>
        </w:rPr>
        <w:t>R</w:t>
      </w:r>
      <w:r>
        <w:rPr>
          <w:spacing w:val="-8"/>
          <w:sz w:val="24"/>
        </w:rPr>
        <w:t>t</w:t>
      </w:r>
      <w:r>
        <w:rPr>
          <w:spacing w:val="-118"/>
          <w:sz w:val="24"/>
        </w:rPr>
        <w:t>h</w:t>
      </w:r>
      <w:r>
        <w:rPr>
          <w:spacing w:val="-129"/>
          <w:w w:val="99"/>
          <w:position w:val="1"/>
          <w:sz w:val="24"/>
        </w:rPr>
        <w:t>S</w:t>
      </w:r>
      <w:r>
        <w:rPr>
          <w:spacing w:val="-88"/>
          <w:sz w:val="24"/>
        </w:rPr>
        <w:t>o</w:t>
      </w:r>
      <w:r>
        <w:rPr>
          <w:spacing w:val="-71"/>
          <w:w w:val="99"/>
          <w:position w:val="1"/>
          <w:sz w:val="24"/>
        </w:rPr>
        <w:t>s</w:t>
      </w:r>
      <w:r>
        <w:rPr>
          <w:spacing w:val="-149"/>
          <w:w w:val="99"/>
          <w:position w:val="8"/>
          <w:sz w:val="24"/>
        </w:rPr>
        <w:t>w</w:t>
      </w:r>
      <w:r>
        <w:rPr>
          <w:spacing w:val="-92"/>
          <w:position w:val="1"/>
          <w:sz w:val="24"/>
        </w:rPr>
        <w:t>a</w:t>
      </w:r>
      <w:r>
        <w:rPr>
          <w:spacing w:val="-48"/>
          <w:sz w:val="24"/>
        </w:rPr>
        <w:t>i</w:t>
      </w:r>
      <w:r>
        <w:rPr>
          <w:spacing w:val="-113"/>
          <w:sz w:val="24"/>
        </w:rPr>
        <w:t>o</w:t>
      </w:r>
      <w:r>
        <w:rPr>
          <w:spacing w:val="-74"/>
          <w:sz w:val="24"/>
        </w:rPr>
        <w:t>r</w:t>
      </w:r>
      <w:r>
        <w:rPr>
          <w:spacing w:val="-101"/>
          <w:position w:val="1"/>
          <w:sz w:val="24"/>
        </w:rPr>
        <w:t>e</w:t>
      </w:r>
      <w:r>
        <w:rPr>
          <w:spacing w:val="-92"/>
          <w:position w:val="1"/>
          <w:sz w:val="24"/>
        </w:rPr>
        <w:t>y</w:t>
      </w:r>
      <w:r>
        <w:rPr>
          <w:spacing w:val="-96"/>
          <w:sz w:val="24"/>
        </w:rPr>
        <w:t>b</w:t>
      </w:r>
      <w:r>
        <w:rPr>
          <w:spacing w:val="-101"/>
          <w:position w:val="1"/>
          <w:sz w:val="24"/>
        </w:rPr>
        <w:t>n</w:t>
      </w:r>
      <w:r>
        <w:rPr>
          <w:spacing w:val="-97"/>
          <w:sz w:val="24"/>
        </w:rPr>
        <w:t>y</w:t>
      </w:r>
      <w:r>
        <w:rPr>
          <w:spacing w:val="-63"/>
          <w:position w:val="8"/>
          <w:sz w:val="24"/>
        </w:rPr>
        <w:t>i</w:t>
      </w:r>
      <w:r>
        <w:rPr>
          <w:spacing w:val="-119"/>
          <w:position w:val="1"/>
          <w:sz w:val="24"/>
        </w:rPr>
        <w:t>d</w:t>
      </w:r>
      <w:r>
        <w:rPr>
          <w:spacing w:val="-159"/>
          <w:w w:val="99"/>
          <w:sz w:val="24"/>
        </w:rPr>
        <w:t>w</w:t>
      </w:r>
      <w:r>
        <w:rPr>
          <w:spacing w:val="-154"/>
          <w:position w:val="1"/>
          <w:sz w:val="24"/>
        </w:rPr>
        <w:t>m</w:t>
      </w:r>
      <w:r>
        <w:rPr>
          <w:spacing w:val="-93"/>
          <w:sz w:val="24"/>
        </w:rPr>
        <w:t>e</w:t>
      </w:r>
      <w:r>
        <w:rPr>
          <w:spacing w:val="-57"/>
          <w:position w:val="8"/>
          <w:sz w:val="24"/>
        </w:rPr>
        <w:t>t</w:t>
      </w:r>
      <w:r>
        <w:rPr>
          <w:spacing w:val="-63"/>
          <w:position w:val="1"/>
          <w:sz w:val="24"/>
        </w:rPr>
        <w:t>d</w:t>
      </w:r>
      <w:r>
        <w:rPr>
          <w:spacing w:val="-101"/>
          <w:position w:val="8"/>
          <w:sz w:val="24"/>
        </w:rPr>
        <w:t>h</w:t>
      </w:r>
      <w:r>
        <w:rPr>
          <w:spacing w:val="-102"/>
          <w:sz w:val="24"/>
        </w:rPr>
        <w:t>a</w:t>
      </w:r>
      <w:r>
        <w:rPr>
          <w:spacing w:val="-20"/>
          <w:sz w:val="24"/>
        </w:rPr>
        <w:t>i</w:t>
      </w:r>
      <w:r>
        <w:rPr>
          <w:spacing w:val="-167"/>
          <w:position w:val="1"/>
          <w:sz w:val="24"/>
        </w:rPr>
        <w:t>m</w:t>
      </w:r>
      <w:r>
        <w:rPr>
          <w:spacing w:val="-64"/>
          <w:sz w:val="24"/>
        </w:rPr>
        <w:t>r</w:t>
      </w:r>
      <w:r>
        <w:rPr>
          <w:spacing w:val="-103"/>
          <w:sz w:val="24"/>
        </w:rPr>
        <w:t>d</w:t>
      </w:r>
      <w:r>
        <w:rPr>
          <w:spacing w:val="-35"/>
          <w:sz w:val="24"/>
        </w:rPr>
        <w:t>r</w:t>
      </w:r>
      <w:r>
        <w:rPr>
          <w:spacing w:val="-112"/>
          <w:sz w:val="24"/>
        </w:rPr>
        <w:t>o</w:t>
      </w:r>
      <w:r>
        <w:rPr>
          <w:spacing w:val="-51"/>
          <w:position w:val="8"/>
          <w:sz w:val="24"/>
        </w:rPr>
        <w:t>i</w:t>
      </w:r>
      <w:r>
        <w:rPr>
          <w:spacing w:val="-112"/>
          <w:position w:val="1"/>
          <w:sz w:val="24"/>
        </w:rPr>
        <w:t>o</w:t>
      </w:r>
      <w:r>
        <w:rPr>
          <w:spacing w:val="-44"/>
          <w:sz w:val="24"/>
        </w:rPr>
        <w:t>t</w:t>
      </w:r>
      <w:r>
        <w:rPr>
          <w:spacing w:val="-49"/>
          <w:sz w:val="24"/>
        </w:rPr>
        <w:t>i</w:t>
      </w:r>
      <w:r>
        <w:rPr>
          <w:spacing w:val="-108"/>
          <w:position w:val="8"/>
          <w:sz w:val="24"/>
        </w:rPr>
        <w:t>n</w:t>
      </w:r>
      <w:r>
        <w:rPr>
          <w:spacing w:val="-108"/>
          <w:position w:val="1"/>
          <w:sz w:val="24"/>
        </w:rPr>
        <w:t>o</w:t>
      </w:r>
      <w:r>
        <w:rPr>
          <w:spacing w:val="-120"/>
          <w:sz w:val="24"/>
        </w:rPr>
        <w:t>h</w:t>
      </w:r>
      <w:r>
        <w:rPr>
          <w:spacing w:val="-84"/>
          <w:position w:val="1"/>
          <w:sz w:val="24"/>
        </w:rPr>
        <w:t>c</w:t>
      </w:r>
      <w:r>
        <w:rPr>
          <w:spacing w:val="-72"/>
          <w:w w:val="99"/>
          <w:sz w:val="24"/>
        </w:rPr>
        <w:t>s</w:t>
      </w:r>
      <w:r>
        <w:rPr>
          <w:spacing w:val="-28"/>
          <w:position w:val="1"/>
          <w:sz w:val="24"/>
        </w:rPr>
        <w:t>t</w:t>
      </w:r>
      <w:r>
        <w:rPr>
          <w:spacing w:val="-162"/>
          <w:w w:val="99"/>
          <w:sz w:val="24"/>
        </w:rPr>
        <w:t>A</w:t>
      </w:r>
      <w:r>
        <w:rPr>
          <w:spacing w:val="-69"/>
          <w:w w:val="99"/>
          <w:position w:val="8"/>
          <w:sz w:val="24"/>
        </w:rPr>
        <w:t>f</w:t>
      </w:r>
      <w:r>
        <w:rPr>
          <w:spacing w:val="-119"/>
          <w:w w:val="99"/>
          <w:position w:val="1"/>
          <w:sz w:val="24"/>
        </w:rPr>
        <w:t>o</w:t>
      </w:r>
      <w:r>
        <w:rPr>
          <w:spacing w:val="-117"/>
          <w:w w:val="99"/>
          <w:position w:val="1"/>
          <w:sz w:val="24"/>
        </w:rPr>
        <w:t>n</w:t>
      </w:r>
      <w:r>
        <w:rPr>
          <w:spacing w:val="-116"/>
          <w:w w:val="99"/>
          <w:position w:val="1"/>
          <w:sz w:val="24"/>
        </w:rPr>
        <w:t>h</w:t>
      </w:r>
      <w:r>
        <w:rPr>
          <w:spacing w:val="-64"/>
          <w:w w:val="99"/>
          <w:sz w:val="24"/>
        </w:rPr>
        <w:t>t</w:t>
      </w:r>
      <w:r>
        <w:rPr>
          <w:spacing w:val="-26"/>
          <w:w w:val="99"/>
          <w:sz w:val="24"/>
        </w:rPr>
        <w:t>r</w:t>
      </w:r>
      <w:r>
        <w:rPr>
          <w:spacing w:val="-58"/>
          <w:w w:val="99"/>
          <w:position w:val="8"/>
          <w:sz w:val="24"/>
        </w:rPr>
        <w:t>l</w:t>
      </w:r>
      <w:r>
        <w:rPr>
          <w:spacing w:val="-52"/>
          <w:w w:val="99"/>
          <w:sz w:val="24"/>
        </w:rPr>
        <w:t>i</w:t>
      </w:r>
      <w:r>
        <w:rPr>
          <w:spacing w:val="-40"/>
          <w:w w:val="99"/>
          <w:sz w:val="24"/>
        </w:rPr>
        <w:t>i</w:t>
      </w:r>
      <w:r>
        <w:rPr>
          <w:spacing w:val="-186"/>
          <w:w w:val="99"/>
          <w:position w:val="1"/>
          <w:sz w:val="24"/>
        </w:rPr>
        <w:t>m</w:t>
      </w:r>
      <w:r>
        <w:rPr>
          <w:spacing w:val="-90"/>
          <w:w w:val="99"/>
          <w:position w:val="1"/>
          <w:sz w:val="24"/>
        </w:rPr>
        <w:t>s</w:t>
      </w:r>
      <w:r>
        <w:rPr>
          <w:spacing w:val="-97"/>
          <w:position w:val="1"/>
          <w:sz w:val="24"/>
        </w:rPr>
        <w:t>e</w:t>
      </w:r>
      <w:r>
        <w:rPr>
          <w:spacing w:val="-58"/>
          <w:position w:val="8"/>
          <w:sz w:val="24"/>
        </w:rPr>
        <w:t>i</w:t>
      </w:r>
      <w:r>
        <w:rPr>
          <w:spacing w:val="-114"/>
          <w:sz w:val="24"/>
        </w:rPr>
        <w:t>n</w:t>
      </w:r>
      <w:r>
        <w:rPr>
          <w:spacing w:val="-152"/>
          <w:sz w:val="24"/>
        </w:rPr>
        <w:t>C</w:t>
      </w:r>
      <w:r>
        <w:rPr>
          <w:spacing w:val="-24"/>
          <w:sz w:val="24"/>
        </w:rPr>
        <w:t>t</w:t>
      </w:r>
      <w:r>
        <w:rPr>
          <w:spacing w:val="-96"/>
          <w:position w:val="8"/>
          <w:sz w:val="24"/>
        </w:rPr>
        <w:t>x</w:t>
      </w:r>
      <w:r>
        <w:rPr>
          <w:spacing w:val="-62"/>
          <w:sz w:val="24"/>
        </w:rPr>
        <w:t>i</w:t>
      </w:r>
      <w:r>
        <w:rPr>
          <w:spacing w:val="-48"/>
          <w:position w:val="1"/>
          <w:sz w:val="24"/>
        </w:rPr>
        <w:t>r</w:t>
      </w:r>
      <w:r>
        <w:rPr>
          <w:spacing w:val="-78"/>
          <w:sz w:val="24"/>
        </w:rPr>
        <w:t>c</w:t>
      </w:r>
      <w:r>
        <w:rPr>
          <w:spacing w:val="-81"/>
          <w:w w:val="99"/>
          <w:sz w:val="24"/>
        </w:rPr>
        <w:t>s</w:t>
      </w:r>
      <w:r>
        <w:rPr>
          <w:spacing w:val="-181"/>
          <w:position w:val="1"/>
          <w:sz w:val="24"/>
        </w:rPr>
        <w:t>m</w:t>
      </w:r>
      <w:r>
        <w:rPr>
          <w:spacing w:val="-209"/>
          <w:w w:val="99"/>
          <w:sz w:val="24"/>
        </w:rPr>
        <w:t>M</w:t>
      </w:r>
      <w:r>
        <w:rPr>
          <w:spacing w:val="-169"/>
          <w:w w:val="99"/>
          <w:position w:val="1"/>
          <w:sz w:val="24"/>
        </w:rPr>
        <w:t>D</w:t>
      </w:r>
      <w:r>
        <w:rPr>
          <w:spacing w:val="-18"/>
          <w:position w:val="8"/>
          <w:sz w:val="24"/>
        </w:rPr>
        <w:t>i</w:t>
      </w:r>
      <w:r>
        <w:rPr>
          <w:spacing w:val="-49"/>
          <w:sz w:val="24"/>
        </w:rPr>
        <w:t>t</w:t>
      </w:r>
      <w:r>
        <w:rPr>
          <w:spacing w:val="-134"/>
          <w:position w:val="8"/>
          <w:sz w:val="24"/>
        </w:rPr>
        <w:t>m</w:t>
      </w:r>
      <w:r>
        <w:rPr>
          <w:spacing w:val="-76"/>
          <w:position w:val="1"/>
          <w:sz w:val="24"/>
        </w:rPr>
        <w:t>f</w:t>
      </w:r>
      <w:r>
        <w:rPr>
          <w:spacing w:val="-76"/>
          <w:sz w:val="24"/>
        </w:rPr>
        <w:t>p</w:t>
      </w:r>
      <w:r>
        <w:rPr>
          <w:spacing w:val="-131"/>
          <w:w w:val="99"/>
          <w:position w:val="1"/>
          <w:sz w:val="24"/>
        </w:rPr>
        <w:t>P</w:t>
      </w:r>
      <w:r>
        <w:rPr>
          <w:spacing w:val="-101"/>
          <w:position w:val="1"/>
          <w:sz w:val="24"/>
        </w:rPr>
        <w:t>e</w:t>
      </w:r>
      <w:r>
        <w:rPr>
          <w:spacing w:val="-98"/>
          <w:sz w:val="24"/>
        </w:rPr>
        <w:t>p</w:t>
      </w:r>
      <w:r>
        <w:rPr>
          <w:spacing w:val="-116"/>
          <w:position w:val="1"/>
          <w:sz w:val="24"/>
        </w:rPr>
        <w:t>o</w:t>
      </w:r>
      <w:r>
        <w:rPr>
          <w:spacing w:val="-20"/>
          <w:sz w:val="24"/>
        </w:rPr>
        <w:t>,</w:t>
      </w:r>
      <w:r>
        <w:rPr>
          <w:spacing w:val="-75"/>
          <w:sz w:val="24"/>
        </w:rPr>
        <w:t>a</w:t>
      </w:r>
      <w:r>
        <w:rPr>
          <w:spacing w:val="-100"/>
          <w:position w:val="1"/>
          <w:sz w:val="24"/>
        </w:rPr>
        <w:t>n</w:t>
      </w:r>
      <w:r>
        <w:rPr>
          <w:spacing w:val="-102"/>
          <w:sz w:val="24"/>
        </w:rPr>
        <w:t>a</w:t>
      </w:r>
      <w:r>
        <w:rPr>
          <w:spacing w:val="-196"/>
          <w:w w:val="99"/>
          <w:position w:val="1"/>
          <w:sz w:val="24"/>
        </w:rPr>
        <w:t>M</w:t>
      </w:r>
      <w:r>
        <w:rPr>
          <w:spacing w:val="-74"/>
          <w:w w:val="99"/>
          <w:position w:val="1"/>
          <w:sz w:val="24"/>
        </w:rPr>
        <w:t>r</w:t>
      </w:r>
      <w:r>
        <w:rPr>
          <w:spacing w:val="-149"/>
          <w:w w:val="99"/>
          <w:sz w:val="24"/>
        </w:rPr>
        <w:t>A</w:t>
      </w:r>
      <w:r>
        <w:rPr>
          <w:spacing w:val="-59"/>
          <w:sz w:val="24"/>
        </w:rPr>
        <w:t>t</w:t>
      </w:r>
      <w:r>
        <w:rPr>
          <w:spacing w:val="-83"/>
          <w:position w:val="8"/>
          <w:sz w:val="24"/>
        </w:rPr>
        <w:t>b</w:t>
      </w:r>
      <w:r>
        <w:rPr>
          <w:spacing w:val="-119"/>
          <w:position w:val="1"/>
          <w:sz w:val="24"/>
        </w:rPr>
        <w:t>d</w:t>
      </w:r>
      <w:r>
        <w:rPr>
          <w:spacing w:val="-182"/>
          <w:position w:val="1"/>
          <w:sz w:val="24"/>
        </w:rPr>
        <w:t>m</w:t>
      </w:r>
      <w:r>
        <w:rPr>
          <w:spacing w:val="-53"/>
          <w:sz w:val="24"/>
        </w:rPr>
        <w:t>t</w:t>
      </w:r>
      <w:r>
        <w:rPr>
          <w:spacing w:val="-15"/>
          <w:sz w:val="24"/>
        </w:rPr>
        <w:t>i</w:t>
      </w:r>
      <w:r>
        <w:rPr>
          <w:spacing w:val="-57"/>
          <w:sz w:val="24"/>
        </w:rPr>
        <w:t>t</w:t>
      </w:r>
      <w:r>
        <w:rPr>
          <w:spacing w:val="-55"/>
          <w:position w:val="8"/>
          <w:sz w:val="24"/>
        </w:rPr>
        <w:t>.</w:t>
      </w:r>
      <w:r>
        <w:rPr>
          <w:spacing w:val="-92"/>
          <w:sz w:val="24"/>
        </w:rPr>
        <w:t>e</w:t>
      </w:r>
      <w:r>
        <w:rPr>
          <w:spacing w:val="-51"/>
          <w:sz w:val="24"/>
        </w:rPr>
        <w:t>i</w:t>
      </w:r>
      <w:r>
        <w:rPr>
          <w:spacing w:val="-57"/>
          <w:position w:val="1"/>
          <w:sz w:val="24"/>
        </w:rPr>
        <w:t>,</w:t>
      </w:r>
      <w:r>
        <w:rPr>
          <w:spacing w:val="-89"/>
          <w:position w:val="1"/>
          <w:sz w:val="24"/>
        </w:rPr>
        <w:t>a</w:t>
      </w:r>
      <w:r>
        <w:rPr>
          <w:spacing w:val="-78"/>
          <w:sz w:val="24"/>
        </w:rPr>
        <w:t>e</w:t>
      </w:r>
      <w:r>
        <w:rPr>
          <w:spacing w:val="-102"/>
          <w:sz w:val="24"/>
        </w:rPr>
        <w:t>k</w:t>
      </w:r>
      <w:r>
        <w:rPr>
          <w:spacing w:val="-88"/>
          <w:w w:val="99"/>
          <w:position w:val="1"/>
          <w:sz w:val="24"/>
        </w:rPr>
        <w:t>s</w:t>
      </w:r>
      <w:r>
        <w:rPr>
          <w:spacing w:val="-108"/>
          <w:sz w:val="24"/>
        </w:rPr>
        <w:t>n</w:t>
      </w:r>
      <w:r>
        <w:rPr>
          <w:spacing w:val="-152"/>
          <w:w w:val="99"/>
          <w:position w:val="8"/>
          <w:sz w:val="24"/>
        </w:rPr>
        <w:t>A</w:t>
      </w:r>
      <w:r>
        <w:rPr>
          <w:spacing w:val="-49"/>
          <w:position w:val="1"/>
          <w:sz w:val="24"/>
        </w:rPr>
        <w:t>t</w:t>
      </w:r>
      <w:r>
        <w:rPr>
          <w:spacing w:val="-46"/>
          <w:sz w:val="24"/>
        </w:rPr>
        <w:t>r</w:t>
      </w:r>
      <w:r>
        <w:rPr>
          <w:spacing w:val="-204"/>
          <w:w w:val="99"/>
          <w:position w:val="1"/>
          <w:sz w:val="24"/>
        </w:rPr>
        <w:t>M</w:t>
      </w:r>
      <w:r>
        <w:rPr>
          <w:spacing w:val="-102"/>
          <w:sz w:val="24"/>
        </w:rPr>
        <w:t>a</w:t>
      </w:r>
      <w:r>
        <w:rPr>
          <w:spacing w:val="-48"/>
          <w:position w:val="1"/>
          <w:sz w:val="24"/>
        </w:rPr>
        <w:t>i</w:t>
      </w:r>
      <w:r>
        <w:rPr>
          <w:spacing w:val="-55"/>
          <w:sz w:val="24"/>
        </w:rPr>
        <w:t>t</w:t>
      </w:r>
      <w:r>
        <w:rPr>
          <w:spacing w:val="-84"/>
          <w:sz w:val="24"/>
        </w:rPr>
        <w:t>n</w:t>
      </w:r>
      <w:r>
        <w:rPr>
          <w:spacing w:val="-104"/>
          <w:position w:val="1"/>
          <w:sz w:val="24"/>
        </w:rPr>
        <w:t>o</w:t>
      </w:r>
      <w:r>
        <w:rPr>
          <w:spacing w:val="-79"/>
          <w:position w:val="8"/>
          <w:sz w:val="24"/>
        </w:rPr>
        <w:t>r</w:t>
      </w:r>
      <w:r>
        <w:rPr>
          <w:spacing w:val="-79"/>
          <w:w w:val="99"/>
          <w:sz w:val="24"/>
        </w:rPr>
        <w:t>s</w:t>
      </w:r>
      <w:r>
        <w:rPr>
          <w:spacing w:val="-155"/>
          <w:w w:val="99"/>
          <w:sz w:val="24"/>
        </w:rPr>
        <w:t>w</w:t>
      </w:r>
      <w:r>
        <w:rPr>
          <w:spacing w:val="-89"/>
          <w:position w:val="1"/>
          <w:sz w:val="24"/>
        </w:rPr>
        <w:t>o</w:t>
      </w:r>
      <w:r>
        <w:rPr>
          <w:spacing w:val="-82"/>
          <w:w w:val="99"/>
          <w:sz w:val="24"/>
        </w:rPr>
        <w:t>s</w:t>
      </w:r>
      <w:r>
        <w:rPr>
          <w:spacing w:val="-51"/>
          <w:position w:val="8"/>
          <w:sz w:val="24"/>
        </w:rPr>
        <w:t>t</w:t>
      </w:r>
      <w:r>
        <w:rPr>
          <w:spacing w:val="-52"/>
          <w:sz w:val="24"/>
        </w:rPr>
        <w:t>.</w:t>
      </w:r>
      <w:r>
        <w:rPr>
          <w:spacing w:val="-109"/>
          <w:position w:val="1"/>
          <w:sz w:val="24"/>
        </w:rPr>
        <w:t>n</w:t>
      </w:r>
      <w:r>
        <w:rPr>
          <w:spacing w:val="-76"/>
          <w:position w:val="1"/>
          <w:sz w:val="24"/>
        </w:rPr>
        <w:t>c</w:t>
      </w:r>
      <w:r>
        <w:rPr>
          <w:spacing w:val="-109"/>
          <w:position w:val="8"/>
          <w:sz w:val="24"/>
        </w:rPr>
        <w:t>h</w:t>
      </w:r>
      <w:r>
        <w:rPr>
          <w:spacing w:val="-48"/>
          <w:position w:val="1"/>
          <w:sz w:val="24"/>
        </w:rPr>
        <w:t>f</w:t>
      </w:r>
      <w:r>
        <w:rPr>
          <w:spacing w:val="-78"/>
          <w:sz w:val="24"/>
        </w:rPr>
        <w:t>a</w:t>
      </w:r>
      <w:r>
        <w:rPr>
          <w:spacing w:val="-158"/>
          <w:sz w:val="24"/>
        </w:rPr>
        <w:t>R</w:t>
      </w:r>
      <w:r>
        <w:rPr>
          <w:spacing w:val="-159"/>
          <w:position w:val="1"/>
          <w:sz w:val="24"/>
        </w:rPr>
        <w:t>C</w:t>
      </w:r>
      <w:r>
        <w:rPr>
          <w:spacing w:val="-119"/>
          <w:sz w:val="24"/>
        </w:rPr>
        <w:t>o</w:t>
      </w:r>
      <w:r>
        <w:rPr>
          <w:spacing w:val="-51"/>
          <w:w w:val="99"/>
          <w:position w:val="1"/>
          <w:sz w:val="24"/>
        </w:rPr>
        <w:t>s</w:t>
      </w:r>
      <w:r>
        <w:rPr>
          <w:spacing w:val="-4"/>
          <w:w w:val="99"/>
          <w:position w:val="8"/>
          <w:sz w:val="24"/>
        </w:rPr>
        <w:t>r</w:t>
      </w:r>
      <w:r>
        <w:rPr>
          <w:spacing w:val="-77"/>
          <w:w w:val="99"/>
          <w:sz w:val="24"/>
        </w:rPr>
        <w:t>f</w:t>
      </w:r>
      <w:r>
        <w:rPr>
          <w:spacing w:val="-54"/>
          <w:w w:val="99"/>
          <w:position w:val="8"/>
          <w:sz w:val="24"/>
        </w:rPr>
        <w:t>i</w:t>
      </w:r>
      <w:r>
        <w:rPr>
          <w:spacing w:val="-164"/>
          <w:w w:val="99"/>
          <w:sz w:val="24"/>
        </w:rPr>
        <w:t>N</w:t>
      </w:r>
      <w:r>
        <w:rPr>
          <w:spacing w:val="-57"/>
          <w:position w:val="1"/>
          <w:sz w:val="24"/>
        </w:rPr>
        <w:t>i</w:t>
      </w:r>
      <w:r>
        <w:rPr>
          <w:spacing w:val="-118"/>
          <w:sz w:val="24"/>
        </w:rPr>
        <w:t>h</w:t>
      </w:r>
      <w:r>
        <w:rPr>
          <w:spacing w:val="-76"/>
          <w:position w:val="1"/>
          <w:sz w:val="24"/>
        </w:rPr>
        <w:t>a</w:t>
      </w:r>
      <w:r>
        <w:rPr>
          <w:spacing w:val="-67"/>
          <w:position w:val="8"/>
          <w:sz w:val="24"/>
        </w:rPr>
        <w:t>t</w:t>
      </w:r>
      <w:r>
        <w:rPr>
          <w:spacing w:val="-58"/>
          <w:position w:val="1"/>
          <w:sz w:val="24"/>
        </w:rPr>
        <w:t>f</w:t>
      </w:r>
      <w:r>
        <w:rPr>
          <w:spacing w:val="-72"/>
          <w:position w:val="1"/>
          <w:sz w:val="24"/>
        </w:rPr>
        <w:t>n</w:t>
      </w:r>
      <w:r>
        <w:rPr>
          <w:spacing w:val="-64"/>
          <w:sz w:val="24"/>
        </w:rPr>
        <w:t>i</w:t>
      </w:r>
      <w:r>
        <w:rPr>
          <w:spacing w:val="-74"/>
          <w:position w:val="1"/>
          <w:sz w:val="24"/>
        </w:rPr>
        <w:t>r</w:t>
      </w:r>
      <w:r>
        <w:rPr>
          <w:spacing w:val="-114"/>
          <w:position w:val="1"/>
          <w:sz w:val="24"/>
        </w:rPr>
        <w:t>o</w:t>
      </w:r>
      <w:r>
        <w:rPr>
          <w:spacing w:val="-73"/>
          <w:sz w:val="24"/>
        </w:rPr>
        <w:t>e</w:t>
      </w:r>
      <w:r>
        <w:rPr>
          <w:spacing w:val="-133"/>
          <w:sz w:val="24"/>
        </w:rPr>
        <w:t>E</w:t>
      </w:r>
      <w:r>
        <w:rPr>
          <w:spacing w:val="-90"/>
          <w:w w:val="99"/>
          <w:position w:val="8"/>
          <w:sz w:val="24"/>
        </w:rPr>
        <w:t>s</w:t>
      </w:r>
      <w:r>
        <w:rPr>
          <w:spacing w:val="-182"/>
          <w:sz w:val="24"/>
        </w:rPr>
        <w:t>m</w:t>
      </w:r>
      <w:r>
        <w:rPr>
          <w:spacing w:val="-69"/>
          <w:position w:val="1"/>
          <w:sz w:val="24"/>
        </w:rPr>
        <w:t>fe</w:t>
      </w:r>
      <w:r>
        <w:rPr>
          <w:spacing w:val="-112"/>
          <w:sz w:val="24"/>
        </w:rPr>
        <w:t>u</w:t>
      </w:r>
      <w:r>
        <w:rPr>
          <w:spacing w:val="-58"/>
          <w:position w:val="1"/>
          <w:sz w:val="24"/>
        </w:rPr>
        <w:t>r</w:t>
      </w:r>
      <w:r>
        <w:rPr>
          <w:spacing w:val="-26"/>
          <w:position w:val="1"/>
          <w:sz w:val="24"/>
        </w:rPr>
        <w:t>l</w:t>
      </w:r>
      <w:r>
        <w:rPr>
          <w:spacing w:val="-118"/>
          <w:position w:val="1"/>
          <w:sz w:val="24"/>
        </w:rPr>
        <w:t>y</w:t>
      </w:r>
      <w:r>
        <w:rPr>
          <w:spacing w:val="-39"/>
          <w:sz w:val="24"/>
        </w:rPr>
        <w:t>,</w:t>
      </w:r>
      <w:r>
        <w:rPr>
          <w:spacing w:val="-159"/>
          <w:position w:val="8"/>
          <w:sz w:val="24"/>
        </w:rPr>
        <w:t>R</w:t>
      </w:r>
      <w:r>
        <w:rPr>
          <w:spacing w:val="-84"/>
          <w:position w:val="1"/>
          <w:sz w:val="24"/>
        </w:rPr>
        <w:t>a</w:t>
      </w:r>
      <w:r>
        <w:rPr>
          <w:spacing w:val="-122"/>
          <w:sz w:val="24"/>
        </w:rPr>
        <w:t>m</w:t>
      </w:r>
      <w:r>
        <w:rPr>
          <w:spacing w:val="-96"/>
          <w:position w:val="1"/>
          <w:sz w:val="24"/>
        </w:rPr>
        <w:t>c</w:t>
      </w:r>
      <w:r>
        <w:rPr>
          <w:spacing w:val="-127"/>
          <w:w w:val="99"/>
          <w:sz w:val="24"/>
        </w:rPr>
        <w:t>S</w:t>
      </w:r>
      <w:r>
        <w:rPr>
          <w:spacing w:val="-134"/>
          <w:position w:val="1"/>
          <w:sz w:val="24"/>
        </w:rPr>
        <w:t>m</w:t>
      </w:r>
      <w:r>
        <w:rPr>
          <w:spacing w:val="-79"/>
          <w:position w:val="8"/>
          <w:sz w:val="24"/>
        </w:rPr>
        <w:t>e</w:t>
      </w:r>
      <w:r>
        <w:rPr>
          <w:spacing w:val="-152"/>
          <w:w w:val="99"/>
          <w:position w:val="1"/>
          <w:sz w:val="24"/>
        </w:rPr>
        <w:t>D</w:t>
      </w:r>
      <w:r>
        <w:rPr>
          <w:spacing w:val="-94"/>
          <w:sz w:val="24"/>
        </w:rPr>
        <w:t>a</w:t>
      </w:r>
      <w:r>
        <w:rPr>
          <w:spacing w:val="-110"/>
          <w:sz w:val="24"/>
        </w:rPr>
        <w:t>u</w:t>
      </w:r>
      <w:r>
        <w:rPr>
          <w:spacing w:val="-75"/>
          <w:sz w:val="24"/>
        </w:rPr>
        <w:t>a</w:t>
      </w:r>
      <w:r>
        <w:rPr>
          <w:spacing w:val="-63"/>
          <w:w w:val="99"/>
          <w:position w:val="8"/>
          <w:sz w:val="24"/>
        </w:rPr>
        <w:t>s</w:t>
      </w:r>
      <w:r>
        <w:rPr>
          <w:spacing w:val="-181"/>
          <w:position w:val="1"/>
          <w:sz w:val="24"/>
        </w:rPr>
        <w:t>m</w:t>
      </w:r>
      <w:r>
        <w:rPr>
          <w:spacing w:val="-65"/>
          <w:position w:val="1"/>
          <w:sz w:val="24"/>
        </w:rPr>
        <w:t>r</w:t>
      </w:r>
      <w:r>
        <w:rPr>
          <w:spacing w:val="-42"/>
          <w:sz w:val="24"/>
        </w:rPr>
        <w:t>t</w:t>
      </w:r>
      <w:r>
        <w:rPr>
          <w:spacing w:val="-105"/>
          <w:sz w:val="24"/>
        </w:rPr>
        <w:t>a</w:t>
      </w:r>
      <w:r>
        <w:rPr>
          <w:spacing w:val="-102"/>
          <w:sz w:val="24"/>
        </w:rPr>
        <w:t>n</w:t>
      </w:r>
      <w:r>
        <w:rPr>
          <w:spacing w:val="-40"/>
          <w:position w:val="1"/>
          <w:sz w:val="24"/>
        </w:rPr>
        <w:t>,</w:t>
      </w:r>
      <w:r>
        <w:rPr>
          <w:spacing w:val="-119"/>
          <w:position w:val="1"/>
          <w:sz w:val="24"/>
        </w:rPr>
        <w:t>d</w:t>
      </w:r>
      <w:r>
        <w:rPr>
          <w:spacing w:val="-85"/>
          <w:sz w:val="24"/>
        </w:rPr>
        <w:t>o</w:t>
      </w:r>
      <w:r>
        <w:rPr>
          <w:spacing w:val="-119"/>
          <w:position w:val="8"/>
          <w:sz w:val="24"/>
        </w:rPr>
        <w:t>T</w:t>
      </w:r>
      <w:r>
        <w:rPr>
          <w:spacing w:val="-104"/>
          <w:sz w:val="24"/>
        </w:rPr>
        <w:t>d</w:t>
      </w:r>
      <w:r>
        <w:rPr>
          <w:spacing w:val="-88"/>
          <w:sz w:val="24"/>
        </w:rPr>
        <w:t>e</w:t>
      </w:r>
      <w:r>
        <w:rPr>
          <w:spacing w:val="-88"/>
          <w:position w:val="1"/>
          <w:sz w:val="24"/>
        </w:rPr>
        <w:t>a</w:t>
      </w:r>
      <w:r>
        <w:rPr>
          <w:spacing w:val="-65"/>
          <w:position w:val="1"/>
          <w:sz w:val="24"/>
        </w:rPr>
        <w:t>i</w:t>
      </w:r>
      <w:r>
        <w:rPr>
          <w:spacing w:val="-49"/>
          <w:sz w:val="24"/>
        </w:rPr>
        <w:t>l</w:t>
      </w:r>
      <w:r>
        <w:rPr>
          <w:spacing w:val="-130"/>
          <w:w w:val="99"/>
          <w:position w:val="1"/>
          <w:sz w:val="24"/>
        </w:rPr>
        <w:t>D</w:t>
      </w:r>
      <w:r>
        <w:rPr>
          <w:spacing w:val="-116"/>
          <w:position w:val="8"/>
          <w:sz w:val="24"/>
        </w:rPr>
        <w:t>h</w:t>
      </w:r>
      <w:r>
        <w:rPr>
          <w:b/>
          <w:spacing w:val="-101"/>
          <w:sz w:val="24"/>
        </w:rPr>
        <w:t>o</w:t>
      </w:r>
      <w:r>
        <w:rPr>
          <w:spacing w:val="-27"/>
          <w:position w:val="1"/>
          <w:sz w:val="24"/>
        </w:rPr>
        <w:t>t</w:t>
      </w:r>
      <w:r>
        <w:rPr>
          <w:spacing w:val="-158"/>
          <w:sz w:val="24"/>
        </w:rPr>
        <w:t>C</w:t>
      </w:r>
      <w:r>
        <w:rPr>
          <w:spacing w:val="-56"/>
          <w:sz w:val="24"/>
        </w:rPr>
        <w:t>r</w:t>
      </w:r>
      <w:r>
        <w:rPr>
          <w:spacing w:val="-91"/>
          <w:position w:val="1"/>
          <w:sz w:val="24"/>
        </w:rPr>
        <w:t>o</w:t>
      </w:r>
      <w:r>
        <w:rPr>
          <w:spacing w:val="-104"/>
          <w:position w:val="8"/>
          <w:sz w:val="24"/>
        </w:rPr>
        <w:t>e</w:t>
      </w:r>
      <w:r>
        <w:rPr>
          <w:spacing w:val="-119"/>
          <w:position w:val="1"/>
          <w:sz w:val="24"/>
        </w:rPr>
        <w:t>v</w:t>
      </w:r>
      <w:r>
        <w:rPr>
          <w:spacing w:val="-115"/>
          <w:sz w:val="24"/>
        </w:rPr>
        <w:t>g</w:t>
      </w:r>
      <w:r>
        <w:rPr>
          <w:spacing w:val="-50"/>
          <w:position w:val="1"/>
          <w:sz w:val="24"/>
        </w:rPr>
        <w:t>i</w:t>
      </w:r>
      <w:r>
        <w:rPr>
          <w:spacing w:val="-57"/>
          <w:sz w:val="24"/>
        </w:rPr>
        <w:t>e</w:t>
      </w:r>
      <w:r>
        <w:rPr>
          <w:spacing w:val="-53"/>
          <w:position w:val="1"/>
          <w:sz w:val="24"/>
        </w:rPr>
        <w:t>j</w:t>
      </w:r>
      <w:r>
        <w:rPr>
          <w:spacing w:val="-67"/>
          <w:position w:val="1"/>
          <w:sz w:val="24"/>
        </w:rPr>
        <w:t>r</w:t>
      </w:r>
      <w:r>
        <w:rPr>
          <w:spacing w:val="-172"/>
          <w:w w:val="99"/>
          <w:sz w:val="24"/>
        </w:rPr>
        <w:t>G</w:t>
      </w:r>
      <w:r>
        <w:rPr>
          <w:spacing w:val="-63"/>
          <w:w w:val="99"/>
          <w:position w:val="8"/>
          <w:sz w:val="24"/>
        </w:rPr>
        <w:t>r</w:t>
      </w:r>
      <w:r>
        <w:rPr>
          <w:spacing w:val="-103"/>
          <w:w w:val="99"/>
          <w:position w:val="1"/>
          <w:sz w:val="24"/>
        </w:rPr>
        <w:t>a</w:t>
      </w:r>
      <w:r>
        <w:rPr>
          <w:spacing w:val="-116"/>
          <w:w w:val="99"/>
          <w:sz w:val="24"/>
        </w:rPr>
        <w:t>y</w:t>
      </w:r>
      <w:r>
        <w:rPr>
          <w:spacing w:val="-82"/>
          <w:w w:val="99"/>
          <w:sz w:val="24"/>
        </w:rPr>
        <w:t>s</w:t>
      </w:r>
      <w:r>
        <w:rPr>
          <w:spacing w:val="-92"/>
          <w:position w:val="1"/>
          <w:sz w:val="24"/>
        </w:rPr>
        <w:t>k</w:t>
      </w:r>
      <w:r>
        <w:rPr>
          <w:spacing w:val="-107"/>
          <w:position w:val="1"/>
          <w:sz w:val="24"/>
        </w:rPr>
        <w:t>y</w:t>
      </w:r>
      <w:r>
        <w:rPr>
          <w:spacing w:val="-22"/>
          <w:position w:val="8"/>
          <w:sz w:val="24"/>
        </w:rPr>
        <w:t>.</w:t>
      </w:r>
      <w:r>
        <w:rPr>
          <w:spacing w:val="-117"/>
          <w:sz w:val="24"/>
        </w:rPr>
        <w:t>p</w:t>
      </w:r>
      <w:r>
        <w:rPr>
          <w:spacing w:val="-80"/>
          <w:w w:val="99"/>
          <w:position w:val="1"/>
          <w:sz w:val="24"/>
        </w:rPr>
        <w:t>s</w:t>
      </w:r>
      <w:r>
        <w:rPr>
          <w:spacing w:val="-37"/>
          <w:sz w:val="24"/>
        </w:rPr>
        <w:t>.</w:t>
      </w:r>
      <w:r>
        <w:rPr>
          <w:spacing w:val="-174"/>
          <w:position w:val="1"/>
          <w:sz w:val="24"/>
        </w:rPr>
        <w:t>m</w:t>
      </w:r>
      <w:r>
        <w:rPr>
          <w:spacing w:val="-107"/>
          <w:w w:val="99"/>
          <w:sz w:val="24"/>
        </w:rPr>
        <w:t>S</w:t>
      </w:r>
      <w:r>
        <w:rPr>
          <w:spacing w:val="-105"/>
          <w:position w:val="8"/>
          <w:sz w:val="24"/>
        </w:rPr>
        <w:t>2</w:t>
      </w:r>
      <w:r>
        <w:rPr>
          <w:spacing w:val="-84"/>
          <w:position w:val="1"/>
          <w:sz w:val="24"/>
        </w:rPr>
        <w:t>c</w:t>
      </w:r>
      <w:r>
        <w:rPr>
          <w:spacing w:val="-103"/>
          <w:sz w:val="24"/>
        </w:rPr>
        <w:t>o</w:t>
      </w:r>
      <w:r>
        <w:rPr>
          <w:spacing w:val="-70"/>
          <w:sz w:val="24"/>
        </w:rPr>
        <w:t>2</w:t>
      </w:r>
      <w:r>
        <w:rPr>
          <w:spacing w:val="-53"/>
          <w:sz w:val="24"/>
        </w:rPr>
        <w:t>,</w:t>
      </w:r>
      <w:r>
        <w:rPr>
          <w:spacing w:val="-103"/>
          <w:position w:val="1"/>
          <w:sz w:val="24"/>
        </w:rPr>
        <w:t>a</w:t>
      </w:r>
      <w:r>
        <w:rPr>
          <w:spacing w:val="-119"/>
          <w:position w:val="8"/>
          <w:sz w:val="24"/>
        </w:rPr>
        <w:t>0</w:t>
      </w:r>
      <w:r>
        <w:rPr>
          <w:spacing w:val="-96"/>
          <w:position w:val="1"/>
          <w:sz w:val="24"/>
        </w:rPr>
        <w:t>u</w:t>
      </w:r>
      <w:r>
        <w:rPr>
          <w:spacing w:val="-95"/>
          <w:position w:val="1"/>
          <w:sz w:val="24"/>
        </w:rPr>
        <w:t>a</w:t>
      </w:r>
      <w:r>
        <w:rPr>
          <w:spacing w:val="-103"/>
          <w:sz w:val="24"/>
        </w:rPr>
        <w:t>n</w:t>
      </w:r>
      <w:r>
        <w:rPr>
          <w:spacing w:val="-76"/>
          <w:sz w:val="24"/>
        </w:rPr>
        <w:t>0</w:t>
      </w:r>
      <w:r>
        <w:rPr>
          <w:spacing w:val="-72"/>
          <w:position w:val="1"/>
          <w:sz w:val="24"/>
        </w:rPr>
        <w:t>r</w:t>
      </w:r>
      <w:r>
        <w:rPr>
          <w:spacing w:val="-204"/>
          <w:w w:val="99"/>
          <w:sz w:val="24"/>
        </w:rPr>
        <w:t>M</w:t>
      </w:r>
      <w:r>
        <w:rPr>
          <w:spacing w:val="-119"/>
          <w:position w:val="8"/>
          <w:sz w:val="24"/>
        </w:rPr>
        <w:t>0</w:t>
      </w:r>
      <w:r>
        <w:rPr>
          <w:spacing w:val="-56"/>
          <w:position w:val="1"/>
          <w:sz w:val="24"/>
        </w:rPr>
        <w:t>l</w:t>
      </w:r>
      <w:r>
        <w:rPr>
          <w:spacing w:val="-95"/>
          <w:position w:val="1"/>
          <w:sz w:val="24"/>
        </w:rPr>
        <w:t>n</w:t>
      </w:r>
      <w:r>
        <w:rPr>
          <w:spacing w:val="-76"/>
          <w:w w:val="99"/>
          <w:sz w:val="24"/>
        </w:rPr>
        <w:t>s</w:t>
      </w:r>
      <w:r>
        <w:rPr>
          <w:spacing w:val="-116"/>
          <w:sz w:val="24"/>
        </w:rPr>
        <w:t>1</w:t>
      </w:r>
      <w:r>
        <w:rPr>
          <w:spacing w:val="-60"/>
          <w:position w:val="1"/>
          <w:sz w:val="24"/>
        </w:rPr>
        <w:t>t</w:t>
      </w:r>
      <w:r>
        <w:rPr>
          <w:spacing w:val="-56"/>
          <w:position w:val="1"/>
          <w:sz w:val="24"/>
        </w:rPr>
        <w:t>a</w:t>
      </w:r>
      <w:r>
        <w:rPr>
          <w:spacing w:val="-112"/>
          <w:position w:val="8"/>
          <w:sz w:val="24"/>
        </w:rPr>
        <w:t>5</w:t>
      </w:r>
      <w:r>
        <w:rPr>
          <w:spacing w:val="-116"/>
          <w:position w:val="1"/>
          <w:sz w:val="24"/>
        </w:rPr>
        <w:t>h</w:t>
      </w:r>
      <w:r>
        <w:rPr>
          <w:spacing w:val="-106"/>
          <w:sz w:val="24"/>
        </w:rPr>
        <w:t>e</w:t>
      </w:r>
      <w:r>
        <w:rPr>
          <w:spacing w:val="-50"/>
          <w:w w:val="99"/>
          <w:position w:val="1"/>
          <w:sz w:val="24"/>
        </w:rPr>
        <w:t>s</w:t>
      </w:r>
      <w:r>
        <w:rPr>
          <w:spacing w:val="-80"/>
          <w:w w:val="99"/>
          <w:position w:val="1"/>
          <w:sz w:val="24"/>
        </w:rPr>
        <w:t>r</w:t>
      </w:r>
      <w:r>
        <w:rPr>
          <w:spacing w:val="-94"/>
          <w:w w:val="99"/>
          <w:sz w:val="24"/>
        </w:rPr>
        <w:t>2</w:t>
      </w:r>
      <w:r>
        <w:rPr>
          <w:spacing w:val="-84"/>
          <w:w w:val="99"/>
          <w:sz w:val="24"/>
        </w:rPr>
        <w:t>o</w:t>
      </w:r>
      <w:r>
        <w:rPr>
          <w:spacing w:val="-59"/>
          <w:w w:val="99"/>
          <w:position w:val="8"/>
          <w:sz w:val="24"/>
        </w:rPr>
        <w:t>;</w:t>
      </w:r>
      <w:r>
        <w:rPr>
          <w:spacing w:val="-26"/>
          <w:w w:val="99"/>
          <w:position w:val="1"/>
          <w:sz w:val="24"/>
        </w:rPr>
        <w:t>r</w:t>
      </w:r>
      <w:r>
        <w:rPr>
          <w:spacing w:val="-64"/>
          <w:w w:val="99"/>
          <w:sz w:val="24"/>
        </w:rPr>
        <w:t>t</w:t>
      </w:r>
      <w:r>
        <w:rPr>
          <w:spacing w:val="-103"/>
          <w:w w:val="99"/>
          <w:position w:val="8"/>
          <w:sz w:val="24"/>
        </w:rPr>
        <w:t>7</w:t>
      </w:r>
      <w:r>
        <w:rPr>
          <w:spacing w:val="-77"/>
          <w:w w:val="99"/>
          <w:sz w:val="24"/>
        </w:rPr>
        <w:t>r</w:t>
      </w:r>
      <w:r>
        <w:rPr>
          <w:spacing w:val="-67"/>
          <w:w w:val="99"/>
          <w:position w:val="1"/>
          <w:sz w:val="24"/>
        </w:rPr>
        <w:t>i</w:t>
      </w:r>
      <w:r>
        <w:rPr>
          <w:spacing w:val="-136"/>
          <w:w w:val="99"/>
          <w:position w:val="1"/>
          <w:sz w:val="24"/>
        </w:rPr>
        <w:t>B</w:t>
      </w:r>
      <w:r>
        <w:rPr>
          <w:spacing w:val="-75"/>
          <w:w w:val="99"/>
          <w:position w:val="1"/>
          <w:sz w:val="24"/>
        </w:rPr>
        <w:t>r</w:t>
      </w:r>
      <w:r>
        <w:rPr>
          <w:spacing w:val="-161"/>
          <w:w w:val="99"/>
          <w:sz w:val="24"/>
        </w:rPr>
        <w:t>N</w:t>
      </w:r>
      <w:r>
        <w:rPr>
          <w:spacing w:val="-96"/>
          <w:sz w:val="24"/>
        </w:rPr>
        <w:t>o</w:t>
      </w:r>
      <w:r>
        <w:rPr>
          <w:spacing w:val="-57"/>
          <w:position w:val="1"/>
          <w:sz w:val="24"/>
        </w:rPr>
        <w:t>t</w:t>
      </w:r>
      <w:r>
        <w:rPr>
          <w:spacing w:val="-84"/>
          <w:sz w:val="24"/>
        </w:rPr>
        <w:t>a</w:t>
      </w:r>
      <w:r>
        <w:rPr>
          <w:spacing w:val="-75"/>
          <w:position w:val="8"/>
          <w:sz w:val="24"/>
        </w:rPr>
        <w:t>(</w:t>
      </w:r>
      <w:r>
        <w:rPr>
          <w:spacing w:val="-38"/>
          <w:position w:val="1"/>
          <w:sz w:val="24"/>
        </w:rPr>
        <w:t>i</w:t>
      </w:r>
      <w:r>
        <w:rPr>
          <w:spacing w:val="-43"/>
          <w:position w:val="1"/>
          <w:sz w:val="24"/>
        </w:rPr>
        <w:t>i</w:t>
      </w:r>
      <w:r>
        <w:rPr>
          <w:spacing w:val="-161"/>
          <w:w w:val="99"/>
          <w:position w:val="1"/>
          <w:sz w:val="24"/>
        </w:rPr>
        <w:t>A</w:t>
      </w:r>
      <w:r>
        <w:rPr>
          <w:spacing w:val="-86"/>
          <w:w w:val="99"/>
          <w:position w:val="1"/>
          <w:sz w:val="24"/>
        </w:rPr>
        <w:t>s</w:t>
      </w:r>
      <w:r>
        <w:rPr>
          <w:spacing w:val="-118"/>
          <w:position w:val="8"/>
          <w:sz w:val="24"/>
        </w:rPr>
        <w:t>3</w:t>
      </w:r>
      <w:r>
        <w:rPr>
          <w:spacing w:val="-88"/>
          <w:sz w:val="24"/>
        </w:rPr>
        <w:t>e</w:t>
      </w:r>
      <w:r>
        <w:rPr>
          <w:spacing w:val="-91"/>
          <w:w w:val="99"/>
          <w:position w:val="1"/>
          <w:sz w:val="24"/>
        </w:rPr>
        <w:t>s</w:t>
      </w:r>
      <w:r>
        <w:rPr>
          <w:spacing w:val="-98"/>
          <w:sz w:val="24"/>
        </w:rPr>
        <w:t>o</w:t>
      </w:r>
      <w:r>
        <w:rPr>
          <w:spacing w:val="-28"/>
          <w:sz w:val="24"/>
        </w:rPr>
        <w:t>t</w:t>
      </w:r>
      <w:r>
        <w:rPr>
          <w:spacing w:val="-98"/>
          <w:position w:val="1"/>
          <w:sz w:val="24"/>
        </w:rPr>
        <w:t>k</w:t>
      </w:r>
      <w:r>
        <w:rPr>
          <w:spacing w:val="-89"/>
          <w:w w:val="99"/>
          <w:sz w:val="24"/>
        </w:rPr>
        <w:t>s</w:t>
      </w:r>
      <w:r>
        <w:rPr>
          <w:spacing w:val="-118"/>
          <w:sz w:val="24"/>
        </w:rPr>
        <w:t>h</w:t>
      </w:r>
      <w:r>
        <w:rPr>
          <w:spacing w:val="-56"/>
          <w:position w:val="1"/>
          <w:sz w:val="24"/>
        </w:rPr>
        <w:t>.</w:t>
      </w:r>
      <w:r>
        <w:rPr>
          <w:spacing w:val="-56"/>
          <w:position w:val="8"/>
          <w:sz w:val="24"/>
        </w:rPr>
        <w:t>)</w:t>
      </w:r>
      <w:r>
        <w:rPr>
          <w:spacing w:val="-112"/>
          <w:sz w:val="24"/>
        </w:rPr>
        <w:t>v</w:t>
      </w:r>
      <w:r>
        <w:rPr>
          <w:spacing w:val="-114"/>
          <w:position w:val="1"/>
          <w:sz w:val="24"/>
        </w:rPr>
        <w:t>C</w:t>
      </w:r>
      <w:r>
        <w:rPr>
          <w:spacing w:val="-33"/>
          <w:position w:val="8"/>
          <w:sz w:val="24"/>
        </w:rPr>
        <w:t>:</w:t>
      </w:r>
      <w:r>
        <w:rPr>
          <w:spacing w:val="-76"/>
          <w:sz w:val="24"/>
        </w:rPr>
        <w:t>e</w:t>
      </w:r>
      <w:r>
        <w:rPr>
          <w:spacing w:val="-92"/>
          <w:w w:val="99"/>
          <w:sz w:val="24"/>
        </w:rPr>
        <w:t>J</w:t>
      </w:r>
      <w:r>
        <w:rPr>
          <w:spacing w:val="-125"/>
          <w:position w:val="8"/>
          <w:sz w:val="24"/>
        </w:rPr>
        <w:t>R</w:t>
      </w:r>
      <w:r>
        <w:rPr>
          <w:spacing w:val="-176"/>
          <w:position w:val="1"/>
          <w:sz w:val="24"/>
        </w:rPr>
        <w:t>m</w:t>
      </w:r>
      <w:r>
        <w:rPr>
          <w:spacing w:val="-174"/>
          <w:w w:val="99"/>
          <w:position w:val="1"/>
          <w:sz w:val="24"/>
        </w:rPr>
        <w:t>A</w:t>
      </w:r>
      <w:r>
        <w:rPr>
          <w:spacing w:val="-49"/>
          <w:position w:val="1"/>
          <w:sz w:val="24"/>
        </w:rPr>
        <w:t>,</w:t>
      </w:r>
      <w:r>
        <w:rPr>
          <w:spacing w:val="-85"/>
          <w:sz w:val="24"/>
        </w:rPr>
        <w:t>1</w:t>
      </w:r>
      <w:r>
        <w:rPr>
          <w:spacing w:val="-119"/>
          <w:sz w:val="24"/>
        </w:rPr>
        <w:t>C</w:t>
      </w:r>
      <w:r>
        <w:rPr>
          <w:spacing w:val="-95"/>
          <w:sz w:val="24"/>
        </w:rPr>
        <w:t>p</w:t>
      </w:r>
      <w:r>
        <w:rPr>
          <w:spacing w:val="-103"/>
          <w:position w:val="8"/>
          <w:sz w:val="24"/>
        </w:rPr>
        <w:t>4</w:t>
      </w:r>
      <w:r>
        <w:rPr>
          <w:spacing w:val="-38"/>
          <w:sz w:val="24"/>
        </w:rPr>
        <w:t>;</w:t>
      </w:r>
      <w:r>
        <w:rPr>
          <w:spacing w:val="-161"/>
          <w:w w:val="99"/>
          <w:position w:val="1"/>
          <w:sz w:val="24"/>
        </w:rPr>
        <w:t>N</w:t>
      </w:r>
      <w:r>
        <w:rPr>
          <w:spacing w:val="-118"/>
          <w:position w:val="1"/>
          <w:sz w:val="24"/>
        </w:rPr>
        <w:t>n</w:t>
      </w:r>
      <w:r>
        <w:rPr>
          <w:spacing w:val="-84"/>
          <w:position w:val="1"/>
          <w:sz w:val="24"/>
        </w:rPr>
        <w:t>a</w:t>
      </w:r>
      <w:r>
        <w:rPr>
          <w:spacing w:val="-111"/>
          <w:sz w:val="24"/>
        </w:rPr>
        <w:t>5</w:t>
      </w:r>
      <w:r>
        <w:rPr>
          <w:spacing w:val="-159"/>
          <w:sz w:val="24"/>
        </w:rPr>
        <w:t>B</w:t>
      </w:r>
      <w:r>
        <w:rPr>
          <w:spacing w:val="-81"/>
          <w:sz w:val="24"/>
        </w:rPr>
        <w:t>a</w:t>
      </w:r>
      <w:r>
        <w:rPr>
          <w:spacing w:val="-40"/>
          <w:position w:val="8"/>
          <w:sz w:val="24"/>
        </w:rPr>
        <w:t>3</w:t>
      </w:r>
      <w:r>
        <w:rPr>
          <w:spacing w:val="-116"/>
          <w:sz w:val="24"/>
        </w:rPr>
        <w:t>n</w:t>
      </w:r>
      <w:r>
        <w:rPr>
          <w:spacing w:val="-104"/>
          <w:sz w:val="24"/>
        </w:rPr>
        <w:t>1</w:t>
      </w:r>
      <w:r>
        <w:rPr>
          <w:spacing w:val="-47"/>
          <w:position w:val="1"/>
          <w:sz w:val="24"/>
        </w:rPr>
        <w:t>i</w:t>
      </w:r>
      <w:r>
        <w:rPr>
          <w:spacing w:val="-109"/>
          <w:position w:val="8"/>
          <w:sz w:val="24"/>
        </w:rPr>
        <w:t>9</w:t>
      </w:r>
      <w:r>
        <w:rPr>
          <w:spacing w:val="-25"/>
          <w:sz w:val="24"/>
        </w:rPr>
        <w:t>,</w:t>
      </w:r>
      <w:r>
        <w:rPr>
          <w:spacing w:val="-104"/>
          <w:position w:val="1"/>
          <w:sz w:val="24"/>
        </w:rPr>
        <w:t>c</w:t>
      </w:r>
      <w:r>
        <w:rPr>
          <w:spacing w:val="-77"/>
          <w:position w:val="1"/>
          <w:sz w:val="24"/>
        </w:rPr>
        <w:t>a</w:t>
      </w:r>
      <w:r>
        <w:rPr>
          <w:spacing w:val="-116"/>
          <w:sz w:val="24"/>
        </w:rPr>
        <w:t>d</w:t>
      </w:r>
      <w:r>
        <w:rPr>
          <w:spacing w:val="-43"/>
          <w:sz w:val="24"/>
        </w:rPr>
        <w:t>(</w:t>
      </w:r>
      <w:r>
        <w:rPr>
          <w:spacing w:val="-68"/>
          <w:position w:val="8"/>
          <w:sz w:val="24"/>
        </w:rPr>
        <w:t>-</w:t>
      </w:r>
      <w:r>
        <w:rPr>
          <w:spacing w:val="-155"/>
          <w:w w:val="99"/>
          <w:sz w:val="24"/>
        </w:rPr>
        <w:t>G</w:t>
      </w:r>
      <w:r>
        <w:rPr>
          <w:spacing w:val="-116"/>
          <w:position w:val="1"/>
          <w:sz w:val="24"/>
        </w:rPr>
        <w:t>o</w:t>
      </w:r>
      <w:r>
        <w:rPr>
          <w:spacing w:val="-112"/>
          <w:position w:val="1"/>
          <w:sz w:val="24"/>
        </w:rPr>
        <w:t>g</w:t>
      </w:r>
      <w:r>
        <w:rPr>
          <w:spacing w:val="-93"/>
          <w:sz w:val="24"/>
        </w:rPr>
        <w:t>1</w:t>
      </w:r>
      <w:r>
        <w:rPr>
          <w:spacing w:val="-151"/>
          <w:position w:val="1"/>
          <w:sz w:val="24"/>
        </w:rPr>
        <w:t>R</w:t>
      </w:r>
      <w:r>
        <w:rPr>
          <w:spacing w:val="-106"/>
          <w:sz w:val="24"/>
        </w:rPr>
        <w:t>e</w:t>
      </w:r>
      <w:r>
        <w:rPr>
          <w:spacing w:val="-51"/>
          <w:position w:val="8"/>
          <w:sz w:val="24"/>
        </w:rPr>
        <w:t>4</w:t>
      </w:r>
      <w:r>
        <w:rPr>
          <w:spacing w:val="-65"/>
          <w:position w:val="1"/>
          <w:sz w:val="24"/>
        </w:rPr>
        <w:t>l</w:t>
      </w:r>
      <w:r>
        <w:rPr>
          <w:spacing w:val="-97"/>
          <w:position w:val="1"/>
          <w:sz w:val="24"/>
        </w:rPr>
        <w:t>e</w:t>
      </w:r>
      <w:r>
        <w:rPr>
          <w:spacing w:val="-99"/>
          <w:sz w:val="24"/>
        </w:rPr>
        <w:t>1</w:t>
      </w:r>
      <w:r>
        <w:rPr>
          <w:spacing w:val="-120"/>
          <w:sz w:val="24"/>
        </w:rPr>
        <w:t>o</w:t>
      </w:r>
      <w:r>
        <w:rPr>
          <w:spacing w:val="-172"/>
          <w:sz w:val="24"/>
        </w:rPr>
        <w:t>m</w:t>
      </w:r>
      <w:r>
        <w:rPr>
          <w:spacing w:val="-104"/>
          <w:position w:val="8"/>
          <w:sz w:val="24"/>
        </w:rPr>
        <w:t>4</w:t>
      </w:r>
      <w:r>
        <w:rPr>
          <w:spacing w:val="-93"/>
          <w:position w:val="1"/>
          <w:sz w:val="24"/>
        </w:rPr>
        <w:t>ah</w:t>
      </w:r>
      <w:r>
        <w:rPr>
          <w:spacing w:val="-162"/>
          <w:position w:val="1"/>
          <w:sz w:val="24"/>
        </w:rPr>
        <w:t>m</w:t>
      </w:r>
      <w:r>
        <w:rPr>
          <w:spacing w:val="-59"/>
          <w:sz w:val="24"/>
        </w:rPr>
        <w:t>)</w:t>
      </w:r>
      <w:r>
        <w:rPr>
          <w:spacing w:val="-51"/>
          <w:sz w:val="24"/>
        </w:rPr>
        <w:t>l</w:t>
      </w:r>
      <w:r>
        <w:rPr>
          <w:spacing w:val="-30"/>
          <w:position w:val="8"/>
          <w:sz w:val="24"/>
        </w:rPr>
        <w:t>.</w:t>
      </w:r>
      <w:r>
        <w:rPr>
          <w:spacing w:val="-95"/>
          <w:position w:val="1"/>
          <w:sz w:val="24"/>
        </w:rPr>
        <w:t>e</w:t>
      </w:r>
      <w:r>
        <w:rPr>
          <w:spacing w:val="-59"/>
          <w:sz w:val="24"/>
        </w:rPr>
        <w:t>:</w:t>
      </w:r>
      <w:r>
        <w:rPr>
          <w:spacing w:val="-120"/>
          <w:sz w:val="24"/>
        </w:rPr>
        <w:t>d</w:t>
      </w:r>
      <w:r>
        <w:rPr>
          <w:spacing w:val="-16"/>
          <w:sz w:val="24"/>
        </w:rPr>
        <w:t>i</w:t>
      </w:r>
      <w:r>
        <w:rPr>
          <w:spacing w:val="-128"/>
          <w:w w:val="99"/>
          <w:position w:val="1"/>
          <w:sz w:val="24"/>
        </w:rPr>
        <w:t>P</w:t>
      </w:r>
      <w:r>
        <w:rPr>
          <w:spacing w:val="-111"/>
          <w:sz w:val="24"/>
        </w:rPr>
        <w:t>2</w:t>
      </w:r>
      <w:r>
        <w:rPr>
          <w:spacing w:val="-99"/>
          <w:sz w:val="24"/>
        </w:rPr>
        <w:t>c</w:t>
      </w:r>
      <w:r>
        <w:rPr>
          <w:spacing w:val="-98"/>
          <w:position w:val="1"/>
          <w:sz w:val="24"/>
        </w:rPr>
        <w:t>e</w:t>
      </w:r>
      <w:r>
        <w:rPr>
          <w:spacing w:val="-86"/>
          <w:position w:val="1"/>
          <w:sz w:val="24"/>
        </w:rPr>
        <w:t>u</w:t>
      </w:r>
      <w:r>
        <w:rPr>
          <w:spacing w:val="-36"/>
          <w:w w:val="99"/>
          <w:sz w:val="24"/>
        </w:rPr>
        <w:t>s</w:t>
      </w:r>
      <w:r>
        <w:rPr>
          <w:spacing w:val="-117"/>
          <w:sz w:val="24"/>
        </w:rPr>
        <w:t>0</w:t>
      </w:r>
      <w:r>
        <w:rPr>
          <w:spacing w:val="-116"/>
          <w:position w:val="1"/>
          <w:sz w:val="24"/>
        </w:rPr>
        <w:t>n</w:t>
      </w:r>
      <w:r>
        <w:rPr>
          <w:spacing w:val="-41"/>
          <w:position w:val="1"/>
          <w:sz w:val="24"/>
        </w:rPr>
        <w:t>,</w:t>
      </w:r>
      <w:r>
        <w:rPr>
          <w:spacing w:val="-179"/>
          <w:position w:val="1"/>
          <w:sz w:val="24"/>
        </w:rPr>
        <w:t>m</w:t>
      </w:r>
      <w:r>
        <w:rPr>
          <w:spacing w:val="-45"/>
          <w:sz w:val="24"/>
        </w:rPr>
        <w:t>t</w:t>
      </w:r>
      <w:r>
        <w:rPr>
          <w:spacing w:val="-22"/>
          <w:sz w:val="24"/>
        </w:rPr>
        <w:t>i</w:t>
      </w:r>
      <w:r>
        <w:rPr>
          <w:spacing w:val="-89"/>
          <w:sz w:val="24"/>
        </w:rPr>
        <w:t>e</w:t>
      </w:r>
      <w:r>
        <w:rPr>
          <w:spacing w:val="-117"/>
          <w:sz w:val="24"/>
        </w:rPr>
        <w:t>9</w:t>
      </w:r>
      <w:r>
        <w:rPr>
          <w:spacing w:val="-66"/>
          <w:position w:val="1"/>
          <w:sz w:val="24"/>
        </w:rPr>
        <w:t>t</w:t>
      </w:r>
      <w:r>
        <w:rPr>
          <w:spacing w:val="-76"/>
          <w:sz w:val="24"/>
        </w:rPr>
        <w:t>n</w:t>
      </w:r>
      <w:r>
        <w:rPr>
          <w:spacing w:val="-134"/>
          <w:w w:val="99"/>
          <w:position w:val="1"/>
          <w:sz w:val="24"/>
        </w:rPr>
        <w:t>K</w:t>
      </w:r>
      <w:r>
        <w:rPr>
          <w:spacing w:val="-35"/>
          <w:sz w:val="24"/>
        </w:rPr>
        <w:t>i</w:t>
      </w:r>
      <w:r>
        <w:rPr>
          <w:spacing w:val="-116"/>
          <w:sz w:val="24"/>
        </w:rPr>
        <w:t>1</w:t>
      </w:r>
      <w:r>
        <w:rPr>
          <w:spacing w:val="-47"/>
          <w:sz w:val="24"/>
        </w:rPr>
        <w:t>f</w:t>
      </w:r>
      <w:r>
        <w:rPr>
          <w:spacing w:val="-111"/>
          <w:sz w:val="24"/>
        </w:rPr>
        <w:t>n</w:t>
      </w:r>
      <w:r>
        <w:rPr>
          <w:spacing w:val="-29"/>
          <w:position w:val="1"/>
          <w:sz w:val="24"/>
        </w:rPr>
        <w:t>i</w:t>
      </w:r>
      <w:r>
        <w:rPr>
          <w:spacing w:val="-50"/>
          <w:sz w:val="24"/>
        </w:rPr>
        <w:t>l</w:t>
      </w:r>
      <w:r>
        <w:rPr>
          <w:spacing w:val="-116"/>
          <w:position w:val="1"/>
          <w:sz w:val="24"/>
        </w:rPr>
        <w:t>v</w:t>
      </w:r>
      <w:r>
        <w:rPr>
          <w:spacing w:val="-167"/>
          <w:w w:val="99"/>
          <w:position w:val="1"/>
          <w:sz w:val="24"/>
        </w:rPr>
        <w:t>D</w:t>
      </w:r>
      <w:r>
        <w:rPr>
          <w:spacing w:val="-112"/>
          <w:position w:val="1"/>
          <w:sz w:val="24"/>
        </w:rPr>
        <w:t>n</w:t>
      </w:r>
      <w:r>
        <w:rPr>
          <w:spacing w:val="-91"/>
          <w:sz w:val="24"/>
        </w:rPr>
        <w:t>–</w:t>
      </w:r>
      <w:r>
        <w:rPr>
          <w:spacing w:val="-106"/>
          <w:sz w:val="24"/>
        </w:rPr>
        <w:t>u</w:t>
      </w:r>
      <w:r>
        <w:rPr>
          <w:spacing w:val="-24"/>
          <w:sz w:val="24"/>
        </w:rPr>
        <w:t>-</w:t>
      </w:r>
      <w:r>
        <w:rPr>
          <w:spacing w:val="-47"/>
          <w:position w:val="1"/>
          <w:sz w:val="24"/>
        </w:rPr>
        <w:t>i</w:t>
      </w:r>
      <w:r>
        <w:rPr>
          <w:spacing w:val="-118"/>
          <w:sz w:val="24"/>
        </w:rPr>
        <w:t>8</w:t>
      </w:r>
      <w:r>
        <w:rPr>
          <w:spacing w:val="-107"/>
          <w:w w:val="99"/>
          <w:sz w:val="24"/>
        </w:rPr>
        <w:t>S</w:t>
      </w:r>
      <w:r>
        <w:rPr>
          <w:spacing w:val="-99"/>
          <w:sz w:val="24"/>
        </w:rPr>
        <w:t>e</w:t>
      </w:r>
      <w:r>
        <w:rPr>
          <w:spacing w:val="-17"/>
          <w:position w:val="1"/>
          <w:sz w:val="24"/>
        </w:rPr>
        <w:t>i</w:t>
      </w:r>
      <w:r>
        <w:rPr>
          <w:spacing w:val="-104"/>
          <w:position w:val="1"/>
          <w:sz w:val="24"/>
        </w:rPr>
        <w:t>p</w:t>
      </w:r>
      <w:r>
        <w:rPr>
          <w:spacing w:val="-78"/>
          <w:w w:val="99"/>
          <w:position w:val="1"/>
          <w:sz w:val="24"/>
        </w:rPr>
        <w:t>s</w:t>
      </w:r>
      <w:r>
        <w:rPr>
          <w:spacing w:val="-46"/>
          <w:sz w:val="24"/>
        </w:rPr>
        <w:t>.</w:t>
      </w:r>
      <w:r>
        <w:rPr>
          <w:spacing w:val="-119"/>
          <w:sz w:val="24"/>
        </w:rPr>
        <w:t>n</w:t>
      </w:r>
      <w:r>
        <w:rPr>
          <w:spacing w:val="-91"/>
          <w:sz w:val="24"/>
        </w:rPr>
        <w:t>c</w:t>
      </w:r>
      <w:r>
        <w:rPr>
          <w:spacing w:val="-75"/>
          <w:position w:val="1"/>
          <w:sz w:val="24"/>
        </w:rPr>
        <w:t>n</w:t>
      </w:r>
      <w:r>
        <w:rPr>
          <w:spacing w:val="-50"/>
          <w:position w:val="1"/>
          <w:sz w:val="24"/>
        </w:rPr>
        <w:t>.</w:t>
      </w:r>
      <w:r>
        <w:rPr>
          <w:spacing w:val="-72"/>
          <w:position w:val="1"/>
          <w:sz w:val="24"/>
        </w:rPr>
        <w:t>a</w:t>
      </w:r>
      <w:r>
        <w:rPr>
          <w:spacing w:val="-108"/>
          <w:sz w:val="24"/>
        </w:rPr>
        <w:t>h</w:t>
      </w:r>
      <w:r>
        <w:rPr>
          <w:spacing w:val="-49"/>
          <w:sz w:val="24"/>
        </w:rPr>
        <w:t>z</w:t>
      </w:r>
      <w:r>
        <w:rPr>
          <w:spacing w:val="-18"/>
          <w:position w:val="1"/>
          <w:sz w:val="24"/>
        </w:rPr>
        <w:t>t</w:t>
      </w:r>
      <w:r>
        <w:rPr>
          <w:spacing w:val="-106"/>
          <w:sz w:val="24"/>
        </w:rPr>
        <w:t>a</w:t>
      </w:r>
      <w:r>
        <w:rPr>
          <w:spacing w:val="-97"/>
          <w:sz w:val="24"/>
        </w:rPr>
        <w:t>a</w:t>
      </w:r>
      <w:r>
        <w:rPr>
          <w:spacing w:val="-140"/>
          <w:position w:val="1"/>
          <w:sz w:val="24"/>
        </w:rPr>
        <w:t>T</w:t>
      </w:r>
      <w:r>
        <w:rPr>
          <w:spacing w:val="-57"/>
          <w:position w:val="1"/>
          <w:sz w:val="24"/>
        </w:rPr>
        <w:t>i</w:t>
      </w:r>
      <w:r>
        <w:rPr>
          <w:spacing w:val="-63"/>
          <w:position w:val="1"/>
          <w:sz w:val="24"/>
        </w:rPr>
        <w:t>2</w:t>
      </w:r>
      <w:r>
        <w:rPr>
          <w:spacing w:val="-87"/>
          <w:position w:val="1"/>
          <w:sz w:val="24"/>
        </w:rPr>
        <w:t>e</w:t>
      </w:r>
      <w:r>
        <w:rPr>
          <w:spacing w:val="-25"/>
          <w:sz w:val="24"/>
        </w:rPr>
        <w:t>i</w:t>
      </w:r>
      <w:r>
        <w:rPr>
          <w:spacing w:val="-111"/>
          <w:position w:val="1"/>
          <w:sz w:val="24"/>
        </w:rPr>
        <w:t>0</w:t>
      </w:r>
      <w:r>
        <w:rPr>
          <w:spacing w:val="-163"/>
          <w:w w:val="99"/>
          <w:position w:val="1"/>
          <w:sz w:val="24"/>
        </w:rPr>
        <w:t>K</w:t>
      </w:r>
      <w:r>
        <w:rPr>
          <w:spacing w:val="-170"/>
          <w:w w:val="99"/>
          <w:sz w:val="24"/>
        </w:rPr>
        <w:t>A</w:t>
      </w:r>
      <w:r>
        <w:rPr>
          <w:spacing w:val="-25"/>
          <w:sz w:val="24"/>
        </w:rPr>
        <w:t>n</w:t>
      </w:r>
      <w:r>
        <w:rPr>
          <w:spacing w:val="-96"/>
          <w:position w:val="1"/>
          <w:sz w:val="24"/>
        </w:rPr>
        <w:t>1</w:t>
      </w:r>
      <w:r>
        <w:rPr>
          <w:spacing w:val="-102"/>
          <w:sz w:val="24"/>
        </w:rPr>
        <w:t>b</w:t>
      </w:r>
      <w:r>
        <w:rPr>
          <w:spacing w:val="-48"/>
          <w:position w:val="1"/>
          <w:sz w:val="24"/>
        </w:rPr>
        <w:t>t</w:t>
      </w:r>
      <w:r>
        <w:rPr>
          <w:spacing w:val="-13"/>
          <w:position w:val="1"/>
          <w:sz w:val="24"/>
        </w:rPr>
        <w:t>,</w:t>
      </w:r>
      <w:r>
        <w:rPr>
          <w:spacing w:val="-84"/>
          <w:w w:val="99"/>
          <w:position w:val="1"/>
          <w:sz w:val="24"/>
        </w:rPr>
        <w:t>s</w:t>
      </w:r>
      <w:r>
        <w:rPr>
          <w:spacing w:val="-105"/>
          <w:position w:val="1"/>
          <w:sz w:val="24"/>
        </w:rPr>
        <w:t>0</w:t>
      </w:r>
      <w:r>
        <w:rPr>
          <w:spacing w:val="-165"/>
          <w:w w:val="99"/>
          <w:sz w:val="24"/>
        </w:rPr>
        <w:t>H</w:t>
      </w:r>
      <w:r>
        <w:rPr>
          <w:spacing w:val="-29"/>
          <w:sz w:val="24"/>
        </w:rPr>
        <w:t>e</w:t>
      </w:r>
      <w:r>
        <w:rPr>
          <w:spacing w:val="-78"/>
          <w:position w:val="1"/>
          <w:sz w:val="24"/>
        </w:rPr>
        <w:t>e</w:t>
      </w:r>
      <w:r>
        <w:rPr>
          <w:spacing w:val="-32"/>
          <w:sz w:val="24"/>
        </w:rPr>
        <w:t>r</w:t>
      </w:r>
      <w:r>
        <w:rPr>
          <w:spacing w:val="-164"/>
          <w:w w:val="99"/>
          <w:position w:val="1"/>
          <w:sz w:val="24"/>
        </w:rPr>
        <w:t>w</w:t>
      </w:r>
      <w:r>
        <w:rPr>
          <w:spacing w:val="-101"/>
          <w:sz w:val="24"/>
        </w:rPr>
        <w:t>1</w:t>
      </w:r>
      <w:r>
        <w:rPr>
          <w:spacing w:val="-63"/>
          <w:position w:val="1"/>
          <w:sz w:val="24"/>
        </w:rPr>
        <w:t>t</w:t>
      </w:r>
      <w:r>
        <w:rPr>
          <w:spacing w:val="-81"/>
          <w:sz w:val="24"/>
        </w:rPr>
        <w:t>g</w:t>
      </w:r>
      <w:r>
        <w:rPr>
          <w:spacing w:val="-75"/>
          <w:w w:val="99"/>
          <w:position w:val="1"/>
          <w:sz w:val="24"/>
        </w:rPr>
        <w:t>F</w:t>
      </w:r>
      <w:r>
        <w:rPr>
          <w:spacing w:val="-132"/>
          <w:w w:val="99"/>
          <w:sz w:val="24"/>
        </w:rPr>
        <w:t>N</w:t>
      </w:r>
      <w:r>
        <w:rPr>
          <w:spacing w:val="-44"/>
          <w:position w:val="1"/>
          <w:sz w:val="24"/>
        </w:rPr>
        <w:t>i</w:t>
      </w:r>
      <w:r>
        <w:rPr>
          <w:spacing w:val="-100"/>
          <w:position w:val="1"/>
          <w:sz w:val="24"/>
        </w:rPr>
        <w:t>a</w:t>
      </w:r>
      <w:r>
        <w:rPr>
          <w:spacing w:val="-96"/>
          <w:position w:val="1"/>
          <w:sz w:val="24"/>
        </w:rPr>
        <w:t>e</w:t>
      </w:r>
      <w:r>
        <w:rPr>
          <w:spacing w:val="-135"/>
          <w:sz w:val="24"/>
        </w:rPr>
        <w:t>C</w:t>
      </w:r>
      <w:r>
        <w:rPr>
          <w:spacing w:val="-5"/>
          <w:position w:val="1"/>
          <w:sz w:val="24"/>
        </w:rPr>
        <w:t>t</w:t>
      </w:r>
      <w:r>
        <w:rPr>
          <w:spacing w:val="-65"/>
          <w:position w:val="1"/>
          <w:sz w:val="24"/>
        </w:rPr>
        <w:t>l</w:t>
      </w:r>
      <w:r>
        <w:rPr>
          <w:spacing w:val="-118"/>
          <w:sz w:val="24"/>
        </w:rPr>
        <w:t>1</w:t>
      </w:r>
      <w:r>
        <w:rPr>
          <w:spacing w:val="-118"/>
          <w:position w:val="1"/>
          <w:sz w:val="24"/>
        </w:rPr>
        <w:t>h</w:t>
      </w:r>
      <w:r>
        <w:rPr>
          <w:spacing w:val="-61"/>
          <w:position w:val="1"/>
          <w:sz w:val="24"/>
        </w:rPr>
        <w:t>b</w:t>
      </w:r>
      <w:r>
        <w:rPr>
          <w:spacing w:val="-54"/>
          <w:position w:val="1"/>
          <w:sz w:val="24"/>
        </w:rPr>
        <w:t>.</w:t>
      </w:r>
      <w:r>
        <w:rPr>
          <w:sz w:val="24"/>
        </w:rPr>
        <w:t>,</w:t>
      </w:r>
    </w:p>
    <w:p w:rsidR="00825E87" w:rsidRDefault="00CB188B">
      <w:pPr>
        <w:pStyle w:val="PargrafodaLista"/>
        <w:numPr>
          <w:ilvl w:val="0"/>
          <w:numId w:val="5"/>
        </w:numPr>
        <w:tabs>
          <w:tab w:val="left" w:pos="929"/>
        </w:tabs>
        <w:spacing w:line="221" w:lineRule="exact"/>
        <w:ind w:left="928" w:hanging="708"/>
        <w:jc w:val="both"/>
        <w:rPr>
          <w:sz w:val="24"/>
        </w:rPr>
      </w:pPr>
      <w:r>
        <w:rPr>
          <w:sz w:val="24"/>
        </w:rPr>
        <w:t>Viegas Brenol C, Henrique da Mota LM, Afonso Cruz B, Salviato Pileggi G, Alves</w:t>
      </w:r>
      <w:r>
        <w:rPr>
          <w:spacing w:val="1"/>
          <w:sz w:val="24"/>
        </w:rPr>
        <w:t xml:space="preserve"> </w:t>
      </w:r>
      <w:r>
        <w:rPr>
          <w:sz w:val="24"/>
        </w:rPr>
        <w:t>Pereira</w:t>
      </w:r>
    </w:p>
    <w:p w:rsidR="00825E87" w:rsidRDefault="00CB188B">
      <w:pPr>
        <w:pStyle w:val="Corpodetexto"/>
        <w:spacing w:before="2" w:line="235" w:lineRule="auto"/>
        <w:ind w:right="405"/>
        <w:jc w:val="both"/>
      </w:pPr>
      <w:r>
        <w:t>I, Stange Rezende L, et al. Consenso 2012 da Sociedade Brasileira de Reumatologia sobre vacinação em pacientes com artrite reumatoide. Rev Bras Reumatol. 2013 Jan;53(1):</w:t>
      </w:r>
      <w:r>
        <w:t>13–23.</w:t>
      </w:r>
    </w:p>
    <w:p w:rsidR="00825E87" w:rsidRDefault="00CB188B">
      <w:pPr>
        <w:pStyle w:val="PargrafodaLista"/>
        <w:numPr>
          <w:ilvl w:val="0"/>
          <w:numId w:val="5"/>
        </w:numPr>
        <w:tabs>
          <w:tab w:val="left" w:pos="941"/>
        </w:tabs>
        <w:spacing w:before="11" w:line="237" w:lineRule="auto"/>
        <w:ind w:right="377" w:firstLine="0"/>
        <w:jc w:val="both"/>
        <w:rPr>
          <w:sz w:val="24"/>
        </w:rPr>
      </w:pPr>
      <w:r>
        <w:rPr>
          <w:sz w:val="24"/>
        </w:rPr>
        <w:t>Poddubnyy D, Rudwaleit M, Haibel H, Listing J, Märker-Hermann E, Zeidler H, et al. Effect of non-steroidal anti-inflammatory drugs on radiographic spinal progression in patients with axial spondyloarthritis: results from the German Spondyloarthritis</w:t>
      </w:r>
      <w:r>
        <w:rPr>
          <w:sz w:val="24"/>
        </w:rPr>
        <w:t xml:space="preserve"> Inception Cohort. Ann Rheum Dis. 2012</w:t>
      </w:r>
      <w:r>
        <w:rPr>
          <w:spacing w:val="-1"/>
          <w:sz w:val="24"/>
        </w:rPr>
        <w:t xml:space="preserve"> </w:t>
      </w:r>
      <w:r>
        <w:rPr>
          <w:sz w:val="24"/>
        </w:rPr>
        <w:t>Oct;71(10):1616–22.</w:t>
      </w:r>
    </w:p>
    <w:p w:rsidR="00825E87" w:rsidRDefault="00CB188B">
      <w:pPr>
        <w:pStyle w:val="PargrafodaLista"/>
        <w:numPr>
          <w:ilvl w:val="0"/>
          <w:numId w:val="5"/>
        </w:numPr>
        <w:tabs>
          <w:tab w:val="left" w:pos="941"/>
        </w:tabs>
        <w:spacing w:line="235" w:lineRule="auto"/>
        <w:ind w:right="380" w:firstLine="0"/>
        <w:jc w:val="both"/>
        <w:rPr>
          <w:sz w:val="24"/>
        </w:rPr>
      </w:pPr>
      <w:r>
        <w:rPr>
          <w:sz w:val="24"/>
        </w:rPr>
        <w:t>Baji P, Péntek M, Szántó S, Géher P, Gulácsi L, Balogh O, et al. Comparative efficacy and safety of biosimilar infliximab and other biological treatments in ankylosing spondylitis: Systematic literature review and meta-analysis. Eur J Heal Econ. 2014;15(SU</w:t>
      </w:r>
      <w:r>
        <w:rPr>
          <w:sz w:val="24"/>
        </w:rPr>
        <w:t>PPL.</w:t>
      </w:r>
      <w:r>
        <w:rPr>
          <w:spacing w:val="-8"/>
          <w:sz w:val="24"/>
        </w:rPr>
        <w:t xml:space="preserve"> </w:t>
      </w:r>
      <w:r>
        <w:rPr>
          <w:sz w:val="24"/>
        </w:rPr>
        <w:t>1):S45–52.</w:t>
      </w:r>
    </w:p>
    <w:p w:rsidR="00825E87" w:rsidRDefault="00825E87">
      <w:pPr>
        <w:spacing w:line="235" w:lineRule="auto"/>
        <w:jc w:val="both"/>
        <w:rPr>
          <w:sz w:val="24"/>
        </w:rPr>
        <w:sectPr w:rsidR="00825E87">
          <w:pgSz w:w="11900" w:h="16840"/>
          <w:pgMar w:top="1100" w:right="880" w:bottom="280" w:left="920" w:header="720" w:footer="720" w:gutter="0"/>
          <w:cols w:space="720"/>
        </w:sectPr>
      </w:pPr>
    </w:p>
    <w:p w:rsidR="00825E87" w:rsidRDefault="00CB188B">
      <w:pPr>
        <w:pStyle w:val="Corpodetexto"/>
        <w:spacing w:before="78"/>
        <w:ind w:left="4608"/>
      </w:pPr>
      <w:r>
        <w:lastRenderedPageBreak/>
        <w:t>APÊNDICE 1</w:t>
      </w:r>
    </w:p>
    <w:p w:rsidR="00825E87" w:rsidRDefault="00825E87">
      <w:pPr>
        <w:pStyle w:val="Corpodetexto"/>
        <w:spacing w:before="9"/>
        <w:ind w:left="0"/>
        <w:rPr>
          <w:sz w:val="23"/>
        </w:rPr>
      </w:pPr>
    </w:p>
    <w:p w:rsidR="00825E87" w:rsidRDefault="00CB188B">
      <w:pPr>
        <w:pStyle w:val="Ttulo1"/>
        <w:spacing w:before="1"/>
        <w:ind w:left="1242"/>
      </w:pPr>
      <w:r>
        <w:t>ANKYLOSING SPONDYLITIS DISEASE ACTIVITY SCORE – ASDAS</w:t>
      </w:r>
    </w:p>
    <w:p w:rsidR="00825E87" w:rsidRDefault="00825E87">
      <w:pPr>
        <w:pStyle w:val="Corpodetexto"/>
        <w:spacing w:before="5"/>
        <w:ind w:left="0"/>
        <w:rPr>
          <w:b/>
          <w:sz w:val="20"/>
        </w:rPr>
      </w:pPr>
    </w:p>
    <w:p w:rsidR="00825E87" w:rsidRDefault="00CB188B">
      <w:pPr>
        <w:pStyle w:val="Corpodetexto"/>
      </w:pPr>
      <w:r>
        <w:t>Fórmulas para cálculo do escore ASDAS por proteína C reativa (PCR) e por velocidade de hemossedimentação (VHS) em calculadora específica:</w:t>
      </w:r>
    </w:p>
    <w:p w:rsidR="00825E87" w:rsidRDefault="00825E87">
      <w:pPr>
        <w:pStyle w:val="Corpodetexto"/>
        <w:spacing w:before="8"/>
        <w:ind w:left="0"/>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9"/>
        <w:gridCol w:w="8416"/>
      </w:tblGrid>
      <w:tr w:rsidR="00825E87">
        <w:trPr>
          <w:trHeight w:val="827"/>
        </w:trPr>
        <w:tc>
          <w:tcPr>
            <w:tcW w:w="1289" w:type="dxa"/>
          </w:tcPr>
          <w:p w:rsidR="00825E87" w:rsidRDefault="00CB188B">
            <w:pPr>
              <w:pStyle w:val="TableParagraph"/>
              <w:spacing w:line="275" w:lineRule="exact"/>
              <w:ind w:left="254"/>
              <w:rPr>
                <w:b/>
                <w:sz w:val="24"/>
              </w:rPr>
            </w:pPr>
            <w:r>
              <w:rPr>
                <w:b/>
                <w:sz w:val="24"/>
              </w:rPr>
              <w:t>ASDAS</w:t>
            </w:r>
          </w:p>
          <w:p w:rsidR="00825E87" w:rsidRDefault="00CB188B">
            <w:pPr>
              <w:pStyle w:val="TableParagraph"/>
              <w:spacing w:before="137"/>
              <w:ind w:left="254"/>
              <w:rPr>
                <w:b/>
                <w:sz w:val="24"/>
              </w:rPr>
            </w:pPr>
            <w:r>
              <w:rPr>
                <w:b/>
                <w:sz w:val="24"/>
              </w:rPr>
              <w:t>–</w:t>
            </w:r>
            <w:r>
              <w:rPr>
                <w:b/>
                <w:spacing w:val="-3"/>
                <w:sz w:val="24"/>
              </w:rPr>
              <w:t xml:space="preserve"> </w:t>
            </w:r>
            <w:r>
              <w:rPr>
                <w:b/>
                <w:sz w:val="24"/>
              </w:rPr>
              <w:t>PCR</w:t>
            </w:r>
          </w:p>
        </w:tc>
        <w:tc>
          <w:tcPr>
            <w:tcW w:w="8416" w:type="dxa"/>
          </w:tcPr>
          <w:p w:rsidR="00825E87" w:rsidRDefault="00CB188B">
            <w:pPr>
              <w:pStyle w:val="TableParagraph"/>
              <w:spacing w:line="270" w:lineRule="exact"/>
              <w:ind w:left="191"/>
              <w:rPr>
                <w:sz w:val="24"/>
              </w:rPr>
            </w:pPr>
            <w:r>
              <w:rPr>
                <w:sz w:val="24"/>
              </w:rPr>
              <w:t>0.12 x Dor axial + 0.06 x Duração da rigidez matinal + 0.11 x Avaliação Global</w:t>
            </w:r>
          </w:p>
          <w:p w:rsidR="00825E87" w:rsidRDefault="00CB188B">
            <w:pPr>
              <w:pStyle w:val="TableParagraph"/>
              <w:spacing w:before="137"/>
              <w:ind w:left="191"/>
              <w:rPr>
                <w:sz w:val="24"/>
              </w:rPr>
            </w:pPr>
            <w:r>
              <w:rPr>
                <w:sz w:val="24"/>
              </w:rPr>
              <w:t>do Paciente + 0.07 x Dor/Edema periféricos + 0.58 x Ln (PCR+1)</w:t>
            </w:r>
          </w:p>
        </w:tc>
      </w:tr>
      <w:tr w:rsidR="00825E87">
        <w:trPr>
          <w:trHeight w:val="827"/>
        </w:trPr>
        <w:tc>
          <w:tcPr>
            <w:tcW w:w="1289" w:type="dxa"/>
          </w:tcPr>
          <w:p w:rsidR="00825E87" w:rsidRDefault="00CB188B">
            <w:pPr>
              <w:pStyle w:val="TableParagraph"/>
              <w:spacing w:line="275" w:lineRule="exact"/>
              <w:ind w:left="254"/>
              <w:rPr>
                <w:b/>
                <w:sz w:val="24"/>
              </w:rPr>
            </w:pPr>
            <w:r>
              <w:rPr>
                <w:b/>
                <w:sz w:val="24"/>
              </w:rPr>
              <w:t>ASDAS</w:t>
            </w:r>
          </w:p>
          <w:p w:rsidR="00825E87" w:rsidRDefault="00CB188B">
            <w:pPr>
              <w:pStyle w:val="TableParagraph"/>
              <w:spacing w:before="137"/>
              <w:ind w:left="254"/>
              <w:rPr>
                <w:b/>
                <w:sz w:val="24"/>
              </w:rPr>
            </w:pPr>
            <w:r>
              <w:rPr>
                <w:b/>
                <w:sz w:val="24"/>
              </w:rPr>
              <w:t>- VHS</w:t>
            </w:r>
          </w:p>
        </w:tc>
        <w:tc>
          <w:tcPr>
            <w:tcW w:w="8416" w:type="dxa"/>
          </w:tcPr>
          <w:p w:rsidR="00825E87" w:rsidRDefault="00CB188B">
            <w:pPr>
              <w:pStyle w:val="TableParagraph"/>
              <w:spacing w:line="270" w:lineRule="exact"/>
              <w:ind w:left="191"/>
              <w:rPr>
                <w:sz w:val="24"/>
              </w:rPr>
            </w:pPr>
            <w:r>
              <w:rPr>
                <w:sz w:val="24"/>
              </w:rPr>
              <w:t>0.08 x Dor axial + 0.07 x Duração da rigidez matinal + 0.11 x Avaliação Global</w:t>
            </w:r>
          </w:p>
          <w:p w:rsidR="00825E87" w:rsidRDefault="00CB188B">
            <w:pPr>
              <w:pStyle w:val="TableParagraph"/>
              <w:spacing w:before="137"/>
              <w:ind w:left="191"/>
              <w:rPr>
                <w:sz w:val="24"/>
              </w:rPr>
            </w:pPr>
            <w:r>
              <w:rPr>
                <w:sz w:val="24"/>
              </w:rPr>
              <w:t>do Paciente + 0.09 x D</w:t>
            </w:r>
            <w:r>
              <w:rPr>
                <w:sz w:val="24"/>
              </w:rPr>
              <w:t>or/Edema periféricos + 0.29 x √(VHS)</w:t>
            </w:r>
          </w:p>
        </w:tc>
      </w:tr>
    </w:tbl>
    <w:p w:rsidR="00825E87" w:rsidRDefault="00CB188B">
      <w:pPr>
        <w:pStyle w:val="Corpodetexto"/>
        <w:spacing w:before="39" w:line="232" w:lineRule="auto"/>
        <w:ind w:right="627"/>
      </w:pPr>
      <w:r>
        <w:t>√(VHS), raiz quadrada da velocidade de hemossedimentação (mm/h); Ln (PCR+1), logaritmo natural da proteína C reativa (mg/L)+1.</w:t>
      </w:r>
    </w:p>
    <w:p w:rsidR="00825E87" w:rsidRDefault="00CB188B">
      <w:pPr>
        <w:pStyle w:val="Corpodetexto"/>
        <w:spacing w:before="13" w:line="232" w:lineRule="auto"/>
      </w:pPr>
      <w:r>
        <w:t>Dor axial, avaliação global do paciente, duração da rigidez matinal e dor/edema periféricos são avaliados em escala analógica (de 0 a 10 cm) ou em uma escala numérica (de 0 a 10).</w:t>
      </w:r>
    </w:p>
    <w:p w:rsidR="00825E87" w:rsidRDefault="00CB188B">
      <w:pPr>
        <w:pStyle w:val="Corpodetexto"/>
        <w:spacing w:before="14" w:line="232" w:lineRule="auto"/>
        <w:ind w:right="627"/>
      </w:pPr>
      <w:r>
        <w:t xml:space="preserve">Dor axial (questão 2 do BASDAI): "Como você descreveria o grau total de dor </w:t>
      </w:r>
      <w:r>
        <w:t>no pescoço, nas costas e no quadril relacionada à sua doença?"</w:t>
      </w:r>
    </w:p>
    <w:p w:rsidR="00825E87" w:rsidRDefault="00CB188B">
      <w:pPr>
        <w:pStyle w:val="Corpodetexto"/>
        <w:spacing w:before="12" w:line="235" w:lineRule="auto"/>
        <w:ind w:right="363"/>
      </w:pPr>
      <w:r>
        <w:t>Duração da rigidez matinal (questão 6 do BASDAI): “Quanto tempo dura a rigidez matinal a partir do momento em que você acorda?"</w:t>
      </w:r>
    </w:p>
    <w:p w:rsidR="00825E87" w:rsidRDefault="00CB188B">
      <w:pPr>
        <w:pStyle w:val="Corpodetexto"/>
        <w:spacing w:line="237" w:lineRule="auto"/>
        <w:ind w:right="627"/>
      </w:pPr>
      <w:r>
        <w:t>Avaliação do paciente: "Quão ativa esteve a sua espondilite em mé</w:t>
      </w:r>
      <w:r>
        <w:t>dia na última semana*?” Dor/edema periférico (questão 3 do BASDAI): "Como você descreveria o grau total de dor e edema (inchaço) nas outras articulações sem contar com pescoço, costas, região lombar e quadril?"</w:t>
      </w:r>
    </w:p>
    <w:p w:rsidR="00825E87" w:rsidRDefault="00CB188B">
      <w:pPr>
        <w:pStyle w:val="Ttulo1"/>
        <w:spacing w:before="41"/>
      </w:pPr>
      <w:r>
        <w:t>*Tradução literal para o português validada p</w:t>
      </w:r>
      <w:r>
        <w:t>ela Sociedade Brasileira de Reumatologia.</w:t>
      </w:r>
    </w:p>
    <w:p w:rsidR="00825E87" w:rsidRDefault="00825E87">
      <w:pPr>
        <w:pStyle w:val="Corpodetexto"/>
        <w:spacing w:before="4"/>
        <w:ind w:left="0"/>
        <w:rPr>
          <w:b/>
        </w:rPr>
      </w:pPr>
    </w:p>
    <w:tbl>
      <w:tblPr>
        <w:tblStyle w:val="TableNormal"/>
        <w:tblW w:w="0" w:type="auto"/>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61"/>
        <w:gridCol w:w="3541"/>
      </w:tblGrid>
      <w:tr w:rsidR="00825E87">
        <w:trPr>
          <w:trHeight w:val="227"/>
        </w:trPr>
        <w:tc>
          <w:tcPr>
            <w:tcW w:w="3661" w:type="dxa"/>
          </w:tcPr>
          <w:p w:rsidR="00825E87" w:rsidRDefault="00CB188B">
            <w:pPr>
              <w:pStyle w:val="TableParagraph"/>
              <w:spacing w:line="207" w:lineRule="exact"/>
              <w:ind w:left="213" w:right="193"/>
              <w:jc w:val="center"/>
              <w:rPr>
                <w:b/>
                <w:sz w:val="24"/>
              </w:rPr>
            </w:pPr>
            <w:r>
              <w:rPr>
                <w:b/>
                <w:sz w:val="24"/>
              </w:rPr>
              <w:t>Doença inativa</w:t>
            </w:r>
          </w:p>
        </w:tc>
        <w:tc>
          <w:tcPr>
            <w:tcW w:w="3541" w:type="dxa"/>
          </w:tcPr>
          <w:p w:rsidR="00825E87" w:rsidRDefault="00CB188B">
            <w:pPr>
              <w:pStyle w:val="TableParagraph"/>
              <w:spacing w:line="207" w:lineRule="exact"/>
              <w:ind w:left="1491" w:right="1494"/>
              <w:jc w:val="center"/>
              <w:rPr>
                <w:sz w:val="24"/>
              </w:rPr>
            </w:pPr>
            <w:r>
              <w:rPr>
                <w:sz w:val="24"/>
              </w:rPr>
              <w:t>&lt; 1,3</w:t>
            </w:r>
          </w:p>
        </w:tc>
      </w:tr>
      <w:tr w:rsidR="00825E87">
        <w:trPr>
          <w:trHeight w:val="220"/>
        </w:trPr>
        <w:tc>
          <w:tcPr>
            <w:tcW w:w="3661" w:type="dxa"/>
          </w:tcPr>
          <w:p w:rsidR="00825E87" w:rsidRDefault="00CB188B">
            <w:pPr>
              <w:pStyle w:val="TableParagraph"/>
              <w:spacing w:line="200" w:lineRule="exact"/>
              <w:ind w:left="213" w:right="198"/>
              <w:jc w:val="center"/>
              <w:rPr>
                <w:b/>
                <w:sz w:val="24"/>
              </w:rPr>
            </w:pPr>
            <w:r>
              <w:rPr>
                <w:b/>
                <w:sz w:val="24"/>
              </w:rPr>
              <w:t>Atividade de doença moderada</w:t>
            </w:r>
          </w:p>
        </w:tc>
        <w:tc>
          <w:tcPr>
            <w:tcW w:w="3541" w:type="dxa"/>
          </w:tcPr>
          <w:p w:rsidR="00825E87" w:rsidRDefault="00CB188B">
            <w:pPr>
              <w:pStyle w:val="TableParagraph"/>
              <w:spacing w:line="200" w:lineRule="exact"/>
              <w:ind w:right="1390"/>
              <w:jc w:val="right"/>
              <w:rPr>
                <w:sz w:val="24"/>
              </w:rPr>
            </w:pPr>
            <w:r>
              <w:rPr>
                <w:sz w:val="24"/>
              </w:rPr>
              <w:t>1,4 -2,0</w:t>
            </w:r>
          </w:p>
        </w:tc>
      </w:tr>
      <w:tr w:rsidR="00825E87">
        <w:trPr>
          <w:trHeight w:val="220"/>
        </w:trPr>
        <w:tc>
          <w:tcPr>
            <w:tcW w:w="3661" w:type="dxa"/>
          </w:tcPr>
          <w:p w:rsidR="00825E87" w:rsidRDefault="00CB188B">
            <w:pPr>
              <w:pStyle w:val="TableParagraph"/>
              <w:spacing w:line="200" w:lineRule="exact"/>
              <w:ind w:left="213" w:right="190"/>
              <w:jc w:val="center"/>
              <w:rPr>
                <w:b/>
                <w:sz w:val="24"/>
              </w:rPr>
            </w:pPr>
            <w:r>
              <w:rPr>
                <w:b/>
                <w:sz w:val="24"/>
              </w:rPr>
              <w:t>Atividade de doença alta</w:t>
            </w:r>
          </w:p>
        </w:tc>
        <w:tc>
          <w:tcPr>
            <w:tcW w:w="3541" w:type="dxa"/>
          </w:tcPr>
          <w:p w:rsidR="00825E87" w:rsidRDefault="00CB188B">
            <w:pPr>
              <w:pStyle w:val="TableParagraph"/>
              <w:spacing w:line="200" w:lineRule="exact"/>
              <w:ind w:right="1340"/>
              <w:jc w:val="right"/>
              <w:rPr>
                <w:sz w:val="24"/>
              </w:rPr>
            </w:pPr>
            <w:r>
              <w:rPr>
                <w:sz w:val="24"/>
              </w:rPr>
              <w:t>2,1 – 3,5</w:t>
            </w:r>
          </w:p>
        </w:tc>
      </w:tr>
      <w:tr w:rsidR="00825E87">
        <w:trPr>
          <w:trHeight w:val="220"/>
        </w:trPr>
        <w:tc>
          <w:tcPr>
            <w:tcW w:w="3661" w:type="dxa"/>
          </w:tcPr>
          <w:p w:rsidR="00825E87" w:rsidRDefault="00CB188B">
            <w:pPr>
              <w:pStyle w:val="TableParagraph"/>
              <w:spacing w:line="200" w:lineRule="exact"/>
              <w:ind w:left="213" w:right="201"/>
              <w:jc w:val="center"/>
              <w:rPr>
                <w:b/>
                <w:sz w:val="24"/>
              </w:rPr>
            </w:pPr>
            <w:r>
              <w:rPr>
                <w:b/>
                <w:sz w:val="24"/>
              </w:rPr>
              <w:t>Atividade de doença muito alta</w:t>
            </w:r>
          </w:p>
        </w:tc>
        <w:tc>
          <w:tcPr>
            <w:tcW w:w="3541" w:type="dxa"/>
          </w:tcPr>
          <w:p w:rsidR="00825E87" w:rsidRDefault="00CB188B">
            <w:pPr>
              <w:pStyle w:val="TableParagraph"/>
              <w:spacing w:line="200" w:lineRule="exact"/>
              <w:ind w:left="1491" w:right="1493"/>
              <w:jc w:val="center"/>
              <w:rPr>
                <w:sz w:val="24"/>
              </w:rPr>
            </w:pPr>
            <w:r>
              <w:rPr>
                <w:sz w:val="24"/>
              </w:rPr>
              <w:t>&gt;3,5</w:t>
            </w:r>
          </w:p>
        </w:tc>
      </w:tr>
    </w:tbl>
    <w:p w:rsidR="00825E87" w:rsidRDefault="00825E87">
      <w:pPr>
        <w:pStyle w:val="Corpodetexto"/>
        <w:ind w:left="0"/>
        <w:rPr>
          <w:b/>
          <w:sz w:val="26"/>
        </w:rPr>
      </w:pPr>
    </w:p>
    <w:p w:rsidR="00825E87" w:rsidRDefault="00825E87">
      <w:pPr>
        <w:pStyle w:val="Corpodetexto"/>
        <w:ind w:left="0"/>
        <w:rPr>
          <w:b/>
          <w:sz w:val="26"/>
        </w:rPr>
      </w:pPr>
    </w:p>
    <w:p w:rsidR="00825E87" w:rsidRDefault="00825E87">
      <w:pPr>
        <w:pStyle w:val="Corpodetexto"/>
        <w:spacing w:before="6"/>
        <w:ind w:left="0"/>
        <w:rPr>
          <w:b/>
          <w:sz w:val="30"/>
        </w:rPr>
      </w:pPr>
    </w:p>
    <w:p w:rsidR="00825E87" w:rsidRDefault="00CB188B">
      <w:pPr>
        <w:ind w:left="2128"/>
        <w:rPr>
          <w:b/>
          <w:sz w:val="24"/>
        </w:rPr>
      </w:pPr>
      <w:r>
        <w:rPr>
          <w:b/>
          <w:sz w:val="24"/>
        </w:rPr>
        <w:t>BATH ANKYLOSING SPONDYLITIS ACTIVITY INDEX - BASDAI</w:t>
      </w:r>
    </w:p>
    <w:p w:rsidR="00825E87" w:rsidRDefault="00CB188B">
      <w:pPr>
        <w:ind w:left="3648"/>
        <w:rPr>
          <w:b/>
          <w:sz w:val="24"/>
        </w:rPr>
      </w:pPr>
      <w:r>
        <w:rPr>
          <w:b/>
          <w:sz w:val="24"/>
        </w:rPr>
        <w:t>(versão validada para o Português)</w:t>
      </w:r>
    </w:p>
    <w:p w:rsidR="00825E87" w:rsidRDefault="00CB188B">
      <w:pPr>
        <w:pStyle w:val="Corpodetexto"/>
        <w:spacing w:before="224"/>
        <w:ind w:left="227" w:right="437"/>
      </w:pPr>
      <w:r>
        <w:t>Coloque uma marca em cada linha abaixo, indicando sua resposta para cada questão relacionada à semana passada.</w:t>
      </w:r>
    </w:p>
    <w:p w:rsidR="00825E87" w:rsidRDefault="00CB188B">
      <w:pPr>
        <w:pStyle w:val="PargrafodaLista"/>
        <w:numPr>
          <w:ilvl w:val="0"/>
          <w:numId w:val="4"/>
        </w:numPr>
        <w:tabs>
          <w:tab w:val="left" w:pos="427"/>
          <w:tab w:val="left" w:pos="4320"/>
          <w:tab w:val="left" w:pos="6541"/>
        </w:tabs>
        <w:spacing w:before="232"/>
        <w:ind w:right="2810" w:firstLine="0"/>
        <w:rPr>
          <w:sz w:val="24"/>
        </w:rPr>
      </w:pPr>
      <w:r>
        <w:rPr>
          <w:sz w:val="24"/>
        </w:rPr>
        <w:t>Como você descreveria o grau de fadiga ou cansaço que você tem</w:t>
      </w:r>
      <w:r>
        <w:rPr>
          <w:spacing w:val="-13"/>
          <w:sz w:val="24"/>
        </w:rPr>
        <w:t xml:space="preserve"> </w:t>
      </w:r>
      <w:r>
        <w:rPr>
          <w:sz w:val="24"/>
        </w:rPr>
        <w:t>tido? 0</w:t>
      </w:r>
      <w:r>
        <w:rPr>
          <w:sz w:val="24"/>
          <w:u w:val="single"/>
        </w:rPr>
        <w:t xml:space="preserve"> </w:t>
      </w:r>
      <w:r>
        <w:rPr>
          <w:sz w:val="24"/>
          <w:u w:val="single"/>
        </w:rPr>
        <w:tab/>
      </w:r>
      <w:r>
        <w:rPr>
          <w:sz w:val="24"/>
          <w:u w:val="single"/>
        </w:rPr>
        <w:tab/>
      </w:r>
      <w:r>
        <w:rPr>
          <w:sz w:val="24"/>
        </w:rPr>
        <w:t>10</w:t>
      </w:r>
      <w:r>
        <w:rPr>
          <w:spacing w:val="-1"/>
          <w:sz w:val="24"/>
        </w:rPr>
        <w:t xml:space="preserve"> </w:t>
      </w:r>
      <w:r>
        <w:rPr>
          <w:sz w:val="24"/>
        </w:rPr>
        <w:t>cm</w:t>
      </w:r>
      <w:r>
        <w:rPr>
          <w:spacing w:val="-1"/>
          <w:sz w:val="24"/>
        </w:rPr>
        <w:t xml:space="preserve"> </w:t>
      </w:r>
      <w:r>
        <w:rPr>
          <w:sz w:val="24"/>
        </w:rPr>
        <w:t>Nenhum</w:t>
      </w:r>
      <w:r>
        <w:rPr>
          <w:sz w:val="24"/>
        </w:rPr>
        <w:tab/>
        <w:t>Intenso</w:t>
      </w:r>
    </w:p>
    <w:p w:rsidR="00825E87" w:rsidRDefault="00CB188B">
      <w:pPr>
        <w:pStyle w:val="PargrafodaLista"/>
        <w:numPr>
          <w:ilvl w:val="0"/>
          <w:numId w:val="4"/>
        </w:numPr>
        <w:tabs>
          <w:tab w:val="left" w:pos="427"/>
        </w:tabs>
        <w:spacing w:before="229"/>
        <w:ind w:left="426" w:right="464" w:hanging="206"/>
        <w:rPr>
          <w:sz w:val="24"/>
        </w:rPr>
      </w:pPr>
      <w:r>
        <w:rPr>
          <w:sz w:val="24"/>
        </w:rPr>
        <w:t>Como você descreveria o grau total de dor no pescoço, nas costas e no quadril relacionada à</w:t>
      </w:r>
      <w:r>
        <w:rPr>
          <w:spacing w:val="-14"/>
          <w:sz w:val="24"/>
        </w:rPr>
        <w:t xml:space="preserve"> </w:t>
      </w:r>
      <w:r>
        <w:rPr>
          <w:sz w:val="24"/>
        </w:rPr>
        <w:t>sua doença?</w:t>
      </w:r>
    </w:p>
    <w:p w:rsidR="00825E87" w:rsidRDefault="00CB188B">
      <w:pPr>
        <w:pStyle w:val="Corpodetexto"/>
        <w:tabs>
          <w:tab w:val="left" w:pos="4327"/>
          <w:tab w:val="left" w:pos="6541"/>
        </w:tabs>
        <w:ind w:left="227" w:right="2958" w:hanging="8"/>
      </w:pPr>
      <w:r>
        <w:t>0</w:t>
      </w:r>
      <w:r>
        <w:rPr>
          <w:u w:val="single"/>
        </w:rPr>
        <w:t xml:space="preserve"> </w:t>
      </w:r>
      <w:r>
        <w:rPr>
          <w:u w:val="single"/>
        </w:rPr>
        <w:tab/>
      </w:r>
      <w:r>
        <w:rPr>
          <w:u w:val="single"/>
        </w:rPr>
        <w:tab/>
      </w:r>
      <w:r>
        <w:t>10 cm Nenhum</w:t>
      </w:r>
      <w:r>
        <w:tab/>
        <w:t>Intenso</w:t>
      </w:r>
    </w:p>
    <w:p w:rsidR="00825E87" w:rsidRDefault="00825E87">
      <w:pPr>
        <w:pStyle w:val="Corpodetexto"/>
        <w:spacing w:before="10"/>
        <w:ind w:left="0"/>
        <w:rPr>
          <w:sz w:val="20"/>
        </w:rPr>
      </w:pPr>
    </w:p>
    <w:p w:rsidR="00825E87" w:rsidRDefault="00CB188B">
      <w:pPr>
        <w:pStyle w:val="PargrafodaLista"/>
        <w:numPr>
          <w:ilvl w:val="0"/>
          <w:numId w:val="4"/>
        </w:numPr>
        <w:tabs>
          <w:tab w:val="left" w:pos="435"/>
        </w:tabs>
        <w:spacing w:line="235" w:lineRule="auto"/>
        <w:ind w:left="227" w:right="438" w:hanging="7"/>
        <w:rPr>
          <w:sz w:val="24"/>
        </w:rPr>
      </w:pPr>
      <w:r>
        <w:rPr>
          <w:sz w:val="24"/>
        </w:rPr>
        <w:t>Como você descreveria o grau total de dor e edema (inchaço) nas outras articulações sem</w:t>
      </w:r>
      <w:r>
        <w:rPr>
          <w:spacing w:val="-16"/>
          <w:sz w:val="24"/>
        </w:rPr>
        <w:t xml:space="preserve"> </w:t>
      </w:r>
      <w:r>
        <w:rPr>
          <w:sz w:val="24"/>
        </w:rPr>
        <w:t>contar com pescoço, costas e quadril?</w:t>
      </w:r>
    </w:p>
    <w:p w:rsidR="00825E87" w:rsidRDefault="00825E87">
      <w:pPr>
        <w:spacing w:line="235" w:lineRule="auto"/>
        <w:rPr>
          <w:sz w:val="24"/>
        </w:rPr>
        <w:sectPr w:rsidR="00825E87">
          <w:pgSz w:w="11900" w:h="16840"/>
          <w:pgMar w:top="1100" w:right="880" w:bottom="280" w:left="920" w:header="720" w:footer="720" w:gutter="0"/>
          <w:cols w:space="720"/>
        </w:sectPr>
      </w:pPr>
    </w:p>
    <w:p w:rsidR="00825E87" w:rsidRDefault="00CB188B">
      <w:pPr>
        <w:pStyle w:val="Corpodetexto"/>
        <w:tabs>
          <w:tab w:val="left" w:pos="6541"/>
        </w:tabs>
        <w:spacing w:before="60"/>
      </w:pPr>
      <w:r>
        <w:lastRenderedPageBreak/>
        <w:t>0</w:t>
      </w:r>
      <w:r>
        <w:rPr>
          <w:u w:val="single"/>
        </w:rPr>
        <w:t xml:space="preserve"> </w:t>
      </w:r>
      <w:r>
        <w:rPr>
          <w:u w:val="single"/>
        </w:rPr>
        <w:tab/>
      </w:r>
      <w:r>
        <w:t>10</w:t>
      </w:r>
      <w:r>
        <w:rPr>
          <w:spacing w:val="-1"/>
        </w:rPr>
        <w:t xml:space="preserve"> </w:t>
      </w:r>
      <w:r>
        <w:t>cm</w:t>
      </w:r>
    </w:p>
    <w:p w:rsidR="00825E87" w:rsidRDefault="00825E87">
      <w:pPr>
        <w:pStyle w:val="Corpodetexto"/>
        <w:spacing w:before="1"/>
        <w:ind w:left="0"/>
        <w:rPr>
          <w:sz w:val="21"/>
        </w:rPr>
      </w:pPr>
    </w:p>
    <w:p w:rsidR="00825E87" w:rsidRDefault="00CB188B">
      <w:pPr>
        <w:pStyle w:val="PargrafodaLista"/>
        <w:numPr>
          <w:ilvl w:val="0"/>
          <w:numId w:val="4"/>
        </w:numPr>
        <w:tabs>
          <w:tab w:val="left" w:pos="451"/>
        </w:tabs>
        <w:spacing w:line="232" w:lineRule="auto"/>
        <w:ind w:left="227" w:right="493" w:hanging="7"/>
        <w:rPr>
          <w:sz w:val="24"/>
        </w:rPr>
      </w:pPr>
      <w:r>
        <w:rPr>
          <w:sz w:val="24"/>
        </w:rPr>
        <w:t>Como você descreveria o grau total de desconforto que você teve ao toque ou à compressão</w:t>
      </w:r>
      <w:r>
        <w:rPr>
          <w:spacing w:val="-15"/>
          <w:sz w:val="24"/>
        </w:rPr>
        <w:t xml:space="preserve"> </w:t>
      </w:r>
      <w:r>
        <w:rPr>
          <w:sz w:val="24"/>
        </w:rPr>
        <w:t>em regiões do corpo</w:t>
      </w:r>
      <w:r>
        <w:rPr>
          <w:spacing w:val="-1"/>
          <w:sz w:val="24"/>
        </w:rPr>
        <w:t xml:space="preserve"> </w:t>
      </w:r>
      <w:r>
        <w:rPr>
          <w:sz w:val="24"/>
        </w:rPr>
        <w:t>doloridas?</w:t>
      </w:r>
    </w:p>
    <w:p w:rsidR="00825E87" w:rsidRDefault="00CB188B">
      <w:pPr>
        <w:pStyle w:val="Corpodetexto"/>
        <w:tabs>
          <w:tab w:val="left" w:pos="4348"/>
          <w:tab w:val="left" w:pos="6541"/>
        </w:tabs>
        <w:spacing w:before="1"/>
        <w:ind w:left="227" w:right="2958" w:hanging="8"/>
      </w:pPr>
      <w:r>
        <w:t>0</w:t>
      </w:r>
      <w:r>
        <w:rPr>
          <w:u w:val="single"/>
        </w:rPr>
        <w:t xml:space="preserve"> </w:t>
      </w:r>
      <w:r>
        <w:rPr>
          <w:u w:val="single"/>
        </w:rPr>
        <w:tab/>
      </w:r>
      <w:r>
        <w:rPr>
          <w:u w:val="single"/>
        </w:rPr>
        <w:tab/>
      </w:r>
      <w:r>
        <w:t>10 cm Nenhum</w:t>
      </w:r>
      <w:r>
        <w:tab/>
        <w:t>Intenso</w:t>
      </w:r>
    </w:p>
    <w:p w:rsidR="00825E87" w:rsidRDefault="00CB188B">
      <w:pPr>
        <w:pStyle w:val="PargrafodaLista"/>
        <w:numPr>
          <w:ilvl w:val="0"/>
          <w:numId w:val="4"/>
        </w:numPr>
        <w:tabs>
          <w:tab w:val="left" w:pos="427"/>
        </w:tabs>
        <w:spacing w:before="230"/>
        <w:ind w:left="426" w:right="663" w:hanging="206"/>
        <w:rPr>
          <w:sz w:val="24"/>
        </w:rPr>
      </w:pPr>
      <w:r>
        <w:rPr>
          <w:sz w:val="24"/>
        </w:rPr>
        <w:t>Como você descreveria a intensidade da rigidez matinal que você tem tido a partir da h</w:t>
      </w:r>
      <w:r>
        <w:rPr>
          <w:sz w:val="24"/>
        </w:rPr>
        <w:t>ora</w:t>
      </w:r>
      <w:r>
        <w:rPr>
          <w:spacing w:val="-14"/>
          <w:sz w:val="24"/>
        </w:rPr>
        <w:t xml:space="preserve"> </w:t>
      </w:r>
      <w:r>
        <w:rPr>
          <w:sz w:val="24"/>
        </w:rPr>
        <w:t>em que você</w:t>
      </w:r>
      <w:r>
        <w:rPr>
          <w:spacing w:val="-1"/>
          <w:sz w:val="24"/>
        </w:rPr>
        <w:t xml:space="preserve"> </w:t>
      </w:r>
      <w:r>
        <w:rPr>
          <w:sz w:val="24"/>
        </w:rPr>
        <w:t>acorda?</w:t>
      </w:r>
    </w:p>
    <w:p w:rsidR="00825E87" w:rsidRDefault="00CB188B">
      <w:pPr>
        <w:pStyle w:val="Corpodetexto"/>
        <w:tabs>
          <w:tab w:val="left" w:pos="4348"/>
          <w:tab w:val="left" w:pos="6541"/>
        </w:tabs>
        <w:spacing w:before="2" w:line="237" w:lineRule="auto"/>
        <w:ind w:left="227" w:right="2958" w:hanging="8"/>
      </w:pPr>
      <w:r>
        <w:t>0</w:t>
      </w:r>
      <w:r>
        <w:rPr>
          <w:u w:val="single"/>
        </w:rPr>
        <w:t xml:space="preserve"> </w:t>
      </w:r>
      <w:r>
        <w:rPr>
          <w:u w:val="single"/>
        </w:rPr>
        <w:tab/>
      </w:r>
      <w:r>
        <w:rPr>
          <w:u w:val="single"/>
        </w:rPr>
        <w:tab/>
      </w:r>
      <w:r>
        <w:t>10 cm Nenhum</w:t>
      </w:r>
      <w:r>
        <w:tab/>
        <w:t>Intenso</w:t>
      </w:r>
    </w:p>
    <w:p w:rsidR="00825E87" w:rsidRDefault="00CB188B">
      <w:pPr>
        <w:pStyle w:val="PargrafodaLista"/>
        <w:numPr>
          <w:ilvl w:val="0"/>
          <w:numId w:val="4"/>
        </w:numPr>
        <w:tabs>
          <w:tab w:val="left" w:pos="427"/>
          <w:tab w:val="left" w:pos="1602"/>
          <w:tab w:val="left" w:pos="3416"/>
          <w:tab w:val="left" w:pos="4616"/>
          <w:tab w:val="left" w:pos="6550"/>
        </w:tabs>
        <w:spacing w:before="232"/>
        <w:ind w:left="227" w:right="2058" w:hanging="7"/>
        <w:rPr>
          <w:sz w:val="24"/>
        </w:rPr>
      </w:pPr>
      <w:r>
        <w:rPr>
          <w:sz w:val="24"/>
        </w:rPr>
        <w:t>Quanto tempo dura a rigidez matinal a partir do momento em que você</w:t>
      </w:r>
      <w:r>
        <w:rPr>
          <w:spacing w:val="-12"/>
          <w:sz w:val="24"/>
        </w:rPr>
        <w:t xml:space="preserve"> </w:t>
      </w:r>
      <w:r>
        <w:rPr>
          <w:sz w:val="24"/>
        </w:rPr>
        <w:t>acorda? 0h</w:t>
      </w:r>
      <w:r>
        <w:rPr>
          <w:sz w:val="24"/>
          <w:u w:val="single"/>
        </w:rPr>
        <w:t xml:space="preserve"> </w:t>
      </w:r>
      <w:r>
        <w:rPr>
          <w:sz w:val="24"/>
          <w:u w:val="single"/>
        </w:rPr>
        <w:tab/>
      </w:r>
      <w:r>
        <w:rPr>
          <w:sz w:val="24"/>
        </w:rPr>
        <w:t>30min</w:t>
      </w:r>
      <w:r>
        <w:rPr>
          <w:sz w:val="24"/>
          <w:u w:val="single"/>
        </w:rPr>
        <w:t xml:space="preserve"> </w:t>
      </w:r>
      <w:r>
        <w:rPr>
          <w:sz w:val="24"/>
          <w:u w:val="single"/>
        </w:rPr>
        <w:tab/>
      </w:r>
      <w:r>
        <w:rPr>
          <w:sz w:val="24"/>
        </w:rPr>
        <w:t>1h</w:t>
      </w:r>
      <w:r>
        <w:rPr>
          <w:sz w:val="24"/>
          <w:u w:val="single"/>
        </w:rPr>
        <w:t xml:space="preserve"> </w:t>
      </w:r>
      <w:r>
        <w:rPr>
          <w:sz w:val="24"/>
          <w:u w:val="single"/>
        </w:rPr>
        <w:tab/>
      </w:r>
      <w:r>
        <w:rPr>
          <w:sz w:val="24"/>
        </w:rPr>
        <w:t>1h 30min</w:t>
      </w:r>
      <w:r>
        <w:rPr>
          <w:sz w:val="24"/>
          <w:u w:val="single"/>
        </w:rPr>
        <w:t xml:space="preserve"> </w:t>
      </w:r>
      <w:r>
        <w:rPr>
          <w:sz w:val="24"/>
          <w:u w:val="single"/>
        </w:rPr>
        <w:tab/>
      </w:r>
      <w:r>
        <w:rPr>
          <w:sz w:val="24"/>
        </w:rPr>
        <w:t>2h</w:t>
      </w:r>
    </w:p>
    <w:p w:rsidR="00825E87" w:rsidRDefault="00825E87">
      <w:pPr>
        <w:pStyle w:val="Corpodetexto"/>
        <w:ind w:left="0"/>
        <w:rPr>
          <w:sz w:val="26"/>
        </w:rPr>
      </w:pPr>
    </w:p>
    <w:p w:rsidR="00825E87" w:rsidRDefault="00CB188B">
      <w:pPr>
        <w:pStyle w:val="Ttulo1"/>
        <w:spacing w:before="215"/>
        <w:ind w:left="227"/>
      </w:pPr>
      <w:r>
        <w:t>Cálculo do BASDAI (cm): [“1” + “2” + “3” + “4” + (média de “5” e “6”)]/5</w:t>
      </w:r>
    </w:p>
    <w:p w:rsidR="00825E87" w:rsidRDefault="00825E87">
      <w:pPr>
        <w:sectPr w:rsidR="00825E87">
          <w:pgSz w:w="11900" w:h="16840"/>
          <w:pgMar w:top="1120" w:right="880" w:bottom="280" w:left="920" w:header="720" w:footer="720" w:gutter="0"/>
          <w:cols w:space="720"/>
        </w:sectPr>
      </w:pPr>
    </w:p>
    <w:p w:rsidR="00825E87" w:rsidRDefault="00CB188B">
      <w:pPr>
        <w:pStyle w:val="Corpodetexto"/>
        <w:spacing w:before="66"/>
        <w:ind w:left="1187" w:right="1228"/>
        <w:jc w:val="center"/>
      </w:pPr>
      <w:r>
        <w:lastRenderedPageBreak/>
        <w:t>APÊNDICE 2</w:t>
      </w:r>
    </w:p>
    <w:p w:rsidR="00825E87" w:rsidRDefault="00825E87">
      <w:pPr>
        <w:pStyle w:val="Corpodetexto"/>
        <w:spacing w:before="5"/>
        <w:ind w:left="0"/>
      </w:pPr>
    </w:p>
    <w:p w:rsidR="00825E87" w:rsidRDefault="00CB188B">
      <w:pPr>
        <w:pStyle w:val="Ttulo1"/>
        <w:ind w:left="1540"/>
      </w:pPr>
      <w:r>
        <w:t>METODOLOGIA DE BUSCA E AVALIAÇÃO DE LITERATURA</w:t>
      </w:r>
    </w:p>
    <w:p w:rsidR="00825E87" w:rsidRDefault="00825E87">
      <w:pPr>
        <w:pStyle w:val="Corpodetexto"/>
        <w:ind w:left="0"/>
        <w:rPr>
          <w:b/>
          <w:sz w:val="26"/>
        </w:rPr>
      </w:pPr>
    </w:p>
    <w:p w:rsidR="00825E87" w:rsidRDefault="00CB188B">
      <w:pPr>
        <w:pStyle w:val="PargrafodaLista"/>
        <w:numPr>
          <w:ilvl w:val="0"/>
          <w:numId w:val="3"/>
        </w:numPr>
        <w:tabs>
          <w:tab w:val="left" w:pos="621"/>
          <w:tab w:val="left" w:pos="622"/>
        </w:tabs>
        <w:spacing w:before="213"/>
        <w:ind w:right="328" w:firstLine="0"/>
        <w:rPr>
          <w:b/>
          <w:sz w:val="24"/>
        </w:rPr>
      </w:pPr>
      <w:r>
        <w:rPr>
          <w:b/>
          <w:sz w:val="24"/>
        </w:rPr>
        <w:t>LEVANTAMENTO DE INFORMAÇÕES PARA PLANEJAMENTO DA REUNIÃO</w:t>
      </w:r>
      <w:r>
        <w:rPr>
          <w:b/>
          <w:spacing w:val="-16"/>
          <w:sz w:val="24"/>
        </w:rPr>
        <w:t xml:space="preserve"> </w:t>
      </w:r>
      <w:r>
        <w:rPr>
          <w:b/>
          <w:sz w:val="24"/>
        </w:rPr>
        <w:t>DE ESCOPO COM OS</w:t>
      </w:r>
      <w:r>
        <w:rPr>
          <w:b/>
          <w:spacing w:val="-1"/>
          <w:sz w:val="24"/>
        </w:rPr>
        <w:t xml:space="preserve"> </w:t>
      </w:r>
      <w:r>
        <w:rPr>
          <w:b/>
          <w:sz w:val="24"/>
        </w:rPr>
        <w:t>ESPECIALISTAS</w:t>
      </w:r>
    </w:p>
    <w:p w:rsidR="00825E87" w:rsidRDefault="00825E87">
      <w:pPr>
        <w:pStyle w:val="Corpodetexto"/>
        <w:spacing w:before="4"/>
        <w:ind w:left="0"/>
        <w:rPr>
          <w:b/>
        </w:rPr>
      </w:pPr>
    </w:p>
    <w:p w:rsidR="00825E87" w:rsidRDefault="00CB188B">
      <w:pPr>
        <w:pStyle w:val="PargrafodaLista"/>
        <w:numPr>
          <w:ilvl w:val="1"/>
          <w:numId w:val="3"/>
        </w:numPr>
        <w:tabs>
          <w:tab w:val="left" w:pos="648"/>
        </w:tabs>
        <w:spacing w:line="232" w:lineRule="auto"/>
        <w:ind w:right="339" w:firstLine="0"/>
        <w:jc w:val="both"/>
        <w:rPr>
          <w:sz w:val="24"/>
        </w:rPr>
      </w:pPr>
      <w:r>
        <w:rPr>
          <w:b/>
          <w:sz w:val="24"/>
        </w:rPr>
        <w:t xml:space="preserve">Tecnologias disponíveis no Sistema Único de Saúde (SUS) para o tratamento da Espondilite Ancilosante (EA): </w:t>
      </w:r>
      <w:r>
        <w:rPr>
          <w:sz w:val="24"/>
        </w:rPr>
        <w:t>Foram consultados a Relação Nacional de Medicamentos Essenciais (RENAME), sítio da Comissão Nacional de Incorporação de Tecnologias no SUS (CONITEC), Sistema de gerenciamento da tabela de procedimentos, medicamentos e órteses, próteses e materiais do SUS (</w:t>
      </w:r>
      <w:r>
        <w:rPr>
          <w:sz w:val="24"/>
        </w:rPr>
        <w:t>SigTAP) e o Protocolo Clínico e Diretriz Terapêutica (PCDT) de EA vigente para identificação das tecnologias disponíveis e tecnologias demandadas ou recentemente incorporadas.</w:t>
      </w:r>
    </w:p>
    <w:p w:rsidR="00825E87" w:rsidRDefault="00CB188B">
      <w:pPr>
        <w:pStyle w:val="Corpodetexto"/>
        <w:spacing w:before="1"/>
        <w:ind w:left="940"/>
      </w:pPr>
      <w:r>
        <w:t>A partir das consultas realizadas foi possível identificar:</w:t>
      </w:r>
    </w:p>
    <w:p w:rsidR="00825E87" w:rsidRDefault="00CB188B">
      <w:pPr>
        <w:pStyle w:val="PargrafodaLista"/>
        <w:numPr>
          <w:ilvl w:val="0"/>
          <w:numId w:val="2"/>
        </w:numPr>
        <w:tabs>
          <w:tab w:val="left" w:pos="360"/>
        </w:tabs>
        <w:spacing w:before="1"/>
        <w:ind w:firstLine="0"/>
        <w:rPr>
          <w:sz w:val="24"/>
        </w:rPr>
      </w:pPr>
      <w:r>
        <w:rPr>
          <w:sz w:val="24"/>
        </w:rPr>
        <w:t>O tratamento no SUS segue o PCDT EA, conforme Portaria Conjunta N°7 de 17 de julho de</w:t>
      </w:r>
      <w:r>
        <w:rPr>
          <w:spacing w:val="-10"/>
          <w:sz w:val="24"/>
        </w:rPr>
        <w:t xml:space="preserve"> </w:t>
      </w:r>
      <w:r>
        <w:rPr>
          <w:sz w:val="24"/>
        </w:rPr>
        <w:t>2017;</w:t>
      </w:r>
    </w:p>
    <w:p w:rsidR="00825E87" w:rsidRDefault="00CB188B">
      <w:pPr>
        <w:pStyle w:val="PargrafodaLista"/>
        <w:numPr>
          <w:ilvl w:val="0"/>
          <w:numId w:val="2"/>
        </w:numPr>
        <w:tabs>
          <w:tab w:val="left" w:pos="360"/>
        </w:tabs>
        <w:spacing w:before="13" w:line="232" w:lineRule="auto"/>
        <w:ind w:right="1535" w:firstLine="0"/>
        <w:rPr>
          <w:sz w:val="24"/>
        </w:rPr>
      </w:pPr>
      <w:r>
        <w:rPr>
          <w:sz w:val="24"/>
        </w:rPr>
        <w:t>Os medicamentos atualmente disponíveis são: ibuprofeno, naproxeno, sulfassalazina, metilprednisolona, metotrexato, adalimumabe, etanercepte, infliximabe e</w:t>
      </w:r>
      <w:r>
        <w:rPr>
          <w:spacing w:val="-13"/>
          <w:sz w:val="24"/>
        </w:rPr>
        <w:t xml:space="preserve"> </w:t>
      </w:r>
      <w:r>
        <w:rPr>
          <w:sz w:val="24"/>
        </w:rPr>
        <w:t>golimumab</w:t>
      </w:r>
      <w:r>
        <w:rPr>
          <w:sz w:val="24"/>
        </w:rPr>
        <w:t>e;</w:t>
      </w:r>
    </w:p>
    <w:p w:rsidR="00825E87" w:rsidRDefault="00CB188B">
      <w:pPr>
        <w:pStyle w:val="PargrafodaLista"/>
        <w:numPr>
          <w:ilvl w:val="0"/>
          <w:numId w:val="2"/>
        </w:numPr>
        <w:tabs>
          <w:tab w:val="left" w:pos="360"/>
        </w:tabs>
        <w:spacing w:before="1"/>
        <w:ind w:right="742" w:firstLine="0"/>
        <w:rPr>
          <w:sz w:val="24"/>
        </w:rPr>
      </w:pPr>
      <w:r>
        <w:rPr>
          <w:sz w:val="24"/>
        </w:rPr>
        <w:t>A inclusão do certolizumabe pegol e secuquinumabe no PCDT da EA, após recomendação</w:t>
      </w:r>
      <w:r>
        <w:rPr>
          <w:spacing w:val="-12"/>
          <w:sz w:val="24"/>
        </w:rPr>
        <w:t xml:space="preserve"> </w:t>
      </w:r>
      <w:r>
        <w:rPr>
          <w:sz w:val="24"/>
        </w:rPr>
        <w:t>da CONITEC e publicação das Portarias SCTIE Nº 54 e 65 de 19/12/2017 e 15/01/2018, respectivamente.</w:t>
      </w:r>
    </w:p>
    <w:p w:rsidR="00825E87" w:rsidRDefault="00825E87">
      <w:pPr>
        <w:pStyle w:val="Corpodetexto"/>
        <w:spacing w:before="8"/>
        <w:ind w:left="0"/>
        <w:rPr>
          <w:sz w:val="26"/>
        </w:rPr>
      </w:pPr>
    </w:p>
    <w:p w:rsidR="00825E87" w:rsidRDefault="00CB188B">
      <w:pPr>
        <w:pStyle w:val="Ttulo1"/>
        <w:spacing w:line="272" w:lineRule="exact"/>
      </w:pPr>
      <w:r>
        <w:t>1.2 Busca por Diretrizes nacionais e internacionais nas seguintes bas</w:t>
      </w:r>
      <w:r>
        <w:t>es:</w:t>
      </w:r>
    </w:p>
    <w:p w:rsidR="00825E87" w:rsidRDefault="00CB188B">
      <w:pPr>
        <w:pStyle w:val="PargrafodaLista"/>
        <w:numPr>
          <w:ilvl w:val="0"/>
          <w:numId w:val="2"/>
        </w:numPr>
        <w:tabs>
          <w:tab w:val="left" w:pos="360"/>
        </w:tabs>
        <w:spacing w:before="1" w:line="235" w:lineRule="auto"/>
        <w:ind w:right="867" w:firstLine="0"/>
        <w:rPr>
          <w:sz w:val="24"/>
        </w:rPr>
      </w:pPr>
      <w:r>
        <w:rPr>
          <w:sz w:val="24"/>
        </w:rPr>
        <w:t>NICE g</w:t>
      </w:r>
      <w:hyperlink r:id="rId7">
        <w:r>
          <w:rPr>
            <w:sz w:val="24"/>
          </w:rPr>
          <w:t>uidelines (</w:t>
        </w:r>
        <w:r>
          <w:rPr>
            <w:sz w:val="24"/>
            <w:u w:val="single"/>
          </w:rPr>
          <w:t>http://www.nice.org.uk/guidance/published?type=CG</w:t>
        </w:r>
        <w:r>
          <w:rPr>
            <w:sz w:val="24"/>
          </w:rPr>
          <w:t xml:space="preserve">) </w:t>
        </w:r>
      </w:hyperlink>
      <w:r>
        <w:rPr>
          <w:sz w:val="24"/>
        </w:rPr>
        <w:t>= nenhuma diretriz localizada</w:t>
      </w:r>
    </w:p>
    <w:p w:rsidR="00825E87" w:rsidRDefault="00CB188B">
      <w:pPr>
        <w:pStyle w:val="PargrafodaLista"/>
        <w:numPr>
          <w:ilvl w:val="0"/>
          <w:numId w:val="2"/>
        </w:numPr>
        <w:tabs>
          <w:tab w:val="left" w:pos="360"/>
        </w:tabs>
        <w:spacing w:before="13" w:line="235" w:lineRule="auto"/>
        <w:ind w:right="523" w:firstLine="0"/>
        <w:rPr>
          <w:sz w:val="24"/>
        </w:rPr>
      </w:pPr>
      <w:r>
        <w:rPr>
          <w:sz w:val="24"/>
        </w:rPr>
        <w:t xml:space="preserve">National Guideline Clearinghouse – </w:t>
      </w:r>
      <w:hyperlink r:id="rId8">
        <w:r>
          <w:rPr>
            <w:sz w:val="24"/>
            <w:u w:val="single"/>
          </w:rPr>
          <w:t>http:</w:t>
        </w:r>
        <w:r>
          <w:rPr>
            <w:sz w:val="24"/>
            <w:u w:val="single"/>
          </w:rPr>
          <w:t>//www.guideline.gov</w:t>
        </w:r>
        <w:r>
          <w:rPr>
            <w:sz w:val="24"/>
          </w:rPr>
          <w:t xml:space="preserve"> </w:t>
        </w:r>
      </w:hyperlink>
      <w:r>
        <w:rPr>
          <w:sz w:val="24"/>
        </w:rPr>
        <w:t>= 10 diretrizes localizadas, recomendando uso do certolizumabe pegol e golimumabe, além dos medicamentos já</w:t>
      </w:r>
      <w:r>
        <w:rPr>
          <w:spacing w:val="-12"/>
          <w:sz w:val="24"/>
        </w:rPr>
        <w:t xml:space="preserve"> </w:t>
      </w:r>
      <w:r>
        <w:rPr>
          <w:sz w:val="24"/>
        </w:rPr>
        <w:t>disponíveis pelo PCDT</w:t>
      </w:r>
      <w:r>
        <w:rPr>
          <w:spacing w:val="-2"/>
          <w:sz w:val="24"/>
        </w:rPr>
        <w:t xml:space="preserve"> </w:t>
      </w:r>
      <w:r>
        <w:rPr>
          <w:sz w:val="24"/>
        </w:rPr>
        <w:t>vigente.</w:t>
      </w:r>
    </w:p>
    <w:p w:rsidR="00825E87" w:rsidRDefault="00CB188B">
      <w:pPr>
        <w:pStyle w:val="PargrafodaLista"/>
        <w:numPr>
          <w:ilvl w:val="0"/>
          <w:numId w:val="2"/>
        </w:numPr>
        <w:tabs>
          <w:tab w:val="left" w:pos="360"/>
        </w:tabs>
        <w:spacing w:before="10" w:line="232" w:lineRule="auto"/>
        <w:ind w:right="420" w:firstLine="0"/>
        <w:rPr>
          <w:sz w:val="24"/>
        </w:rPr>
      </w:pPr>
      <w:r>
        <w:rPr>
          <w:sz w:val="24"/>
        </w:rPr>
        <w:t xml:space="preserve">Guideline International Network – </w:t>
      </w:r>
      <w:hyperlink r:id="rId9">
        <w:r>
          <w:rPr>
            <w:sz w:val="24"/>
            <w:u w:val="single"/>
          </w:rPr>
          <w:t>http://www.g-i-n.net/library/international-guidelines-library</w:t>
        </w:r>
        <w:r>
          <w:rPr>
            <w:sz w:val="24"/>
          </w:rPr>
          <w:t xml:space="preserve"> </w:t>
        </w:r>
      </w:hyperlink>
      <w:r>
        <w:rPr>
          <w:sz w:val="24"/>
        </w:rPr>
        <w:t>= nenhuma diretriz localizada</w:t>
      </w:r>
    </w:p>
    <w:p w:rsidR="00825E87" w:rsidRDefault="00CB188B">
      <w:pPr>
        <w:pStyle w:val="PargrafodaLista"/>
        <w:numPr>
          <w:ilvl w:val="0"/>
          <w:numId w:val="2"/>
        </w:numPr>
        <w:tabs>
          <w:tab w:val="left" w:pos="360"/>
        </w:tabs>
        <w:spacing w:before="14" w:line="232" w:lineRule="auto"/>
        <w:ind w:right="404" w:firstLine="0"/>
        <w:rPr>
          <w:sz w:val="24"/>
        </w:rPr>
      </w:pPr>
      <w:r>
        <w:rPr>
          <w:sz w:val="24"/>
        </w:rPr>
        <w:t xml:space="preserve">Sociedade Brasileira de Reumatologia - </w:t>
      </w:r>
      <w:hyperlink r:id="rId10">
        <w:r>
          <w:rPr>
            <w:sz w:val="24"/>
            <w:u w:val="single"/>
          </w:rPr>
          <w:t>http://www.reumatologia.com.br/PDFs/RBR</w:t>
        </w:r>
        <w:r>
          <w:rPr>
            <w:sz w:val="24"/>
            <w:u w:val="single"/>
          </w:rPr>
          <w:t>533PT.pdf</w:t>
        </w:r>
        <w:r>
          <w:rPr>
            <w:sz w:val="24"/>
          </w:rPr>
          <w:t xml:space="preserve"> </w:t>
        </w:r>
      </w:hyperlink>
      <w:r>
        <w:rPr>
          <w:sz w:val="24"/>
        </w:rPr>
        <w:t>- 1 diretriz localizada, recomendando uso do golimumabe, além dos medicamentos já disponíveis pelo PCDT</w:t>
      </w:r>
      <w:r>
        <w:rPr>
          <w:spacing w:val="-2"/>
          <w:sz w:val="24"/>
        </w:rPr>
        <w:t xml:space="preserve"> </w:t>
      </w:r>
      <w:r>
        <w:rPr>
          <w:sz w:val="24"/>
        </w:rPr>
        <w:t>vigente.</w:t>
      </w:r>
    </w:p>
    <w:p w:rsidR="00825E87" w:rsidRDefault="00CB188B">
      <w:pPr>
        <w:pStyle w:val="PargrafodaLista"/>
        <w:numPr>
          <w:ilvl w:val="0"/>
          <w:numId w:val="2"/>
        </w:numPr>
        <w:tabs>
          <w:tab w:val="left" w:pos="439"/>
        </w:tabs>
        <w:spacing w:before="11" w:line="235" w:lineRule="auto"/>
        <w:ind w:right="317" w:firstLine="0"/>
        <w:jc w:val="both"/>
        <w:rPr>
          <w:sz w:val="24"/>
        </w:rPr>
      </w:pPr>
      <w:r>
        <w:rPr>
          <w:sz w:val="24"/>
        </w:rPr>
        <w:t xml:space="preserve">Diretrizes Associação Médica Brasileira (AMB) - </w:t>
      </w:r>
      <w:hyperlink r:id="rId11">
        <w:r>
          <w:rPr>
            <w:sz w:val="24"/>
            <w:u w:val="single"/>
          </w:rPr>
          <w:t>http://diretrizes.amb.org.br/tag/sociedade-</w:t>
        </w:r>
      </w:hyperlink>
      <w:hyperlink r:id="rId12">
        <w:r>
          <w:rPr>
            <w:sz w:val="24"/>
            <w:u w:val="single"/>
          </w:rPr>
          <w:t xml:space="preserve"> brasileira-de-</w:t>
        </w:r>
      </w:hyperlink>
      <w:hyperlink r:id="rId13">
        <w:r>
          <w:rPr>
            <w:sz w:val="24"/>
            <w:u w:val="single"/>
          </w:rPr>
          <w:t>reumatologia/</w:t>
        </w:r>
        <w:r>
          <w:rPr>
            <w:sz w:val="24"/>
          </w:rPr>
          <w:t>-</w:t>
        </w:r>
      </w:hyperlink>
      <w:r>
        <w:rPr>
          <w:sz w:val="24"/>
        </w:rPr>
        <w:t xml:space="preserve"> 1 diretriz localizada, recomendando uso do golimumabe, além dos medicamentos já disponíveis pelo PCDT</w:t>
      </w:r>
      <w:r>
        <w:rPr>
          <w:spacing w:val="-3"/>
          <w:sz w:val="24"/>
        </w:rPr>
        <w:t xml:space="preserve"> </w:t>
      </w:r>
      <w:r>
        <w:rPr>
          <w:sz w:val="24"/>
        </w:rPr>
        <w:t>vigente.</w:t>
      </w:r>
    </w:p>
    <w:p w:rsidR="00825E87" w:rsidRDefault="00825E87">
      <w:pPr>
        <w:pStyle w:val="Corpodetexto"/>
        <w:spacing w:before="1"/>
        <w:ind w:left="0"/>
        <w:rPr>
          <w:sz w:val="21"/>
        </w:rPr>
      </w:pPr>
    </w:p>
    <w:p w:rsidR="00825E87" w:rsidRDefault="00CB188B">
      <w:pPr>
        <w:pStyle w:val="Ttulo1"/>
        <w:numPr>
          <w:ilvl w:val="0"/>
          <w:numId w:val="3"/>
        </w:numPr>
        <w:tabs>
          <w:tab w:val="left" w:pos="480"/>
        </w:tabs>
        <w:spacing w:line="275" w:lineRule="exact"/>
        <w:ind w:left="479" w:hanging="259"/>
      </w:pPr>
      <w:r>
        <w:t xml:space="preserve">BUSCAS NA LITERATURA PARA ATUALIZAÇÃO DO </w:t>
      </w:r>
      <w:r>
        <w:t>PCDT</w:t>
      </w:r>
    </w:p>
    <w:p w:rsidR="00825E87" w:rsidRDefault="00CB188B">
      <w:pPr>
        <w:pStyle w:val="Corpodetexto"/>
        <w:spacing w:before="3" w:line="235" w:lineRule="auto"/>
        <w:ind w:left="299" w:right="318" w:firstLine="640"/>
        <w:jc w:val="both"/>
      </w:pPr>
      <w:r>
        <w:t xml:space="preserve">Sendo assim, foi estabelecido que o Protocolo destina-se a pacientes com espondiloartropatias axial e periférica não psoriásicas, ambos os sexos e tem por objetivo revisar práticas diagnósticas e terapêuticas a partir da data da busca do PCDT vigente </w:t>
      </w:r>
      <w:r>
        <w:t>(e incorporar as recomendações referentes ao uso do certolizumabe pegol e secuquinumabe, avaliados pela CONITEC).</w:t>
      </w:r>
    </w:p>
    <w:p w:rsidR="00825E87" w:rsidRDefault="00CB188B">
      <w:pPr>
        <w:pStyle w:val="Corpodetexto"/>
        <w:spacing w:before="21" w:line="232" w:lineRule="auto"/>
        <w:ind w:left="299" w:right="341" w:firstLine="708"/>
        <w:jc w:val="both"/>
      </w:pPr>
      <w:r>
        <w:t>A fim de guiar a revisão do PCDT vigente foi realizada busca na literatura sobre intervenções terapêuticas baseadas em evidências definidas pe</w:t>
      </w:r>
      <w:r>
        <w:t>las seguintes perguntas PICO:</w:t>
      </w:r>
    </w:p>
    <w:p w:rsidR="00825E87" w:rsidRDefault="00825E87">
      <w:pPr>
        <w:pStyle w:val="Corpodetexto"/>
        <w:spacing w:before="10"/>
        <w:ind w:left="0"/>
        <w:rPr>
          <w:sz w:val="20"/>
        </w:rPr>
      </w:pPr>
    </w:p>
    <w:p w:rsidR="00825E87" w:rsidRDefault="00CB188B">
      <w:pPr>
        <w:pStyle w:val="Ttulo1"/>
        <w:spacing w:before="1" w:after="3"/>
        <w:ind w:left="299"/>
      </w:pPr>
      <w:r>
        <w:t>Pergunta PICO</w:t>
      </w:r>
    </w:p>
    <w:tbl>
      <w:tblPr>
        <w:tblStyle w:val="TableNormal"/>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0"/>
        <w:gridCol w:w="6642"/>
      </w:tblGrid>
      <w:tr w:rsidR="00825E87">
        <w:trPr>
          <w:trHeight w:val="414"/>
        </w:trPr>
        <w:tc>
          <w:tcPr>
            <w:tcW w:w="2040" w:type="dxa"/>
          </w:tcPr>
          <w:p w:rsidR="00825E87" w:rsidRDefault="00CB188B">
            <w:pPr>
              <w:pStyle w:val="TableParagraph"/>
              <w:spacing w:line="270" w:lineRule="exact"/>
              <w:ind w:left="129"/>
              <w:rPr>
                <w:sz w:val="24"/>
              </w:rPr>
            </w:pPr>
            <w:r>
              <w:rPr>
                <w:sz w:val="24"/>
              </w:rPr>
              <w:t>POPULAÇÃO</w:t>
            </w:r>
          </w:p>
        </w:tc>
        <w:tc>
          <w:tcPr>
            <w:tcW w:w="6642" w:type="dxa"/>
          </w:tcPr>
          <w:p w:rsidR="00825E87" w:rsidRDefault="00CB188B">
            <w:pPr>
              <w:pStyle w:val="TableParagraph"/>
              <w:spacing w:line="270" w:lineRule="exact"/>
              <w:ind w:left="100"/>
              <w:rPr>
                <w:sz w:val="24"/>
              </w:rPr>
            </w:pPr>
            <w:r>
              <w:rPr>
                <w:sz w:val="24"/>
              </w:rPr>
              <w:t>Pacientes com espondilite ancilosante</w:t>
            </w:r>
          </w:p>
        </w:tc>
      </w:tr>
      <w:tr w:rsidR="00825E87">
        <w:trPr>
          <w:trHeight w:val="414"/>
        </w:trPr>
        <w:tc>
          <w:tcPr>
            <w:tcW w:w="2040" w:type="dxa"/>
          </w:tcPr>
          <w:p w:rsidR="00825E87" w:rsidRDefault="00CB188B">
            <w:pPr>
              <w:pStyle w:val="TableParagraph"/>
              <w:spacing w:line="270" w:lineRule="exact"/>
              <w:ind w:left="129"/>
              <w:rPr>
                <w:sz w:val="24"/>
              </w:rPr>
            </w:pPr>
            <w:r>
              <w:rPr>
                <w:sz w:val="24"/>
              </w:rPr>
              <w:t>INTERVENÇÃO</w:t>
            </w:r>
          </w:p>
        </w:tc>
        <w:tc>
          <w:tcPr>
            <w:tcW w:w="6642" w:type="dxa"/>
          </w:tcPr>
          <w:p w:rsidR="00825E87" w:rsidRDefault="00CB188B">
            <w:pPr>
              <w:pStyle w:val="TableParagraph"/>
              <w:spacing w:line="270" w:lineRule="exact"/>
              <w:ind w:left="100"/>
              <w:rPr>
                <w:sz w:val="24"/>
              </w:rPr>
            </w:pPr>
            <w:r>
              <w:rPr>
                <w:sz w:val="24"/>
              </w:rPr>
              <w:t>Tratamento clínico</w:t>
            </w:r>
          </w:p>
        </w:tc>
      </w:tr>
    </w:tbl>
    <w:p w:rsidR="00825E87" w:rsidRDefault="00825E87">
      <w:pPr>
        <w:spacing w:line="270" w:lineRule="exact"/>
        <w:rPr>
          <w:sz w:val="24"/>
        </w:rPr>
        <w:sectPr w:rsidR="00825E87">
          <w:pgSz w:w="11900" w:h="16840"/>
          <w:pgMar w:top="1100" w:right="880" w:bottom="280" w:left="920" w:header="720" w:footer="720" w:gutter="0"/>
          <w:cols w:space="720"/>
        </w:sectPr>
      </w:pPr>
    </w:p>
    <w:tbl>
      <w:tblPr>
        <w:tblStyle w:val="TableNormal"/>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0"/>
        <w:gridCol w:w="6642"/>
      </w:tblGrid>
      <w:tr w:rsidR="00825E87">
        <w:trPr>
          <w:trHeight w:val="414"/>
        </w:trPr>
        <w:tc>
          <w:tcPr>
            <w:tcW w:w="2040" w:type="dxa"/>
            <w:tcBorders>
              <w:top w:val="nil"/>
            </w:tcBorders>
          </w:tcPr>
          <w:p w:rsidR="00825E87" w:rsidRDefault="00CB188B">
            <w:pPr>
              <w:pStyle w:val="TableParagraph"/>
              <w:spacing w:line="270" w:lineRule="exact"/>
              <w:ind w:left="129"/>
              <w:rPr>
                <w:sz w:val="24"/>
              </w:rPr>
            </w:pPr>
            <w:r>
              <w:rPr>
                <w:sz w:val="24"/>
              </w:rPr>
              <w:lastRenderedPageBreak/>
              <w:t>COMPARAÇÃO</w:t>
            </w:r>
          </w:p>
        </w:tc>
        <w:tc>
          <w:tcPr>
            <w:tcW w:w="6642" w:type="dxa"/>
            <w:tcBorders>
              <w:top w:val="nil"/>
            </w:tcBorders>
          </w:tcPr>
          <w:p w:rsidR="00825E87" w:rsidRDefault="00CB188B">
            <w:pPr>
              <w:pStyle w:val="TableParagraph"/>
              <w:spacing w:line="270" w:lineRule="exact"/>
              <w:ind w:left="100"/>
              <w:rPr>
                <w:sz w:val="24"/>
              </w:rPr>
            </w:pPr>
            <w:r>
              <w:rPr>
                <w:sz w:val="24"/>
              </w:rPr>
              <w:t>Sem restrição de comparadores</w:t>
            </w:r>
          </w:p>
        </w:tc>
      </w:tr>
      <w:tr w:rsidR="00825E87">
        <w:trPr>
          <w:trHeight w:val="414"/>
        </w:trPr>
        <w:tc>
          <w:tcPr>
            <w:tcW w:w="2040" w:type="dxa"/>
          </w:tcPr>
          <w:p w:rsidR="00825E87" w:rsidRDefault="00CB188B">
            <w:pPr>
              <w:pStyle w:val="TableParagraph"/>
              <w:spacing w:line="270" w:lineRule="exact"/>
              <w:ind w:left="129"/>
              <w:rPr>
                <w:sz w:val="24"/>
              </w:rPr>
            </w:pPr>
            <w:r>
              <w:rPr>
                <w:sz w:val="24"/>
              </w:rPr>
              <w:t>DESFECHOS</w:t>
            </w:r>
          </w:p>
        </w:tc>
        <w:tc>
          <w:tcPr>
            <w:tcW w:w="6642" w:type="dxa"/>
          </w:tcPr>
          <w:p w:rsidR="00825E87" w:rsidRDefault="00CB188B">
            <w:pPr>
              <w:pStyle w:val="TableParagraph"/>
              <w:spacing w:line="270" w:lineRule="exact"/>
              <w:ind w:left="100"/>
              <w:rPr>
                <w:sz w:val="24"/>
              </w:rPr>
            </w:pPr>
            <w:r>
              <w:rPr>
                <w:sz w:val="24"/>
              </w:rPr>
              <w:t>Segurança e eficácia</w:t>
            </w:r>
          </w:p>
        </w:tc>
      </w:tr>
    </w:tbl>
    <w:p w:rsidR="00825E87" w:rsidRDefault="00825E87">
      <w:pPr>
        <w:pStyle w:val="Corpodetexto"/>
        <w:spacing w:before="1"/>
        <w:ind w:left="0"/>
        <w:rPr>
          <w:b/>
          <w:sz w:val="11"/>
        </w:rPr>
      </w:pPr>
    </w:p>
    <w:p w:rsidR="00825E87" w:rsidRDefault="00CB188B">
      <w:pPr>
        <w:pStyle w:val="Corpodetexto"/>
        <w:spacing w:before="90"/>
        <w:ind w:left="1000"/>
      </w:pPr>
      <w:r>
        <w:t>As seguintes estratégias de busca foram utilizadas:</w:t>
      </w:r>
    </w:p>
    <w:p w:rsidR="00825E87" w:rsidRDefault="00825E87">
      <w:pPr>
        <w:pStyle w:val="Corpodetexto"/>
        <w:spacing w:before="10"/>
        <w:ind w:left="0"/>
        <w:rPr>
          <w:sz w:val="20"/>
        </w:rPr>
      </w:pPr>
    </w:p>
    <w:p w:rsidR="00825E87" w:rsidRDefault="00CB188B">
      <w:pPr>
        <w:pStyle w:val="Ttulo1"/>
        <w:ind w:left="299"/>
      </w:pPr>
      <w:r>
        <w:t>Buscas sobre intervenções terapêuticas - revisões sistemáticas e meta-análises</w:t>
      </w:r>
    </w:p>
    <w:p w:rsidR="00825E87" w:rsidRDefault="00825E87">
      <w:pPr>
        <w:pStyle w:val="Corpodetexto"/>
        <w:spacing w:before="3"/>
        <w:ind w:left="0"/>
        <w:rPr>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9"/>
        <w:gridCol w:w="3911"/>
        <w:gridCol w:w="1592"/>
        <w:gridCol w:w="2773"/>
      </w:tblGrid>
      <w:tr w:rsidR="00825E87">
        <w:trPr>
          <w:trHeight w:val="635"/>
        </w:trPr>
        <w:tc>
          <w:tcPr>
            <w:tcW w:w="1599" w:type="dxa"/>
          </w:tcPr>
          <w:p w:rsidR="00825E87" w:rsidRDefault="00CB188B">
            <w:pPr>
              <w:pStyle w:val="TableParagraph"/>
              <w:spacing w:line="275" w:lineRule="exact"/>
              <w:ind w:left="528"/>
              <w:rPr>
                <w:b/>
                <w:sz w:val="24"/>
              </w:rPr>
            </w:pPr>
            <w:r>
              <w:rPr>
                <w:b/>
                <w:sz w:val="24"/>
              </w:rPr>
              <w:t>BASE</w:t>
            </w:r>
          </w:p>
        </w:tc>
        <w:tc>
          <w:tcPr>
            <w:tcW w:w="3911" w:type="dxa"/>
          </w:tcPr>
          <w:p w:rsidR="00825E87" w:rsidRDefault="00CB188B">
            <w:pPr>
              <w:pStyle w:val="TableParagraph"/>
              <w:spacing w:line="275" w:lineRule="exact"/>
              <w:ind w:left="1241"/>
              <w:rPr>
                <w:b/>
                <w:sz w:val="24"/>
              </w:rPr>
            </w:pPr>
            <w:r>
              <w:rPr>
                <w:b/>
                <w:sz w:val="24"/>
              </w:rPr>
              <w:t>ESTRATÉGIA</w:t>
            </w:r>
          </w:p>
        </w:tc>
        <w:tc>
          <w:tcPr>
            <w:tcW w:w="1592" w:type="dxa"/>
          </w:tcPr>
          <w:p w:rsidR="00825E87" w:rsidRDefault="00CB188B">
            <w:pPr>
              <w:pStyle w:val="TableParagraph"/>
              <w:spacing w:line="275" w:lineRule="exact"/>
              <w:ind w:left="168" w:right="267"/>
              <w:jc w:val="center"/>
              <w:rPr>
                <w:b/>
                <w:sz w:val="24"/>
              </w:rPr>
            </w:pPr>
            <w:r>
              <w:rPr>
                <w:b/>
                <w:sz w:val="24"/>
              </w:rPr>
              <w:t>LOCALIZ</w:t>
            </w:r>
          </w:p>
          <w:p w:rsidR="00825E87" w:rsidRDefault="00CB188B">
            <w:pPr>
              <w:pStyle w:val="TableParagraph"/>
              <w:spacing w:before="43"/>
              <w:ind w:left="168" w:right="267"/>
              <w:jc w:val="center"/>
              <w:rPr>
                <w:b/>
                <w:sz w:val="24"/>
              </w:rPr>
            </w:pPr>
            <w:r>
              <w:rPr>
                <w:b/>
                <w:sz w:val="24"/>
              </w:rPr>
              <w:t>ADOS</w:t>
            </w:r>
          </w:p>
        </w:tc>
        <w:tc>
          <w:tcPr>
            <w:tcW w:w="2773" w:type="dxa"/>
          </w:tcPr>
          <w:p w:rsidR="00825E87" w:rsidRDefault="00CB188B">
            <w:pPr>
              <w:pStyle w:val="TableParagraph"/>
              <w:spacing w:line="275" w:lineRule="exact"/>
              <w:ind w:left="435"/>
              <w:rPr>
                <w:b/>
                <w:sz w:val="24"/>
              </w:rPr>
            </w:pPr>
            <w:r>
              <w:rPr>
                <w:b/>
                <w:sz w:val="24"/>
              </w:rPr>
              <w:t>SELECCIONADOS</w:t>
            </w:r>
          </w:p>
        </w:tc>
      </w:tr>
      <w:tr w:rsidR="00825E87">
        <w:trPr>
          <w:trHeight w:val="2856"/>
        </w:trPr>
        <w:tc>
          <w:tcPr>
            <w:tcW w:w="1599" w:type="dxa"/>
          </w:tcPr>
          <w:p w:rsidR="00825E87" w:rsidRDefault="00CB188B">
            <w:pPr>
              <w:pStyle w:val="TableParagraph"/>
              <w:spacing w:line="276" w:lineRule="auto"/>
              <w:ind w:left="305" w:right="213" w:firstLine="3"/>
              <w:jc w:val="center"/>
              <w:rPr>
                <w:sz w:val="24"/>
              </w:rPr>
            </w:pPr>
            <w:r>
              <w:rPr>
                <w:sz w:val="24"/>
              </w:rPr>
              <w:t xml:space="preserve">Medline (via PubMed) Data da busca: </w:t>
            </w:r>
            <w:r>
              <w:rPr>
                <w:w w:val="95"/>
                <w:sz w:val="24"/>
              </w:rPr>
              <w:t>01/09/2016</w:t>
            </w:r>
          </w:p>
        </w:tc>
        <w:tc>
          <w:tcPr>
            <w:tcW w:w="3911" w:type="dxa"/>
          </w:tcPr>
          <w:p w:rsidR="00825E87" w:rsidRDefault="00CB188B">
            <w:pPr>
              <w:pStyle w:val="TableParagraph"/>
              <w:spacing w:line="276" w:lineRule="auto"/>
              <w:ind w:left="330"/>
              <w:rPr>
                <w:sz w:val="24"/>
              </w:rPr>
            </w:pPr>
            <w:r>
              <w:rPr>
                <w:w w:val="95"/>
                <w:sz w:val="24"/>
              </w:rPr>
              <w:t>("Spondylitis, Ankylosing"</w:t>
            </w:r>
            <w:r>
              <w:rPr>
                <w:w w:val="95"/>
                <w:sz w:val="24"/>
              </w:rPr>
              <w:t xml:space="preserve">[Mesh]) </w:t>
            </w:r>
            <w:r>
              <w:rPr>
                <w:sz w:val="24"/>
              </w:rPr>
              <w:t>AND</w:t>
            </w:r>
          </w:p>
          <w:p w:rsidR="00825E87" w:rsidRDefault="00CB188B">
            <w:pPr>
              <w:pStyle w:val="TableParagraph"/>
              <w:spacing w:line="278" w:lineRule="auto"/>
              <w:ind w:left="330" w:right="702"/>
              <w:rPr>
                <w:sz w:val="24"/>
              </w:rPr>
            </w:pPr>
            <w:r>
              <w:rPr>
                <w:sz w:val="24"/>
              </w:rPr>
              <w:t>"Therapeutics"[Mesh] Filters: Meta-</w:t>
            </w:r>
          </w:p>
          <w:p w:rsidR="00825E87" w:rsidRDefault="00CB188B">
            <w:pPr>
              <w:pStyle w:val="TableParagraph"/>
              <w:spacing w:line="276" w:lineRule="auto"/>
              <w:ind w:left="330" w:right="591"/>
              <w:rPr>
                <w:sz w:val="24"/>
              </w:rPr>
            </w:pPr>
            <w:r>
              <w:rPr>
                <w:sz w:val="24"/>
              </w:rPr>
              <w:t>Analysis, Systematic Reviews, From</w:t>
            </w:r>
          </w:p>
          <w:p w:rsidR="00825E87" w:rsidRDefault="00CB188B">
            <w:pPr>
              <w:pStyle w:val="TableParagraph"/>
              <w:spacing w:line="278" w:lineRule="auto"/>
              <w:ind w:left="330"/>
              <w:rPr>
                <w:sz w:val="24"/>
              </w:rPr>
            </w:pPr>
            <w:r>
              <w:rPr>
                <w:sz w:val="24"/>
              </w:rPr>
              <w:t>2014/04/06, Humans, English, Portuguese,</w:t>
            </w:r>
          </w:p>
          <w:p w:rsidR="00825E87" w:rsidRDefault="00CB188B">
            <w:pPr>
              <w:pStyle w:val="TableParagraph"/>
              <w:spacing w:line="272" w:lineRule="exact"/>
              <w:ind w:left="330"/>
              <w:rPr>
                <w:sz w:val="24"/>
              </w:rPr>
            </w:pPr>
            <w:r>
              <w:rPr>
                <w:sz w:val="24"/>
              </w:rPr>
              <w:t>Spanish</w:t>
            </w:r>
          </w:p>
        </w:tc>
        <w:tc>
          <w:tcPr>
            <w:tcW w:w="1592" w:type="dxa"/>
          </w:tcPr>
          <w:p w:rsidR="00825E87" w:rsidRDefault="00CB188B">
            <w:pPr>
              <w:pStyle w:val="TableParagraph"/>
              <w:spacing w:line="275" w:lineRule="exact"/>
              <w:ind w:left="620"/>
              <w:rPr>
                <w:b/>
                <w:sz w:val="24"/>
              </w:rPr>
            </w:pPr>
            <w:r>
              <w:rPr>
                <w:b/>
                <w:sz w:val="24"/>
              </w:rPr>
              <w:t>11</w:t>
            </w:r>
          </w:p>
        </w:tc>
        <w:tc>
          <w:tcPr>
            <w:tcW w:w="2773" w:type="dxa"/>
          </w:tcPr>
          <w:p w:rsidR="00825E87" w:rsidRDefault="00CB188B">
            <w:pPr>
              <w:pStyle w:val="TableParagraph"/>
              <w:spacing w:line="270" w:lineRule="exact"/>
              <w:ind w:left="153"/>
              <w:jc w:val="center"/>
              <w:rPr>
                <w:sz w:val="24"/>
              </w:rPr>
            </w:pPr>
            <w:r>
              <w:rPr>
                <w:sz w:val="24"/>
              </w:rPr>
              <w:t>3</w:t>
            </w:r>
          </w:p>
          <w:p w:rsidR="00825E87" w:rsidRDefault="00CB188B">
            <w:pPr>
              <w:pStyle w:val="TableParagraph"/>
              <w:spacing w:before="45" w:line="276" w:lineRule="auto"/>
              <w:ind w:left="328" w:right="181"/>
              <w:jc w:val="center"/>
              <w:rPr>
                <w:sz w:val="24"/>
              </w:rPr>
            </w:pPr>
            <w:r>
              <w:rPr>
                <w:b/>
                <w:sz w:val="24"/>
              </w:rPr>
              <w:t xml:space="preserve">Motivo das exclusões: </w:t>
            </w:r>
            <w:r>
              <w:rPr>
                <w:sz w:val="24"/>
              </w:rPr>
              <w:t>8 artigos não avaliam desfechos terapêuticos na EA</w:t>
            </w:r>
          </w:p>
        </w:tc>
      </w:tr>
      <w:tr w:rsidR="00825E87">
        <w:trPr>
          <w:trHeight w:val="3175"/>
        </w:trPr>
        <w:tc>
          <w:tcPr>
            <w:tcW w:w="1599" w:type="dxa"/>
          </w:tcPr>
          <w:p w:rsidR="00825E87" w:rsidRDefault="00CB188B">
            <w:pPr>
              <w:pStyle w:val="TableParagraph"/>
              <w:spacing w:line="270" w:lineRule="exact"/>
              <w:ind w:left="473"/>
              <w:rPr>
                <w:sz w:val="24"/>
              </w:rPr>
            </w:pPr>
            <w:r>
              <w:rPr>
                <w:sz w:val="24"/>
              </w:rPr>
              <w:t>Embase</w:t>
            </w:r>
          </w:p>
        </w:tc>
        <w:tc>
          <w:tcPr>
            <w:tcW w:w="3911" w:type="dxa"/>
          </w:tcPr>
          <w:p w:rsidR="00825E87" w:rsidRDefault="00CB188B">
            <w:pPr>
              <w:pStyle w:val="TableParagraph"/>
              <w:spacing w:line="276" w:lineRule="auto"/>
              <w:ind w:left="330" w:right="702"/>
              <w:rPr>
                <w:sz w:val="24"/>
              </w:rPr>
            </w:pPr>
            <w:r>
              <w:rPr>
                <w:w w:val="95"/>
                <w:sz w:val="24"/>
              </w:rPr>
              <w:t xml:space="preserve">'ankylosing spondylitis'/exp </w:t>
            </w:r>
            <w:r>
              <w:rPr>
                <w:sz w:val="24"/>
              </w:rPr>
              <w:t>AND '</w:t>
            </w:r>
            <w:r>
              <w:rPr>
                <w:sz w:val="24"/>
              </w:rPr>
              <w:t>therapy'/exp AND ([systematic</w:t>
            </w:r>
          </w:p>
          <w:p w:rsidR="00825E87" w:rsidRDefault="00CB188B">
            <w:pPr>
              <w:pStyle w:val="TableParagraph"/>
              <w:spacing w:line="276" w:lineRule="auto"/>
              <w:ind w:left="330" w:right="702"/>
              <w:rPr>
                <w:sz w:val="24"/>
              </w:rPr>
            </w:pPr>
            <w:r>
              <w:rPr>
                <w:sz w:val="24"/>
              </w:rPr>
              <w:t>review]/lim OR [meta analysis]/lim) AND</w:t>
            </w:r>
          </w:p>
          <w:p w:rsidR="00825E87" w:rsidRDefault="00CB188B">
            <w:pPr>
              <w:pStyle w:val="TableParagraph"/>
              <w:spacing w:line="278" w:lineRule="auto"/>
              <w:ind w:left="330" w:right="178"/>
              <w:rPr>
                <w:sz w:val="24"/>
              </w:rPr>
            </w:pPr>
            <w:r>
              <w:rPr>
                <w:sz w:val="24"/>
              </w:rPr>
              <w:t>([english]/lim OR [portuguese]/lim OR</w:t>
            </w:r>
          </w:p>
          <w:p w:rsidR="00825E87" w:rsidRDefault="00CB188B">
            <w:pPr>
              <w:pStyle w:val="TableParagraph"/>
              <w:spacing w:line="276" w:lineRule="auto"/>
              <w:ind w:left="330"/>
              <w:rPr>
                <w:sz w:val="24"/>
              </w:rPr>
            </w:pPr>
            <w:r>
              <w:rPr>
                <w:sz w:val="24"/>
              </w:rPr>
              <w:t>[spanish]/lim) AND [humans]/lim AND</w:t>
            </w:r>
          </w:p>
          <w:p w:rsidR="00825E87" w:rsidRDefault="00CB188B">
            <w:pPr>
              <w:pStyle w:val="TableParagraph"/>
              <w:spacing w:line="275" w:lineRule="exact"/>
              <w:ind w:left="330"/>
              <w:rPr>
                <w:sz w:val="24"/>
              </w:rPr>
            </w:pPr>
            <w:r>
              <w:rPr>
                <w:sz w:val="24"/>
              </w:rPr>
              <w:t>[embase]/lim AND [6-4-2014]/sd</w:t>
            </w:r>
          </w:p>
        </w:tc>
        <w:tc>
          <w:tcPr>
            <w:tcW w:w="1592" w:type="dxa"/>
          </w:tcPr>
          <w:p w:rsidR="00825E87" w:rsidRDefault="00CB188B">
            <w:pPr>
              <w:pStyle w:val="TableParagraph"/>
              <w:spacing w:line="275" w:lineRule="exact"/>
              <w:ind w:left="620"/>
              <w:rPr>
                <w:b/>
                <w:sz w:val="24"/>
              </w:rPr>
            </w:pPr>
            <w:r>
              <w:rPr>
                <w:b/>
                <w:sz w:val="24"/>
              </w:rPr>
              <w:t>59</w:t>
            </w:r>
          </w:p>
        </w:tc>
        <w:tc>
          <w:tcPr>
            <w:tcW w:w="2773" w:type="dxa"/>
          </w:tcPr>
          <w:p w:rsidR="00825E87" w:rsidRDefault="00CB188B">
            <w:pPr>
              <w:pStyle w:val="TableParagraph"/>
              <w:spacing w:line="270" w:lineRule="exact"/>
              <w:ind w:left="328" w:right="175"/>
              <w:jc w:val="center"/>
              <w:rPr>
                <w:sz w:val="24"/>
              </w:rPr>
            </w:pPr>
            <w:r>
              <w:rPr>
                <w:sz w:val="24"/>
              </w:rPr>
              <w:t>21</w:t>
            </w:r>
          </w:p>
          <w:p w:rsidR="00825E87" w:rsidRDefault="00CB188B">
            <w:pPr>
              <w:pStyle w:val="TableParagraph"/>
              <w:spacing w:before="45" w:line="276" w:lineRule="auto"/>
              <w:ind w:left="348" w:right="164" w:firstLine="4"/>
              <w:jc w:val="center"/>
              <w:rPr>
                <w:sz w:val="24"/>
              </w:rPr>
            </w:pPr>
            <w:r>
              <w:rPr>
                <w:b/>
                <w:sz w:val="24"/>
              </w:rPr>
              <w:t>Motivo das</w:t>
            </w:r>
            <w:r>
              <w:rPr>
                <w:b/>
                <w:spacing w:val="-28"/>
                <w:sz w:val="24"/>
              </w:rPr>
              <w:t xml:space="preserve"> </w:t>
            </w:r>
            <w:r>
              <w:rPr>
                <w:b/>
                <w:sz w:val="24"/>
              </w:rPr>
              <w:t xml:space="preserve">exclusões: </w:t>
            </w:r>
            <w:r>
              <w:rPr>
                <w:sz w:val="24"/>
              </w:rPr>
              <w:t>17 artigos não avaliam pacientes com EA; 21</w:t>
            </w:r>
            <w:r>
              <w:rPr>
                <w:spacing w:val="-37"/>
                <w:sz w:val="24"/>
              </w:rPr>
              <w:t xml:space="preserve"> </w:t>
            </w:r>
            <w:r>
              <w:rPr>
                <w:sz w:val="24"/>
              </w:rPr>
              <w:t>a artigos não avaliam desfechos terapêuticos na EA</w:t>
            </w:r>
          </w:p>
        </w:tc>
      </w:tr>
      <w:tr w:rsidR="00825E87">
        <w:trPr>
          <w:trHeight w:val="1379"/>
        </w:trPr>
        <w:tc>
          <w:tcPr>
            <w:tcW w:w="1599" w:type="dxa"/>
          </w:tcPr>
          <w:p w:rsidR="00825E87" w:rsidRDefault="00CB188B">
            <w:pPr>
              <w:pStyle w:val="TableParagraph"/>
              <w:spacing w:line="276" w:lineRule="auto"/>
              <w:ind w:left="480" w:right="268" w:hanging="99"/>
              <w:rPr>
                <w:sz w:val="24"/>
              </w:rPr>
            </w:pPr>
            <w:r>
              <w:rPr>
                <w:sz w:val="24"/>
              </w:rPr>
              <w:t>Cochrane Library</w:t>
            </w:r>
          </w:p>
        </w:tc>
        <w:tc>
          <w:tcPr>
            <w:tcW w:w="3911" w:type="dxa"/>
          </w:tcPr>
          <w:p w:rsidR="00825E87" w:rsidRDefault="00CB188B">
            <w:pPr>
              <w:pStyle w:val="TableParagraph"/>
              <w:ind w:left="1629" w:right="324" w:hanging="1059"/>
              <w:rPr>
                <w:sz w:val="24"/>
              </w:rPr>
            </w:pPr>
            <w:r>
              <w:rPr>
                <w:sz w:val="24"/>
              </w:rPr>
              <w:t>ankylosing spondylitis in Title, Abstract,</w:t>
            </w:r>
          </w:p>
          <w:p w:rsidR="00825E87" w:rsidRDefault="00CB188B">
            <w:pPr>
              <w:pStyle w:val="TableParagraph"/>
              <w:ind w:left="330"/>
              <w:rPr>
                <w:sz w:val="24"/>
              </w:rPr>
            </w:pPr>
            <w:r>
              <w:rPr>
                <w:sz w:val="24"/>
              </w:rPr>
              <w:t>Keywords</w:t>
            </w:r>
          </w:p>
        </w:tc>
        <w:tc>
          <w:tcPr>
            <w:tcW w:w="1592" w:type="dxa"/>
          </w:tcPr>
          <w:p w:rsidR="00825E87" w:rsidRDefault="00CB188B">
            <w:pPr>
              <w:pStyle w:val="TableParagraph"/>
              <w:spacing w:line="275" w:lineRule="exact"/>
              <w:ind w:left="620"/>
              <w:rPr>
                <w:b/>
                <w:sz w:val="24"/>
              </w:rPr>
            </w:pPr>
            <w:r>
              <w:rPr>
                <w:b/>
                <w:sz w:val="24"/>
              </w:rPr>
              <w:t>12</w:t>
            </w:r>
          </w:p>
        </w:tc>
        <w:tc>
          <w:tcPr>
            <w:tcW w:w="2773" w:type="dxa"/>
          </w:tcPr>
          <w:p w:rsidR="00825E87" w:rsidRDefault="00CB188B">
            <w:pPr>
              <w:pStyle w:val="TableParagraph"/>
              <w:spacing w:line="237" w:lineRule="auto"/>
              <w:ind w:left="334" w:right="195" w:hanging="6"/>
              <w:jc w:val="center"/>
              <w:rPr>
                <w:sz w:val="24"/>
              </w:rPr>
            </w:pPr>
            <w:r>
              <w:rPr>
                <w:b/>
                <w:sz w:val="24"/>
              </w:rPr>
              <w:t xml:space="preserve">Motivo das exclusões: </w:t>
            </w:r>
            <w:r>
              <w:rPr>
                <w:sz w:val="24"/>
              </w:rPr>
              <w:t>2 artigos fornecem protocolo de estudos; 5 artigos não avaliaram</w:t>
            </w:r>
          </w:p>
          <w:p w:rsidR="00825E87" w:rsidRDefault="00CB188B">
            <w:pPr>
              <w:pStyle w:val="TableParagraph"/>
              <w:spacing w:before="3" w:line="264" w:lineRule="exact"/>
              <w:ind w:left="317" w:right="181"/>
              <w:jc w:val="center"/>
              <w:rPr>
                <w:sz w:val="24"/>
              </w:rPr>
            </w:pPr>
            <w:r>
              <w:rPr>
                <w:sz w:val="24"/>
              </w:rPr>
              <w:t>pacientes com EA</w:t>
            </w:r>
          </w:p>
        </w:tc>
      </w:tr>
      <w:tr w:rsidR="00825E87">
        <w:trPr>
          <w:trHeight w:val="2299"/>
        </w:trPr>
        <w:tc>
          <w:tcPr>
            <w:tcW w:w="1599" w:type="dxa"/>
          </w:tcPr>
          <w:p w:rsidR="00825E87" w:rsidRDefault="00CB188B">
            <w:pPr>
              <w:pStyle w:val="TableParagraph"/>
              <w:spacing w:line="270" w:lineRule="exact"/>
              <w:ind w:left="420"/>
              <w:rPr>
                <w:sz w:val="24"/>
              </w:rPr>
            </w:pPr>
            <w:r>
              <w:rPr>
                <w:sz w:val="24"/>
              </w:rPr>
              <w:t>LILACS</w:t>
            </w:r>
          </w:p>
        </w:tc>
        <w:tc>
          <w:tcPr>
            <w:tcW w:w="3911" w:type="dxa"/>
          </w:tcPr>
          <w:p w:rsidR="00825E87" w:rsidRDefault="00CB188B">
            <w:pPr>
              <w:pStyle w:val="TableParagraph"/>
              <w:spacing w:line="216" w:lineRule="exact"/>
              <w:ind w:left="330"/>
              <w:rPr>
                <w:sz w:val="24"/>
              </w:rPr>
            </w:pPr>
            <w:r>
              <w:rPr>
                <w:sz w:val="24"/>
              </w:rPr>
              <w:t>tw:(espondilite anquilosante) AND</w:t>
            </w:r>
          </w:p>
          <w:p w:rsidR="00825E87" w:rsidRDefault="00CB188B">
            <w:pPr>
              <w:pStyle w:val="TableParagraph"/>
              <w:spacing w:before="18" w:line="211" w:lineRule="auto"/>
              <w:ind w:left="330" w:right="836"/>
              <w:rPr>
                <w:sz w:val="24"/>
              </w:rPr>
            </w:pPr>
            <w:r>
              <w:rPr>
                <w:sz w:val="24"/>
              </w:rPr>
              <w:t>(instance:"regional") AND ( db:("LILACS") AND</w:t>
            </w:r>
          </w:p>
          <w:p w:rsidR="00825E87" w:rsidRDefault="00CB188B">
            <w:pPr>
              <w:pStyle w:val="TableParagraph"/>
              <w:spacing w:line="223" w:lineRule="exact"/>
              <w:ind w:left="330"/>
              <w:rPr>
                <w:sz w:val="24"/>
              </w:rPr>
            </w:pPr>
            <w:r>
              <w:rPr>
                <w:sz w:val="24"/>
              </w:rPr>
              <w:t>year_cluster:("2012"</w:t>
            </w:r>
          </w:p>
          <w:p w:rsidR="00825E87" w:rsidRDefault="00CB188B">
            <w:pPr>
              <w:pStyle w:val="TableParagraph"/>
              <w:spacing w:line="268" w:lineRule="exact"/>
              <w:ind w:left="330"/>
              <w:rPr>
                <w:sz w:val="24"/>
              </w:rPr>
            </w:pPr>
            <w:r>
              <w:rPr>
                <w:sz w:val="24"/>
              </w:rPr>
              <w:t>OR "2013"))</w:t>
            </w:r>
          </w:p>
        </w:tc>
        <w:tc>
          <w:tcPr>
            <w:tcW w:w="1592" w:type="dxa"/>
          </w:tcPr>
          <w:p w:rsidR="00825E87" w:rsidRDefault="00CB188B">
            <w:pPr>
              <w:pStyle w:val="TableParagraph"/>
              <w:spacing w:line="275" w:lineRule="exact"/>
              <w:ind w:left="620"/>
              <w:rPr>
                <w:b/>
                <w:sz w:val="24"/>
              </w:rPr>
            </w:pPr>
            <w:r>
              <w:rPr>
                <w:b/>
                <w:sz w:val="24"/>
              </w:rPr>
              <w:t>26</w:t>
            </w:r>
          </w:p>
        </w:tc>
        <w:tc>
          <w:tcPr>
            <w:tcW w:w="2773" w:type="dxa"/>
          </w:tcPr>
          <w:p w:rsidR="00825E87" w:rsidRDefault="00CB188B">
            <w:pPr>
              <w:pStyle w:val="TableParagraph"/>
              <w:spacing w:line="219" w:lineRule="exact"/>
              <w:ind w:left="6"/>
              <w:jc w:val="center"/>
              <w:rPr>
                <w:sz w:val="24"/>
              </w:rPr>
            </w:pPr>
            <w:r>
              <w:rPr>
                <w:w w:val="97"/>
                <w:sz w:val="24"/>
              </w:rPr>
              <w:t>2</w:t>
            </w:r>
          </w:p>
          <w:p w:rsidR="00825E87" w:rsidRDefault="00CB188B">
            <w:pPr>
              <w:pStyle w:val="TableParagraph"/>
              <w:spacing w:before="32" w:line="199" w:lineRule="auto"/>
              <w:ind w:left="286" w:right="154" w:firstLine="1"/>
              <w:jc w:val="center"/>
              <w:rPr>
                <w:sz w:val="24"/>
              </w:rPr>
            </w:pPr>
            <w:r>
              <w:rPr>
                <w:b/>
                <w:sz w:val="24"/>
              </w:rPr>
              <w:t xml:space="preserve">Motivo das exclusões: </w:t>
            </w:r>
            <w:r>
              <w:rPr>
                <w:sz w:val="24"/>
              </w:rPr>
              <w:t>8 artigos não avaliaram pacientes com EA; 2 artigos são relatos de casos; 3 artigos são revisões simples da literatu</w:t>
            </w:r>
            <w:r>
              <w:rPr>
                <w:sz w:val="24"/>
              </w:rPr>
              <w:t>ra; 11 artigos</w:t>
            </w:r>
            <w:r>
              <w:rPr>
                <w:spacing w:val="-41"/>
                <w:sz w:val="24"/>
              </w:rPr>
              <w:t xml:space="preserve"> </w:t>
            </w:r>
            <w:r>
              <w:rPr>
                <w:sz w:val="24"/>
              </w:rPr>
              <w:t>não avaliam</w:t>
            </w:r>
            <w:r>
              <w:rPr>
                <w:spacing w:val="-6"/>
                <w:sz w:val="24"/>
              </w:rPr>
              <w:t xml:space="preserve"> </w:t>
            </w:r>
            <w:r>
              <w:rPr>
                <w:sz w:val="24"/>
              </w:rPr>
              <w:t>desfechos</w:t>
            </w:r>
          </w:p>
          <w:p w:rsidR="00825E87" w:rsidRDefault="00CB188B">
            <w:pPr>
              <w:pStyle w:val="TableParagraph"/>
              <w:spacing w:line="196" w:lineRule="exact"/>
              <w:ind w:left="317" w:right="181"/>
              <w:jc w:val="center"/>
              <w:rPr>
                <w:sz w:val="24"/>
              </w:rPr>
            </w:pPr>
            <w:r>
              <w:rPr>
                <w:sz w:val="24"/>
              </w:rPr>
              <w:t>terapêuticos na</w:t>
            </w:r>
            <w:r>
              <w:rPr>
                <w:spacing w:val="-33"/>
                <w:sz w:val="24"/>
              </w:rPr>
              <w:t xml:space="preserve"> </w:t>
            </w:r>
            <w:r>
              <w:rPr>
                <w:sz w:val="24"/>
              </w:rPr>
              <w:t>EA</w:t>
            </w:r>
          </w:p>
        </w:tc>
      </w:tr>
    </w:tbl>
    <w:p w:rsidR="00825E87" w:rsidRDefault="00825E87">
      <w:pPr>
        <w:pStyle w:val="Corpodetexto"/>
        <w:ind w:left="0"/>
        <w:rPr>
          <w:b/>
          <w:sz w:val="26"/>
        </w:rPr>
      </w:pPr>
    </w:p>
    <w:p w:rsidR="00825E87" w:rsidRDefault="00825E87">
      <w:pPr>
        <w:pStyle w:val="Corpodetexto"/>
        <w:ind w:left="0"/>
        <w:rPr>
          <w:b/>
          <w:sz w:val="26"/>
        </w:rPr>
      </w:pPr>
    </w:p>
    <w:p w:rsidR="00825E87" w:rsidRDefault="00CB188B">
      <w:pPr>
        <w:spacing w:before="226"/>
        <w:ind w:left="503"/>
        <w:rPr>
          <w:b/>
          <w:sz w:val="24"/>
        </w:rPr>
      </w:pPr>
      <w:r>
        <w:rPr>
          <w:b/>
          <w:sz w:val="24"/>
        </w:rPr>
        <w:t>Busca sobre intervenções terapêuticas - ensaios clínicos randomizados</w:t>
      </w:r>
    </w:p>
    <w:p w:rsidR="00825E87" w:rsidRDefault="00825E87">
      <w:pPr>
        <w:rPr>
          <w:sz w:val="24"/>
        </w:rPr>
        <w:sectPr w:rsidR="00825E87">
          <w:pgSz w:w="11900" w:h="16840"/>
          <w:pgMar w:top="1160" w:right="880" w:bottom="280" w:left="920" w:header="720" w:footer="720" w:gutter="0"/>
          <w:cols w:space="720"/>
        </w:sect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543"/>
        <w:gridCol w:w="1418"/>
        <w:gridCol w:w="3103"/>
      </w:tblGrid>
      <w:tr w:rsidR="00825E87">
        <w:trPr>
          <w:trHeight w:val="498"/>
        </w:trPr>
        <w:tc>
          <w:tcPr>
            <w:tcW w:w="1560" w:type="dxa"/>
          </w:tcPr>
          <w:p w:rsidR="00825E87" w:rsidRDefault="00CB188B">
            <w:pPr>
              <w:pStyle w:val="TableParagraph"/>
              <w:spacing w:line="221" w:lineRule="exact"/>
              <w:ind w:left="116" w:right="112"/>
              <w:jc w:val="center"/>
              <w:rPr>
                <w:b/>
                <w:sz w:val="24"/>
              </w:rPr>
            </w:pPr>
            <w:r>
              <w:rPr>
                <w:b/>
                <w:sz w:val="24"/>
              </w:rPr>
              <w:lastRenderedPageBreak/>
              <w:t>BASE</w:t>
            </w:r>
          </w:p>
        </w:tc>
        <w:tc>
          <w:tcPr>
            <w:tcW w:w="3543" w:type="dxa"/>
          </w:tcPr>
          <w:p w:rsidR="00825E87" w:rsidRDefault="00CB188B">
            <w:pPr>
              <w:pStyle w:val="TableParagraph"/>
              <w:spacing w:line="269" w:lineRule="exact"/>
              <w:ind w:left="1047"/>
              <w:rPr>
                <w:b/>
                <w:sz w:val="24"/>
              </w:rPr>
            </w:pPr>
            <w:r>
              <w:rPr>
                <w:b/>
                <w:sz w:val="24"/>
              </w:rPr>
              <w:t>ESTRATÉGIA</w:t>
            </w:r>
          </w:p>
        </w:tc>
        <w:tc>
          <w:tcPr>
            <w:tcW w:w="1418" w:type="dxa"/>
          </w:tcPr>
          <w:p w:rsidR="00825E87" w:rsidRDefault="00CB188B">
            <w:pPr>
              <w:pStyle w:val="TableParagraph"/>
              <w:spacing w:line="184" w:lineRule="auto"/>
              <w:ind w:left="449" w:hanging="219"/>
              <w:rPr>
                <w:b/>
                <w:sz w:val="24"/>
              </w:rPr>
            </w:pPr>
            <w:r>
              <w:rPr>
                <w:b/>
                <w:w w:val="95"/>
                <w:sz w:val="24"/>
              </w:rPr>
              <w:t xml:space="preserve">LOCALIZ </w:t>
            </w:r>
            <w:r>
              <w:rPr>
                <w:b/>
                <w:sz w:val="24"/>
              </w:rPr>
              <w:t>ADOS</w:t>
            </w:r>
          </w:p>
        </w:tc>
        <w:tc>
          <w:tcPr>
            <w:tcW w:w="3103" w:type="dxa"/>
          </w:tcPr>
          <w:p w:rsidR="00825E87" w:rsidRDefault="00CB188B">
            <w:pPr>
              <w:pStyle w:val="TableParagraph"/>
              <w:spacing w:line="221" w:lineRule="exact"/>
              <w:ind w:left="596"/>
              <w:rPr>
                <w:b/>
                <w:sz w:val="24"/>
              </w:rPr>
            </w:pPr>
            <w:r>
              <w:rPr>
                <w:b/>
                <w:sz w:val="24"/>
              </w:rPr>
              <w:t>SELECIONADOS</w:t>
            </w:r>
          </w:p>
        </w:tc>
      </w:tr>
      <w:tr w:rsidR="00825E87">
        <w:trPr>
          <w:trHeight w:val="1847"/>
        </w:trPr>
        <w:tc>
          <w:tcPr>
            <w:tcW w:w="1560" w:type="dxa"/>
          </w:tcPr>
          <w:p w:rsidR="00825E87" w:rsidRDefault="00CB188B">
            <w:pPr>
              <w:pStyle w:val="TableParagraph"/>
              <w:spacing w:line="213" w:lineRule="exact"/>
              <w:ind w:left="141"/>
              <w:rPr>
                <w:b/>
                <w:sz w:val="24"/>
              </w:rPr>
            </w:pPr>
            <w:r>
              <w:rPr>
                <w:b/>
                <w:sz w:val="24"/>
              </w:rPr>
              <w:t>Medline (via</w:t>
            </w:r>
          </w:p>
          <w:p w:rsidR="00825E87" w:rsidRDefault="00CB188B">
            <w:pPr>
              <w:pStyle w:val="TableParagraph"/>
              <w:spacing w:before="25" w:line="206" w:lineRule="auto"/>
              <w:ind w:left="12" w:right="-16" w:firstLine="292"/>
              <w:rPr>
                <w:b/>
                <w:sz w:val="24"/>
              </w:rPr>
            </w:pPr>
            <w:r>
              <w:rPr>
                <w:b/>
                <w:sz w:val="24"/>
              </w:rPr>
              <w:t>PubMed) Data da busca:</w:t>
            </w:r>
          </w:p>
          <w:p w:rsidR="00825E87" w:rsidRDefault="00CB188B">
            <w:pPr>
              <w:pStyle w:val="TableParagraph"/>
              <w:spacing w:line="272" w:lineRule="exact"/>
              <w:ind w:left="233"/>
              <w:rPr>
                <w:b/>
                <w:sz w:val="24"/>
              </w:rPr>
            </w:pPr>
            <w:r>
              <w:rPr>
                <w:b/>
                <w:sz w:val="24"/>
              </w:rPr>
              <w:t>01/09/2016</w:t>
            </w:r>
          </w:p>
        </w:tc>
        <w:tc>
          <w:tcPr>
            <w:tcW w:w="3543" w:type="dxa"/>
          </w:tcPr>
          <w:p w:rsidR="00825E87" w:rsidRDefault="00CB188B">
            <w:pPr>
              <w:pStyle w:val="TableParagraph"/>
              <w:spacing w:line="187" w:lineRule="auto"/>
              <w:ind w:left="494" w:right="399" w:firstLine="8"/>
              <w:jc w:val="center"/>
              <w:rPr>
                <w:b/>
                <w:sz w:val="24"/>
              </w:rPr>
            </w:pPr>
            <w:r>
              <w:rPr>
                <w:b/>
                <w:sz w:val="24"/>
              </w:rPr>
              <w:t xml:space="preserve">("Spondylitis, </w:t>
            </w:r>
            <w:r>
              <w:rPr>
                <w:b/>
                <w:w w:val="95"/>
                <w:sz w:val="24"/>
              </w:rPr>
              <w:t>Ankylosing"[Mesh]) AND</w:t>
            </w:r>
          </w:p>
          <w:p w:rsidR="00825E87" w:rsidRDefault="00CB188B">
            <w:pPr>
              <w:pStyle w:val="TableParagraph"/>
              <w:ind w:left="110" w:right="7"/>
              <w:jc w:val="center"/>
              <w:rPr>
                <w:b/>
                <w:sz w:val="24"/>
              </w:rPr>
            </w:pPr>
            <w:r>
              <w:rPr>
                <w:b/>
                <w:sz w:val="24"/>
              </w:rPr>
              <w:t>"Therapeutics"[Mesh] Filters: Randomized</w:t>
            </w:r>
          </w:p>
          <w:p w:rsidR="00825E87" w:rsidRDefault="00CB188B">
            <w:pPr>
              <w:pStyle w:val="TableParagraph"/>
              <w:spacing w:line="213" w:lineRule="auto"/>
              <w:ind w:left="317" w:right="219" w:hanging="1"/>
              <w:jc w:val="center"/>
              <w:rPr>
                <w:b/>
                <w:sz w:val="24"/>
              </w:rPr>
            </w:pPr>
            <w:r>
              <w:rPr>
                <w:b/>
                <w:sz w:val="24"/>
              </w:rPr>
              <w:t>Controlled Trial, From 2014/04/06, Humans,</w:t>
            </w:r>
            <w:r>
              <w:rPr>
                <w:b/>
                <w:spacing w:val="-45"/>
                <w:sz w:val="24"/>
              </w:rPr>
              <w:t xml:space="preserve"> </w:t>
            </w:r>
            <w:r>
              <w:rPr>
                <w:b/>
                <w:sz w:val="24"/>
              </w:rPr>
              <w:t>English, Portuguese,</w:t>
            </w:r>
            <w:r>
              <w:rPr>
                <w:b/>
                <w:spacing w:val="-5"/>
                <w:sz w:val="24"/>
              </w:rPr>
              <w:t xml:space="preserve"> </w:t>
            </w:r>
            <w:r>
              <w:rPr>
                <w:b/>
                <w:sz w:val="24"/>
              </w:rPr>
              <w:t>Spanish</w:t>
            </w:r>
          </w:p>
        </w:tc>
        <w:tc>
          <w:tcPr>
            <w:tcW w:w="1418" w:type="dxa"/>
          </w:tcPr>
          <w:p w:rsidR="00825E87" w:rsidRDefault="00CB188B">
            <w:pPr>
              <w:pStyle w:val="TableParagraph"/>
              <w:spacing w:line="219" w:lineRule="exact"/>
              <w:ind w:right="510"/>
              <w:jc w:val="right"/>
              <w:rPr>
                <w:b/>
                <w:sz w:val="24"/>
              </w:rPr>
            </w:pPr>
            <w:r>
              <w:rPr>
                <w:b/>
                <w:w w:val="95"/>
                <w:sz w:val="24"/>
              </w:rPr>
              <w:t>13</w:t>
            </w:r>
          </w:p>
        </w:tc>
        <w:tc>
          <w:tcPr>
            <w:tcW w:w="3103" w:type="dxa"/>
          </w:tcPr>
          <w:p w:rsidR="00825E87" w:rsidRDefault="00CB188B">
            <w:pPr>
              <w:pStyle w:val="TableParagraph"/>
              <w:spacing w:line="213" w:lineRule="exact"/>
              <w:ind w:right="12"/>
              <w:jc w:val="center"/>
              <w:rPr>
                <w:b/>
                <w:sz w:val="24"/>
              </w:rPr>
            </w:pPr>
            <w:r>
              <w:rPr>
                <w:b/>
                <w:sz w:val="24"/>
              </w:rPr>
              <w:t>8</w:t>
            </w:r>
          </w:p>
          <w:p w:rsidR="00825E87" w:rsidRDefault="00CB188B">
            <w:pPr>
              <w:pStyle w:val="TableParagraph"/>
              <w:spacing w:before="25" w:line="206" w:lineRule="auto"/>
              <w:ind w:left="399" w:right="410" w:firstLine="1"/>
              <w:jc w:val="center"/>
              <w:rPr>
                <w:b/>
                <w:sz w:val="24"/>
              </w:rPr>
            </w:pPr>
            <w:r>
              <w:rPr>
                <w:b/>
                <w:sz w:val="24"/>
              </w:rPr>
              <w:t>Motivo das exclusões: 2 artigos com</w:t>
            </w:r>
            <w:r>
              <w:rPr>
                <w:b/>
                <w:spacing w:val="-37"/>
                <w:sz w:val="24"/>
              </w:rPr>
              <w:t xml:space="preserve"> </w:t>
            </w:r>
            <w:r>
              <w:rPr>
                <w:b/>
                <w:sz w:val="24"/>
              </w:rPr>
              <w:t>desfecho</w:t>
            </w:r>
          </w:p>
          <w:p w:rsidR="00825E87" w:rsidRDefault="00CB188B">
            <w:pPr>
              <w:pStyle w:val="TableParagraph"/>
              <w:spacing w:line="196" w:lineRule="auto"/>
              <w:ind w:left="189" w:right="206"/>
              <w:jc w:val="center"/>
              <w:rPr>
                <w:b/>
                <w:sz w:val="24"/>
              </w:rPr>
            </w:pPr>
            <w:r>
              <w:rPr>
                <w:b/>
                <w:sz w:val="24"/>
              </w:rPr>
              <w:t>cardiovascular substituto;</w:t>
            </w:r>
            <w:r>
              <w:rPr>
                <w:b/>
                <w:w w:val="97"/>
                <w:sz w:val="24"/>
              </w:rPr>
              <w:t xml:space="preserve"> </w:t>
            </w:r>
            <w:r>
              <w:rPr>
                <w:b/>
                <w:sz w:val="24"/>
              </w:rPr>
              <w:t>1 artigo na população chinesa apenas; 2 artigos</w:t>
            </w:r>
          </w:p>
          <w:p w:rsidR="00825E87" w:rsidRDefault="00CB188B">
            <w:pPr>
              <w:pStyle w:val="TableParagraph"/>
              <w:spacing w:before="1" w:line="226" w:lineRule="exact"/>
              <w:ind w:left="189" w:right="202"/>
              <w:jc w:val="center"/>
              <w:rPr>
                <w:b/>
                <w:sz w:val="24"/>
              </w:rPr>
            </w:pPr>
            <w:r>
              <w:rPr>
                <w:b/>
                <w:sz w:val="24"/>
              </w:rPr>
              <w:t>não avaliaram desfechos clínicos da EA</w:t>
            </w:r>
          </w:p>
        </w:tc>
      </w:tr>
      <w:tr w:rsidR="00825E87">
        <w:trPr>
          <w:trHeight w:val="1794"/>
        </w:trPr>
        <w:tc>
          <w:tcPr>
            <w:tcW w:w="1560" w:type="dxa"/>
          </w:tcPr>
          <w:p w:rsidR="00825E87" w:rsidRDefault="00CB188B">
            <w:pPr>
              <w:pStyle w:val="TableParagraph"/>
              <w:spacing w:line="219" w:lineRule="exact"/>
              <w:ind w:left="117" w:right="112"/>
              <w:jc w:val="center"/>
              <w:rPr>
                <w:b/>
                <w:sz w:val="24"/>
              </w:rPr>
            </w:pPr>
            <w:r>
              <w:rPr>
                <w:b/>
                <w:sz w:val="24"/>
              </w:rPr>
              <w:t>Embase</w:t>
            </w:r>
          </w:p>
        </w:tc>
        <w:tc>
          <w:tcPr>
            <w:tcW w:w="3543" w:type="dxa"/>
          </w:tcPr>
          <w:p w:rsidR="00825E87" w:rsidRDefault="00CB188B">
            <w:pPr>
              <w:pStyle w:val="TableParagraph"/>
              <w:spacing w:line="189" w:lineRule="auto"/>
              <w:ind w:left="110" w:right="8"/>
              <w:jc w:val="center"/>
              <w:rPr>
                <w:b/>
                <w:sz w:val="24"/>
              </w:rPr>
            </w:pPr>
            <w:r>
              <w:rPr>
                <w:b/>
                <w:sz w:val="24"/>
              </w:rPr>
              <w:t>'ankylosing spondylitis'/exp</w:t>
            </w:r>
            <w:r>
              <w:rPr>
                <w:b/>
                <w:spacing w:val="-10"/>
                <w:sz w:val="24"/>
              </w:rPr>
              <w:t xml:space="preserve"> </w:t>
            </w:r>
            <w:r>
              <w:rPr>
                <w:b/>
                <w:sz w:val="24"/>
              </w:rPr>
              <w:t>AND 'therapy'/exp</w:t>
            </w:r>
            <w:r>
              <w:rPr>
                <w:b/>
                <w:spacing w:val="-1"/>
                <w:sz w:val="24"/>
              </w:rPr>
              <w:t xml:space="preserve"> </w:t>
            </w:r>
            <w:r>
              <w:rPr>
                <w:b/>
                <w:sz w:val="24"/>
              </w:rPr>
              <w:t>AND</w:t>
            </w:r>
          </w:p>
          <w:p w:rsidR="00825E87" w:rsidRDefault="00CB188B">
            <w:pPr>
              <w:pStyle w:val="TableParagraph"/>
              <w:spacing w:line="199" w:lineRule="auto"/>
              <w:ind w:left="107" w:right="8"/>
              <w:jc w:val="center"/>
              <w:rPr>
                <w:b/>
                <w:sz w:val="24"/>
              </w:rPr>
            </w:pPr>
            <w:r>
              <w:rPr>
                <w:b/>
                <w:sz w:val="24"/>
              </w:rPr>
              <w:t>[randomized</w:t>
            </w:r>
            <w:r>
              <w:rPr>
                <w:b/>
                <w:spacing w:val="-27"/>
                <w:sz w:val="24"/>
              </w:rPr>
              <w:t xml:space="preserve"> </w:t>
            </w:r>
            <w:r>
              <w:rPr>
                <w:b/>
                <w:sz w:val="24"/>
              </w:rPr>
              <w:t>controlled</w:t>
            </w:r>
            <w:r>
              <w:rPr>
                <w:b/>
                <w:spacing w:val="-26"/>
                <w:sz w:val="24"/>
              </w:rPr>
              <w:t xml:space="preserve"> </w:t>
            </w:r>
            <w:r>
              <w:rPr>
                <w:b/>
                <w:sz w:val="24"/>
              </w:rPr>
              <w:t>trial]/lim AND</w:t>
            </w:r>
            <w:r>
              <w:rPr>
                <w:b/>
                <w:spacing w:val="-3"/>
                <w:sz w:val="24"/>
              </w:rPr>
              <w:t xml:space="preserve"> </w:t>
            </w:r>
            <w:r>
              <w:rPr>
                <w:b/>
                <w:sz w:val="24"/>
              </w:rPr>
              <w:t>([english]/lim</w:t>
            </w:r>
          </w:p>
          <w:p w:rsidR="00825E87" w:rsidRDefault="00CB188B">
            <w:pPr>
              <w:pStyle w:val="TableParagraph"/>
              <w:spacing w:line="196" w:lineRule="auto"/>
              <w:ind w:left="151" w:right="47" w:hanging="5"/>
              <w:jc w:val="center"/>
              <w:rPr>
                <w:b/>
                <w:sz w:val="24"/>
              </w:rPr>
            </w:pPr>
            <w:r>
              <w:rPr>
                <w:b/>
                <w:sz w:val="24"/>
              </w:rPr>
              <w:t>OR [portuguese]/lim OR [spanish]/lim) AND [humans]/lim AND [embase]/lim</w:t>
            </w:r>
          </w:p>
          <w:p w:rsidR="00825E87" w:rsidRDefault="00CB188B">
            <w:pPr>
              <w:pStyle w:val="TableParagraph"/>
              <w:spacing w:line="213" w:lineRule="exact"/>
              <w:ind w:left="110" w:right="7"/>
              <w:jc w:val="center"/>
              <w:rPr>
                <w:b/>
                <w:sz w:val="24"/>
              </w:rPr>
            </w:pPr>
            <w:r>
              <w:rPr>
                <w:b/>
                <w:sz w:val="24"/>
              </w:rPr>
              <w:t>AND [5-4-2014]/sd</w:t>
            </w:r>
          </w:p>
        </w:tc>
        <w:tc>
          <w:tcPr>
            <w:tcW w:w="1418" w:type="dxa"/>
          </w:tcPr>
          <w:p w:rsidR="00825E87" w:rsidRDefault="00CB188B">
            <w:pPr>
              <w:pStyle w:val="TableParagraph"/>
              <w:spacing w:line="219" w:lineRule="exact"/>
              <w:ind w:right="510"/>
              <w:jc w:val="right"/>
              <w:rPr>
                <w:b/>
                <w:sz w:val="24"/>
              </w:rPr>
            </w:pPr>
            <w:r>
              <w:rPr>
                <w:b/>
                <w:w w:val="95"/>
                <w:sz w:val="24"/>
              </w:rPr>
              <w:t>50</w:t>
            </w:r>
          </w:p>
        </w:tc>
        <w:tc>
          <w:tcPr>
            <w:tcW w:w="3103" w:type="dxa"/>
          </w:tcPr>
          <w:p w:rsidR="00825E87" w:rsidRDefault="00CB188B">
            <w:pPr>
              <w:pStyle w:val="TableParagraph"/>
              <w:spacing w:line="214" w:lineRule="exact"/>
              <w:ind w:left="189" w:right="121"/>
              <w:jc w:val="center"/>
              <w:rPr>
                <w:b/>
                <w:sz w:val="24"/>
              </w:rPr>
            </w:pPr>
            <w:r>
              <w:rPr>
                <w:b/>
                <w:sz w:val="24"/>
              </w:rPr>
              <w:t>23</w:t>
            </w:r>
          </w:p>
          <w:p w:rsidR="00825E87" w:rsidRDefault="00CB188B">
            <w:pPr>
              <w:pStyle w:val="TableParagraph"/>
              <w:spacing w:before="26" w:line="206" w:lineRule="auto"/>
              <w:ind w:left="490" w:right="331" w:hanging="1"/>
              <w:jc w:val="center"/>
              <w:rPr>
                <w:b/>
                <w:sz w:val="24"/>
              </w:rPr>
            </w:pPr>
            <w:r>
              <w:rPr>
                <w:b/>
                <w:sz w:val="24"/>
              </w:rPr>
              <w:t>Motivo das exclusões: 15</w:t>
            </w:r>
            <w:r>
              <w:rPr>
                <w:b/>
                <w:spacing w:val="-16"/>
                <w:sz w:val="24"/>
              </w:rPr>
              <w:t xml:space="preserve"> </w:t>
            </w:r>
            <w:r>
              <w:rPr>
                <w:b/>
                <w:sz w:val="24"/>
              </w:rPr>
              <w:t>artigos</w:t>
            </w:r>
            <w:r>
              <w:rPr>
                <w:b/>
                <w:spacing w:val="-16"/>
                <w:sz w:val="24"/>
              </w:rPr>
              <w:t xml:space="preserve"> </w:t>
            </w:r>
            <w:r>
              <w:rPr>
                <w:b/>
                <w:sz w:val="24"/>
              </w:rPr>
              <w:t>não</w:t>
            </w:r>
            <w:r>
              <w:rPr>
                <w:b/>
                <w:spacing w:val="-15"/>
                <w:sz w:val="24"/>
              </w:rPr>
              <w:t xml:space="preserve"> </w:t>
            </w:r>
            <w:r>
              <w:rPr>
                <w:b/>
                <w:sz w:val="24"/>
              </w:rPr>
              <w:t>avaliam</w:t>
            </w:r>
          </w:p>
          <w:p w:rsidR="00825E87" w:rsidRDefault="00CB188B">
            <w:pPr>
              <w:pStyle w:val="TableParagraph"/>
              <w:spacing w:line="227" w:lineRule="exact"/>
              <w:ind w:left="154"/>
              <w:rPr>
                <w:b/>
                <w:sz w:val="24"/>
              </w:rPr>
            </w:pPr>
            <w:r>
              <w:rPr>
                <w:b/>
                <w:sz w:val="24"/>
              </w:rPr>
              <w:t>pacientes</w:t>
            </w:r>
            <w:r>
              <w:rPr>
                <w:b/>
                <w:spacing w:val="-13"/>
                <w:sz w:val="24"/>
              </w:rPr>
              <w:t xml:space="preserve"> </w:t>
            </w:r>
            <w:r>
              <w:rPr>
                <w:b/>
                <w:sz w:val="24"/>
              </w:rPr>
              <w:t>com</w:t>
            </w:r>
            <w:r>
              <w:rPr>
                <w:b/>
                <w:spacing w:val="-10"/>
                <w:sz w:val="24"/>
              </w:rPr>
              <w:t xml:space="preserve"> </w:t>
            </w:r>
            <w:r>
              <w:rPr>
                <w:b/>
                <w:sz w:val="24"/>
              </w:rPr>
              <w:t>EA;</w:t>
            </w:r>
            <w:r>
              <w:rPr>
                <w:b/>
                <w:spacing w:val="-12"/>
                <w:sz w:val="24"/>
              </w:rPr>
              <w:t xml:space="preserve"> </w:t>
            </w:r>
            <w:r>
              <w:rPr>
                <w:b/>
                <w:sz w:val="24"/>
              </w:rPr>
              <w:t>12</w:t>
            </w:r>
            <w:r>
              <w:rPr>
                <w:b/>
                <w:spacing w:val="-11"/>
                <w:sz w:val="24"/>
              </w:rPr>
              <w:t xml:space="preserve"> </w:t>
            </w:r>
            <w:r>
              <w:rPr>
                <w:b/>
                <w:sz w:val="24"/>
              </w:rPr>
              <w:t>artigos</w:t>
            </w:r>
          </w:p>
          <w:p w:rsidR="00825E87" w:rsidRDefault="00CB188B">
            <w:pPr>
              <w:pStyle w:val="TableParagraph"/>
              <w:ind w:left="189" w:right="29"/>
              <w:jc w:val="center"/>
              <w:rPr>
                <w:b/>
                <w:sz w:val="24"/>
              </w:rPr>
            </w:pPr>
            <w:r>
              <w:rPr>
                <w:b/>
                <w:sz w:val="24"/>
              </w:rPr>
              <w:t>não avaliam desfechos terapêuticos na EA</w:t>
            </w:r>
          </w:p>
        </w:tc>
      </w:tr>
    </w:tbl>
    <w:p w:rsidR="00825E87" w:rsidRDefault="00825E87">
      <w:pPr>
        <w:pStyle w:val="Corpodetexto"/>
        <w:spacing w:before="1"/>
        <w:ind w:left="0"/>
        <w:rPr>
          <w:b/>
          <w:sz w:val="11"/>
        </w:rPr>
      </w:pPr>
    </w:p>
    <w:p w:rsidR="00825E87" w:rsidRDefault="00CB188B">
      <w:pPr>
        <w:pStyle w:val="Corpodetexto"/>
        <w:spacing w:before="96" w:line="232" w:lineRule="auto"/>
        <w:ind w:left="299" w:firstLine="708"/>
      </w:pPr>
      <w:r>
        <w:t>A fim de guiar a revisão do PCDT vigente foram realizadas buscas na literatura sobre diagnóstico e dados nacionais sobre a doença:</w:t>
      </w:r>
    </w:p>
    <w:p w:rsidR="00825E87" w:rsidRDefault="00825E87">
      <w:pPr>
        <w:pStyle w:val="Corpodetexto"/>
        <w:spacing w:before="8"/>
        <w:ind w:left="0"/>
        <w:rPr>
          <w:sz w:val="20"/>
        </w:rPr>
      </w:pPr>
    </w:p>
    <w:p w:rsidR="00825E87" w:rsidRDefault="00CB188B">
      <w:pPr>
        <w:pStyle w:val="Ttulo1"/>
        <w:ind w:left="299"/>
      </w:pPr>
      <w:r>
        <w:t>Busca por diagnóstico</w:t>
      </w:r>
    </w:p>
    <w:p w:rsidR="00825E87" w:rsidRDefault="00CB188B">
      <w:pPr>
        <w:pStyle w:val="Corpodetexto"/>
        <w:spacing w:before="10"/>
        <w:ind w:left="0"/>
        <w:rPr>
          <w:b/>
          <w:sz w:val="20"/>
        </w:rPr>
      </w:pPr>
      <w:r>
        <w:pict>
          <v:shapetype id="_x0000_t202" coordsize="21600,21600" o:spt="202" path="m,l,21600r21600,l21600,xe">
            <v:stroke joinstyle="miter"/>
            <v:path gradientshapeok="t" o:connecttype="rect"/>
          </v:shapetype>
          <v:shape id="_x0000_s1028" type="#_x0000_t202" style="position:absolute;margin-left:56.75pt;margin-top:14pt;width:461.5pt;height:183.75pt;z-index:-251656192;mso-wrap-distance-left:0;mso-wrap-distance-right: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3970"/>
                    <w:gridCol w:w="1557"/>
                    <w:gridCol w:w="2126"/>
                  </w:tblGrid>
                  <w:tr w:rsidR="00825E87">
                    <w:trPr>
                      <w:trHeight w:val="462"/>
                    </w:trPr>
                    <w:tc>
                      <w:tcPr>
                        <w:tcW w:w="1560" w:type="dxa"/>
                      </w:tcPr>
                      <w:p w:rsidR="00825E87" w:rsidRDefault="00CB188B">
                        <w:pPr>
                          <w:pStyle w:val="TableParagraph"/>
                          <w:spacing w:before="183" w:line="259" w:lineRule="exact"/>
                          <w:ind w:left="475"/>
                          <w:rPr>
                            <w:b/>
                            <w:sz w:val="24"/>
                          </w:rPr>
                        </w:pPr>
                        <w:r>
                          <w:rPr>
                            <w:b/>
                            <w:sz w:val="24"/>
                          </w:rPr>
                          <w:t>BASE</w:t>
                        </w:r>
                      </w:p>
                    </w:tc>
                    <w:tc>
                      <w:tcPr>
                        <w:tcW w:w="3970" w:type="dxa"/>
                      </w:tcPr>
                      <w:p w:rsidR="00825E87" w:rsidRDefault="00CB188B">
                        <w:pPr>
                          <w:pStyle w:val="TableParagraph"/>
                          <w:spacing w:before="193" w:line="249" w:lineRule="exact"/>
                          <w:ind w:left="1116"/>
                          <w:rPr>
                            <w:b/>
                            <w:sz w:val="24"/>
                          </w:rPr>
                        </w:pPr>
                        <w:r>
                          <w:rPr>
                            <w:b/>
                            <w:sz w:val="24"/>
                          </w:rPr>
                          <w:t>ESTRATÉGIA</w:t>
                        </w:r>
                      </w:p>
                    </w:tc>
                    <w:tc>
                      <w:tcPr>
                        <w:tcW w:w="1557" w:type="dxa"/>
                      </w:tcPr>
                      <w:p w:rsidR="00825E87" w:rsidRDefault="00CB188B">
                        <w:pPr>
                          <w:pStyle w:val="TableParagraph"/>
                          <w:spacing w:line="222" w:lineRule="exact"/>
                          <w:ind w:left="28" w:right="24"/>
                          <w:jc w:val="center"/>
                          <w:rPr>
                            <w:b/>
                            <w:sz w:val="24"/>
                          </w:rPr>
                        </w:pPr>
                        <w:r>
                          <w:rPr>
                            <w:b/>
                            <w:sz w:val="24"/>
                          </w:rPr>
                          <w:t>LOCALIZAD</w:t>
                        </w:r>
                      </w:p>
                      <w:p w:rsidR="00825E87" w:rsidRDefault="00CB188B">
                        <w:pPr>
                          <w:pStyle w:val="TableParagraph"/>
                          <w:spacing w:line="221" w:lineRule="exact"/>
                          <w:ind w:left="28" w:right="18"/>
                          <w:jc w:val="center"/>
                          <w:rPr>
                            <w:b/>
                            <w:sz w:val="24"/>
                          </w:rPr>
                        </w:pPr>
                        <w:r>
                          <w:rPr>
                            <w:b/>
                            <w:sz w:val="24"/>
                          </w:rPr>
                          <w:t>OS</w:t>
                        </w:r>
                      </w:p>
                    </w:tc>
                    <w:tc>
                      <w:tcPr>
                        <w:tcW w:w="2126" w:type="dxa"/>
                      </w:tcPr>
                      <w:p w:rsidR="00825E87" w:rsidRDefault="00CB188B">
                        <w:pPr>
                          <w:pStyle w:val="TableParagraph"/>
                          <w:spacing w:before="193" w:line="249" w:lineRule="exact"/>
                          <w:ind w:left="118"/>
                          <w:rPr>
                            <w:b/>
                            <w:sz w:val="24"/>
                          </w:rPr>
                        </w:pPr>
                        <w:r>
                          <w:rPr>
                            <w:b/>
                            <w:sz w:val="24"/>
                          </w:rPr>
                          <w:t>SELECIONADOS</w:t>
                        </w:r>
                      </w:p>
                    </w:tc>
                  </w:tr>
                  <w:tr w:rsidR="00825E87">
                    <w:trPr>
                      <w:trHeight w:val="2109"/>
                    </w:trPr>
                    <w:tc>
                      <w:tcPr>
                        <w:tcW w:w="1560" w:type="dxa"/>
                      </w:tcPr>
                      <w:p w:rsidR="00825E87" w:rsidRDefault="00CB188B">
                        <w:pPr>
                          <w:pStyle w:val="TableParagraph"/>
                          <w:spacing w:line="184" w:lineRule="auto"/>
                          <w:ind w:left="336" w:hanging="168"/>
                          <w:rPr>
                            <w:sz w:val="24"/>
                          </w:rPr>
                        </w:pPr>
                        <w:r>
                          <w:rPr>
                            <w:sz w:val="24"/>
                          </w:rPr>
                          <w:t>Medline (via PubMed)</w:t>
                        </w:r>
                      </w:p>
                      <w:p w:rsidR="00825E87" w:rsidRDefault="00CB188B">
                        <w:pPr>
                          <w:pStyle w:val="TableParagraph"/>
                          <w:spacing w:before="21" w:line="211" w:lineRule="auto"/>
                          <w:ind w:left="242" w:right="46" w:hanging="171"/>
                          <w:rPr>
                            <w:sz w:val="24"/>
                          </w:rPr>
                        </w:pPr>
                        <w:r>
                          <w:rPr>
                            <w:sz w:val="24"/>
                          </w:rPr>
                          <w:t>Data da busca: 02/09/2016</w:t>
                        </w:r>
                      </w:p>
                    </w:tc>
                    <w:tc>
                      <w:tcPr>
                        <w:tcW w:w="3970" w:type="dxa"/>
                      </w:tcPr>
                      <w:p w:rsidR="00825E87" w:rsidRDefault="00CB188B">
                        <w:pPr>
                          <w:pStyle w:val="TableParagraph"/>
                          <w:spacing w:line="184" w:lineRule="auto"/>
                          <w:ind w:left="120"/>
                          <w:rPr>
                            <w:sz w:val="24"/>
                          </w:rPr>
                        </w:pPr>
                        <w:r>
                          <w:rPr>
                            <w:sz w:val="24"/>
                          </w:rPr>
                          <w:t>"</w:t>
                        </w:r>
                        <w:r>
                          <w:rPr>
                            <w:sz w:val="24"/>
                          </w:rPr>
                          <w:t>Spondylitis, Ankylosing/diagnosis"[Mesh] Filters:</w:t>
                        </w:r>
                      </w:p>
                      <w:p w:rsidR="00825E87" w:rsidRDefault="00CB188B">
                        <w:pPr>
                          <w:pStyle w:val="TableParagraph"/>
                          <w:ind w:left="120"/>
                          <w:rPr>
                            <w:sz w:val="24"/>
                          </w:rPr>
                        </w:pPr>
                        <w:r>
                          <w:rPr>
                            <w:sz w:val="24"/>
                          </w:rPr>
                          <w:t>Practice Guideline, Government Publications,</w:t>
                        </w:r>
                      </w:p>
                      <w:p w:rsidR="00825E87" w:rsidRDefault="00CB188B">
                        <w:pPr>
                          <w:pStyle w:val="TableParagraph"/>
                          <w:spacing w:line="196" w:lineRule="auto"/>
                          <w:ind w:left="120" w:right="187"/>
                          <w:rPr>
                            <w:sz w:val="24"/>
                          </w:rPr>
                        </w:pPr>
                        <w:r>
                          <w:rPr>
                            <w:sz w:val="24"/>
                          </w:rPr>
                          <w:t>Guideline, Consensus Development Conference, NIH, Consensus Development Conference, Systematic Reviews, From 2014/04/06, Humans,</w:t>
                        </w:r>
                      </w:p>
                      <w:p w:rsidR="00825E87" w:rsidRDefault="00CB188B">
                        <w:pPr>
                          <w:pStyle w:val="TableParagraph"/>
                          <w:spacing w:line="207" w:lineRule="exact"/>
                          <w:ind w:left="120"/>
                          <w:rPr>
                            <w:sz w:val="24"/>
                          </w:rPr>
                        </w:pPr>
                        <w:r>
                          <w:rPr>
                            <w:sz w:val="24"/>
                          </w:rPr>
                          <w:t>English, Portuguese, Spanish</w:t>
                        </w:r>
                      </w:p>
                    </w:tc>
                    <w:tc>
                      <w:tcPr>
                        <w:tcW w:w="1557" w:type="dxa"/>
                      </w:tcPr>
                      <w:p w:rsidR="00825E87" w:rsidRDefault="00CB188B">
                        <w:pPr>
                          <w:pStyle w:val="TableParagraph"/>
                          <w:spacing w:line="225" w:lineRule="exact"/>
                          <w:ind w:left="665"/>
                          <w:rPr>
                            <w:sz w:val="24"/>
                          </w:rPr>
                        </w:pPr>
                        <w:r>
                          <w:rPr>
                            <w:sz w:val="24"/>
                          </w:rPr>
                          <w:t>11</w:t>
                        </w:r>
                      </w:p>
                    </w:tc>
                    <w:tc>
                      <w:tcPr>
                        <w:tcW w:w="2126" w:type="dxa"/>
                      </w:tcPr>
                      <w:p w:rsidR="00825E87" w:rsidRDefault="00CB188B">
                        <w:pPr>
                          <w:pStyle w:val="TableParagraph"/>
                          <w:spacing w:line="217" w:lineRule="exact"/>
                          <w:ind w:left="11"/>
                          <w:jc w:val="center"/>
                          <w:rPr>
                            <w:sz w:val="24"/>
                          </w:rPr>
                        </w:pPr>
                        <w:r>
                          <w:rPr>
                            <w:w w:val="97"/>
                            <w:sz w:val="24"/>
                          </w:rPr>
                          <w:t>1</w:t>
                        </w:r>
                      </w:p>
                      <w:p w:rsidR="00825E87" w:rsidRDefault="00CB188B">
                        <w:pPr>
                          <w:pStyle w:val="TableParagraph"/>
                          <w:ind w:left="51" w:right="38"/>
                          <w:jc w:val="center"/>
                          <w:rPr>
                            <w:b/>
                            <w:sz w:val="24"/>
                          </w:rPr>
                        </w:pPr>
                        <w:r>
                          <w:rPr>
                            <w:b/>
                            <w:sz w:val="24"/>
                          </w:rPr>
                          <w:t>Motivo das exclusões:</w:t>
                        </w:r>
                      </w:p>
                      <w:p w:rsidR="00825E87" w:rsidRDefault="00CB188B">
                        <w:pPr>
                          <w:pStyle w:val="TableParagraph"/>
                          <w:spacing w:line="229" w:lineRule="exact"/>
                          <w:ind w:left="44"/>
                          <w:rPr>
                            <w:sz w:val="24"/>
                          </w:rPr>
                        </w:pPr>
                        <w:r>
                          <w:rPr>
                            <w:sz w:val="24"/>
                          </w:rPr>
                          <w:t>4 artigos não avaliam</w:t>
                        </w:r>
                      </w:p>
                      <w:p w:rsidR="00825E87" w:rsidRDefault="00CB188B">
                        <w:pPr>
                          <w:pStyle w:val="TableParagraph"/>
                          <w:spacing w:before="18" w:line="204" w:lineRule="auto"/>
                          <w:ind w:left="51" w:right="44"/>
                          <w:jc w:val="center"/>
                          <w:rPr>
                            <w:sz w:val="24"/>
                          </w:rPr>
                        </w:pPr>
                        <w:r>
                          <w:rPr>
                            <w:sz w:val="24"/>
                          </w:rPr>
                          <w:t>pacientes com EA; 6 artigos não avaliam desfechos diagnósticos na EA</w:t>
                        </w:r>
                      </w:p>
                    </w:tc>
                  </w:tr>
                  <w:tr w:rsidR="00825E87">
                    <w:trPr>
                      <w:trHeight w:val="1062"/>
                    </w:trPr>
                    <w:tc>
                      <w:tcPr>
                        <w:tcW w:w="1560" w:type="dxa"/>
                      </w:tcPr>
                      <w:p w:rsidR="00825E87" w:rsidRDefault="00CB188B">
                        <w:pPr>
                          <w:pStyle w:val="TableParagraph"/>
                          <w:spacing w:line="184" w:lineRule="auto"/>
                          <w:ind w:left="295" w:right="306" w:hanging="2"/>
                          <w:jc w:val="center"/>
                          <w:rPr>
                            <w:sz w:val="24"/>
                          </w:rPr>
                        </w:pPr>
                        <w:r>
                          <w:rPr>
                            <w:sz w:val="24"/>
                          </w:rPr>
                          <w:t>National Guideline</w:t>
                        </w:r>
                      </w:p>
                      <w:p w:rsidR="00825E87" w:rsidRDefault="00CB188B">
                        <w:pPr>
                          <w:pStyle w:val="TableParagraph"/>
                          <w:spacing w:line="267" w:lineRule="exact"/>
                          <w:ind w:left="117" w:right="112"/>
                          <w:jc w:val="center"/>
                          <w:rPr>
                            <w:sz w:val="24"/>
                          </w:rPr>
                        </w:pPr>
                        <w:r>
                          <w:rPr>
                            <w:sz w:val="24"/>
                          </w:rPr>
                          <w:t>Clearinghous</w:t>
                        </w:r>
                      </w:p>
                    </w:tc>
                    <w:tc>
                      <w:tcPr>
                        <w:tcW w:w="3970" w:type="dxa"/>
                      </w:tcPr>
                      <w:p w:rsidR="00825E87" w:rsidRDefault="00CB188B">
                        <w:pPr>
                          <w:pStyle w:val="TableParagraph"/>
                          <w:spacing w:line="187" w:lineRule="auto"/>
                          <w:ind w:left="81" w:right="572"/>
                          <w:rPr>
                            <w:sz w:val="24"/>
                          </w:rPr>
                        </w:pPr>
                        <w:r>
                          <w:rPr>
                            <w:sz w:val="24"/>
                          </w:rPr>
                          <w:t>“Ankylosing Spondylitis” – 2014- 2016</w:t>
                        </w:r>
                      </w:p>
                      <w:p w:rsidR="00825E87" w:rsidRDefault="00CB188B">
                        <w:pPr>
                          <w:pStyle w:val="TableParagraph"/>
                          <w:spacing w:line="184" w:lineRule="auto"/>
                          <w:ind w:left="81"/>
                          <w:rPr>
                            <w:sz w:val="24"/>
                          </w:rPr>
                        </w:pPr>
                        <w:hyperlink r:id="rId14">
                          <w:r>
                            <w:rPr>
                              <w:w w:val="95"/>
                              <w:sz w:val="24"/>
                            </w:rPr>
                            <w:t>https://www.guideline.gov/search?q=</w:t>
                          </w:r>
                        </w:hyperlink>
                        <w:r>
                          <w:rPr>
                            <w:w w:val="95"/>
                            <w:sz w:val="24"/>
                          </w:rPr>
                          <w:t xml:space="preserve"> </w:t>
                        </w:r>
                        <w:hyperlink r:id="rId15">
                          <w:r>
                            <w:rPr>
                              <w:w w:val="95"/>
                              <w:sz w:val="24"/>
                            </w:rPr>
                            <w:t>Ankylosing+Sp</w:t>
                          </w:r>
                        </w:hyperlink>
                        <w:r>
                          <w:rPr>
                            <w:w w:val="95"/>
                            <w:sz w:val="24"/>
                          </w:rPr>
                          <w:t>ondylitis&amp;f_dateRang</w:t>
                        </w:r>
                      </w:p>
                      <w:p w:rsidR="00825E87" w:rsidRDefault="00CB188B">
                        <w:pPr>
                          <w:pStyle w:val="TableParagraph"/>
                          <w:spacing w:line="191" w:lineRule="exact"/>
                          <w:ind w:left="81"/>
                          <w:rPr>
                            <w:sz w:val="24"/>
                          </w:rPr>
                        </w:pPr>
                        <w:r>
                          <w:rPr>
                            <w:sz w:val="24"/>
                          </w:rPr>
                          <w:t>eFrom=2015&amp;f_dateRangeTo=2016</w:t>
                        </w:r>
                      </w:p>
                    </w:tc>
                    <w:tc>
                      <w:tcPr>
                        <w:tcW w:w="1557" w:type="dxa"/>
                      </w:tcPr>
                      <w:p w:rsidR="00825E87" w:rsidRDefault="00CB188B">
                        <w:pPr>
                          <w:pStyle w:val="TableParagraph"/>
                          <w:spacing w:line="225" w:lineRule="exact"/>
                          <w:ind w:left="725"/>
                          <w:rPr>
                            <w:sz w:val="24"/>
                          </w:rPr>
                        </w:pPr>
                        <w:r>
                          <w:rPr>
                            <w:sz w:val="24"/>
                          </w:rPr>
                          <w:t>3</w:t>
                        </w:r>
                      </w:p>
                    </w:tc>
                    <w:tc>
                      <w:tcPr>
                        <w:tcW w:w="2126" w:type="dxa"/>
                      </w:tcPr>
                      <w:p w:rsidR="00825E87" w:rsidRDefault="00CB188B">
                        <w:pPr>
                          <w:pStyle w:val="TableParagraph"/>
                          <w:spacing w:line="192" w:lineRule="exact"/>
                          <w:ind w:left="11"/>
                          <w:jc w:val="center"/>
                          <w:rPr>
                            <w:sz w:val="24"/>
                          </w:rPr>
                        </w:pPr>
                        <w:r>
                          <w:rPr>
                            <w:w w:val="97"/>
                            <w:sz w:val="24"/>
                          </w:rPr>
                          <w:t>2</w:t>
                        </w:r>
                      </w:p>
                      <w:p w:rsidR="00825E87" w:rsidRDefault="00CB188B">
                        <w:pPr>
                          <w:pStyle w:val="TableParagraph"/>
                          <w:spacing w:before="19" w:line="184" w:lineRule="auto"/>
                          <w:ind w:left="51" w:right="38"/>
                          <w:jc w:val="center"/>
                          <w:rPr>
                            <w:b/>
                            <w:sz w:val="24"/>
                          </w:rPr>
                        </w:pPr>
                        <w:r>
                          <w:rPr>
                            <w:b/>
                            <w:sz w:val="24"/>
                          </w:rPr>
                          <w:t>Motivo das exclusões:</w:t>
                        </w:r>
                      </w:p>
                      <w:p w:rsidR="00825E87" w:rsidRDefault="00CB188B">
                        <w:pPr>
                          <w:pStyle w:val="TableParagraph"/>
                          <w:spacing w:line="187" w:lineRule="exact"/>
                          <w:ind w:left="50" w:right="44"/>
                          <w:jc w:val="center"/>
                          <w:rPr>
                            <w:sz w:val="24"/>
                          </w:rPr>
                        </w:pPr>
                        <w:r>
                          <w:rPr>
                            <w:sz w:val="24"/>
                          </w:rPr>
                          <w:t>1 artigo não avaliou</w:t>
                        </w:r>
                      </w:p>
                      <w:p w:rsidR="00825E87" w:rsidRDefault="00CB188B">
                        <w:pPr>
                          <w:pStyle w:val="TableParagraph"/>
                          <w:spacing w:line="219" w:lineRule="exact"/>
                          <w:ind w:left="51" w:right="41"/>
                          <w:jc w:val="center"/>
                          <w:rPr>
                            <w:sz w:val="24"/>
                          </w:rPr>
                        </w:pPr>
                        <w:r>
                          <w:rPr>
                            <w:sz w:val="24"/>
                          </w:rPr>
                          <w:t>pacientes com EA</w:t>
                        </w:r>
                      </w:p>
                    </w:tc>
                  </w:tr>
                </w:tbl>
                <w:p w:rsidR="00825E87" w:rsidRDefault="00825E87">
                  <w:pPr>
                    <w:pStyle w:val="Corpodetexto"/>
                    <w:ind w:left="0"/>
                  </w:pPr>
                </w:p>
              </w:txbxContent>
            </v:textbox>
            <w10:wrap type="topAndBottom" anchorx="page"/>
          </v:shape>
        </w:pict>
      </w:r>
      <w:r>
        <w:pict>
          <v:rect id="_x0000_s1027" style="position:absolute;margin-left:539.05pt;margin-top:71.75pt;width:.95pt;height:1pt;z-index:-251655168;mso-wrap-distance-left:0;mso-wrap-distance-right:0;mso-position-horizontal-relative:page" fillcolor="black" stroked="f">
            <w10:wrap type="topAndBottom" anchorx="page"/>
          </v:rect>
        </w:pict>
      </w:r>
      <w:r>
        <w:pict>
          <v:rect id="_x0000_s1026" style="position:absolute;margin-left:539.05pt;margin-top:210.75pt;width:.95pt;height:.95pt;z-index:-251654144;mso-wrap-distance-left:0;mso-wrap-distance-right:0;mso-position-horizontal-relative:page" fillcolor="black" stroked="f">
            <w10:wrap type="topAndBottom" anchorx="page"/>
          </v:rect>
        </w:pict>
      </w:r>
    </w:p>
    <w:p w:rsidR="00825E87" w:rsidRDefault="00825E87">
      <w:pPr>
        <w:pStyle w:val="Corpodetexto"/>
        <w:spacing w:before="8"/>
        <w:ind w:left="0"/>
        <w:rPr>
          <w:b/>
          <w:sz w:val="16"/>
        </w:rPr>
      </w:pPr>
    </w:p>
    <w:p w:rsidR="00825E87" w:rsidRDefault="00CB188B">
      <w:pPr>
        <w:ind w:left="299"/>
        <w:rPr>
          <w:b/>
          <w:sz w:val="24"/>
        </w:rPr>
      </w:pPr>
      <w:r>
        <w:rPr>
          <w:b/>
          <w:sz w:val="24"/>
        </w:rPr>
        <w:t>Busca por dados nacionais</w:t>
      </w:r>
    </w:p>
    <w:p w:rsidR="00825E87" w:rsidRDefault="00825E87">
      <w:pPr>
        <w:pStyle w:val="Corpodetexto"/>
        <w:spacing w:before="3"/>
        <w:ind w:left="0"/>
        <w:rPr>
          <w:b/>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3519"/>
        <w:gridCol w:w="1418"/>
        <w:gridCol w:w="2693"/>
      </w:tblGrid>
      <w:tr w:rsidR="00825E87">
        <w:trPr>
          <w:trHeight w:val="551"/>
        </w:trPr>
        <w:tc>
          <w:tcPr>
            <w:tcW w:w="1519" w:type="dxa"/>
          </w:tcPr>
          <w:p w:rsidR="00825E87" w:rsidRDefault="00825E87">
            <w:pPr>
              <w:pStyle w:val="TableParagraph"/>
              <w:spacing w:before="8"/>
              <w:rPr>
                <w:b/>
                <w:sz w:val="23"/>
              </w:rPr>
            </w:pPr>
          </w:p>
          <w:p w:rsidR="00825E87" w:rsidRDefault="00CB188B">
            <w:pPr>
              <w:pStyle w:val="TableParagraph"/>
              <w:spacing w:line="259" w:lineRule="exact"/>
              <w:ind w:left="455"/>
              <w:rPr>
                <w:b/>
                <w:sz w:val="24"/>
              </w:rPr>
            </w:pPr>
            <w:r>
              <w:rPr>
                <w:b/>
                <w:sz w:val="24"/>
              </w:rPr>
              <w:t>BASE</w:t>
            </w:r>
          </w:p>
        </w:tc>
        <w:tc>
          <w:tcPr>
            <w:tcW w:w="3519" w:type="dxa"/>
          </w:tcPr>
          <w:p w:rsidR="00825E87" w:rsidRDefault="00825E87">
            <w:pPr>
              <w:pStyle w:val="TableParagraph"/>
              <w:spacing w:before="8"/>
              <w:rPr>
                <w:b/>
                <w:sz w:val="23"/>
              </w:rPr>
            </w:pPr>
          </w:p>
          <w:p w:rsidR="00825E87" w:rsidRDefault="00CB188B">
            <w:pPr>
              <w:pStyle w:val="TableParagraph"/>
              <w:spacing w:line="259" w:lineRule="exact"/>
              <w:ind w:left="974"/>
              <w:rPr>
                <w:b/>
                <w:sz w:val="24"/>
              </w:rPr>
            </w:pPr>
            <w:r>
              <w:rPr>
                <w:b/>
                <w:sz w:val="24"/>
              </w:rPr>
              <w:t>ESTRATÉGIA</w:t>
            </w:r>
          </w:p>
        </w:tc>
        <w:tc>
          <w:tcPr>
            <w:tcW w:w="1418" w:type="dxa"/>
          </w:tcPr>
          <w:p w:rsidR="00825E87" w:rsidRDefault="00CB188B">
            <w:pPr>
              <w:pStyle w:val="TableParagraph"/>
              <w:spacing w:line="276" w:lineRule="exact"/>
              <w:ind w:left="463" w:hanging="389"/>
              <w:rPr>
                <w:b/>
                <w:sz w:val="24"/>
              </w:rPr>
            </w:pPr>
            <w:r>
              <w:rPr>
                <w:b/>
                <w:w w:val="95"/>
                <w:sz w:val="24"/>
              </w:rPr>
              <w:t xml:space="preserve">LOCALIZA </w:t>
            </w:r>
            <w:r>
              <w:rPr>
                <w:b/>
                <w:sz w:val="24"/>
              </w:rPr>
              <w:t>DOS</w:t>
            </w:r>
          </w:p>
        </w:tc>
        <w:tc>
          <w:tcPr>
            <w:tcW w:w="2693" w:type="dxa"/>
          </w:tcPr>
          <w:p w:rsidR="00825E87" w:rsidRDefault="00825E87">
            <w:pPr>
              <w:pStyle w:val="TableParagraph"/>
              <w:spacing w:before="8"/>
              <w:rPr>
                <w:b/>
                <w:sz w:val="23"/>
              </w:rPr>
            </w:pPr>
          </w:p>
          <w:p w:rsidR="00825E87" w:rsidRDefault="00CB188B">
            <w:pPr>
              <w:pStyle w:val="TableParagraph"/>
              <w:spacing w:line="259" w:lineRule="exact"/>
              <w:ind w:left="391"/>
              <w:rPr>
                <w:b/>
                <w:sz w:val="24"/>
              </w:rPr>
            </w:pPr>
            <w:r>
              <w:rPr>
                <w:b/>
                <w:sz w:val="24"/>
              </w:rPr>
              <w:t>SELECIONADOS</w:t>
            </w:r>
          </w:p>
        </w:tc>
      </w:tr>
      <w:tr w:rsidR="00825E87">
        <w:trPr>
          <w:trHeight w:val="1713"/>
        </w:trPr>
        <w:tc>
          <w:tcPr>
            <w:tcW w:w="1519" w:type="dxa"/>
          </w:tcPr>
          <w:p w:rsidR="00825E87" w:rsidRDefault="00CB188B">
            <w:pPr>
              <w:pStyle w:val="TableParagraph"/>
              <w:spacing w:line="216" w:lineRule="exact"/>
              <w:ind w:left="119" w:right="116"/>
              <w:jc w:val="center"/>
              <w:rPr>
                <w:sz w:val="24"/>
              </w:rPr>
            </w:pPr>
            <w:r>
              <w:rPr>
                <w:sz w:val="24"/>
              </w:rPr>
              <w:t>Medline (via</w:t>
            </w:r>
          </w:p>
          <w:p w:rsidR="00825E87" w:rsidRDefault="00CB188B">
            <w:pPr>
              <w:pStyle w:val="TableParagraph"/>
              <w:spacing w:line="268" w:lineRule="exact"/>
              <w:ind w:left="119" w:right="115"/>
              <w:jc w:val="center"/>
              <w:rPr>
                <w:sz w:val="24"/>
              </w:rPr>
            </w:pPr>
            <w:r>
              <w:rPr>
                <w:sz w:val="24"/>
              </w:rPr>
              <w:t>PubMed)</w:t>
            </w:r>
          </w:p>
        </w:tc>
        <w:tc>
          <w:tcPr>
            <w:tcW w:w="3519" w:type="dxa"/>
          </w:tcPr>
          <w:p w:rsidR="00825E87" w:rsidRDefault="00CB188B">
            <w:pPr>
              <w:pStyle w:val="TableParagraph"/>
              <w:spacing w:line="187" w:lineRule="auto"/>
              <w:ind w:left="208" w:right="199"/>
              <w:jc w:val="center"/>
              <w:rPr>
                <w:sz w:val="24"/>
              </w:rPr>
            </w:pPr>
            <w:r>
              <w:rPr>
                <w:w w:val="95"/>
                <w:sz w:val="24"/>
              </w:rPr>
              <w:t xml:space="preserve">"Spondylitis, Ankylosing"[Mesh] </w:t>
            </w:r>
            <w:r>
              <w:rPr>
                <w:sz w:val="24"/>
              </w:rPr>
              <w:t>AND brazil Filters:</w:t>
            </w:r>
          </w:p>
          <w:p w:rsidR="00825E87" w:rsidRDefault="00CB188B">
            <w:pPr>
              <w:pStyle w:val="TableParagraph"/>
              <w:spacing w:line="271" w:lineRule="exact"/>
              <w:ind w:left="206" w:right="199"/>
              <w:jc w:val="center"/>
              <w:rPr>
                <w:sz w:val="24"/>
              </w:rPr>
            </w:pPr>
            <w:r>
              <w:rPr>
                <w:sz w:val="24"/>
              </w:rPr>
              <w:t>From 2014/04/06, Humans</w:t>
            </w:r>
          </w:p>
        </w:tc>
        <w:tc>
          <w:tcPr>
            <w:tcW w:w="1418" w:type="dxa"/>
          </w:tcPr>
          <w:p w:rsidR="00825E87" w:rsidRDefault="00CB188B">
            <w:pPr>
              <w:pStyle w:val="TableParagraph"/>
              <w:spacing w:line="224" w:lineRule="exact"/>
              <w:ind w:left="568" w:right="560"/>
              <w:jc w:val="center"/>
              <w:rPr>
                <w:sz w:val="24"/>
              </w:rPr>
            </w:pPr>
            <w:r>
              <w:rPr>
                <w:sz w:val="24"/>
              </w:rPr>
              <w:t>11</w:t>
            </w:r>
          </w:p>
        </w:tc>
        <w:tc>
          <w:tcPr>
            <w:tcW w:w="2693" w:type="dxa"/>
          </w:tcPr>
          <w:p w:rsidR="00825E87" w:rsidRDefault="00CB188B">
            <w:pPr>
              <w:pStyle w:val="TableParagraph"/>
              <w:spacing w:line="218" w:lineRule="exact"/>
              <w:ind w:left="9"/>
              <w:jc w:val="center"/>
              <w:rPr>
                <w:sz w:val="24"/>
              </w:rPr>
            </w:pPr>
            <w:r>
              <w:rPr>
                <w:w w:val="97"/>
                <w:sz w:val="24"/>
              </w:rPr>
              <w:t>2</w:t>
            </w:r>
          </w:p>
          <w:p w:rsidR="00825E87" w:rsidRDefault="00CB188B">
            <w:pPr>
              <w:pStyle w:val="TableParagraph"/>
              <w:spacing w:before="30" w:line="201" w:lineRule="auto"/>
              <w:ind w:left="195" w:firstLine="580"/>
              <w:rPr>
                <w:sz w:val="24"/>
              </w:rPr>
            </w:pPr>
            <w:r>
              <w:rPr>
                <w:b/>
                <w:sz w:val="24"/>
              </w:rPr>
              <w:t xml:space="preserve">Motivo das exclusões: </w:t>
            </w:r>
            <w:r>
              <w:rPr>
                <w:sz w:val="24"/>
              </w:rPr>
              <w:t>4 artigos não</w:t>
            </w:r>
          </w:p>
          <w:p w:rsidR="00825E87" w:rsidRDefault="00CB188B">
            <w:pPr>
              <w:pStyle w:val="TableParagraph"/>
              <w:spacing w:line="194" w:lineRule="auto"/>
              <w:ind w:left="14" w:right="11"/>
              <w:jc w:val="center"/>
              <w:rPr>
                <w:sz w:val="24"/>
              </w:rPr>
            </w:pPr>
            <w:r>
              <w:rPr>
                <w:sz w:val="24"/>
              </w:rPr>
              <w:t>avaliam pacientes com EA; 5 artigos</w:t>
            </w:r>
          </w:p>
          <w:p w:rsidR="00825E87" w:rsidRDefault="00CB188B">
            <w:pPr>
              <w:pStyle w:val="TableParagraph"/>
              <w:spacing w:line="272" w:lineRule="exact"/>
              <w:ind w:left="13" w:right="11"/>
              <w:jc w:val="center"/>
              <w:rPr>
                <w:sz w:val="24"/>
              </w:rPr>
            </w:pPr>
            <w:r>
              <w:rPr>
                <w:sz w:val="24"/>
              </w:rPr>
              <w:t>não avaliam desfechos</w:t>
            </w:r>
          </w:p>
          <w:p w:rsidR="00825E87" w:rsidRDefault="00CB188B">
            <w:pPr>
              <w:pStyle w:val="TableParagraph"/>
              <w:spacing w:line="264" w:lineRule="exact"/>
              <w:ind w:left="14" w:right="6"/>
              <w:jc w:val="center"/>
              <w:rPr>
                <w:sz w:val="24"/>
              </w:rPr>
            </w:pPr>
            <w:r>
              <w:rPr>
                <w:sz w:val="24"/>
              </w:rPr>
              <w:t>diagnósticos na EA</w:t>
            </w:r>
          </w:p>
        </w:tc>
      </w:tr>
    </w:tbl>
    <w:p w:rsidR="00825E87" w:rsidRDefault="00825E87">
      <w:pPr>
        <w:pStyle w:val="Corpodetexto"/>
        <w:ind w:left="0"/>
        <w:rPr>
          <w:b/>
          <w:sz w:val="26"/>
        </w:rPr>
      </w:pPr>
    </w:p>
    <w:p w:rsidR="00825E87" w:rsidRDefault="00CB188B">
      <w:pPr>
        <w:pStyle w:val="Corpodetexto"/>
        <w:spacing w:before="232" w:line="235" w:lineRule="auto"/>
        <w:ind w:right="252" w:firstLine="708"/>
        <w:jc w:val="both"/>
      </w:pPr>
      <w:r>
        <w:t>Foram encontradas 196 referências, 65 foram selecionadas conforme critérios descritos acima, sendo 20 repetidas nas bases de dados, totalizando 45 referências incluídas. Da busca por ECR, 12 estudos foram selecionados, mas não referenciados, pois estavam i</w:t>
      </w:r>
      <w:r>
        <w:t>ncluídos nas meta- análises e revisões sistemáticas selecionadas (</w:t>
      </w:r>
      <w:r>
        <w:rPr>
          <w:b/>
        </w:rPr>
        <w:t>Tabela 1</w:t>
      </w:r>
      <w:r>
        <w:t>).</w:t>
      </w:r>
    </w:p>
    <w:p w:rsidR="00825E87" w:rsidRDefault="00825E87">
      <w:pPr>
        <w:spacing w:line="235" w:lineRule="auto"/>
        <w:jc w:val="both"/>
        <w:sectPr w:rsidR="00825E87">
          <w:pgSz w:w="11900" w:h="16840"/>
          <w:pgMar w:top="1180" w:right="880" w:bottom="280" w:left="920" w:header="720" w:footer="720" w:gutter="0"/>
          <w:cols w:space="720"/>
        </w:sectPr>
      </w:pPr>
    </w:p>
    <w:p w:rsidR="00825E87" w:rsidRDefault="00CB188B">
      <w:pPr>
        <w:pStyle w:val="Corpodetexto"/>
        <w:spacing w:before="66" w:line="237" w:lineRule="auto"/>
        <w:ind w:right="236" w:firstLine="708"/>
        <w:jc w:val="both"/>
      </w:pPr>
      <w:r>
        <w:lastRenderedPageBreak/>
        <w:t xml:space="preserve">Foram também utilizados como referência a base de dados </w:t>
      </w:r>
      <w:r>
        <w:rPr>
          <w:i/>
        </w:rPr>
        <w:t>UpToDate</w:t>
      </w:r>
      <w:r>
        <w:t>, versão 24.5 (4 referências), 2 livros texto e 12 referências de conhecimento dos autores. Da versão</w:t>
      </w:r>
      <w:r>
        <w:t xml:space="preserve"> anterior do PCDT, 28 referências foram mantidas e as demais excluídas ou atualizadas.</w:t>
      </w:r>
    </w:p>
    <w:p w:rsidR="00825E87" w:rsidRDefault="00825E87">
      <w:pPr>
        <w:spacing w:line="237" w:lineRule="auto"/>
        <w:jc w:val="both"/>
        <w:sectPr w:rsidR="00825E87">
          <w:pgSz w:w="11900" w:h="16840"/>
          <w:pgMar w:top="1100" w:right="880" w:bottom="280" w:left="920" w:header="720" w:footer="720" w:gutter="0"/>
          <w:cols w:space="720"/>
        </w:sectPr>
      </w:pPr>
    </w:p>
    <w:p w:rsidR="00825E87" w:rsidRDefault="00CB188B">
      <w:pPr>
        <w:pStyle w:val="Corpodetexto"/>
        <w:spacing w:before="68" w:after="9"/>
        <w:ind w:left="257" w:right="648"/>
      </w:pPr>
      <w:r>
        <w:rPr>
          <w:b/>
        </w:rPr>
        <w:lastRenderedPageBreak/>
        <w:t xml:space="preserve">Tabela 1 - </w:t>
      </w:r>
      <w:r>
        <w:t>Revisões sistemáticas/meta-análises de biológicos com desfechos clínicos e estruturais de espondilite ancilosante ou espondiloartrite axial.</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37"/>
        <w:gridCol w:w="1558"/>
        <w:gridCol w:w="1951"/>
        <w:gridCol w:w="1845"/>
        <w:gridCol w:w="1718"/>
      </w:tblGrid>
      <w:tr w:rsidR="00825E87">
        <w:trPr>
          <w:trHeight w:val="1314"/>
        </w:trPr>
        <w:tc>
          <w:tcPr>
            <w:tcW w:w="1937" w:type="dxa"/>
          </w:tcPr>
          <w:p w:rsidR="00825E87" w:rsidRDefault="00CB188B">
            <w:pPr>
              <w:pStyle w:val="TableParagraph"/>
              <w:spacing w:line="189" w:lineRule="auto"/>
              <w:ind w:left="151" w:right="212"/>
              <w:rPr>
                <w:b/>
                <w:sz w:val="24"/>
              </w:rPr>
            </w:pPr>
            <w:r>
              <w:rPr>
                <w:b/>
                <w:sz w:val="24"/>
              </w:rPr>
              <w:t>ESTUDO/ DENOMIAÇÃ O DE DOENÇA</w:t>
            </w:r>
          </w:p>
        </w:tc>
        <w:tc>
          <w:tcPr>
            <w:tcW w:w="1558" w:type="dxa"/>
          </w:tcPr>
          <w:p w:rsidR="00825E87" w:rsidRDefault="00CB188B">
            <w:pPr>
              <w:pStyle w:val="TableParagraph"/>
              <w:spacing w:line="189" w:lineRule="auto"/>
              <w:ind w:left="141" w:right="43"/>
              <w:rPr>
                <w:b/>
                <w:sz w:val="24"/>
              </w:rPr>
            </w:pPr>
            <w:r>
              <w:rPr>
                <w:b/>
                <w:sz w:val="24"/>
              </w:rPr>
              <w:t>NÚMERO DE ESTUDOS OU INDIVÍDUO</w:t>
            </w:r>
          </w:p>
          <w:p w:rsidR="00825E87" w:rsidRDefault="00CB188B">
            <w:pPr>
              <w:pStyle w:val="TableParagraph"/>
              <w:spacing w:line="207" w:lineRule="exact"/>
              <w:ind w:left="141"/>
              <w:rPr>
                <w:b/>
                <w:sz w:val="24"/>
              </w:rPr>
            </w:pPr>
            <w:r>
              <w:rPr>
                <w:b/>
                <w:w w:val="99"/>
                <w:sz w:val="24"/>
              </w:rPr>
              <w:t>S</w:t>
            </w:r>
          </w:p>
        </w:tc>
        <w:tc>
          <w:tcPr>
            <w:tcW w:w="1951" w:type="dxa"/>
          </w:tcPr>
          <w:p w:rsidR="00825E87" w:rsidRDefault="00CB188B">
            <w:pPr>
              <w:pStyle w:val="TableParagraph"/>
              <w:spacing w:line="192" w:lineRule="auto"/>
              <w:ind w:left="218" w:right="79"/>
              <w:rPr>
                <w:b/>
                <w:sz w:val="24"/>
              </w:rPr>
            </w:pPr>
            <w:r>
              <w:rPr>
                <w:b/>
                <w:sz w:val="24"/>
              </w:rPr>
              <w:t>INTERVENÇÃ O</w:t>
            </w:r>
          </w:p>
        </w:tc>
        <w:tc>
          <w:tcPr>
            <w:tcW w:w="1845" w:type="dxa"/>
          </w:tcPr>
          <w:p w:rsidR="00825E87" w:rsidRDefault="00CB188B">
            <w:pPr>
              <w:pStyle w:val="TableParagraph"/>
              <w:spacing w:line="192" w:lineRule="auto"/>
              <w:ind w:left="122" w:right="69"/>
              <w:rPr>
                <w:b/>
                <w:sz w:val="24"/>
              </w:rPr>
            </w:pPr>
            <w:r>
              <w:rPr>
                <w:b/>
                <w:sz w:val="24"/>
              </w:rPr>
              <w:t>COMPARADO R</w:t>
            </w:r>
          </w:p>
        </w:tc>
        <w:tc>
          <w:tcPr>
            <w:tcW w:w="1718" w:type="dxa"/>
          </w:tcPr>
          <w:p w:rsidR="00825E87" w:rsidRDefault="00CB188B">
            <w:pPr>
              <w:pStyle w:val="TableParagraph"/>
              <w:spacing w:line="192" w:lineRule="auto"/>
              <w:ind w:left="150" w:right="34"/>
              <w:rPr>
                <w:b/>
                <w:sz w:val="24"/>
              </w:rPr>
            </w:pPr>
            <w:r>
              <w:rPr>
                <w:b/>
                <w:sz w:val="24"/>
              </w:rPr>
              <w:t>RESULTADO S</w:t>
            </w:r>
          </w:p>
        </w:tc>
      </w:tr>
      <w:tr w:rsidR="00825E87">
        <w:trPr>
          <w:trHeight w:val="2159"/>
        </w:trPr>
        <w:tc>
          <w:tcPr>
            <w:tcW w:w="1937" w:type="dxa"/>
            <w:tcBorders>
              <w:bottom w:val="single" w:sz="4" w:space="0" w:color="000000"/>
            </w:tcBorders>
          </w:tcPr>
          <w:p w:rsidR="00825E87" w:rsidRDefault="00CB188B">
            <w:pPr>
              <w:pStyle w:val="TableParagraph"/>
              <w:spacing w:before="6" w:line="177" w:lineRule="auto"/>
              <w:ind w:left="129" w:right="588"/>
              <w:rPr>
                <w:sz w:val="24"/>
              </w:rPr>
            </w:pPr>
            <w:r>
              <w:rPr>
                <w:sz w:val="24"/>
              </w:rPr>
              <w:t>Baji P, et al. 2014</w:t>
            </w:r>
            <w:r>
              <w:rPr>
                <w:position w:val="9"/>
                <w:sz w:val="16"/>
              </w:rPr>
              <w:t>77</w:t>
            </w:r>
            <w:r>
              <w:rPr>
                <w:sz w:val="24"/>
              </w:rPr>
              <w:t>;</w:t>
            </w:r>
          </w:p>
          <w:p w:rsidR="00825E87" w:rsidRDefault="00CB188B">
            <w:pPr>
              <w:pStyle w:val="TableParagraph"/>
              <w:ind w:left="129" w:right="555"/>
              <w:rPr>
                <w:sz w:val="24"/>
              </w:rPr>
            </w:pPr>
            <w:r>
              <w:rPr>
                <w:sz w:val="24"/>
              </w:rPr>
              <w:t>espondilite anquilosante</w:t>
            </w:r>
          </w:p>
        </w:tc>
        <w:tc>
          <w:tcPr>
            <w:tcW w:w="1558" w:type="dxa"/>
            <w:tcBorders>
              <w:bottom w:val="single" w:sz="4" w:space="0" w:color="000000"/>
            </w:tcBorders>
          </w:tcPr>
          <w:p w:rsidR="00825E87" w:rsidRDefault="00CB188B">
            <w:pPr>
              <w:pStyle w:val="TableParagraph"/>
              <w:spacing w:line="194" w:lineRule="exact"/>
              <w:ind w:left="79"/>
              <w:rPr>
                <w:sz w:val="24"/>
              </w:rPr>
            </w:pPr>
            <w:r>
              <w:rPr>
                <w:sz w:val="24"/>
              </w:rPr>
              <w:t>13 estudos;</w:t>
            </w:r>
          </w:p>
          <w:p w:rsidR="00825E87" w:rsidRDefault="00CB188B">
            <w:pPr>
              <w:pStyle w:val="TableParagraph"/>
              <w:spacing w:line="216" w:lineRule="exact"/>
              <w:ind w:left="79"/>
              <w:rPr>
                <w:sz w:val="24"/>
              </w:rPr>
            </w:pPr>
            <w:r>
              <w:rPr>
                <w:sz w:val="24"/>
              </w:rPr>
              <w:t>2.575</w:t>
            </w:r>
          </w:p>
          <w:p w:rsidR="00825E87" w:rsidRDefault="00CB188B">
            <w:pPr>
              <w:pStyle w:val="TableParagraph"/>
              <w:spacing w:line="246" w:lineRule="exact"/>
              <w:ind w:left="79"/>
              <w:rPr>
                <w:sz w:val="24"/>
              </w:rPr>
            </w:pPr>
            <w:r>
              <w:rPr>
                <w:sz w:val="24"/>
              </w:rPr>
              <w:t>indivíduos</w:t>
            </w:r>
          </w:p>
        </w:tc>
        <w:tc>
          <w:tcPr>
            <w:tcW w:w="1951" w:type="dxa"/>
            <w:tcBorders>
              <w:bottom w:val="single" w:sz="4" w:space="0" w:color="000000"/>
            </w:tcBorders>
          </w:tcPr>
          <w:p w:rsidR="00825E87" w:rsidRDefault="00CB188B">
            <w:pPr>
              <w:pStyle w:val="TableParagraph"/>
              <w:spacing w:line="187" w:lineRule="auto"/>
              <w:ind w:left="100" w:right="378"/>
              <w:rPr>
                <w:sz w:val="24"/>
              </w:rPr>
            </w:pPr>
            <w:r>
              <w:rPr>
                <w:sz w:val="24"/>
              </w:rPr>
              <w:t>Anti-TNF (adalimumabe,</w:t>
            </w:r>
          </w:p>
          <w:p w:rsidR="00825E87" w:rsidRDefault="00CB188B">
            <w:pPr>
              <w:pStyle w:val="TableParagraph"/>
              <w:ind w:left="100" w:right="551"/>
              <w:rPr>
                <w:sz w:val="24"/>
              </w:rPr>
            </w:pPr>
            <w:r>
              <w:rPr>
                <w:sz w:val="24"/>
              </w:rPr>
              <w:t>etanercepte, golimumabe, Infliximabe)</w:t>
            </w:r>
          </w:p>
        </w:tc>
        <w:tc>
          <w:tcPr>
            <w:tcW w:w="1845" w:type="dxa"/>
            <w:tcBorders>
              <w:bottom w:val="single" w:sz="4" w:space="0" w:color="000000"/>
            </w:tcBorders>
          </w:tcPr>
          <w:p w:rsidR="00825E87" w:rsidRDefault="00CB188B">
            <w:pPr>
              <w:pStyle w:val="TableParagraph"/>
              <w:spacing w:line="224" w:lineRule="exact"/>
              <w:ind w:left="101"/>
              <w:rPr>
                <w:sz w:val="24"/>
              </w:rPr>
            </w:pPr>
            <w:r>
              <w:rPr>
                <w:sz w:val="24"/>
              </w:rPr>
              <w:t>Placebo*</w:t>
            </w:r>
          </w:p>
        </w:tc>
        <w:tc>
          <w:tcPr>
            <w:tcW w:w="1718" w:type="dxa"/>
            <w:tcBorders>
              <w:bottom w:val="single" w:sz="4" w:space="0" w:color="000000"/>
            </w:tcBorders>
          </w:tcPr>
          <w:p w:rsidR="00825E87" w:rsidRDefault="00CB188B">
            <w:pPr>
              <w:pStyle w:val="TableParagraph"/>
              <w:spacing w:line="194" w:lineRule="exact"/>
              <w:ind w:left="101"/>
              <w:rPr>
                <w:sz w:val="24"/>
              </w:rPr>
            </w:pPr>
            <w:r>
              <w:rPr>
                <w:sz w:val="24"/>
              </w:rPr>
              <w:t>ASAS20 na</w:t>
            </w:r>
          </w:p>
          <w:p w:rsidR="00825E87" w:rsidRDefault="00CB188B">
            <w:pPr>
              <w:pStyle w:val="TableParagraph"/>
              <w:spacing w:line="216" w:lineRule="exact"/>
              <w:ind w:left="101"/>
              <w:rPr>
                <w:sz w:val="24"/>
              </w:rPr>
            </w:pPr>
            <w:r>
              <w:rPr>
                <w:sz w:val="24"/>
              </w:rPr>
              <w:t>semana 12, OR</w:t>
            </w:r>
          </w:p>
          <w:p w:rsidR="00825E87" w:rsidRDefault="00CB188B">
            <w:pPr>
              <w:pStyle w:val="TableParagraph"/>
              <w:spacing w:before="19" w:line="187" w:lineRule="auto"/>
              <w:ind w:left="101" w:right="262"/>
              <w:rPr>
                <w:sz w:val="24"/>
              </w:rPr>
            </w:pPr>
            <w:r>
              <w:rPr>
                <w:sz w:val="24"/>
              </w:rPr>
              <w:t>4,35-6,74 (</w:t>
            </w:r>
            <w:r>
              <w:rPr>
                <w:i/>
                <w:sz w:val="24"/>
              </w:rPr>
              <w:t>P</w:t>
            </w:r>
            <w:r>
              <w:rPr>
                <w:sz w:val="24"/>
              </w:rPr>
              <w:t>&lt;0,05) e na</w:t>
            </w:r>
          </w:p>
          <w:p w:rsidR="00825E87" w:rsidRDefault="00CB188B">
            <w:pPr>
              <w:pStyle w:val="TableParagraph"/>
              <w:spacing w:line="198" w:lineRule="exact"/>
              <w:ind w:left="101"/>
              <w:rPr>
                <w:sz w:val="24"/>
              </w:rPr>
            </w:pPr>
            <w:r>
              <w:rPr>
                <w:sz w:val="24"/>
              </w:rPr>
              <w:t>semana 24, OR</w:t>
            </w:r>
          </w:p>
          <w:p w:rsidR="00825E87" w:rsidRDefault="00CB188B">
            <w:pPr>
              <w:pStyle w:val="TableParagraph"/>
              <w:spacing w:line="216" w:lineRule="exact"/>
              <w:ind w:left="101"/>
              <w:rPr>
                <w:sz w:val="24"/>
              </w:rPr>
            </w:pPr>
            <w:r>
              <w:rPr>
                <w:sz w:val="24"/>
              </w:rPr>
              <w:t>4,53-7,20</w:t>
            </w:r>
          </w:p>
          <w:p w:rsidR="00825E87" w:rsidRDefault="00CB188B">
            <w:pPr>
              <w:pStyle w:val="TableParagraph"/>
              <w:spacing w:line="216" w:lineRule="exact"/>
              <w:ind w:left="101"/>
              <w:rPr>
                <w:sz w:val="24"/>
              </w:rPr>
            </w:pPr>
            <w:r>
              <w:rPr>
                <w:sz w:val="24"/>
              </w:rPr>
              <w:t>(</w:t>
            </w:r>
            <w:r>
              <w:rPr>
                <w:i/>
                <w:sz w:val="24"/>
              </w:rPr>
              <w:t>P</w:t>
            </w:r>
            <w:r>
              <w:rPr>
                <w:sz w:val="24"/>
              </w:rPr>
              <w:t>&lt;0,05);</w:t>
            </w:r>
          </w:p>
          <w:p w:rsidR="00825E87" w:rsidRDefault="00CB188B">
            <w:pPr>
              <w:pStyle w:val="TableParagraph"/>
              <w:spacing w:before="19" w:line="187" w:lineRule="auto"/>
              <w:ind w:left="101" w:right="30"/>
              <w:rPr>
                <w:sz w:val="24"/>
              </w:rPr>
            </w:pPr>
            <w:r>
              <w:rPr>
                <w:sz w:val="24"/>
              </w:rPr>
              <w:t>evento adverso grave, OR 0,69-</w:t>
            </w:r>
          </w:p>
          <w:p w:rsidR="00825E87" w:rsidRDefault="00CB188B">
            <w:pPr>
              <w:pStyle w:val="TableParagraph"/>
              <w:spacing w:line="199" w:lineRule="exact"/>
              <w:ind w:left="101"/>
              <w:rPr>
                <w:sz w:val="24"/>
              </w:rPr>
            </w:pPr>
            <w:r>
              <w:rPr>
                <w:sz w:val="24"/>
              </w:rPr>
              <w:t>2,71 (</w:t>
            </w:r>
            <w:r>
              <w:rPr>
                <w:i/>
                <w:sz w:val="24"/>
              </w:rPr>
              <w:t>P</w:t>
            </w:r>
            <w:r>
              <w:rPr>
                <w:sz w:val="24"/>
              </w:rPr>
              <w:t>&gt;0,05)</w:t>
            </w:r>
          </w:p>
        </w:tc>
      </w:tr>
      <w:tr w:rsidR="00825E87">
        <w:trPr>
          <w:trHeight w:val="2191"/>
        </w:trPr>
        <w:tc>
          <w:tcPr>
            <w:tcW w:w="1937" w:type="dxa"/>
            <w:tcBorders>
              <w:top w:val="single" w:sz="4" w:space="0" w:color="000000"/>
              <w:bottom w:val="single" w:sz="4" w:space="0" w:color="000000"/>
            </w:tcBorders>
          </w:tcPr>
          <w:p w:rsidR="00825E87" w:rsidRDefault="00CB188B">
            <w:pPr>
              <w:pStyle w:val="TableParagraph"/>
              <w:spacing w:before="5" w:line="182" w:lineRule="auto"/>
              <w:ind w:left="129" w:right="654"/>
              <w:rPr>
                <w:sz w:val="24"/>
              </w:rPr>
            </w:pPr>
            <w:r>
              <w:rPr>
                <w:sz w:val="24"/>
              </w:rPr>
              <w:t>Lin S, et al. 2014</w:t>
            </w:r>
            <w:r>
              <w:rPr>
                <w:position w:val="9"/>
                <w:sz w:val="16"/>
              </w:rPr>
              <w:t>35</w:t>
            </w:r>
            <w:r>
              <w:rPr>
                <w:sz w:val="24"/>
              </w:rPr>
              <w:t>;</w:t>
            </w:r>
          </w:p>
          <w:p w:rsidR="00825E87" w:rsidRDefault="00CB188B">
            <w:pPr>
              <w:pStyle w:val="TableParagraph"/>
              <w:spacing w:line="189" w:lineRule="auto"/>
              <w:ind w:left="129" w:right="555"/>
              <w:rPr>
                <w:sz w:val="24"/>
              </w:rPr>
            </w:pPr>
            <w:r>
              <w:rPr>
                <w:sz w:val="24"/>
              </w:rPr>
              <w:t>espondilite anquilosante</w:t>
            </w:r>
          </w:p>
        </w:tc>
        <w:tc>
          <w:tcPr>
            <w:tcW w:w="1558" w:type="dxa"/>
            <w:tcBorders>
              <w:top w:val="single" w:sz="4" w:space="0" w:color="000000"/>
              <w:bottom w:val="single" w:sz="4" w:space="0" w:color="000000"/>
            </w:tcBorders>
          </w:tcPr>
          <w:p w:rsidR="00825E87" w:rsidRDefault="00CB188B">
            <w:pPr>
              <w:pStyle w:val="TableParagraph"/>
              <w:spacing w:line="192" w:lineRule="auto"/>
              <w:ind w:left="79" w:right="52"/>
              <w:rPr>
                <w:sz w:val="24"/>
              </w:rPr>
            </w:pPr>
            <w:r>
              <w:rPr>
                <w:sz w:val="24"/>
              </w:rPr>
              <w:t>3 estudos; 187 indivíduos</w:t>
            </w:r>
          </w:p>
        </w:tc>
        <w:tc>
          <w:tcPr>
            <w:tcW w:w="1951" w:type="dxa"/>
            <w:tcBorders>
              <w:top w:val="single" w:sz="4" w:space="0" w:color="000000"/>
              <w:bottom w:val="single" w:sz="4" w:space="0" w:color="000000"/>
            </w:tcBorders>
          </w:tcPr>
          <w:p w:rsidR="00825E87" w:rsidRDefault="00CB188B">
            <w:pPr>
              <w:pStyle w:val="TableParagraph"/>
              <w:spacing w:line="192" w:lineRule="auto"/>
              <w:ind w:left="100" w:right="349"/>
              <w:rPr>
                <w:sz w:val="24"/>
              </w:rPr>
            </w:pPr>
            <w:r>
              <w:rPr>
                <w:sz w:val="24"/>
              </w:rPr>
              <w:t>Anti-TNF (infliximabe) + metotrexato</w:t>
            </w:r>
          </w:p>
        </w:tc>
        <w:tc>
          <w:tcPr>
            <w:tcW w:w="1845" w:type="dxa"/>
            <w:tcBorders>
              <w:top w:val="single" w:sz="4" w:space="0" w:color="000000"/>
              <w:bottom w:val="single" w:sz="4" w:space="0" w:color="000000"/>
            </w:tcBorders>
          </w:tcPr>
          <w:p w:rsidR="00825E87" w:rsidRDefault="00CB188B">
            <w:pPr>
              <w:pStyle w:val="TableParagraph"/>
              <w:spacing w:before="5" w:line="187" w:lineRule="auto"/>
              <w:ind w:left="101" w:right="357"/>
              <w:rPr>
                <w:sz w:val="16"/>
              </w:rPr>
            </w:pPr>
            <w:r>
              <w:rPr>
                <w:sz w:val="24"/>
              </w:rPr>
              <w:t>Anti-TNF (infliximabe)</w:t>
            </w:r>
            <w:r>
              <w:rPr>
                <w:position w:val="9"/>
                <w:sz w:val="16"/>
              </w:rPr>
              <w:t>§</w:t>
            </w:r>
          </w:p>
        </w:tc>
        <w:tc>
          <w:tcPr>
            <w:tcW w:w="1718" w:type="dxa"/>
            <w:tcBorders>
              <w:top w:val="single" w:sz="4" w:space="0" w:color="000000"/>
              <w:bottom w:val="single" w:sz="4" w:space="0" w:color="000000"/>
            </w:tcBorders>
          </w:tcPr>
          <w:p w:rsidR="00825E87" w:rsidRDefault="00CB188B">
            <w:pPr>
              <w:pStyle w:val="TableParagraph"/>
              <w:spacing w:line="189" w:lineRule="auto"/>
              <w:ind w:left="101" w:right="17"/>
              <w:rPr>
                <w:sz w:val="24"/>
              </w:rPr>
            </w:pPr>
            <w:r>
              <w:rPr>
                <w:sz w:val="24"/>
              </w:rPr>
              <w:t>ASAS20 RR 1,16 (0,88-1,52) e ASAS40 RR 1,37 (0,84-2,23)</w:t>
            </w:r>
          </w:p>
          <w:p w:rsidR="00825E87" w:rsidRDefault="00CB188B">
            <w:pPr>
              <w:pStyle w:val="TableParagraph"/>
              <w:spacing w:before="2" w:line="189" w:lineRule="auto"/>
              <w:ind w:left="101" w:right="104"/>
              <w:rPr>
                <w:sz w:val="24"/>
              </w:rPr>
            </w:pPr>
            <w:r>
              <w:rPr>
                <w:sz w:val="24"/>
              </w:rPr>
              <w:t>em mais de 18 semanas; interrupção por efeitos colaterais RR</w:t>
            </w:r>
          </w:p>
          <w:p w:rsidR="00825E87" w:rsidRDefault="00CB188B">
            <w:pPr>
              <w:pStyle w:val="TableParagraph"/>
              <w:spacing w:line="207" w:lineRule="exact"/>
              <w:ind w:left="101"/>
              <w:rPr>
                <w:sz w:val="24"/>
              </w:rPr>
            </w:pPr>
            <w:r>
              <w:rPr>
                <w:sz w:val="24"/>
              </w:rPr>
              <w:t>1,89 (0,71-5,02)</w:t>
            </w:r>
          </w:p>
        </w:tc>
      </w:tr>
      <w:tr w:rsidR="00825E87">
        <w:trPr>
          <w:trHeight w:val="3688"/>
        </w:trPr>
        <w:tc>
          <w:tcPr>
            <w:tcW w:w="1937" w:type="dxa"/>
            <w:tcBorders>
              <w:top w:val="single" w:sz="4" w:space="0" w:color="000000"/>
              <w:bottom w:val="single" w:sz="4" w:space="0" w:color="000000"/>
            </w:tcBorders>
          </w:tcPr>
          <w:p w:rsidR="00825E87" w:rsidRDefault="00CB188B">
            <w:pPr>
              <w:pStyle w:val="TableParagraph"/>
              <w:spacing w:before="4" w:line="180" w:lineRule="auto"/>
              <w:ind w:left="129" w:right="401"/>
              <w:rPr>
                <w:sz w:val="24"/>
              </w:rPr>
            </w:pPr>
            <w:r>
              <w:rPr>
                <w:sz w:val="24"/>
              </w:rPr>
              <w:t>Migliore A, et al. 2014</w:t>
            </w:r>
            <w:r>
              <w:rPr>
                <w:position w:val="9"/>
                <w:sz w:val="16"/>
              </w:rPr>
              <w:t>41</w:t>
            </w:r>
            <w:r>
              <w:rPr>
                <w:sz w:val="24"/>
              </w:rPr>
              <w:t>;</w:t>
            </w:r>
          </w:p>
          <w:p w:rsidR="00825E87" w:rsidRDefault="00CB188B">
            <w:pPr>
              <w:pStyle w:val="TableParagraph"/>
              <w:spacing w:line="199" w:lineRule="auto"/>
              <w:ind w:left="129" w:right="555"/>
              <w:rPr>
                <w:sz w:val="24"/>
              </w:rPr>
            </w:pPr>
            <w:r>
              <w:rPr>
                <w:sz w:val="24"/>
              </w:rPr>
              <w:t>espondilite anquilosante</w:t>
            </w:r>
          </w:p>
        </w:tc>
        <w:tc>
          <w:tcPr>
            <w:tcW w:w="1558" w:type="dxa"/>
            <w:tcBorders>
              <w:top w:val="single" w:sz="4" w:space="0" w:color="000000"/>
              <w:bottom w:val="single" w:sz="4" w:space="0" w:color="000000"/>
            </w:tcBorders>
          </w:tcPr>
          <w:p w:rsidR="00825E87" w:rsidRDefault="00CB188B">
            <w:pPr>
              <w:pStyle w:val="TableParagraph"/>
              <w:spacing w:line="225" w:lineRule="exact"/>
              <w:ind w:left="79"/>
              <w:rPr>
                <w:sz w:val="24"/>
              </w:rPr>
            </w:pPr>
            <w:r>
              <w:rPr>
                <w:sz w:val="24"/>
              </w:rPr>
              <w:t>6 estudos</w:t>
            </w:r>
          </w:p>
        </w:tc>
        <w:tc>
          <w:tcPr>
            <w:tcW w:w="1951" w:type="dxa"/>
            <w:tcBorders>
              <w:top w:val="single" w:sz="4" w:space="0" w:color="000000"/>
              <w:bottom w:val="single" w:sz="4" w:space="0" w:color="000000"/>
            </w:tcBorders>
          </w:tcPr>
          <w:p w:rsidR="00825E87" w:rsidRDefault="00CB188B">
            <w:pPr>
              <w:pStyle w:val="TableParagraph"/>
              <w:spacing w:line="194" w:lineRule="auto"/>
              <w:ind w:left="100" w:right="5"/>
              <w:rPr>
                <w:sz w:val="24"/>
              </w:rPr>
            </w:pPr>
            <w:r>
              <w:rPr>
                <w:sz w:val="24"/>
              </w:rPr>
              <w:t>Anti-TNF (adalimumabe, certolizumabe pegol, etanercepte,</w:t>
            </w:r>
          </w:p>
          <w:p w:rsidR="00825E87" w:rsidRDefault="00CB188B">
            <w:pPr>
              <w:pStyle w:val="TableParagraph"/>
              <w:ind w:left="100" w:right="444"/>
              <w:rPr>
                <w:sz w:val="24"/>
              </w:rPr>
            </w:pPr>
            <w:r>
              <w:rPr>
                <w:sz w:val="24"/>
              </w:rPr>
              <w:t>golimumabe e infliximabe)</w:t>
            </w:r>
          </w:p>
        </w:tc>
        <w:tc>
          <w:tcPr>
            <w:tcW w:w="1845" w:type="dxa"/>
            <w:tcBorders>
              <w:top w:val="single" w:sz="4" w:space="0" w:color="000000"/>
              <w:bottom w:val="single" w:sz="4" w:space="0" w:color="000000"/>
            </w:tcBorders>
          </w:tcPr>
          <w:p w:rsidR="00825E87" w:rsidRDefault="00CB188B">
            <w:pPr>
              <w:pStyle w:val="TableParagraph"/>
              <w:spacing w:line="225" w:lineRule="exact"/>
              <w:ind w:left="101"/>
              <w:rPr>
                <w:sz w:val="24"/>
              </w:rPr>
            </w:pPr>
            <w:r>
              <w:rPr>
                <w:sz w:val="24"/>
              </w:rPr>
              <w:t>Placebo</w:t>
            </w:r>
          </w:p>
        </w:tc>
        <w:tc>
          <w:tcPr>
            <w:tcW w:w="1718" w:type="dxa"/>
            <w:tcBorders>
              <w:top w:val="single" w:sz="4" w:space="0" w:color="000000"/>
              <w:bottom w:val="single" w:sz="4" w:space="0" w:color="000000"/>
            </w:tcBorders>
          </w:tcPr>
          <w:p w:rsidR="00825E87" w:rsidRDefault="00CB188B">
            <w:pPr>
              <w:pStyle w:val="TableParagraph"/>
              <w:spacing w:line="189" w:lineRule="auto"/>
              <w:ind w:left="101" w:right="197"/>
              <w:rPr>
                <w:sz w:val="24"/>
              </w:rPr>
            </w:pPr>
            <w:r>
              <w:rPr>
                <w:sz w:val="24"/>
              </w:rPr>
              <w:t>ASAS20 dos anti-TNF foi superior ao placebo em 12 semanas (</w:t>
            </w:r>
            <w:r>
              <w:rPr>
                <w:i/>
                <w:sz w:val="24"/>
              </w:rPr>
              <w:t>P</w:t>
            </w:r>
            <w:r>
              <w:rPr>
                <w:sz w:val="24"/>
              </w:rPr>
              <w:t>&lt;0,05);</w:t>
            </w:r>
          </w:p>
          <w:p w:rsidR="00825E87" w:rsidRDefault="00CB188B">
            <w:pPr>
              <w:pStyle w:val="TableParagraph"/>
              <w:spacing w:line="189" w:lineRule="auto"/>
              <w:ind w:left="101" w:right="9"/>
              <w:rPr>
                <w:sz w:val="24"/>
              </w:rPr>
            </w:pPr>
            <w:r>
              <w:rPr>
                <w:sz w:val="24"/>
              </w:rPr>
              <w:t>infliximabe apresenta</w:t>
            </w:r>
            <w:r>
              <w:rPr>
                <w:spacing w:val="-3"/>
                <w:sz w:val="24"/>
              </w:rPr>
              <w:t xml:space="preserve"> </w:t>
            </w:r>
            <w:r>
              <w:rPr>
                <w:sz w:val="24"/>
              </w:rPr>
              <w:t>67,6% de probabilidade de ser o melhor anti-TNF; não houve diferença nas co</w:t>
            </w:r>
            <w:r>
              <w:rPr>
                <w:sz w:val="24"/>
              </w:rPr>
              <w:t>mparações indiretas</w:t>
            </w:r>
            <w:r>
              <w:rPr>
                <w:spacing w:val="-1"/>
                <w:sz w:val="24"/>
              </w:rPr>
              <w:t xml:space="preserve"> </w:t>
            </w:r>
            <w:r>
              <w:rPr>
                <w:sz w:val="24"/>
              </w:rPr>
              <w:t>entre</w:t>
            </w:r>
          </w:p>
          <w:p w:rsidR="00825E87" w:rsidRDefault="00CB188B">
            <w:pPr>
              <w:pStyle w:val="TableParagraph"/>
              <w:spacing w:line="189" w:lineRule="exact"/>
              <w:ind w:left="101"/>
              <w:rPr>
                <w:sz w:val="24"/>
              </w:rPr>
            </w:pPr>
            <w:r>
              <w:rPr>
                <w:sz w:val="24"/>
              </w:rPr>
              <w:t>anti-TNF.</w:t>
            </w:r>
          </w:p>
        </w:tc>
      </w:tr>
      <w:tr w:rsidR="00825E87">
        <w:trPr>
          <w:trHeight w:val="1296"/>
        </w:trPr>
        <w:tc>
          <w:tcPr>
            <w:tcW w:w="1937" w:type="dxa"/>
            <w:tcBorders>
              <w:top w:val="single" w:sz="4" w:space="0" w:color="000000"/>
              <w:bottom w:val="single" w:sz="4" w:space="0" w:color="000000"/>
            </w:tcBorders>
          </w:tcPr>
          <w:p w:rsidR="00825E87" w:rsidRDefault="00CB188B">
            <w:pPr>
              <w:pStyle w:val="TableParagraph"/>
              <w:spacing w:before="6" w:line="177" w:lineRule="auto"/>
              <w:ind w:left="129" w:right="388"/>
              <w:rPr>
                <w:sz w:val="24"/>
              </w:rPr>
            </w:pPr>
            <w:r>
              <w:rPr>
                <w:sz w:val="24"/>
              </w:rPr>
              <w:t>Benedict A, et al. 2015</w:t>
            </w:r>
            <w:r>
              <w:rPr>
                <w:position w:val="9"/>
                <w:sz w:val="16"/>
              </w:rPr>
              <w:t>64</w:t>
            </w:r>
            <w:r>
              <w:rPr>
                <w:sz w:val="24"/>
              </w:rPr>
              <w:t>;</w:t>
            </w:r>
          </w:p>
          <w:p w:rsidR="00825E87" w:rsidRDefault="00CB188B">
            <w:pPr>
              <w:pStyle w:val="TableParagraph"/>
              <w:ind w:left="129" w:right="261"/>
              <w:rPr>
                <w:sz w:val="24"/>
              </w:rPr>
            </w:pPr>
            <w:r>
              <w:rPr>
                <w:sz w:val="24"/>
              </w:rPr>
              <w:t>espondiloartrite axial não radiográfica</w:t>
            </w:r>
          </w:p>
        </w:tc>
        <w:tc>
          <w:tcPr>
            <w:tcW w:w="1558" w:type="dxa"/>
            <w:tcBorders>
              <w:top w:val="single" w:sz="4" w:space="0" w:color="000000"/>
              <w:bottom w:val="single" w:sz="4" w:space="0" w:color="000000"/>
            </w:tcBorders>
          </w:tcPr>
          <w:p w:rsidR="00825E87" w:rsidRDefault="00CB188B">
            <w:pPr>
              <w:pStyle w:val="TableParagraph"/>
              <w:spacing w:line="225" w:lineRule="exact"/>
              <w:ind w:left="79"/>
              <w:rPr>
                <w:sz w:val="24"/>
              </w:rPr>
            </w:pPr>
            <w:r>
              <w:rPr>
                <w:sz w:val="24"/>
              </w:rPr>
              <w:t>4 estudos</w:t>
            </w:r>
          </w:p>
        </w:tc>
        <w:tc>
          <w:tcPr>
            <w:tcW w:w="1951" w:type="dxa"/>
            <w:tcBorders>
              <w:top w:val="single" w:sz="4" w:space="0" w:color="000000"/>
              <w:bottom w:val="single" w:sz="4" w:space="0" w:color="000000"/>
            </w:tcBorders>
          </w:tcPr>
          <w:p w:rsidR="00825E87" w:rsidRDefault="00CB188B">
            <w:pPr>
              <w:pStyle w:val="TableParagraph"/>
              <w:spacing w:line="187" w:lineRule="auto"/>
              <w:ind w:left="100" w:right="79"/>
              <w:rPr>
                <w:sz w:val="24"/>
              </w:rPr>
            </w:pPr>
            <w:r>
              <w:rPr>
                <w:sz w:val="24"/>
              </w:rPr>
              <w:t>Etanercepte (2 estudos)</w:t>
            </w:r>
          </w:p>
        </w:tc>
        <w:tc>
          <w:tcPr>
            <w:tcW w:w="1845" w:type="dxa"/>
            <w:tcBorders>
              <w:top w:val="single" w:sz="4" w:space="0" w:color="000000"/>
              <w:bottom w:val="single" w:sz="4" w:space="0" w:color="000000"/>
            </w:tcBorders>
          </w:tcPr>
          <w:p w:rsidR="00825E87" w:rsidRDefault="00CB188B">
            <w:pPr>
              <w:pStyle w:val="TableParagraph"/>
              <w:spacing w:line="187" w:lineRule="auto"/>
              <w:ind w:left="101" w:right="84"/>
              <w:rPr>
                <w:sz w:val="24"/>
              </w:rPr>
            </w:pPr>
            <w:r>
              <w:rPr>
                <w:sz w:val="24"/>
              </w:rPr>
              <w:t>Adalimumabe (1 estudo) e certolizumabe pegol (1 estudo)</w:t>
            </w:r>
          </w:p>
        </w:tc>
        <w:tc>
          <w:tcPr>
            <w:tcW w:w="1718" w:type="dxa"/>
            <w:tcBorders>
              <w:top w:val="single" w:sz="4" w:space="0" w:color="000000"/>
              <w:bottom w:val="single" w:sz="4" w:space="0" w:color="000000"/>
            </w:tcBorders>
          </w:tcPr>
          <w:p w:rsidR="00825E87" w:rsidRDefault="00CB188B">
            <w:pPr>
              <w:pStyle w:val="TableParagraph"/>
              <w:spacing w:line="187" w:lineRule="auto"/>
              <w:ind w:left="101" w:right="331"/>
              <w:rPr>
                <w:sz w:val="24"/>
              </w:rPr>
            </w:pPr>
            <w:r>
              <w:rPr>
                <w:sz w:val="24"/>
              </w:rPr>
              <w:t>Variações de BASDAI e</w:t>
            </w:r>
          </w:p>
          <w:p w:rsidR="00825E87" w:rsidRDefault="00CB188B">
            <w:pPr>
              <w:pStyle w:val="TableParagraph"/>
              <w:spacing w:line="187" w:lineRule="auto"/>
              <w:ind w:left="101" w:right="115"/>
              <w:rPr>
                <w:sz w:val="24"/>
              </w:rPr>
            </w:pPr>
            <w:r>
              <w:rPr>
                <w:sz w:val="24"/>
              </w:rPr>
              <w:t>BASFI foram semelhantes entre os</w:t>
            </w:r>
            <w:r>
              <w:rPr>
                <w:spacing w:val="-5"/>
                <w:sz w:val="24"/>
              </w:rPr>
              <w:t xml:space="preserve"> </w:t>
            </w:r>
            <w:r>
              <w:rPr>
                <w:sz w:val="24"/>
              </w:rPr>
              <w:t>grupos</w:t>
            </w:r>
          </w:p>
          <w:p w:rsidR="00825E87" w:rsidRDefault="00CB188B">
            <w:pPr>
              <w:pStyle w:val="TableParagraph"/>
              <w:spacing w:line="201" w:lineRule="exact"/>
              <w:ind w:left="101"/>
              <w:rPr>
                <w:sz w:val="24"/>
              </w:rPr>
            </w:pPr>
            <w:r>
              <w:rPr>
                <w:sz w:val="24"/>
              </w:rPr>
              <w:t>em 12</w:t>
            </w:r>
            <w:r>
              <w:rPr>
                <w:spacing w:val="-5"/>
                <w:sz w:val="24"/>
              </w:rPr>
              <w:t xml:space="preserve"> </w:t>
            </w:r>
            <w:r>
              <w:rPr>
                <w:sz w:val="24"/>
              </w:rPr>
              <w:t>semanas</w:t>
            </w:r>
          </w:p>
        </w:tc>
      </w:tr>
      <w:tr w:rsidR="00825E87">
        <w:trPr>
          <w:trHeight w:val="3241"/>
        </w:trPr>
        <w:tc>
          <w:tcPr>
            <w:tcW w:w="1937" w:type="dxa"/>
            <w:tcBorders>
              <w:top w:val="single" w:sz="4" w:space="0" w:color="000000"/>
              <w:bottom w:val="single" w:sz="4" w:space="0" w:color="000000"/>
            </w:tcBorders>
          </w:tcPr>
          <w:p w:rsidR="00825E87" w:rsidRDefault="00CB188B">
            <w:pPr>
              <w:pStyle w:val="TableParagraph"/>
              <w:spacing w:before="9" w:line="177" w:lineRule="auto"/>
              <w:ind w:left="129" w:right="401"/>
              <w:rPr>
                <w:sz w:val="24"/>
              </w:rPr>
            </w:pPr>
            <w:r>
              <w:rPr>
                <w:sz w:val="24"/>
              </w:rPr>
              <w:t>Migliore A, et al. 2015</w:t>
            </w:r>
            <w:r>
              <w:rPr>
                <w:position w:val="9"/>
                <w:sz w:val="16"/>
              </w:rPr>
              <w:t>40</w:t>
            </w:r>
            <w:r>
              <w:rPr>
                <w:sz w:val="24"/>
              </w:rPr>
              <w:t>;</w:t>
            </w:r>
          </w:p>
          <w:p w:rsidR="00825E87" w:rsidRDefault="00CB188B">
            <w:pPr>
              <w:pStyle w:val="TableParagraph"/>
              <w:ind w:left="129" w:right="555"/>
              <w:rPr>
                <w:sz w:val="24"/>
              </w:rPr>
            </w:pPr>
            <w:r>
              <w:rPr>
                <w:sz w:val="24"/>
              </w:rPr>
              <w:t>espondilite anquilosante</w:t>
            </w:r>
          </w:p>
        </w:tc>
        <w:tc>
          <w:tcPr>
            <w:tcW w:w="1558" w:type="dxa"/>
            <w:tcBorders>
              <w:top w:val="single" w:sz="4" w:space="0" w:color="000000"/>
              <w:bottom w:val="single" w:sz="4" w:space="0" w:color="000000"/>
            </w:tcBorders>
          </w:tcPr>
          <w:p w:rsidR="00825E87" w:rsidRDefault="00CB188B">
            <w:pPr>
              <w:pStyle w:val="TableParagraph"/>
              <w:spacing w:line="197" w:lineRule="exact"/>
              <w:ind w:left="79"/>
              <w:rPr>
                <w:sz w:val="24"/>
              </w:rPr>
            </w:pPr>
            <w:r>
              <w:rPr>
                <w:sz w:val="24"/>
              </w:rPr>
              <w:t>5 estudos;</w:t>
            </w:r>
          </w:p>
          <w:p w:rsidR="00825E87" w:rsidRDefault="00CB188B">
            <w:pPr>
              <w:pStyle w:val="TableParagraph"/>
              <w:spacing w:line="216" w:lineRule="exact"/>
              <w:ind w:left="79"/>
              <w:rPr>
                <w:sz w:val="24"/>
              </w:rPr>
            </w:pPr>
            <w:r>
              <w:rPr>
                <w:sz w:val="24"/>
              </w:rPr>
              <w:t>1.112</w:t>
            </w:r>
          </w:p>
          <w:p w:rsidR="00825E87" w:rsidRDefault="00CB188B">
            <w:pPr>
              <w:pStyle w:val="TableParagraph"/>
              <w:spacing w:line="246" w:lineRule="exact"/>
              <w:ind w:left="79"/>
              <w:rPr>
                <w:sz w:val="24"/>
              </w:rPr>
            </w:pPr>
            <w:r>
              <w:rPr>
                <w:sz w:val="24"/>
              </w:rPr>
              <w:t>indivíduos</w:t>
            </w:r>
          </w:p>
        </w:tc>
        <w:tc>
          <w:tcPr>
            <w:tcW w:w="1951" w:type="dxa"/>
            <w:tcBorders>
              <w:top w:val="single" w:sz="4" w:space="0" w:color="000000"/>
              <w:bottom w:val="single" w:sz="4" w:space="0" w:color="000000"/>
            </w:tcBorders>
          </w:tcPr>
          <w:p w:rsidR="00825E87" w:rsidRDefault="00CB188B">
            <w:pPr>
              <w:pStyle w:val="TableParagraph"/>
              <w:spacing w:line="187" w:lineRule="auto"/>
              <w:ind w:left="100" w:right="378"/>
              <w:rPr>
                <w:sz w:val="24"/>
              </w:rPr>
            </w:pPr>
            <w:r>
              <w:rPr>
                <w:sz w:val="24"/>
              </w:rPr>
              <w:t>Anti-TNF subcutâneos (adalimumabe, certolizumabe</w:t>
            </w:r>
          </w:p>
          <w:p w:rsidR="00825E87" w:rsidRDefault="00CB188B">
            <w:pPr>
              <w:pStyle w:val="TableParagraph"/>
              <w:ind w:left="100" w:right="5"/>
              <w:rPr>
                <w:sz w:val="24"/>
              </w:rPr>
            </w:pPr>
            <w:r>
              <w:rPr>
                <w:sz w:val="24"/>
              </w:rPr>
              <w:t>pegol, etanercepte e golimumabe)</w:t>
            </w:r>
          </w:p>
        </w:tc>
        <w:tc>
          <w:tcPr>
            <w:tcW w:w="1845" w:type="dxa"/>
            <w:tcBorders>
              <w:top w:val="single" w:sz="4" w:space="0" w:color="000000"/>
              <w:bottom w:val="single" w:sz="4" w:space="0" w:color="000000"/>
            </w:tcBorders>
          </w:tcPr>
          <w:p w:rsidR="00825E87" w:rsidRDefault="00CB188B">
            <w:pPr>
              <w:pStyle w:val="TableParagraph"/>
              <w:spacing w:line="227" w:lineRule="exact"/>
              <w:ind w:left="101"/>
              <w:rPr>
                <w:sz w:val="24"/>
              </w:rPr>
            </w:pPr>
            <w:r>
              <w:rPr>
                <w:sz w:val="24"/>
              </w:rPr>
              <w:t>Placebo</w:t>
            </w:r>
          </w:p>
        </w:tc>
        <w:tc>
          <w:tcPr>
            <w:tcW w:w="1718" w:type="dxa"/>
            <w:tcBorders>
              <w:top w:val="single" w:sz="4" w:space="0" w:color="000000"/>
              <w:bottom w:val="single" w:sz="4" w:space="0" w:color="000000"/>
            </w:tcBorders>
          </w:tcPr>
          <w:p w:rsidR="00825E87" w:rsidRDefault="00CB188B">
            <w:pPr>
              <w:pStyle w:val="TableParagraph"/>
              <w:spacing w:line="197" w:lineRule="exact"/>
              <w:ind w:left="101"/>
              <w:rPr>
                <w:sz w:val="24"/>
              </w:rPr>
            </w:pPr>
            <w:r>
              <w:rPr>
                <w:sz w:val="24"/>
              </w:rPr>
              <w:t>ASAS20 de</w:t>
            </w:r>
          </w:p>
          <w:p w:rsidR="00825E87" w:rsidRDefault="00CB188B">
            <w:pPr>
              <w:pStyle w:val="TableParagraph"/>
              <w:spacing w:before="19" w:line="187" w:lineRule="auto"/>
              <w:ind w:left="101" w:right="283"/>
              <w:rPr>
                <w:sz w:val="24"/>
              </w:rPr>
            </w:pPr>
            <w:r>
              <w:rPr>
                <w:sz w:val="24"/>
              </w:rPr>
              <w:t>todos os anti- TNF</w:t>
            </w:r>
          </w:p>
          <w:p w:rsidR="00825E87" w:rsidRDefault="00CB188B">
            <w:pPr>
              <w:pStyle w:val="TableParagraph"/>
              <w:spacing w:before="1" w:line="187" w:lineRule="auto"/>
              <w:ind w:left="101" w:right="51"/>
              <w:rPr>
                <w:sz w:val="24"/>
              </w:rPr>
            </w:pPr>
            <w:r>
              <w:rPr>
                <w:sz w:val="24"/>
              </w:rPr>
              <w:t>subcutâneos foi superior ao placebo em 12 semanas; golimumabe apresenta maior probabilidade (41,3%) de</w:t>
            </w:r>
          </w:p>
          <w:p w:rsidR="00825E87" w:rsidRDefault="00CB188B">
            <w:pPr>
              <w:pStyle w:val="TableParagraph"/>
              <w:spacing w:line="203" w:lineRule="exact"/>
              <w:ind w:left="101"/>
              <w:rPr>
                <w:sz w:val="24"/>
              </w:rPr>
            </w:pPr>
            <w:r>
              <w:rPr>
                <w:sz w:val="24"/>
              </w:rPr>
              <w:t>ASAS20 em 12</w:t>
            </w:r>
          </w:p>
          <w:p w:rsidR="00825E87" w:rsidRDefault="00CB188B">
            <w:pPr>
              <w:pStyle w:val="TableParagraph"/>
              <w:spacing w:before="20" w:line="187" w:lineRule="auto"/>
              <w:ind w:left="101" w:right="304"/>
              <w:rPr>
                <w:sz w:val="24"/>
              </w:rPr>
            </w:pPr>
            <w:r>
              <w:rPr>
                <w:sz w:val="24"/>
              </w:rPr>
              <w:t>semanas; nenhum anti-</w:t>
            </w:r>
          </w:p>
          <w:p w:rsidR="00825E87" w:rsidRDefault="00CB188B">
            <w:pPr>
              <w:pStyle w:val="TableParagraph"/>
              <w:spacing w:line="199" w:lineRule="exact"/>
              <w:ind w:left="101"/>
              <w:rPr>
                <w:sz w:val="24"/>
              </w:rPr>
            </w:pPr>
            <w:r>
              <w:rPr>
                <w:sz w:val="24"/>
              </w:rPr>
              <w:t>TNF foi</w:t>
            </w:r>
          </w:p>
        </w:tc>
      </w:tr>
    </w:tbl>
    <w:p w:rsidR="00825E87" w:rsidRDefault="00825E87">
      <w:pPr>
        <w:spacing w:line="199" w:lineRule="exact"/>
        <w:rPr>
          <w:sz w:val="24"/>
        </w:rPr>
        <w:sectPr w:rsidR="00825E87">
          <w:pgSz w:w="11910" w:h="16850"/>
          <w:pgMar w:top="1060" w:right="1560" w:bottom="280" w:left="10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1558"/>
        <w:gridCol w:w="1951"/>
        <w:gridCol w:w="1845"/>
        <w:gridCol w:w="1718"/>
      </w:tblGrid>
      <w:tr w:rsidR="00825E87">
        <w:trPr>
          <w:trHeight w:val="995"/>
        </w:trPr>
        <w:tc>
          <w:tcPr>
            <w:tcW w:w="1937" w:type="dxa"/>
            <w:tcBorders>
              <w:left w:val="single" w:sz="8" w:space="0" w:color="000000"/>
              <w:right w:val="single" w:sz="8" w:space="0" w:color="000000"/>
            </w:tcBorders>
          </w:tcPr>
          <w:p w:rsidR="00825E87" w:rsidRDefault="00825E87">
            <w:pPr>
              <w:pStyle w:val="TableParagraph"/>
            </w:pPr>
          </w:p>
        </w:tc>
        <w:tc>
          <w:tcPr>
            <w:tcW w:w="1558" w:type="dxa"/>
            <w:tcBorders>
              <w:left w:val="single" w:sz="8" w:space="0" w:color="000000"/>
              <w:right w:val="single" w:sz="8" w:space="0" w:color="000000"/>
            </w:tcBorders>
          </w:tcPr>
          <w:p w:rsidR="00825E87" w:rsidRDefault="00825E87">
            <w:pPr>
              <w:pStyle w:val="TableParagraph"/>
            </w:pPr>
          </w:p>
        </w:tc>
        <w:tc>
          <w:tcPr>
            <w:tcW w:w="1951" w:type="dxa"/>
            <w:tcBorders>
              <w:left w:val="single" w:sz="8" w:space="0" w:color="000000"/>
              <w:right w:val="single" w:sz="8" w:space="0" w:color="000000"/>
            </w:tcBorders>
          </w:tcPr>
          <w:p w:rsidR="00825E87" w:rsidRDefault="00825E87">
            <w:pPr>
              <w:pStyle w:val="TableParagraph"/>
            </w:pPr>
          </w:p>
        </w:tc>
        <w:tc>
          <w:tcPr>
            <w:tcW w:w="1845" w:type="dxa"/>
            <w:tcBorders>
              <w:left w:val="single" w:sz="8" w:space="0" w:color="000000"/>
              <w:right w:val="single" w:sz="8" w:space="0" w:color="000000"/>
            </w:tcBorders>
          </w:tcPr>
          <w:p w:rsidR="00825E87" w:rsidRDefault="00825E87">
            <w:pPr>
              <w:pStyle w:val="TableParagraph"/>
            </w:pPr>
          </w:p>
        </w:tc>
        <w:tc>
          <w:tcPr>
            <w:tcW w:w="1718" w:type="dxa"/>
            <w:tcBorders>
              <w:left w:val="single" w:sz="8" w:space="0" w:color="000000"/>
              <w:right w:val="single" w:sz="8" w:space="0" w:color="000000"/>
            </w:tcBorders>
          </w:tcPr>
          <w:p w:rsidR="00825E87" w:rsidRDefault="00CB188B">
            <w:pPr>
              <w:pStyle w:val="TableParagraph"/>
              <w:spacing w:line="187" w:lineRule="auto"/>
              <w:ind w:left="101" w:right="410"/>
              <w:rPr>
                <w:sz w:val="24"/>
              </w:rPr>
            </w:pPr>
            <w:r>
              <w:rPr>
                <w:sz w:val="24"/>
              </w:rPr>
              <w:t>superior aos demais comparados dois a dois</w:t>
            </w:r>
          </w:p>
        </w:tc>
      </w:tr>
      <w:tr w:rsidR="00825E87">
        <w:trPr>
          <w:trHeight w:val="1953"/>
        </w:trPr>
        <w:tc>
          <w:tcPr>
            <w:tcW w:w="1937" w:type="dxa"/>
            <w:tcBorders>
              <w:left w:val="single" w:sz="8" w:space="0" w:color="000000"/>
              <w:right w:val="single" w:sz="8" w:space="0" w:color="000000"/>
            </w:tcBorders>
          </w:tcPr>
          <w:p w:rsidR="00825E87" w:rsidRDefault="00CB188B">
            <w:pPr>
              <w:pStyle w:val="TableParagraph"/>
              <w:spacing w:before="1" w:line="180" w:lineRule="auto"/>
              <w:ind w:left="129" w:right="808"/>
              <w:rPr>
                <w:sz w:val="24"/>
              </w:rPr>
            </w:pPr>
            <w:r>
              <w:rPr>
                <w:sz w:val="24"/>
              </w:rPr>
              <w:t>Lunzer R. 2016</w:t>
            </w:r>
            <w:r>
              <w:rPr>
                <w:position w:val="9"/>
                <w:sz w:val="16"/>
              </w:rPr>
              <w:t>71</w:t>
            </w:r>
            <w:r>
              <w:rPr>
                <w:sz w:val="24"/>
              </w:rPr>
              <w:t>;</w:t>
            </w:r>
          </w:p>
          <w:p w:rsidR="00825E87" w:rsidRDefault="00CB188B">
            <w:pPr>
              <w:pStyle w:val="TableParagraph"/>
              <w:spacing w:line="199" w:lineRule="auto"/>
              <w:ind w:left="129" w:right="261"/>
              <w:rPr>
                <w:sz w:val="24"/>
              </w:rPr>
            </w:pPr>
            <w:r>
              <w:rPr>
                <w:sz w:val="24"/>
              </w:rPr>
              <w:t>espondiloartrite axial</w:t>
            </w:r>
          </w:p>
        </w:tc>
        <w:tc>
          <w:tcPr>
            <w:tcW w:w="1558" w:type="dxa"/>
            <w:tcBorders>
              <w:left w:val="single" w:sz="8" w:space="0" w:color="000000"/>
              <w:right w:val="single" w:sz="8" w:space="0" w:color="000000"/>
            </w:tcBorders>
          </w:tcPr>
          <w:p w:rsidR="00825E87" w:rsidRDefault="00CB188B">
            <w:pPr>
              <w:pStyle w:val="TableParagraph"/>
              <w:spacing w:line="192" w:lineRule="auto"/>
              <w:ind w:left="79" w:right="79"/>
              <w:rPr>
                <w:sz w:val="24"/>
              </w:rPr>
            </w:pPr>
            <w:r>
              <w:rPr>
                <w:sz w:val="24"/>
              </w:rPr>
              <w:t>8 estudos (espondilite anquilosante): 6</w:t>
            </w:r>
          </w:p>
          <w:p w:rsidR="00825E87" w:rsidRDefault="00CB188B">
            <w:pPr>
              <w:pStyle w:val="TableParagraph"/>
              <w:spacing w:line="199" w:lineRule="auto"/>
              <w:ind w:left="79" w:right="12"/>
              <w:rPr>
                <w:sz w:val="24"/>
              </w:rPr>
            </w:pPr>
            <w:r>
              <w:rPr>
                <w:sz w:val="24"/>
              </w:rPr>
              <w:t>observacionais e 2 de intervenção</w:t>
            </w:r>
          </w:p>
        </w:tc>
        <w:tc>
          <w:tcPr>
            <w:tcW w:w="1951" w:type="dxa"/>
            <w:tcBorders>
              <w:left w:val="single" w:sz="8" w:space="0" w:color="000000"/>
              <w:right w:val="single" w:sz="8" w:space="0" w:color="000000"/>
            </w:tcBorders>
          </w:tcPr>
          <w:p w:rsidR="00825E87" w:rsidRDefault="00CB188B">
            <w:pPr>
              <w:pStyle w:val="TableParagraph"/>
              <w:spacing w:line="194" w:lineRule="auto"/>
              <w:ind w:left="100" w:right="378"/>
              <w:rPr>
                <w:sz w:val="24"/>
              </w:rPr>
            </w:pPr>
            <w:r>
              <w:rPr>
                <w:sz w:val="24"/>
              </w:rPr>
              <w:t>Anti-TNF (adalimumabe, etanercepte, infliximabe)</w:t>
            </w:r>
          </w:p>
        </w:tc>
        <w:tc>
          <w:tcPr>
            <w:tcW w:w="1845" w:type="dxa"/>
            <w:tcBorders>
              <w:left w:val="single" w:sz="8" w:space="0" w:color="000000"/>
              <w:right w:val="single" w:sz="8" w:space="0" w:color="000000"/>
            </w:tcBorders>
          </w:tcPr>
          <w:p w:rsidR="00825E87" w:rsidRDefault="00CB188B">
            <w:pPr>
              <w:pStyle w:val="TableParagraph"/>
              <w:spacing w:line="196" w:lineRule="auto"/>
              <w:ind w:left="101" w:right="184"/>
              <w:rPr>
                <w:sz w:val="24"/>
              </w:rPr>
            </w:pPr>
            <w:r>
              <w:rPr>
                <w:sz w:val="24"/>
              </w:rPr>
              <w:t>Não se aplica: revisão sistemática qualitativa (sem meta-análise)</w:t>
            </w:r>
          </w:p>
        </w:tc>
        <w:tc>
          <w:tcPr>
            <w:tcW w:w="1718" w:type="dxa"/>
            <w:tcBorders>
              <w:left w:val="single" w:sz="8" w:space="0" w:color="000000"/>
              <w:right w:val="single" w:sz="8" w:space="0" w:color="000000"/>
            </w:tcBorders>
          </w:tcPr>
          <w:p w:rsidR="00825E87" w:rsidRDefault="00CB188B">
            <w:pPr>
              <w:pStyle w:val="TableParagraph"/>
              <w:spacing w:line="193" w:lineRule="exact"/>
              <w:ind w:left="101"/>
              <w:rPr>
                <w:sz w:val="24"/>
              </w:rPr>
            </w:pPr>
            <w:r>
              <w:rPr>
                <w:sz w:val="24"/>
              </w:rPr>
              <w:t>BASDAI&lt;4</w:t>
            </w:r>
          </w:p>
          <w:p w:rsidR="00825E87" w:rsidRDefault="00CB188B">
            <w:pPr>
              <w:pStyle w:val="TableParagraph"/>
              <w:spacing w:before="20" w:line="187" w:lineRule="auto"/>
              <w:ind w:left="101" w:right="36"/>
              <w:rPr>
                <w:sz w:val="24"/>
              </w:rPr>
            </w:pPr>
            <w:r>
              <w:rPr>
                <w:sz w:val="24"/>
              </w:rPr>
              <w:t>após redução do anti-TNF: 53-</w:t>
            </w:r>
          </w:p>
          <w:p w:rsidR="00825E87" w:rsidRDefault="00CB188B">
            <w:pPr>
              <w:pStyle w:val="TableParagraph"/>
              <w:spacing w:line="199" w:lineRule="exact"/>
              <w:ind w:left="101"/>
              <w:rPr>
                <w:sz w:val="24"/>
              </w:rPr>
            </w:pPr>
            <w:r>
              <w:rPr>
                <w:sz w:val="24"/>
              </w:rPr>
              <w:t>100%;</w:t>
            </w:r>
          </w:p>
          <w:p w:rsidR="00825E87" w:rsidRDefault="00CB188B">
            <w:pPr>
              <w:pStyle w:val="TableParagraph"/>
              <w:spacing w:before="18" w:line="189" w:lineRule="auto"/>
              <w:ind w:left="101" w:right="11"/>
              <w:rPr>
                <w:sz w:val="24"/>
              </w:rPr>
            </w:pPr>
            <w:r>
              <w:rPr>
                <w:sz w:val="24"/>
              </w:rPr>
              <w:t>espaçamento foi mais c</w:t>
            </w:r>
            <w:r>
              <w:rPr>
                <w:sz w:val="24"/>
              </w:rPr>
              <w:t>omum do que redução da dose</w:t>
            </w:r>
          </w:p>
          <w:p w:rsidR="00825E87" w:rsidRDefault="00CB188B">
            <w:pPr>
              <w:pStyle w:val="TableParagraph"/>
              <w:spacing w:line="200" w:lineRule="exact"/>
              <w:ind w:left="101"/>
              <w:rPr>
                <w:sz w:val="24"/>
              </w:rPr>
            </w:pPr>
            <w:r>
              <w:rPr>
                <w:sz w:val="24"/>
              </w:rPr>
              <w:t>administrada.</w:t>
            </w:r>
          </w:p>
        </w:tc>
      </w:tr>
      <w:tr w:rsidR="00825E87">
        <w:trPr>
          <w:trHeight w:val="199"/>
        </w:trPr>
        <w:tc>
          <w:tcPr>
            <w:tcW w:w="1937" w:type="dxa"/>
            <w:tcBorders>
              <w:left w:val="single" w:sz="8" w:space="0" w:color="000000"/>
              <w:bottom w:val="nil"/>
              <w:right w:val="single" w:sz="8" w:space="0" w:color="000000"/>
            </w:tcBorders>
          </w:tcPr>
          <w:p w:rsidR="00825E87" w:rsidRDefault="00CB188B">
            <w:pPr>
              <w:pStyle w:val="TableParagraph"/>
              <w:spacing w:line="180" w:lineRule="exact"/>
              <w:ind w:left="129"/>
              <w:rPr>
                <w:sz w:val="24"/>
              </w:rPr>
            </w:pPr>
            <w:r>
              <w:rPr>
                <w:sz w:val="24"/>
              </w:rPr>
              <w:t>Zhang J, et al</w:t>
            </w:r>
            <w:r>
              <w:rPr>
                <w:position w:val="9"/>
                <w:sz w:val="16"/>
              </w:rPr>
              <w:t>59</w:t>
            </w:r>
            <w:r>
              <w:rPr>
                <w:sz w:val="24"/>
              </w:rPr>
              <w:t>;</w:t>
            </w:r>
          </w:p>
        </w:tc>
        <w:tc>
          <w:tcPr>
            <w:tcW w:w="1558" w:type="dxa"/>
            <w:tcBorders>
              <w:left w:val="single" w:sz="8" w:space="0" w:color="000000"/>
              <w:bottom w:val="nil"/>
              <w:right w:val="single" w:sz="8" w:space="0" w:color="000000"/>
            </w:tcBorders>
          </w:tcPr>
          <w:p w:rsidR="00825E87" w:rsidRDefault="00CB188B">
            <w:pPr>
              <w:pStyle w:val="TableParagraph"/>
              <w:spacing w:line="180" w:lineRule="exact"/>
              <w:ind w:left="79"/>
              <w:rPr>
                <w:sz w:val="24"/>
              </w:rPr>
            </w:pPr>
            <w:r>
              <w:rPr>
                <w:sz w:val="24"/>
              </w:rPr>
              <w:t>15 estudos</w:t>
            </w:r>
          </w:p>
        </w:tc>
        <w:tc>
          <w:tcPr>
            <w:tcW w:w="1951" w:type="dxa"/>
            <w:tcBorders>
              <w:left w:val="single" w:sz="8" w:space="0" w:color="000000"/>
              <w:bottom w:val="nil"/>
              <w:right w:val="single" w:sz="8" w:space="0" w:color="000000"/>
            </w:tcBorders>
          </w:tcPr>
          <w:p w:rsidR="00825E87" w:rsidRDefault="00CB188B">
            <w:pPr>
              <w:pStyle w:val="TableParagraph"/>
              <w:spacing w:line="180" w:lineRule="exact"/>
              <w:ind w:left="100"/>
              <w:rPr>
                <w:sz w:val="24"/>
              </w:rPr>
            </w:pPr>
            <w:r>
              <w:rPr>
                <w:sz w:val="24"/>
              </w:rPr>
              <w:t>Anti-TNF</w:t>
            </w:r>
          </w:p>
        </w:tc>
        <w:tc>
          <w:tcPr>
            <w:tcW w:w="1845" w:type="dxa"/>
            <w:tcBorders>
              <w:left w:val="single" w:sz="8" w:space="0" w:color="000000"/>
              <w:bottom w:val="nil"/>
              <w:right w:val="single" w:sz="8" w:space="0" w:color="000000"/>
            </w:tcBorders>
          </w:tcPr>
          <w:p w:rsidR="00825E87" w:rsidRDefault="00CB188B">
            <w:pPr>
              <w:pStyle w:val="TableParagraph"/>
              <w:spacing w:line="180" w:lineRule="exact"/>
              <w:ind w:left="101"/>
              <w:rPr>
                <w:sz w:val="24"/>
              </w:rPr>
            </w:pPr>
            <w:r>
              <w:rPr>
                <w:sz w:val="24"/>
              </w:rPr>
              <w:t>Não se aplica:</w:t>
            </w:r>
          </w:p>
        </w:tc>
        <w:tc>
          <w:tcPr>
            <w:tcW w:w="1718" w:type="dxa"/>
            <w:tcBorders>
              <w:left w:val="single" w:sz="8" w:space="0" w:color="000000"/>
              <w:bottom w:val="nil"/>
              <w:right w:val="single" w:sz="8" w:space="0" w:color="000000"/>
            </w:tcBorders>
          </w:tcPr>
          <w:p w:rsidR="00825E87" w:rsidRDefault="00CB188B">
            <w:pPr>
              <w:pStyle w:val="TableParagraph"/>
              <w:spacing w:line="180" w:lineRule="exact"/>
              <w:ind w:left="101"/>
              <w:rPr>
                <w:sz w:val="24"/>
              </w:rPr>
            </w:pPr>
            <w:r>
              <w:rPr>
                <w:sz w:val="24"/>
              </w:rPr>
              <w:t>Lesão</w:t>
            </w:r>
          </w:p>
        </w:tc>
      </w:tr>
      <w:tr w:rsidR="00825E87">
        <w:trPr>
          <w:trHeight w:val="1728"/>
        </w:trPr>
        <w:tc>
          <w:tcPr>
            <w:tcW w:w="1937" w:type="dxa"/>
            <w:tcBorders>
              <w:top w:val="nil"/>
              <w:left w:val="single" w:sz="8" w:space="0" w:color="000000"/>
              <w:bottom w:val="nil"/>
              <w:right w:val="single" w:sz="8" w:space="0" w:color="000000"/>
            </w:tcBorders>
          </w:tcPr>
          <w:p w:rsidR="00825E87" w:rsidRDefault="00CB188B">
            <w:pPr>
              <w:pStyle w:val="TableParagraph"/>
              <w:spacing w:line="229" w:lineRule="exact"/>
              <w:ind w:left="129"/>
              <w:rPr>
                <w:sz w:val="24"/>
              </w:rPr>
            </w:pPr>
            <w:r>
              <w:rPr>
                <w:sz w:val="24"/>
              </w:rPr>
              <w:t>espondilite</w:t>
            </w:r>
          </w:p>
          <w:p w:rsidR="00825E87" w:rsidRDefault="00CB188B">
            <w:pPr>
              <w:pStyle w:val="TableParagraph"/>
              <w:spacing w:line="268" w:lineRule="exact"/>
              <w:ind w:left="129"/>
              <w:rPr>
                <w:sz w:val="24"/>
              </w:rPr>
            </w:pPr>
            <w:r>
              <w:rPr>
                <w:sz w:val="24"/>
              </w:rPr>
              <w:t>anquilosante</w:t>
            </w:r>
          </w:p>
        </w:tc>
        <w:tc>
          <w:tcPr>
            <w:tcW w:w="1558" w:type="dxa"/>
            <w:tcBorders>
              <w:top w:val="nil"/>
              <w:left w:val="single" w:sz="8" w:space="0" w:color="000000"/>
              <w:bottom w:val="nil"/>
              <w:right w:val="single" w:sz="8" w:space="0" w:color="000000"/>
            </w:tcBorders>
          </w:tcPr>
          <w:p w:rsidR="00825E87" w:rsidRDefault="00CB188B">
            <w:pPr>
              <w:pStyle w:val="TableParagraph"/>
              <w:spacing w:before="11" w:line="187" w:lineRule="auto"/>
              <w:ind w:left="79" w:right="272"/>
              <w:rPr>
                <w:sz w:val="24"/>
              </w:rPr>
            </w:pPr>
            <w:r>
              <w:rPr>
                <w:sz w:val="24"/>
              </w:rPr>
              <w:t>(ensaios clínicos e estudos de coorte); 461 indivíduos</w:t>
            </w:r>
          </w:p>
        </w:tc>
        <w:tc>
          <w:tcPr>
            <w:tcW w:w="1951" w:type="dxa"/>
            <w:tcBorders>
              <w:top w:val="nil"/>
              <w:left w:val="single" w:sz="8" w:space="0" w:color="000000"/>
              <w:bottom w:val="nil"/>
              <w:right w:val="single" w:sz="8" w:space="0" w:color="000000"/>
            </w:tcBorders>
          </w:tcPr>
          <w:p w:rsidR="00825E87" w:rsidRDefault="00CB188B">
            <w:pPr>
              <w:pStyle w:val="TableParagraph"/>
              <w:spacing w:line="229" w:lineRule="exact"/>
              <w:ind w:left="100"/>
              <w:rPr>
                <w:sz w:val="24"/>
              </w:rPr>
            </w:pPr>
            <w:r>
              <w:rPr>
                <w:sz w:val="24"/>
              </w:rPr>
              <w:t>(adalimumabe,</w:t>
            </w:r>
          </w:p>
          <w:p w:rsidR="00825E87" w:rsidRDefault="00CB188B">
            <w:pPr>
              <w:pStyle w:val="TableParagraph"/>
              <w:ind w:left="100" w:right="4"/>
              <w:rPr>
                <w:sz w:val="24"/>
              </w:rPr>
            </w:pPr>
            <w:r>
              <w:rPr>
                <w:sz w:val="24"/>
              </w:rPr>
              <w:t>etanercepte, golimumabe 50mg e</w:t>
            </w:r>
          </w:p>
          <w:p w:rsidR="00825E87" w:rsidRDefault="00CB188B">
            <w:pPr>
              <w:pStyle w:val="TableParagraph"/>
              <w:ind w:left="100" w:right="624"/>
              <w:rPr>
                <w:sz w:val="24"/>
              </w:rPr>
            </w:pPr>
            <w:r>
              <w:rPr>
                <w:sz w:val="24"/>
              </w:rPr>
              <w:t>100mg, infliximabe)</w:t>
            </w:r>
          </w:p>
        </w:tc>
        <w:tc>
          <w:tcPr>
            <w:tcW w:w="1845" w:type="dxa"/>
            <w:tcBorders>
              <w:top w:val="nil"/>
              <w:left w:val="single" w:sz="8" w:space="0" w:color="000000"/>
              <w:bottom w:val="nil"/>
              <w:right w:val="single" w:sz="8" w:space="0" w:color="000000"/>
            </w:tcBorders>
          </w:tcPr>
          <w:p w:rsidR="00825E87" w:rsidRDefault="00CB188B">
            <w:pPr>
              <w:pStyle w:val="TableParagraph"/>
              <w:spacing w:line="229" w:lineRule="exact"/>
              <w:ind w:left="101"/>
              <w:rPr>
                <w:sz w:val="24"/>
              </w:rPr>
            </w:pPr>
            <w:r>
              <w:rPr>
                <w:sz w:val="24"/>
              </w:rPr>
              <w:t>revisão</w:t>
            </w:r>
          </w:p>
          <w:p w:rsidR="00825E87" w:rsidRDefault="00CB188B">
            <w:pPr>
              <w:pStyle w:val="TableParagraph"/>
              <w:ind w:left="101" w:right="184"/>
              <w:rPr>
                <w:sz w:val="24"/>
              </w:rPr>
            </w:pPr>
            <w:r>
              <w:rPr>
                <w:sz w:val="24"/>
              </w:rPr>
              <w:t>sistemática qualitativa (sem meta-análise).</w:t>
            </w:r>
          </w:p>
        </w:tc>
        <w:tc>
          <w:tcPr>
            <w:tcW w:w="1718" w:type="dxa"/>
            <w:tcBorders>
              <w:top w:val="nil"/>
              <w:left w:val="single" w:sz="8" w:space="0" w:color="000000"/>
              <w:bottom w:val="nil"/>
              <w:right w:val="single" w:sz="8" w:space="0" w:color="000000"/>
            </w:tcBorders>
          </w:tcPr>
          <w:p w:rsidR="00825E87" w:rsidRDefault="00CB188B">
            <w:pPr>
              <w:pStyle w:val="TableParagraph"/>
              <w:spacing w:before="11" w:line="187" w:lineRule="auto"/>
              <w:ind w:left="101" w:right="317"/>
              <w:rPr>
                <w:sz w:val="24"/>
              </w:rPr>
            </w:pPr>
            <w:r>
              <w:rPr>
                <w:sz w:val="24"/>
              </w:rPr>
              <w:t>inflamatória inicial esteve sssociada a novo sindesmófito (OR 1,9-4,6,</w:t>
            </w:r>
          </w:p>
          <w:p w:rsidR="00825E87" w:rsidRDefault="00CB188B">
            <w:pPr>
              <w:pStyle w:val="TableParagraph"/>
              <w:spacing w:line="202" w:lineRule="exact"/>
              <w:ind w:left="101"/>
              <w:rPr>
                <w:sz w:val="24"/>
              </w:rPr>
            </w:pPr>
            <w:r>
              <w:rPr>
                <w:i/>
                <w:sz w:val="24"/>
              </w:rPr>
              <w:t>P</w:t>
            </w:r>
            <w:r>
              <w:rPr>
                <w:sz w:val="24"/>
              </w:rPr>
              <w:t>&lt;0,05); 4</w:t>
            </w:r>
          </w:p>
          <w:p w:rsidR="00825E87" w:rsidRDefault="00CB188B">
            <w:pPr>
              <w:pStyle w:val="TableParagraph"/>
              <w:spacing w:line="204" w:lineRule="exact"/>
              <w:ind w:left="101"/>
              <w:rPr>
                <w:sz w:val="24"/>
              </w:rPr>
            </w:pPr>
            <w:r>
              <w:rPr>
                <w:sz w:val="24"/>
              </w:rPr>
              <w:t>estudos com 2</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anos de</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seguimento</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demonstraram</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efeito nulo dos</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anti-TNFs</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(adalimumabe,</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etanercepte e</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infliximabe) na</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progressão</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radiográfica</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(quando</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comparados a</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coortes</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históricas com</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doença menos</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ativa - OASIS e</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GESPIC)(52,76</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 3 estudos com</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u w:val="single"/>
              </w:rPr>
              <w:t>&gt;</w:t>
            </w:r>
            <w:r>
              <w:rPr>
                <w:sz w:val="24"/>
              </w:rPr>
              <w:t xml:space="preserve"> 4 anos de</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seguimento</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demonstraram</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efeito inibitório</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dos anti-TNFs</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(não</w:t>
            </w:r>
          </w:p>
        </w:tc>
      </w:tr>
      <w:tr w:rsidR="00825E87">
        <w:trPr>
          <w:trHeight w:val="215"/>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especificados)</w:t>
            </w:r>
          </w:p>
        </w:tc>
      </w:tr>
      <w:tr w:rsidR="00825E87">
        <w:trPr>
          <w:trHeight w:val="216"/>
        </w:trPr>
        <w:tc>
          <w:tcPr>
            <w:tcW w:w="1937" w:type="dxa"/>
            <w:tcBorders>
              <w:top w:val="nil"/>
              <w:left w:val="single" w:sz="8" w:space="0" w:color="000000"/>
              <w:bottom w:val="nil"/>
              <w:right w:val="single" w:sz="8" w:space="0" w:color="000000"/>
            </w:tcBorders>
          </w:tcPr>
          <w:p w:rsidR="00825E87" w:rsidRDefault="00825E87">
            <w:pPr>
              <w:pStyle w:val="TableParagraph"/>
              <w:rPr>
                <w:sz w:val="14"/>
              </w:rPr>
            </w:pPr>
          </w:p>
        </w:tc>
        <w:tc>
          <w:tcPr>
            <w:tcW w:w="1558" w:type="dxa"/>
            <w:tcBorders>
              <w:top w:val="nil"/>
              <w:left w:val="single" w:sz="8" w:space="0" w:color="000000"/>
              <w:bottom w:val="nil"/>
              <w:right w:val="single" w:sz="8" w:space="0" w:color="000000"/>
            </w:tcBorders>
          </w:tcPr>
          <w:p w:rsidR="00825E87" w:rsidRDefault="00825E87">
            <w:pPr>
              <w:pStyle w:val="TableParagraph"/>
              <w:rPr>
                <w:sz w:val="14"/>
              </w:rPr>
            </w:pPr>
          </w:p>
        </w:tc>
        <w:tc>
          <w:tcPr>
            <w:tcW w:w="1951" w:type="dxa"/>
            <w:tcBorders>
              <w:top w:val="nil"/>
              <w:left w:val="single" w:sz="8" w:space="0" w:color="000000"/>
              <w:bottom w:val="nil"/>
              <w:right w:val="single" w:sz="8" w:space="0" w:color="000000"/>
            </w:tcBorders>
          </w:tcPr>
          <w:p w:rsidR="00825E87" w:rsidRDefault="00825E87">
            <w:pPr>
              <w:pStyle w:val="TableParagraph"/>
              <w:rPr>
                <w:sz w:val="14"/>
              </w:rPr>
            </w:pPr>
          </w:p>
        </w:tc>
        <w:tc>
          <w:tcPr>
            <w:tcW w:w="1845" w:type="dxa"/>
            <w:tcBorders>
              <w:top w:val="nil"/>
              <w:left w:val="single" w:sz="8" w:space="0" w:color="000000"/>
              <w:bottom w:val="nil"/>
              <w:right w:val="single" w:sz="8" w:space="0" w:color="000000"/>
            </w:tcBorders>
          </w:tcPr>
          <w:p w:rsidR="00825E87" w:rsidRDefault="00825E87">
            <w:pPr>
              <w:pStyle w:val="TableParagraph"/>
              <w:rPr>
                <w:sz w:val="14"/>
              </w:rPr>
            </w:pPr>
          </w:p>
        </w:tc>
        <w:tc>
          <w:tcPr>
            <w:tcW w:w="1718" w:type="dxa"/>
            <w:tcBorders>
              <w:top w:val="nil"/>
              <w:left w:val="single" w:sz="8" w:space="0" w:color="000000"/>
              <w:bottom w:val="nil"/>
              <w:right w:val="single" w:sz="8" w:space="0" w:color="000000"/>
            </w:tcBorders>
          </w:tcPr>
          <w:p w:rsidR="00825E87" w:rsidRDefault="00CB188B">
            <w:pPr>
              <w:pStyle w:val="TableParagraph"/>
              <w:spacing w:line="196" w:lineRule="exact"/>
              <w:ind w:left="101"/>
              <w:rPr>
                <w:sz w:val="24"/>
              </w:rPr>
            </w:pPr>
            <w:r>
              <w:rPr>
                <w:sz w:val="24"/>
              </w:rPr>
              <w:t>na neoformação</w:t>
            </w:r>
          </w:p>
        </w:tc>
      </w:tr>
      <w:tr w:rsidR="00825E87">
        <w:trPr>
          <w:trHeight w:val="231"/>
        </w:trPr>
        <w:tc>
          <w:tcPr>
            <w:tcW w:w="1937" w:type="dxa"/>
            <w:tcBorders>
              <w:top w:val="nil"/>
              <w:left w:val="single" w:sz="8" w:space="0" w:color="000000"/>
              <w:right w:val="single" w:sz="8" w:space="0" w:color="000000"/>
            </w:tcBorders>
          </w:tcPr>
          <w:p w:rsidR="00825E87" w:rsidRDefault="00825E87">
            <w:pPr>
              <w:pStyle w:val="TableParagraph"/>
              <w:rPr>
                <w:sz w:val="16"/>
              </w:rPr>
            </w:pPr>
          </w:p>
        </w:tc>
        <w:tc>
          <w:tcPr>
            <w:tcW w:w="1558" w:type="dxa"/>
            <w:tcBorders>
              <w:top w:val="nil"/>
              <w:left w:val="single" w:sz="8" w:space="0" w:color="000000"/>
              <w:right w:val="single" w:sz="8" w:space="0" w:color="000000"/>
            </w:tcBorders>
          </w:tcPr>
          <w:p w:rsidR="00825E87" w:rsidRDefault="00825E87">
            <w:pPr>
              <w:pStyle w:val="TableParagraph"/>
              <w:rPr>
                <w:sz w:val="16"/>
              </w:rPr>
            </w:pPr>
          </w:p>
        </w:tc>
        <w:tc>
          <w:tcPr>
            <w:tcW w:w="1951" w:type="dxa"/>
            <w:tcBorders>
              <w:top w:val="nil"/>
              <w:left w:val="single" w:sz="8" w:space="0" w:color="000000"/>
              <w:right w:val="single" w:sz="8" w:space="0" w:color="000000"/>
            </w:tcBorders>
          </w:tcPr>
          <w:p w:rsidR="00825E87" w:rsidRDefault="00825E87">
            <w:pPr>
              <w:pStyle w:val="TableParagraph"/>
              <w:rPr>
                <w:sz w:val="16"/>
              </w:rPr>
            </w:pPr>
          </w:p>
        </w:tc>
        <w:tc>
          <w:tcPr>
            <w:tcW w:w="1845" w:type="dxa"/>
            <w:tcBorders>
              <w:top w:val="nil"/>
              <w:left w:val="single" w:sz="8" w:space="0" w:color="000000"/>
              <w:right w:val="single" w:sz="8" w:space="0" w:color="000000"/>
            </w:tcBorders>
          </w:tcPr>
          <w:p w:rsidR="00825E87" w:rsidRDefault="00825E87">
            <w:pPr>
              <w:pStyle w:val="TableParagraph"/>
              <w:rPr>
                <w:sz w:val="16"/>
              </w:rPr>
            </w:pPr>
          </w:p>
        </w:tc>
        <w:tc>
          <w:tcPr>
            <w:tcW w:w="1718" w:type="dxa"/>
            <w:tcBorders>
              <w:top w:val="nil"/>
              <w:left w:val="single" w:sz="8" w:space="0" w:color="000000"/>
              <w:right w:val="single" w:sz="8" w:space="0" w:color="000000"/>
            </w:tcBorders>
          </w:tcPr>
          <w:p w:rsidR="00825E87" w:rsidRDefault="00CB188B">
            <w:pPr>
              <w:pStyle w:val="TableParagraph"/>
              <w:spacing w:line="212" w:lineRule="exact"/>
              <w:ind w:left="101"/>
              <w:rPr>
                <w:sz w:val="24"/>
              </w:rPr>
            </w:pPr>
            <w:r>
              <w:rPr>
                <w:sz w:val="24"/>
              </w:rPr>
              <w:t>óssea.</w:t>
            </w:r>
          </w:p>
        </w:tc>
      </w:tr>
    </w:tbl>
    <w:p w:rsidR="00825E87" w:rsidRDefault="00CB188B">
      <w:pPr>
        <w:spacing w:line="237" w:lineRule="auto"/>
        <w:ind w:left="136" w:right="135"/>
        <w:jc w:val="both"/>
        <w:rPr>
          <w:sz w:val="24"/>
        </w:rPr>
      </w:pPr>
      <w:r>
        <w:rPr>
          <w:sz w:val="24"/>
        </w:rPr>
        <w:t>TNF: fator de necrose tumoral (</w:t>
      </w:r>
      <w:r>
        <w:rPr>
          <w:i/>
          <w:sz w:val="24"/>
        </w:rPr>
        <w:t>tumor necrosis factor</w:t>
      </w:r>
      <w:r>
        <w:rPr>
          <w:sz w:val="24"/>
        </w:rPr>
        <w:t>); ASAS: avaliação da espondiloartrite (</w:t>
      </w:r>
      <w:r>
        <w:rPr>
          <w:i/>
          <w:sz w:val="24"/>
        </w:rPr>
        <w:t>assessment of spondyloarthritis</w:t>
      </w:r>
      <w:r>
        <w:rPr>
          <w:sz w:val="24"/>
        </w:rPr>
        <w:t xml:space="preserve">); OR: </w:t>
      </w:r>
      <w:r>
        <w:rPr>
          <w:i/>
          <w:sz w:val="24"/>
        </w:rPr>
        <w:t>odds ratio</w:t>
      </w:r>
      <w:r>
        <w:rPr>
          <w:sz w:val="24"/>
        </w:rPr>
        <w:t>; RR: risco relativo; BASDAI: índice de atividade de espondilite anquilosante de Bath (</w:t>
      </w:r>
      <w:r>
        <w:rPr>
          <w:i/>
          <w:sz w:val="24"/>
        </w:rPr>
        <w:t>Bath ankylosing spondylitis activity index</w:t>
      </w:r>
      <w:r>
        <w:rPr>
          <w:sz w:val="24"/>
        </w:rPr>
        <w:t>); BASFI: índice funcional de espondilite anquilosante de Bath (</w:t>
      </w:r>
      <w:r>
        <w:rPr>
          <w:i/>
          <w:sz w:val="24"/>
        </w:rPr>
        <w:t>Bath ankylosing spondylitis functional index</w:t>
      </w:r>
      <w:r>
        <w:rPr>
          <w:sz w:val="24"/>
        </w:rPr>
        <w:t>); OASIS:</w:t>
      </w:r>
      <w:r>
        <w:rPr>
          <w:sz w:val="24"/>
        </w:rPr>
        <w:t xml:space="preserve"> estudo internacional de desfecho em epondilite anquilosante (</w:t>
      </w:r>
      <w:r>
        <w:rPr>
          <w:i/>
          <w:sz w:val="24"/>
        </w:rPr>
        <w:t>outcome in ankylosing spondylitis international study</w:t>
      </w:r>
      <w:r>
        <w:rPr>
          <w:sz w:val="24"/>
        </w:rPr>
        <w:t>); GESPIC: coorte inicial alemã em espondiloartrite (</w:t>
      </w:r>
      <w:r>
        <w:rPr>
          <w:i/>
          <w:sz w:val="24"/>
        </w:rPr>
        <w:t>german spondyloarthritis inception cohort</w:t>
      </w:r>
      <w:r>
        <w:rPr>
          <w:sz w:val="24"/>
        </w:rPr>
        <w:t>). *Em dois estudos, além de placebo, um tercei</w:t>
      </w:r>
      <w:r>
        <w:rPr>
          <w:sz w:val="24"/>
        </w:rPr>
        <w:t xml:space="preserve">ro grupo recebeu o mesmo anti-TNF com posologia diferente (etanercepte 25mg, 2x/semana, 50mg, 1x/semana, placebo; golimumabe 50mg/4 semanas, 100mg/4 semanas, placebo). </w:t>
      </w:r>
      <w:r>
        <w:rPr>
          <w:position w:val="9"/>
          <w:sz w:val="16"/>
        </w:rPr>
        <w:t>§</w:t>
      </w:r>
      <w:r>
        <w:rPr>
          <w:sz w:val="24"/>
        </w:rPr>
        <w:t>Em apenas um estudo, houve placebo em substituição ao metotrexato.</w:t>
      </w:r>
    </w:p>
    <w:p w:rsidR="00825E87" w:rsidRDefault="00825E87">
      <w:pPr>
        <w:spacing w:line="237" w:lineRule="auto"/>
        <w:jc w:val="both"/>
        <w:rPr>
          <w:sz w:val="24"/>
        </w:rPr>
        <w:sectPr w:rsidR="00825E87">
          <w:pgSz w:w="11910" w:h="16850"/>
          <w:pgMar w:top="1140" w:right="1560" w:bottom="280" w:left="1080" w:header="720" w:footer="720" w:gutter="0"/>
          <w:cols w:space="720"/>
        </w:sectPr>
      </w:pPr>
    </w:p>
    <w:p w:rsidR="00825E87" w:rsidRDefault="00CB188B">
      <w:pPr>
        <w:pStyle w:val="Ttulo1"/>
        <w:spacing w:before="65"/>
        <w:ind w:left="206" w:right="225"/>
        <w:jc w:val="center"/>
      </w:pPr>
      <w:r>
        <w:lastRenderedPageBreak/>
        <w:t>APÊNDI</w:t>
      </w:r>
      <w:r>
        <w:t>CE 3</w:t>
      </w:r>
    </w:p>
    <w:p w:rsidR="00825E87" w:rsidRDefault="00CB188B">
      <w:pPr>
        <w:pStyle w:val="Corpodetexto"/>
        <w:spacing w:before="3"/>
        <w:ind w:left="0"/>
        <w:rPr>
          <w:b/>
          <w:sz w:val="9"/>
        </w:rPr>
      </w:pPr>
      <w:r>
        <w:rPr>
          <w:noProof/>
          <w:lang w:bidi="ar-SA"/>
        </w:rPr>
        <w:drawing>
          <wp:anchor distT="0" distB="0" distL="0" distR="0" simplePos="0" relativeHeight="251654144" behindDoc="1" locked="0" layoutInCell="1" allowOverlap="1">
            <wp:simplePos x="0" y="0"/>
            <wp:positionH relativeFrom="page">
              <wp:posOffset>3183744</wp:posOffset>
            </wp:positionH>
            <wp:positionV relativeFrom="paragraph">
              <wp:posOffset>92828</wp:posOffset>
            </wp:positionV>
            <wp:extent cx="747790" cy="20307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747790" cy="203073"/>
                    </a:xfrm>
                    <a:prstGeom prst="rect">
                      <a:avLst/>
                    </a:prstGeom>
                  </pic:spPr>
                </pic:pic>
              </a:graphicData>
            </a:graphic>
          </wp:anchor>
        </w:drawing>
      </w:r>
      <w:r>
        <w:rPr>
          <w:noProof/>
          <w:lang w:bidi="ar-SA"/>
        </w:rPr>
        <w:drawing>
          <wp:anchor distT="0" distB="0" distL="0" distR="0" simplePos="0" relativeHeight="251655168" behindDoc="1" locked="0" layoutInCell="1" allowOverlap="1">
            <wp:simplePos x="0" y="0"/>
            <wp:positionH relativeFrom="page">
              <wp:posOffset>1446846</wp:posOffset>
            </wp:positionH>
            <wp:positionV relativeFrom="paragraph">
              <wp:posOffset>381268</wp:posOffset>
            </wp:positionV>
            <wp:extent cx="4494127" cy="7340346"/>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4494127" cy="7340346"/>
                    </a:xfrm>
                    <a:prstGeom prst="rect">
                      <a:avLst/>
                    </a:prstGeom>
                  </pic:spPr>
                </pic:pic>
              </a:graphicData>
            </a:graphic>
          </wp:anchor>
        </w:drawing>
      </w:r>
    </w:p>
    <w:p w:rsidR="00825E87" w:rsidRDefault="00825E87">
      <w:pPr>
        <w:pStyle w:val="Corpodetexto"/>
        <w:spacing w:before="8"/>
        <w:ind w:left="0"/>
        <w:rPr>
          <w:b/>
          <w:sz w:val="5"/>
        </w:rPr>
      </w:pPr>
    </w:p>
    <w:p w:rsidR="00825E87" w:rsidRDefault="00825E87">
      <w:pPr>
        <w:rPr>
          <w:sz w:val="5"/>
        </w:rPr>
        <w:sectPr w:rsidR="00825E87">
          <w:pgSz w:w="11900" w:h="16840"/>
          <w:pgMar w:top="1120" w:right="1140" w:bottom="280" w:left="1040" w:header="720" w:footer="720" w:gutter="0"/>
          <w:cols w:space="720"/>
        </w:sectPr>
      </w:pPr>
    </w:p>
    <w:p w:rsidR="00825E87" w:rsidRDefault="00CB188B">
      <w:pPr>
        <w:pStyle w:val="Corpodetexto"/>
        <w:ind w:left="917"/>
        <w:rPr>
          <w:sz w:val="20"/>
        </w:rPr>
      </w:pPr>
      <w:r>
        <w:rPr>
          <w:noProof/>
          <w:sz w:val="20"/>
          <w:lang w:bidi="ar-SA"/>
        </w:rPr>
        <w:lastRenderedPageBreak/>
        <w:drawing>
          <wp:inline distT="0" distB="0" distL="0" distR="0">
            <wp:extent cx="4905938" cy="791260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4905938" cy="7912608"/>
                    </a:xfrm>
                    <a:prstGeom prst="rect">
                      <a:avLst/>
                    </a:prstGeom>
                  </pic:spPr>
                </pic:pic>
              </a:graphicData>
            </a:graphic>
          </wp:inline>
        </w:drawing>
      </w:r>
    </w:p>
    <w:p w:rsidR="00825E87" w:rsidRDefault="00825E87">
      <w:pPr>
        <w:rPr>
          <w:sz w:val="20"/>
        </w:rPr>
        <w:sectPr w:rsidR="00825E87">
          <w:pgSz w:w="11900" w:h="16840"/>
          <w:pgMar w:top="1520" w:right="1140" w:bottom="280" w:left="1040" w:header="720" w:footer="720" w:gutter="0"/>
          <w:cols w:space="720"/>
        </w:sectPr>
      </w:pPr>
    </w:p>
    <w:p w:rsidR="00825E87" w:rsidRDefault="00CB188B">
      <w:pPr>
        <w:spacing w:before="79"/>
        <w:ind w:left="1710"/>
        <w:rPr>
          <w:b/>
          <w:sz w:val="24"/>
        </w:rPr>
      </w:pPr>
      <w:r>
        <w:rPr>
          <w:b/>
          <w:sz w:val="24"/>
        </w:rPr>
        <w:lastRenderedPageBreak/>
        <w:t>TERMO DE ESCLARECIMENTO E RESPONSABILIDADE</w:t>
      </w:r>
    </w:p>
    <w:p w:rsidR="00825E87" w:rsidRDefault="00825E87">
      <w:pPr>
        <w:pStyle w:val="Corpodetexto"/>
        <w:spacing w:before="7"/>
        <w:ind w:left="0"/>
        <w:rPr>
          <w:b/>
          <w:sz w:val="23"/>
        </w:rPr>
      </w:pPr>
    </w:p>
    <w:p w:rsidR="00825E87" w:rsidRDefault="00CB188B">
      <w:pPr>
        <w:pStyle w:val="Corpodetexto"/>
        <w:ind w:left="206" w:right="228"/>
        <w:jc w:val="center"/>
      </w:pPr>
      <w:r>
        <w:t>IBUPROFENO, NAPROXENO, SULFASSALAZINA, METOTREXATO, ADALIMUMABE, ETANERCEPTE, GOLIMUMABE, INFLIXIMABE, CERTOLIZUMABE PEGOL E SECUQUINUMABE.</w:t>
      </w:r>
    </w:p>
    <w:p w:rsidR="00825E87" w:rsidRDefault="00825E87">
      <w:pPr>
        <w:pStyle w:val="Corpodetexto"/>
        <w:spacing w:before="10"/>
        <w:ind w:left="0"/>
        <w:rPr>
          <w:sz w:val="13"/>
        </w:rPr>
      </w:pPr>
    </w:p>
    <w:p w:rsidR="00825E87" w:rsidRDefault="00CB188B">
      <w:pPr>
        <w:pStyle w:val="Corpodetexto"/>
        <w:tabs>
          <w:tab w:val="left" w:pos="7672"/>
          <w:tab w:val="left" w:pos="8048"/>
          <w:tab w:val="left" w:pos="9092"/>
        </w:tabs>
        <w:spacing w:before="90"/>
        <w:ind w:left="808"/>
      </w:pPr>
      <w:r>
        <w:t>Eu,</w:t>
      </w:r>
      <w:r>
        <w:rPr>
          <w:u w:val="single"/>
        </w:rPr>
        <w:t xml:space="preserve"> </w:t>
      </w:r>
      <w:r>
        <w:rPr>
          <w:u w:val="single"/>
        </w:rPr>
        <w:tab/>
      </w:r>
      <w:r>
        <w:tab/>
        <w:t>(nome</w:t>
      </w:r>
      <w:r>
        <w:tab/>
        <w:t>do(a)</w:t>
      </w:r>
    </w:p>
    <w:p w:rsidR="00825E87" w:rsidRDefault="00CB188B">
      <w:pPr>
        <w:spacing w:line="237" w:lineRule="auto"/>
        <w:ind w:left="100" w:right="115"/>
        <w:jc w:val="both"/>
        <w:rPr>
          <w:sz w:val="24"/>
        </w:rPr>
      </w:pPr>
      <w:r>
        <w:rPr>
          <w:sz w:val="24"/>
        </w:rPr>
        <w:t xml:space="preserve">paciente), declaro ter sido informado(a) claramente sobre benefícios, riscos, contraindicações e principais efeitos adversos relacionados ao uso de </w:t>
      </w:r>
      <w:r>
        <w:rPr>
          <w:b/>
          <w:sz w:val="24"/>
        </w:rPr>
        <w:t>ibuprofeno</w:t>
      </w:r>
      <w:r>
        <w:rPr>
          <w:sz w:val="24"/>
        </w:rPr>
        <w:t xml:space="preserve">, </w:t>
      </w:r>
      <w:r>
        <w:rPr>
          <w:b/>
          <w:sz w:val="24"/>
        </w:rPr>
        <w:t>naproxeno, sulfassalazina, metotrexato, adalimumabe, etanercepte, golimumabe, infliximabe, certo</w:t>
      </w:r>
      <w:r>
        <w:rPr>
          <w:b/>
          <w:sz w:val="24"/>
        </w:rPr>
        <w:t xml:space="preserve">licumabe pegol e secuquinumabe </w:t>
      </w:r>
      <w:r>
        <w:rPr>
          <w:sz w:val="24"/>
        </w:rPr>
        <w:t xml:space="preserve">indicados para o tratamento da </w:t>
      </w:r>
      <w:r>
        <w:rPr>
          <w:b/>
          <w:sz w:val="24"/>
        </w:rPr>
        <w:t>espondilite ancilosante</w:t>
      </w:r>
      <w:r>
        <w:rPr>
          <w:sz w:val="24"/>
        </w:rPr>
        <w:t>.</w:t>
      </w:r>
    </w:p>
    <w:p w:rsidR="00825E87" w:rsidRDefault="00CB188B">
      <w:pPr>
        <w:pStyle w:val="Corpodetexto"/>
        <w:tabs>
          <w:tab w:val="left" w:pos="4280"/>
        </w:tabs>
        <w:spacing w:before="11" w:line="232" w:lineRule="auto"/>
        <w:ind w:left="100" w:right="658" w:firstLine="708"/>
      </w:pPr>
      <w:r>
        <w:t>Os termos médicos foram explicados e todas as minhas dúvidas foram resolvidas pelo médico</w:t>
      </w:r>
      <w:r>
        <w:rPr>
          <w:u w:val="single"/>
        </w:rPr>
        <w:t xml:space="preserve"> </w:t>
      </w:r>
      <w:r>
        <w:rPr>
          <w:u w:val="single"/>
        </w:rPr>
        <w:tab/>
      </w:r>
      <w:r>
        <w:t>(nome do médico que</w:t>
      </w:r>
      <w:r>
        <w:rPr>
          <w:spacing w:val="-1"/>
        </w:rPr>
        <w:t xml:space="preserve"> </w:t>
      </w:r>
      <w:r>
        <w:t>prescreve).</w:t>
      </w:r>
    </w:p>
    <w:p w:rsidR="00825E87" w:rsidRDefault="00CB188B">
      <w:pPr>
        <w:pStyle w:val="Corpodetexto"/>
        <w:spacing w:before="14" w:line="232" w:lineRule="auto"/>
        <w:ind w:left="100" w:right="143" w:firstLine="708"/>
        <w:jc w:val="both"/>
      </w:pPr>
      <w:r>
        <w:t>Assim, declaro que fui claramente informado(a)</w:t>
      </w:r>
      <w:r>
        <w:t xml:space="preserve"> de que os medicamentos que passo a receber podem trazer os seguintes</w:t>
      </w:r>
      <w:r>
        <w:rPr>
          <w:spacing w:val="-1"/>
        </w:rPr>
        <w:t xml:space="preserve"> </w:t>
      </w:r>
      <w:r>
        <w:t>benefícios:</w:t>
      </w:r>
    </w:p>
    <w:p w:rsidR="00825E87" w:rsidRDefault="00CB188B">
      <w:pPr>
        <w:pStyle w:val="PargrafodaLista"/>
        <w:numPr>
          <w:ilvl w:val="0"/>
          <w:numId w:val="1"/>
        </w:numPr>
        <w:tabs>
          <w:tab w:val="left" w:pos="922"/>
        </w:tabs>
        <w:spacing w:before="1"/>
        <w:ind w:firstLine="701"/>
        <w:rPr>
          <w:sz w:val="24"/>
        </w:rPr>
      </w:pPr>
      <w:r>
        <w:rPr>
          <w:sz w:val="24"/>
        </w:rPr>
        <w:t>melhora dos sintomas da doença, como dor e</w:t>
      </w:r>
      <w:r>
        <w:rPr>
          <w:spacing w:val="-8"/>
          <w:sz w:val="24"/>
        </w:rPr>
        <w:t xml:space="preserve"> </w:t>
      </w:r>
      <w:r>
        <w:rPr>
          <w:sz w:val="24"/>
        </w:rPr>
        <w:t>rigidez;</w:t>
      </w:r>
    </w:p>
    <w:p w:rsidR="00825E87" w:rsidRDefault="00CB188B">
      <w:pPr>
        <w:pStyle w:val="PargrafodaLista"/>
        <w:numPr>
          <w:ilvl w:val="0"/>
          <w:numId w:val="1"/>
        </w:numPr>
        <w:tabs>
          <w:tab w:val="left" w:pos="922"/>
        </w:tabs>
        <w:spacing w:line="275" w:lineRule="exact"/>
        <w:ind w:firstLine="701"/>
        <w:rPr>
          <w:sz w:val="24"/>
        </w:rPr>
      </w:pPr>
      <w:r>
        <w:rPr>
          <w:sz w:val="24"/>
        </w:rPr>
        <w:t>melhora da qualidade de</w:t>
      </w:r>
      <w:r>
        <w:rPr>
          <w:spacing w:val="-3"/>
          <w:sz w:val="24"/>
        </w:rPr>
        <w:t xml:space="preserve"> </w:t>
      </w:r>
      <w:r>
        <w:rPr>
          <w:sz w:val="24"/>
        </w:rPr>
        <w:t>vida.</w:t>
      </w:r>
    </w:p>
    <w:p w:rsidR="00825E87" w:rsidRDefault="00CB188B">
      <w:pPr>
        <w:pStyle w:val="Corpodetexto"/>
        <w:spacing w:before="3" w:line="235" w:lineRule="auto"/>
        <w:ind w:left="801"/>
      </w:pPr>
      <w:r>
        <w:t>Fui também claramente informado(a) a respeito das seguintes contraindicações, potenciais efeitos</w:t>
      </w:r>
    </w:p>
    <w:p w:rsidR="00825E87" w:rsidRDefault="00CB188B">
      <w:pPr>
        <w:pStyle w:val="Corpodetexto"/>
        <w:spacing w:line="275" w:lineRule="exact"/>
        <w:ind w:left="100"/>
      </w:pPr>
      <w:r>
        <w:t>adversos e riscos:</w:t>
      </w:r>
    </w:p>
    <w:p w:rsidR="00825E87" w:rsidRDefault="00CB188B">
      <w:pPr>
        <w:pStyle w:val="PargrafodaLista"/>
        <w:numPr>
          <w:ilvl w:val="0"/>
          <w:numId w:val="1"/>
        </w:numPr>
        <w:tabs>
          <w:tab w:val="left" w:pos="924"/>
        </w:tabs>
        <w:spacing w:before="12" w:line="235" w:lineRule="auto"/>
        <w:ind w:right="138" w:firstLine="701"/>
        <w:jc w:val="both"/>
        <w:rPr>
          <w:sz w:val="24"/>
        </w:rPr>
      </w:pPr>
      <w:r>
        <w:rPr>
          <w:sz w:val="24"/>
        </w:rPr>
        <w:t>sulfassalazina, adalimumabe, etanercepte, golimumabe e infliximabe: medicamentos classificados na gestação como fator de risco B (estudos em animais não</w:t>
      </w:r>
      <w:r>
        <w:rPr>
          <w:spacing w:val="34"/>
          <w:sz w:val="24"/>
        </w:rPr>
        <w:t xml:space="preserve"> </w:t>
      </w:r>
      <w:r>
        <w:rPr>
          <w:sz w:val="24"/>
        </w:rPr>
        <w:t>mostraram anormalidades, embora estudos em mulheres não tenham sido feitos; o medicamento deve ser pres</w:t>
      </w:r>
      <w:r>
        <w:rPr>
          <w:sz w:val="24"/>
        </w:rPr>
        <w:t>crito com</w:t>
      </w:r>
      <w:r>
        <w:rPr>
          <w:spacing w:val="-1"/>
          <w:sz w:val="24"/>
        </w:rPr>
        <w:t xml:space="preserve"> </w:t>
      </w:r>
      <w:r>
        <w:rPr>
          <w:sz w:val="24"/>
        </w:rPr>
        <w:t>cautela);</w:t>
      </w:r>
    </w:p>
    <w:p w:rsidR="00825E87" w:rsidRDefault="00CB188B">
      <w:pPr>
        <w:pStyle w:val="PargrafodaLista"/>
        <w:numPr>
          <w:ilvl w:val="0"/>
          <w:numId w:val="1"/>
        </w:numPr>
        <w:tabs>
          <w:tab w:val="left" w:pos="924"/>
        </w:tabs>
        <w:spacing w:before="13" w:line="252" w:lineRule="auto"/>
        <w:ind w:right="116" w:firstLine="701"/>
        <w:jc w:val="both"/>
        <w:rPr>
          <w:sz w:val="24"/>
        </w:rPr>
      </w:pPr>
      <w:r>
        <w:rPr>
          <w:sz w:val="24"/>
        </w:rPr>
        <w:t>efeitos adversos da sulfassalazina: dores de cabeça, reações alérgicas (dores nas juntas, febre, coceira, erupção cutânea), sensibilidade aumentada aos raios solares, dores abdominais, náusea, vômitos, perda de apetite, diarreia; efeito</w:t>
      </w:r>
      <w:r>
        <w:rPr>
          <w:sz w:val="24"/>
        </w:rPr>
        <w:t>s adversos mais raros: diminuição do número dos glóbulos brancos no sangue, parada na produção de sangue pela medula óssea (anemia aplásica), anemia por destruição aumentada dos glóbulos vermelhos do sangue (anemia hemolítica), diminuição no número de plaq</w:t>
      </w:r>
      <w:r>
        <w:rPr>
          <w:sz w:val="24"/>
        </w:rPr>
        <w:t>uetas no sangue (aumentam os riscos de sangramento), piora nos sintomas da retocolite ulcerativa, problemas no figado, falta de ar associada a tosse e febre (pneumonite intersticial), dor nas juntas, dificuldade para engolir, cansaço associado à formação d</w:t>
      </w:r>
      <w:r>
        <w:rPr>
          <w:sz w:val="24"/>
        </w:rPr>
        <w:t>e bolhas e com perda de regiões da pele e de mucosas (síndrome de Stevens-Johnson e necrólise epidérmica tóxica) e desenvolvimento de sintomas semelhantes aos do lúpus eritematoso sistêmico (ou seja, bolhas na pele, dor no peito, mal-estar, erupções cutâne</w:t>
      </w:r>
      <w:r>
        <w:rPr>
          <w:sz w:val="24"/>
        </w:rPr>
        <w:t>as, falta de ar e</w:t>
      </w:r>
      <w:r>
        <w:rPr>
          <w:spacing w:val="-5"/>
          <w:sz w:val="24"/>
        </w:rPr>
        <w:t xml:space="preserve"> </w:t>
      </w:r>
      <w:r>
        <w:rPr>
          <w:sz w:val="24"/>
        </w:rPr>
        <w:t>coceira);</w:t>
      </w:r>
    </w:p>
    <w:p w:rsidR="00825E87" w:rsidRDefault="00CB188B">
      <w:pPr>
        <w:pStyle w:val="PargrafodaLista"/>
        <w:numPr>
          <w:ilvl w:val="0"/>
          <w:numId w:val="1"/>
        </w:numPr>
        <w:tabs>
          <w:tab w:val="left" w:pos="917"/>
        </w:tabs>
        <w:spacing w:before="5" w:line="252" w:lineRule="auto"/>
        <w:ind w:right="141" w:firstLine="701"/>
        <w:jc w:val="both"/>
        <w:rPr>
          <w:sz w:val="24"/>
        </w:rPr>
      </w:pPr>
      <w:r>
        <w:rPr>
          <w:sz w:val="24"/>
        </w:rPr>
        <w:t>ibuprofeno e naproxeno: medicamento classificado na gestação como categoria C quando utilizado no primeiro e segundo trimestres de gestação (estudos em animais mostraram anormalidades nos descendentes, porém não há estudos em hu</w:t>
      </w:r>
      <w:r>
        <w:rPr>
          <w:sz w:val="24"/>
        </w:rPr>
        <w:t>manos; o risco para o bebê não</w:t>
      </w:r>
      <w:r>
        <w:rPr>
          <w:spacing w:val="-10"/>
          <w:sz w:val="24"/>
        </w:rPr>
        <w:t xml:space="preserve"> </w:t>
      </w:r>
      <w:r>
        <w:rPr>
          <w:sz w:val="24"/>
        </w:rPr>
        <w:t>pode ser descartado, mas um benefício potencial pode ser maior do que os</w:t>
      </w:r>
      <w:r>
        <w:rPr>
          <w:spacing w:val="-3"/>
          <w:sz w:val="24"/>
        </w:rPr>
        <w:t xml:space="preserve"> </w:t>
      </w:r>
      <w:r>
        <w:rPr>
          <w:sz w:val="24"/>
        </w:rPr>
        <w:t>riscos);</w:t>
      </w:r>
    </w:p>
    <w:p w:rsidR="00825E87" w:rsidRDefault="00CB188B">
      <w:pPr>
        <w:pStyle w:val="PargrafodaLista"/>
        <w:numPr>
          <w:ilvl w:val="0"/>
          <w:numId w:val="1"/>
        </w:numPr>
        <w:tabs>
          <w:tab w:val="left" w:pos="922"/>
        </w:tabs>
        <w:spacing w:before="2" w:line="235" w:lineRule="auto"/>
        <w:ind w:right="143" w:firstLine="701"/>
        <w:jc w:val="both"/>
        <w:rPr>
          <w:sz w:val="24"/>
        </w:rPr>
      </w:pPr>
      <w:r>
        <w:rPr>
          <w:sz w:val="24"/>
        </w:rPr>
        <w:t xml:space="preserve">ibuprofeno e naproxeno: medicamento classificado na gestação como categoria D quando utilizado no terceiro trimestre de gestação ou próximo ao </w:t>
      </w:r>
      <w:r>
        <w:rPr>
          <w:sz w:val="24"/>
        </w:rPr>
        <w:t>parto (há evidências de riscos ao feto, mas um benefício potencial pode ser maior do que os riscos);</w:t>
      </w:r>
    </w:p>
    <w:p w:rsidR="00825E87" w:rsidRDefault="00CB188B">
      <w:pPr>
        <w:pStyle w:val="PargrafodaLista"/>
        <w:numPr>
          <w:ilvl w:val="0"/>
          <w:numId w:val="1"/>
        </w:numPr>
        <w:tabs>
          <w:tab w:val="left" w:pos="946"/>
        </w:tabs>
        <w:spacing w:before="15" w:line="235" w:lineRule="auto"/>
        <w:ind w:right="142" w:firstLine="701"/>
        <w:jc w:val="both"/>
        <w:rPr>
          <w:sz w:val="24"/>
        </w:rPr>
      </w:pPr>
      <w:r>
        <w:rPr>
          <w:sz w:val="24"/>
        </w:rPr>
        <w:t>efeitos adversos do ibuprofeno: tontura, urticária na pele, reações de alergia, dor de estômago, náusea, má digestão, prisão de ventre, perda de apetite, v</w:t>
      </w:r>
      <w:r>
        <w:rPr>
          <w:sz w:val="24"/>
        </w:rPr>
        <w:t>ômitos, diarreia, gases, dor de cabeça, irritabilidade, zumbido, inchaço e retenção de</w:t>
      </w:r>
      <w:r>
        <w:rPr>
          <w:spacing w:val="-3"/>
          <w:sz w:val="24"/>
        </w:rPr>
        <w:t xml:space="preserve"> </w:t>
      </w:r>
      <w:r>
        <w:rPr>
          <w:sz w:val="24"/>
        </w:rPr>
        <w:t>líquidos.</w:t>
      </w:r>
    </w:p>
    <w:p w:rsidR="00825E87" w:rsidRDefault="00CB188B">
      <w:pPr>
        <w:pStyle w:val="PargrafodaLista"/>
        <w:numPr>
          <w:ilvl w:val="0"/>
          <w:numId w:val="1"/>
        </w:numPr>
        <w:tabs>
          <w:tab w:val="left" w:pos="931"/>
        </w:tabs>
        <w:spacing w:before="14" w:line="235" w:lineRule="auto"/>
        <w:ind w:right="142" w:firstLine="701"/>
        <w:jc w:val="both"/>
        <w:rPr>
          <w:sz w:val="24"/>
        </w:rPr>
      </w:pPr>
      <w:r>
        <w:rPr>
          <w:sz w:val="24"/>
        </w:rPr>
        <w:t>efeitos adversos do naproxeno: dor abdominal, sede, constipação, diarreia, dispneia, náusea, estomatite, azia, sonolência, vertigens, enxaquecas, tontura, erup</w:t>
      </w:r>
      <w:r>
        <w:rPr>
          <w:sz w:val="24"/>
        </w:rPr>
        <w:t>ções cutâneas, prurido, sudorese, distúrbios auditivos e visuais, palpitações, edemas, dispepsia e</w:t>
      </w:r>
      <w:r>
        <w:rPr>
          <w:spacing w:val="-4"/>
          <w:sz w:val="24"/>
        </w:rPr>
        <w:t xml:space="preserve"> </w:t>
      </w:r>
      <w:r>
        <w:rPr>
          <w:sz w:val="24"/>
        </w:rPr>
        <w:t>púrpura;</w:t>
      </w:r>
    </w:p>
    <w:p w:rsidR="00825E87" w:rsidRDefault="00825E87">
      <w:pPr>
        <w:spacing w:line="235" w:lineRule="auto"/>
        <w:jc w:val="both"/>
        <w:rPr>
          <w:sz w:val="24"/>
        </w:rPr>
        <w:sectPr w:rsidR="00825E87">
          <w:pgSz w:w="11900" w:h="16840"/>
          <w:pgMar w:top="1380" w:right="1140" w:bottom="280" w:left="1040" w:header="720" w:footer="720" w:gutter="0"/>
          <w:cols w:space="720"/>
        </w:sectPr>
      </w:pPr>
    </w:p>
    <w:p w:rsidR="00825E87" w:rsidRDefault="00CB188B">
      <w:pPr>
        <w:pStyle w:val="PargrafodaLista"/>
        <w:numPr>
          <w:ilvl w:val="0"/>
          <w:numId w:val="1"/>
        </w:numPr>
        <w:tabs>
          <w:tab w:val="left" w:pos="962"/>
        </w:tabs>
        <w:spacing w:before="85" w:line="232" w:lineRule="auto"/>
        <w:ind w:right="654" w:firstLine="701"/>
        <w:rPr>
          <w:sz w:val="24"/>
        </w:rPr>
      </w:pPr>
      <w:r>
        <w:rPr>
          <w:sz w:val="24"/>
        </w:rPr>
        <w:lastRenderedPageBreak/>
        <w:t>metotrexato: medicamento classificado na gestação como fator de risco X (seu uso</w:t>
      </w:r>
      <w:r>
        <w:rPr>
          <w:spacing w:val="-11"/>
          <w:sz w:val="24"/>
        </w:rPr>
        <w:t xml:space="preserve"> </w:t>
      </w:r>
      <w:r>
        <w:rPr>
          <w:sz w:val="24"/>
        </w:rPr>
        <w:t>é contraindicado em gestantes ou em mulheres que plan</w:t>
      </w:r>
      <w:r>
        <w:rPr>
          <w:sz w:val="24"/>
        </w:rPr>
        <w:t>ejam</w:t>
      </w:r>
      <w:r>
        <w:rPr>
          <w:spacing w:val="-2"/>
          <w:sz w:val="24"/>
        </w:rPr>
        <w:t xml:space="preserve"> </w:t>
      </w:r>
      <w:r>
        <w:rPr>
          <w:sz w:val="24"/>
        </w:rPr>
        <w:t>engravidar);</w:t>
      </w:r>
    </w:p>
    <w:p w:rsidR="00825E87" w:rsidRDefault="00CB188B">
      <w:pPr>
        <w:pStyle w:val="PargrafodaLista"/>
        <w:numPr>
          <w:ilvl w:val="0"/>
          <w:numId w:val="1"/>
        </w:numPr>
        <w:tabs>
          <w:tab w:val="left" w:pos="924"/>
        </w:tabs>
        <w:spacing w:before="7" w:line="237" w:lineRule="auto"/>
        <w:ind w:right="117" w:firstLine="701"/>
        <w:jc w:val="both"/>
        <w:rPr>
          <w:sz w:val="24"/>
        </w:rPr>
      </w:pPr>
      <w:r>
        <w:rPr>
          <w:sz w:val="24"/>
        </w:rPr>
        <w:t>efeitos adversos do metotrexato: problemas gastrointestinais com ou sem sangramento, diminuição no número de glóbulos brancos no sangue, diminuição no número de</w:t>
      </w:r>
      <w:r>
        <w:rPr>
          <w:spacing w:val="31"/>
          <w:sz w:val="24"/>
        </w:rPr>
        <w:t xml:space="preserve"> </w:t>
      </w:r>
      <w:r>
        <w:rPr>
          <w:sz w:val="24"/>
        </w:rPr>
        <w:t>plaquetas, aumento da sensibilidade da pele aos raios ultravioletas, feridas na boca, inflamação nas gengivas, inflamação na garganta, espinhas, perda do apetite, náusea, palidez, coceira e vômitos; efeitos adversos mais raros e dependentes da dose utiliza</w:t>
      </w:r>
      <w:r>
        <w:rPr>
          <w:sz w:val="24"/>
        </w:rPr>
        <w:t>da: cansaço associado à formação de bolhas e com perda de áreas da pele e de mucosas (síndrome de Stevens-Johnson e necrólise epidérmica tóxica) e problemas graves de pele. Também pode facilitar o estabelecimento ou agravar infecções;</w:t>
      </w:r>
    </w:p>
    <w:p w:rsidR="00825E87" w:rsidRDefault="00CB188B">
      <w:pPr>
        <w:pStyle w:val="PargrafodaLista"/>
        <w:numPr>
          <w:ilvl w:val="0"/>
          <w:numId w:val="1"/>
        </w:numPr>
        <w:tabs>
          <w:tab w:val="left" w:pos="919"/>
        </w:tabs>
        <w:spacing w:before="13" w:line="237" w:lineRule="auto"/>
        <w:ind w:right="136" w:firstLine="701"/>
        <w:jc w:val="both"/>
        <w:rPr>
          <w:sz w:val="24"/>
        </w:rPr>
      </w:pPr>
      <w:r>
        <w:rPr>
          <w:sz w:val="24"/>
        </w:rPr>
        <w:t>efeitos adversos do a</w:t>
      </w:r>
      <w:r>
        <w:rPr>
          <w:sz w:val="24"/>
        </w:rPr>
        <w:t>dalimumabe, etanercepte, golimumabe, infliximabe, certolizumabe pegol e secuquinumabe: reações no local da aplicação (como dor e coceira), dor de cabeça, tosse, náusea, vômitos, febre, cansaço, alteração na pressão arterial até reações mais graves, que inc</w:t>
      </w:r>
      <w:r>
        <w:rPr>
          <w:sz w:val="24"/>
        </w:rPr>
        <w:t>luem infecções oportunísticas fúngicas e bacterianas como tuberculose, histoplasmose, aspergilose e nocardiose, podendo, em casos raros, ser</w:t>
      </w:r>
      <w:r>
        <w:rPr>
          <w:spacing w:val="1"/>
          <w:sz w:val="24"/>
        </w:rPr>
        <w:t xml:space="preserve"> </w:t>
      </w:r>
      <w:r>
        <w:rPr>
          <w:sz w:val="24"/>
        </w:rPr>
        <w:t>fatal;</w:t>
      </w:r>
    </w:p>
    <w:p w:rsidR="00825E87" w:rsidRDefault="00CB188B">
      <w:pPr>
        <w:pStyle w:val="PargrafodaLista"/>
        <w:numPr>
          <w:ilvl w:val="0"/>
          <w:numId w:val="1"/>
        </w:numPr>
        <w:tabs>
          <w:tab w:val="left" w:pos="917"/>
        </w:tabs>
        <w:spacing w:before="17" w:line="232" w:lineRule="auto"/>
        <w:ind w:left="801" w:right="139" w:firstLine="0"/>
        <w:rPr>
          <w:sz w:val="24"/>
        </w:rPr>
      </w:pPr>
      <w:r>
        <w:rPr>
          <w:sz w:val="24"/>
        </w:rPr>
        <w:t>contraindicação em casos de hipersensibilidade (alergia) ao(s) fármaco(s) ou aos componentes da fórmula. Est</w:t>
      </w:r>
      <w:r>
        <w:rPr>
          <w:sz w:val="24"/>
        </w:rPr>
        <w:t>ou ciente de que este medicamento somente pode ser utilizado por mim, comprometendo-me a</w:t>
      </w:r>
      <w:r>
        <w:rPr>
          <w:spacing w:val="-3"/>
          <w:sz w:val="24"/>
        </w:rPr>
        <w:t xml:space="preserve"> </w:t>
      </w:r>
      <w:r>
        <w:rPr>
          <w:sz w:val="24"/>
        </w:rPr>
        <w:t>devolvê-lo</w:t>
      </w:r>
    </w:p>
    <w:p w:rsidR="00825E87" w:rsidRDefault="00CB188B">
      <w:pPr>
        <w:pStyle w:val="Corpodetexto"/>
        <w:spacing w:before="13" w:line="232" w:lineRule="auto"/>
        <w:ind w:left="100" w:right="735"/>
      </w:pPr>
      <w:r>
        <w:t xml:space="preserve">caso não queira ou não possa utilizá-lo ou se o tratamento for interrompido. Sei também que continuarei a ser atendido(a), inclusive em caso de desistir de </w:t>
      </w:r>
      <w:r>
        <w:t>usar o medicamento.</w:t>
      </w:r>
    </w:p>
    <w:p w:rsidR="00825E87" w:rsidRDefault="00825E87">
      <w:pPr>
        <w:pStyle w:val="Corpodetexto"/>
        <w:spacing w:before="6"/>
        <w:ind w:left="0"/>
      </w:pPr>
    </w:p>
    <w:p w:rsidR="00825E87" w:rsidRDefault="00CB188B">
      <w:pPr>
        <w:pStyle w:val="Corpodetexto"/>
        <w:spacing w:before="1" w:line="232" w:lineRule="auto"/>
        <w:ind w:left="100" w:right="468" w:firstLine="708"/>
      </w:pPr>
      <w:r>
        <w:t>Autorizo o Ministério da Saúde e as Secretarias de Saúde a fazerem uso de informações relativas ao meu tratamento, desde que assegurado o anonimato. ( ) Sim ( ) Não</w:t>
      </w:r>
    </w:p>
    <w:p w:rsidR="00825E87" w:rsidRDefault="00CB188B">
      <w:pPr>
        <w:pStyle w:val="Corpodetexto"/>
        <w:ind w:left="801"/>
      </w:pPr>
      <w:r>
        <w:rPr>
          <w:noProof/>
          <w:lang w:bidi="ar-SA"/>
        </w:rPr>
        <w:drawing>
          <wp:anchor distT="0" distB="0" distL="0" distR="0" simplePos="0" relativeHeight="251653120" behindDoc="0" locked="0" layoutInCell="1" allowOverlap="1">
            <wp:simplePos x="0" y="0"/>
            <wp:positionH relativeFrom="page">
              <wp:posOffset>995680</wp:posOffset>
            </wp:positionH>
            <wp:positionV relativeFrom="paragraph">
              <wp:posOffset>1270166</wp:posOffset>
            </wp:positionV>
            <wp:extent cx="5685905" cy="208483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5685905" cy="2084832"/>
                    </a:xfrm>
                    <a:prstGeom prst="rect">
                      <a:avLst/>
                    </a:prstGeom>
                  </pic:spPr>
                </pic:pic>
              </a:graphicData>
            </a:graphic>
          </wp:anchor>
        </w:drawing>
      </w:r>
      <w:r>
        <w:t>Meu tratamento constará do seguinte medicamento:</w:t>
      </w:r>
    </w:p>
    <w:p w:rsidR="00825E87" w:rsidRDefault="00825E87">
      <w:pPr>
        <w:pStyle w:val="Corpodetexto"/>
        <w:spacing w:before="2"/>
        <w:ind w:left="0"/>
        <w:rPr>
          <w:sz w:val="7"/>
        </w:rPr>
      </w:pPr>
    </w:p>
    <w:tbl>
      <w:tblPr>
        <w:tblStyle w:val="TableNormal"/>
        <w:tblW w:w="0" w:type="auto"/>
        <w:tblInd w:w="183" w:type="dxa"/>
        <w:tblLayout w:type="fixed"/>
        <w:tblLook w:val="01E0" w:firstRow="1" w:lastRow="1" w:firstColumn="1" w:lastColumn="1" w:noHBand="0" w:noVBand="0"/>
      </w:tblPr>
      <w:tblGrid>
        <w:gridCol w:w="3385"/>
        <w:gridCol w:w="3973"/>
      </w:tblGrid>
      <w:tr w:rsidR="00825E87">
        <w:trPr>
          <w:trHeight w:val="1646"/>
        </w:trPr>
        <w:tc>
          <w:tcPr>
            <w:tcW w:w="3385" w:type="dxa"/>
          </w:tcPr>
          <w:p w:rsidR="00825E87" w:rsidRDefault="00CB188B">
            <w:pPr>
              <w:pStyle w:val="TableParagraph"/>
              <w:tabs>
                <w:tab w:val="left" w:pos="483"/>
              </w:tabs>
              <w:spacing w:line="237" w:lineRule="auto"/>
              <w:ind w:left="200" w:right="1695"/>
              <w:rPr>
                <w:sz w:val="24"/>
              </w:rPr>
            </w:pPr>
            <w:r>
              <w:rPr>
                <w:sz w:val="24"/>
              </w:rPr>
              <w:t>(</w:t>
            </w:r>
            <w:r>
              <w:rPr>
                <w:sz w:val="24"/>
              </w:rPr>
              <w:tab/>
              <w:t>)</w:t>
            </w:r>
            <w:r>
              <w:rPr>
                <w:spacing w:val="-4"/>
                <w:sz w:val="24"/>
              </w:rPr>
              <w:t xml:space="preserve"> </w:t>
            </w:r>
            <w:r>
              <w:rPr>
                <w:sz w:val="24"/>
              </w:rPr>
              <w:t>Ibuprofeno (</w:t>
            </w:r>
            <w:r>
              <w:rPr>
                <w:sz w:val="24"/>
              </w:rPr>
              <w:tab/>
              <w:t>)</w:t>
            </w:r>
            <w:r>
              <w:rPr>
                <w:spacing w:val="-3"/>
                <w:sz w:val="24"/>
              </w:rPr>
              <w:t xml:space="preserve"> </w:t>
            </w:r>
            <w:r>
              <w:rPr>
                <w:sz w:val="24"/>
              </w:rPr>
              <w:t>Naproxeno</w:t>
            </w:r>
          </w:p>
          <w:p w:rsidR="00825E87" w:rsidRDefault="00CB188B">
            <w:pPr>
              <w:pStyle w:val="TableParagraph"/>
              <w:tabs>
                <w:tab w:val="left" w:pos="483"/>
                <w:tab w:val="left" w:pos="776"/>
              </w:tabs>
              <w:ind w:left="336" w:right="1295" w:hanging="137"/>
              <w:rPr>
                <w:sz w:val="24"/>
              </w:rPr>
            </w:pPr>
            <w:r>
              <w:rPr>
                <w:sz w:val="24"/>
              </w:rPr>
              <w:t>(</w:t>
            </w:r>
            <w:r>
              <w:rPr>
                <w:sz w:val="24"/>
              </w:rPr>
              <w:tab/>
            </w:r>
            <w:r>
              <w:rPr>
                <w:sz w:val="24"/>
              </w:rPr>
              <w:tab/>
              <w:t>) Sulfassalazina (</w:t>
            </w:r>
            <w:r>
              <w:rPr>
                <w:sz w:val="24"/>
              </w:rPr>
              <w:tab/>
            </w:r>
            <w:r>
              <w:rPr>
                <w:sz w:val="24"/>
              </w:rPr>
              <w:tab/>
              <w:t>)</w:t>
            </w:r>
            <w:r>
              <w:rPr>
                <w:spacing w:val="-4"/>
                <w:sz w:val="24"/>
              </w:rPr>
              <w:t xml:space="preserve"> </w:t>
            </w:r>
            <w:r>
              <w:rPr>
                <w:sz w:val="24"/>
              </w:rPr>
              <w:t>Metotrexato</w:t>
            </w:r>
          </w:p>
        </w:tc>
        <w:tc>
          <w:tcPr>
            <w:tcW w:w="3973" w:type="dxa"/>
          </w:tcPr>
          <w:p w:rsidR="00825E87" w:rsidRDefault="00CB188B">
            <w:pPr>
              <w:pStyle w:val="TableParagraph"/>
              <w:tabs>
                <w:tab w:val="left" w:pos="1616"/>
              </w:tabs>
              <w:ind w:left="1296" w:right="857"/>
              <w:rPr>
                <w:sz w:val="24"/>
              </w:rPr>
            </w:pPr>
            <w:r>
              <w:rPr>
                <w:sz w:val="24"/>
              </w:rPr>
              <w:t>(</w:t>
            </w:r>
            <w:r>
              <w:rPr>
                <w:sz w:val="24"/>
              </w:rPr>
              <w:tab/>
              <w:t>)</w:t>
            </w:r>
            <w:r>
              <w:rPr>
                <w:spacing w:val="-5"/>
                <w:sz w:val="24"/>
              </w:rPr>
              <w:t xml:space="preserve"> </w:t>
            </w:r>
            <w:r>
              <w:rPr>
                <w:sz w:val="24"/>
              </w:rPr>
              <w:t>Adalimumabe (</w:t>
            </w:r>
            <w:r>
              <w:rPr>
                <w:sz w:val="24"/>
              </w:rPr>
              <w:tab/>
              <w:t>)</w:t>
            </w:r>
            <w:r>
              <w:rPr>
                <w:spacing w:val="-3"/>
                <w:sz w:val="24"/>
              </w:rPr>
              <w:t xml:space="preserve"> </w:t>
            </w:r>
            <w:r>
              <w:rPr>
                <w:sz w:val="24"/>
              </w:rPr>
              <w:t>Etanercepte</w:t>
            </w:r>
          </w:p>
          <w:p w:rsidR="00825E87" w:rsidRDefault="00CB188B">
            <w:pPr>
              <w:pStyle w:val="TableParagraph"/>
              <w:tabs>
                <w:tab w:val="left" w:pos="1616"/>
              </w:tabs>
              <w:ind w:left="1296" w:right="962"/>
              <w:rPr>
                <w:sz w:val="24"/>
              </w:rPr>
            </w:pPr>
            <w:r>
              <w:rPr>
                <w:sz w:val="24"/>
              </w:rPr>
              <w:t>(</w:t>
            </w:r>
            <w:r>
              <w:rPr>
                <w:sz w:val="24"/>
              </w:rPr>
              <w:tab/>
              <w:t>)</w:t>
            </w:r>
            <w:r>
              <w:rPr>
                <w:spacing w:val="-3"/>
                <w:sz w:val="24"/>
              </w:rPr>
              <w:t xml:space="preserve"> </w:t>
            </w:r>
            <w:r>
              <w:rPr>
                <w:sz w:val="24"/>
              </w:rPr>
              <w:t>Golimumabe (</w:t>
            </w:r>
            <w:r>
              <w:rPr>
                <w:sz w:val="24"/>
              </w:rPr>
              <w:tab/>
              <w:t>)</w:t>
            </w:r>
            <w:r>
              <w:rPr>
                <w:spacing w:val="-1"/>
                <w:sz w:val="24"/>
              </w:rPr>
              <w:t xml:space="preserve"> </w:t>
            </w:r>
            <w:r>
              <w:rPr>
                <w:sz w:val="24"/>
              </w:rPr>
              <w:t>Infliximabe</w:t>
            </w:r>
          </w:p>
          <w:p w:rsidR="00825E87" w:rsidRDefault="00CB188B">
            <w:pPr>
              <w:pStyle w:val="TableParagraph"/>
              <w:tabs>
                <w:tab w:val="left" w:pos="1616"/>
              </w:tabs>
              <w:spacing w:line="276" w:lineRule="exact"/>
              <w:ind w:left="1296" w:right="199"/>
              <w:rPr>
                <w:sz w:val="24"/>
              </w:rPr>
            </w:pPr>
            <w:r>
              <w:rPr>
                <w:sz w:val="24"/>
              </w:rPr>
              <w:t>(</w:t>
            </w:r>
            <w:r>
              <w:rPr>
                <w:sz w:val="24"/>
              </w:rPr>
              <w:tab/>
              <w:t>) Certolizumabe</w:t>
            </w:r>
            <w:r>
              <w:rPr>
                <w:spacing w:val="-8"/>
                <w:sz w:val="24"/>
              </w:rPr>
              <w:t xml:space="preserve"> </w:t>
            </w:r>
            <w:r>
              <w:rPr>
                <w:sz w:val="24"/>
              </w:rPr>
              <w:t>Pegol (</w:t>
            </w:r>
            <w:r>
              <w:rPr>
                <w:sz w:val="24"/>
              </w:rPr>
              <w:tab/>
              <w:t>)</w:t>
            </w:r>
            <w:r>
              <w:rPr>
                <w:spacing w:val="-3"/>
                <w:sz w:val="24"/>
              </w:rPr>
              <w:t xml:space="preserve"> </w:t>
            </w:r>
            <w:r>
              <w:rPr>
                <w:sz w:val="24"/>
              </w:rPr>
              <w:t>Secuquinumabe</w:t>
            </w:r>
          </w:p>
        </w:tc>
      </w:tr>
    </w:tbl>
    <w:p w:rsidR="00000000" w:rsidRDefault="00CB188B"/>
    <w:sectPr w:rsidR="00000000">
      <w:pgSz w:w="11900" w:h="16840"/>
      <w:pgMar w:top="1100" w:right="11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EB5"/>
    <w:multiLevelType w:val="hybridMultilevel"/>
    <w:tmpl w:val="E1F294B8"/>
    <w:lvl w:ilvl="0" w:tplc="C160139C">
      <w:start w:val="1"/>
      <w:numFmt w:val="decimal"/>
      <w:lvlText w:val="%1."/>
      <w:lvlJc w:val="left"/>
      <w:pPr>
        <w:ind w:left="220" w:hanging="188"/>
        <w:jc w:val="left"/>
      </w:pPr>
      <w:rPr>
        <w:rFonts w:ascii="Times New Roman" w:eastAsia="Times New Roman" w:hAnsi="Times New Roman" w:cs="Times New Roman" w:hint="default"/>
        <w:b/>
        <w:bCs/>
        <w:w w:val="100"/>
        <w:sz w:val="22"/>
        <w:szCs w:val="22"/>
        <w:lang w:val="pt-BR" w:eastAsia="pt-BR" w:bidi="pt-BR"/>
      </w:rPr>
    </w:lvl>
    <w:lvl w:ilvl="1" w:tplc="BF20C1D8">
      <w:numFmt w:val="bullet"/>
      <w:lvlText w:val="-"/>
      <w:lvlJc w:val="left"/>
      <w:pPr>
        <w:ind w:left="1048" w:hanging="120"/>
      </w:pPr>
      <w:rPr>
        <w:rFonts w:ascii="Times New Roman" w:eastAsia="Times New Roman" w:hAnsi="Times New Roman" w:cs="Times New Roman" w:hint="default"/>
        <w:w w:val="99"/>
        <w:sz w:val="24"/>
        <w:szCs w:val="24"/>
        <w:lang w:val="pt-BR" w:eastAsia="pt-BR" w:bidi="pt-BR"/>
      </w:rPr>
    </w:lvl>
    <w:lvl w:ilvl="2" w:tplc="F044DEDC">
      <w:numFmt w:val="bullet"/>
      <w:lvlText w:val="•"/>
      <w:lvlJc w:val="left"/>
      <w:pPr>
        <w:ind w:left="2046" w:hanging="120"/>
      </w:pPr>
      <w:rPr>
        <w:rFonts w:hint="default"/>
        <w:lang w:val="pt-BR" w:eastAsia="pt-BR" w:bidi="pt-BR"/>
      </w:rPr>
    </w:lvl>
    <w:lvl w:ilvl="3" w:tplc="177EB540">
      <w:numFmt w:val="bullet"/>
      <w:lvlText w:val="•"/>
      <w:lvlJc w:val="left"/>
      <w:pPr>
        <w:ind w:left="3053" w:hanging="120"/>
      </w:pPr>
      <w:rPr>
        <w:rFonts w:hint="default"/>
        <w:lang w:val="pt-BR" w:eastAsia="pt-BR" w:bidi="pt-BR"/>
      </w:rPr>
    </w:lvl>
    <w:lvl w:ilvl="4" w:tplc="E870CF58">
      <w:numFmt w:val="bullet"/>
      <w:lvlText w:val="•"/>
      <w:lvlJc w:val="left"/>
      <w:pPr>
        <w:ind w:left="4059" w:hanging="120"/>
      </w:pPr>
      <w:rPr>
        <w:rFonts w:hint="default"/>
        <w:lang w:val="pt-BR" w:eastAsia="pt-BR" w:bidi="pt-BR"/>
      </w:rPr>
    </w:lvl>
    <w:lvl w:ilvl="5" w:tplc="E304A88E">
      <w:numFmt w:val="bullet"/>
      <w:lvlText w:val="•"/>
      <w:lvlJc w:val="left"/>
      <w:pPr>
        <w:ind w:left="5066" w:hanging="120"/>
      </w:pPr>
      <w:rPr>
        <w:rFonts w:hint="default"/>
        <w:lang w:val="pt-BR" w:eastAsia="pt-BR" w:bidi="pt-BR"/>
      </w:rPr>
    </w:lvl>
    <w:lvl w:ilvl="6" w:tplc="EE3636E2">
      <w:numFmt w:val="bullet"/>
      <w:lvlText w:val="•"/>
      <w:lvlJc w:val="left"/>
      <w:pPr>
        <w:ind w:left="6072" w:hanging="120"/>
      </w:pPr>
      <w:rPr>
        <w:rFonts w:hint="default"/>
        <w:lang w:val="pt-BR" w:eastAsia="pt-BR" w:bidi="pt-BR"/>
      </w:rPr>
    </w:lvl>
    <w:lvl w:ilvl="7" w:tplc="0CCA01EA">
      <w:numFmt w:val="bullet"/>
      <w:lvlText w:val="•"/>
      <w:lvlJc w:val="left"/>
      <w:pPr>
        <w:ind w:left="7079" w:hanging="120"/>
      </w:pPr>
      <w:rPr>
        <w:rFonts w:hint="default"/>
        <w:lang w:val="pt-BR" w:eastAsia="pt-BR" w:bidi="pt-BR"/>
      </w:rPr>
    </w:lvl>
    <w:lvl w:ilvl="8" w:tplc="DD14D0E2">
      <w:numFmt w:val="bullet"/>
      <w:lvlText w:val="•"/>
      <w:lvlJc w:val="left"/>
      <w:pPr>
        <w:ind w:left="8086" w:hanging="120"/>
      </w:pPr>
      <w:rPr>
        <w:rFonts w:hint="default"/>
        <w:lang w:val="pt-BR" w:eastAsia="pt-BR" w:bidi="pt-BR"/>
      </w:rPr>
    </w:lvl>
  </w:abstractNum>
  <w:abstractNum w:abstractNumId="1">
    <w:nsid w:val="18983700"/>
    <w:multiLevelType w:val="hybridMultilevel"/>
    <w:tmpl w:val="90B4CE70"/>
    <w:lvl w:ilvl="0" w:tplc="56D6B626">
      <w:numFmt w:val="bullet"/>
      <w:lvlText w:val="–"/>
      <w:lvlJc w:val="left"/>
      <w:pPr>
        <w:ind w:left="400" w:hanging="181"/>
      </w:pPr>
      <w:rPr>
        <w:rFonts w:ascii="Times New Roman" w:eastAsia="Times New Roman" w:hAnsi="Times New Roman" w:cs="Times New Roman" w:hint="default"/>
        <w:b/>
        <w:bCs/>
        <w:spacing w:val="-3"/>
        <w:w w:val="99"/>
        <w:sz w:val="24"/>
        <w:szCs w:val="24"/>
        <w:lang w:val="pt-BR" w:eastAsia="pt-BR" w:bidi="pt-BR"/>
      </w:rPr>
    </w:lvl>
    <w:lvl w:ilvl="1" w:tplc="47BC87C2">
      <w:numFmt w:val="bullet"/>
      <w:lvlText w:val="-"/>
      <w:lvlJc w:val="left"/>
      <w:pPr>
        <w:ind w:left="1041" w:hanging="159"/>
      </w:pPr>
      <w:rPr>
        <w:rFonts w:ascii="Times New Roman" w:eastAsia="Times New Roman" w:hAnsi="Times New Roman" w:cs="Times New Roman" w:hint="default"/>
        <w:w w:val="99"/>
        <w:sz w:val="24"/>
        <w:szCs w:val="24"/>
        <w:lang w:val="pt-BR" w:eastAsia="pt-BR" w:bidi="pt-BR"/>
      </w:rPr>
    </w:lvl>
    <w:lvl w:ilvl="2" w:tplc="BAA6F984">
      <w:numFmt w:val="bullet"/>
      <w:lvlText w:val="•"/>
      <w:lvlJc w:val="left"/>
      <w:pPr>
        <w:ind w:left="2046" w:hanging="159"/>
      </w:pPr>
      <w:rPr>
        <w:rFonts w:hint="default"/>
        <w:lang w:val="pt-BR" w:eastAsia="pt-BR" w:bidi="pt-BR"/>
      </w:rPr>
    </w:lvl>
    <w:lvl w:ilvl="3" w:tplc="E4BEDB1C">
      <w:numFmt w:val="bullet"/>
      <w:lvlText w:val="•"/>
      <w:lvlJc w:val="left"/>
      <w:pPr>
        <w:ind w:left="3053" w:hanging="159"/>
      </w:pPr>
      <w:rPr>
        <w:rFonts w:hint="default"/>
        <w:lang w:val="pt-BR" w:eastAsia="pt-BR" w:bidi="pt-BR"/>
      </w:rPr>
    </w:lvl>
    <w:lvl w:ilvl="4" w:tplc="66820854">
      <w:numFmt w:val="bullet"/>
      <w:lvlText w:val="•"/>
      <w:lvlJc w:val="left"/>
      <w:pPr>
        <w:ind w:left="4059" w:hanging="159"/>
      </w:pPr>
      <w:rPr>
        <w:rFonts w:hint="default"/>
        <w:lang w:val="pt-BR" w:eastAsia="pt-BR" w:bidi="pt-BR"/>
      </w:rPr>
    </w:lvl>
    <w:lvl w:ilvl="5" w:tplc="EE1EA734">
      <w:numFmt w:val="bullet"/>
      <w:lvlText w:val="•"/>
      <w:lvlJc w:val="left"/>
      <w:pPr>
        <w:ind w:left="5066" w:hanging="159"/>
      </w:pPr>
      <w:rPr>
        <w:rFonts w:hint="default"/>
        <w:lang w:val="pt-BR" w:eastAsia="pt-BR" w:bidi="pt-BR"/>
      </w:rPr>
    </w:lvl>
    <w:lvl w:ilvl="6" w:tplc="01C8B6B2">
      <w:numFmt w:val="bullet"/>
      <w:lvlText w:val="•"/>
      <w:lvlJc w:val="left"/>
      <w:pPr>
        <w:ind w:left="6072" w:hanging="159"/>
      </w:pPr>
      <w:rPr>
        <w:rFonts w:hint="default"/>
        <w:lang w:val="pt-BR" w:eastAsia="pt-BR" w:bidi="pt-BR"/>
      </w:rPr>
    </w:lvl>
    <w:lvl w:ilvl="7" w:tplc="39B68868">
      <w:numFmt w:val="bullet"/>
      <w:lvlText w:val="•"/>
      <w:lvlJc w:val="left"/>
      <w:pPr>
        <w:ind w:left="7079" w:hanging="159"/>
      </w:pPr>
      <w:rPr>
        <w:rFonts w:hint="default"/>
        <w:lang w:val="pt-BR" w:eastAsia="pt-BR" w:bidi="pt-BR"/>
      </w:rPr>
    </w:lvl>
    <w:lvl w:ilvl="8" w:tplc="7A2EDA06">
      <w:numFmt w:val="bullet"/>
      <w:lvlText w:val="•"/>
      <w:lvlJc w:val="left"/>
      <w:pPr>
        <w:ind w:left="8086" w:hanging="159"/>
      </w:pPr>
      <w:rPr>
        <w:rFonts w:hint="default"/>
        <w:lang w:val="pt-BR" w:eastAsia="pt-BR" w:bidi="pt-BR"/>
      </w:rPr>
    </w:lvl>
  </w:abstractNum>
  <w:abstractNum w:abstractNumId="2">
    <w:nsid w:val="19575972"/>
    <w:multiLevelType w:val="multilevel"/>
    <w:tmpl w:val="D958BC72"/>
    <w:lvl w:ilvl="0">
      <w:start w:val="1"/>
      <w:numFmt w:val="decimal"/>
      <w:lvlText w:val="%1."/>
      <w:lvlJc w:val="left"/>
      <w:pPr>
        <w:ind w:left="220" w:hanging="402"/>
        <w:jc w:val="left"/>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220" w:hanging="428"/>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195" w:hanging="428"/>
      </w:pPr>
      <w:rPr>
        <w:rFonts w:hint="default"/>
        <w:lang w:val="pt-BR" w:eastAsia="pt-BR" w:bidi="pt-BR"/>
      </w:rPr>
    </w:lvl>
    <w:lvl w:ilvl="3">
      <w:numFmt w:val="bullet"/>
      <w:lvlText w:val="•"/>
      <w:lvlJc w:val="left"/>
      <w:pPr>
        <w:ind w:left="3183" w:hanging="428"/>
      </w:pPr>
      <w:rPr>
        <w:rFonts w:hint="default"/>
        <w:lang w:val="pt-BR" w:eastAsia="pt-BR" w:bidi="pt-BR"/>
      </w:rPr>
    </w:lvl>
    <w:lvl w:ilvl="4">
      <w:numFmt w:val="bullet"/>
      <w:lvlText w:val="•"/>
      <w:lvlJc w:val="left"/>
      <w:pPr>
        <w:ind w:left="4171" w:hanging="428"/>
      </w:pPr>
      <w:rPr>
        <w:rFonts w:hint="default"/>
        <w:lang w:val="pt-BR" w:eastAsia="pt-BR" w:bidi="pt-BR"/>
      </w:rPr>
    </w:lvl>
    <w:lvl w:ilvl="5">
      <w:numFmt w:val="bullet"/>
      <w:lvlText w:val="•"/>
      <w:lvlJc w:val="left"/>
      <w:pPr>
        <w:ind w:left="5159" w:hanging="428"/>
      </w:pPr>
      <w:rPr>
        <w:rFonts w:hint="default"/>
        <w:lang w:val="pt-BR" w:eastAsia="pt-BR" w:bidi="pt-BR"/>
      </w:rPr>
    </w:lvl>
    <w:lvl w:ilvl="6">
      <w:numFmt w:val="bullet"/>
      <w:lvlText w:val="•"/>
      <w:lvlJc w:val="left"/>
      <w:pPr>
        <w:ind w:left="6147" w:hanging="428"/>
      </w:pPr>
      <w:rPr>
        <w:rFonts w:hint="default"/>
        <w:lang w:val="pt-BR" w:eastAsia="pt-BR" w:bidi="pt-BR"/>
      </w:rPr>
    </w:lvl>
    <w:lvl w:ilvl="7">
      <w:numFmt w:val="bullet"/>
      <w:lvlText w:val="•"/>
      <w:lvlJc w:val="left"/>
      <w:pPr>
        <w:ind w:left="7135" w:hanging="428"/>
      </w:pPr>
      <w:rPr>
        <w:rFonts w:hint="default"/>
        <w:lang w:val="pt-BR" w:eastAsia="pt-BR" w:bidi="pt-BR"/>
      </w:rPr>
    </w:lvl>
    <w:lvl w:ilvl="8">
      <w:numFmt w:val="bullet"/>
      <w:lvlText w:val="•"/>
      <w:lvlJc w:val="left"/>
      <w:pPr>
        <w:ind w:left="8123" w:hanging="428"/>
      </w:pPr>
      <w:rPr>
        <w:rFonts w:hint="default"/>
        <w:lang w:val="pt-BR" w:eastAsia="pt-BR" w:bidi="pt-BR"/>
      </w:rPr>
    </w:lvl>
  </w:abstractNum>
  <w:abstractNum w:abstractNumId="3">
    <w:nsid w:val="1D3E04EB"/>
    <w:multiLevelType w:val="hybridMultilevel"/>
    <w:tmpl w:val="A1829DEC"/>
    <w:lvl w:ilvl="0" w:tplc="0D98ECB8">
      <w:start w:val="4"/>
      <w:numFmt w:val="lowerLetter"/>
      <w:lvlText w:val="%1)"/>
      <w:lvlJc w:val="left"/>
      <w:pPr>
        <w:ind w:left="360" w:hanging="260"/>
        <w:jc w:val="left"/>
      </w:pPr>
      <w:rPr>
        <w:rFonts w:ascii="Times New Roman" w:eastAsia="Times New Roman" w:hAnsi="Times New Roman" w:cs="Times New Roman" w:hint="default"/>
        <w:spacing w:val="-2"/>
        <w:w w:val="99"/>
        <w:sz w:val="24"/>
        <w:szCs w:val="24"/>
        <w:lang w:val="pt-BR" w:eastAsia="pt-BR" w:bidi="pt-BR"/>
      </w:rPr>
    </w:lvl>
    <w:lvl w:ilvl="1" w:tplc="F5FEB7B6">
      <w:numFmt w:val="bullet"/>
      <w:lvlText w:val="•"/>
      <w:lvlJc w:val="left"/>
      <w:pPr>
        <w:ind w:left="1098" w:hanging="260"/>
      </w:pPr>
      <w:rPr>
        <w:rFonts w:hint="default"/>
        <w:lang w:val="pt-BR" w:eastAsia="pt-BR" w:bidi="pt-BR"/>
      </w:rPr>
    </w:lvl>
    <w:lvl w:ilvl="2" w:tplc="486CD630">
      <w:numFmt w:val="bullet"/>
      <w:lvlText w:val="•"/>
      <w:lvlJc w:val="left"/>
      <w:pPr>
        <w:ind w:left="1837" w:hanging="260"/>
      </w:pPr>
      <w:rPr>
        <w:rFonts w:hint="default"/>
        <w:lang w:val="pt-BR" w:eastAsia="pt-BR" w:bidi="pt-BR"/>
      </w:rPr>
    </w:lvl>
    <w:lvl w:ilvl="3" w:tplc="AA26FE2A">
      <w:numFmt w:val="bullet"/>
      <w:lvlText w:val="•"/>
      <w:lvlJc w:val="left"/>
      <w:pPr>
        <w:ind w:left="2575" w:hanging="260"/>
      </w:pPr>
      <w:rPr>
        <w:rFonts w:hint="default"/>
        <w:lang w:val="pt-BR" w:eastAsia="pt-BR" w:bidi="pt-BR"/>
      </w:rPr>
    </w:lvl>
    <w:lvl w:ilvl="4" w:tplc="215C346E">
      <w:numFmt w:val="bullet"/>
      <w:lvlText w:val="•"/>
      <w:lvlJc w:val="left"/>
      <w:pPr>
        <w:ind w:left="3314" w:hanging="260"/>
      </w:pPr>
      <w:rPr>
        <w:rFonts w:hint="default"/>
        <w:lang w:val="pt-BR" w:eastAsia="pt-BR" w:bidi="pt-BR"/>
      </w:rPr>
    </w:lvl>
    <w:lvl w:ilvl="5" w:tplc="BD806DBC">
      <w:numFmt w:val="bullet"/>
      <w:lvlText w:val="•"/>
      <w:lvlJc w:val="left"/>
      <w:pPr>
        <w:ind w:left="4052" w:hanging="260"/>
      </w:pPr>
      <w:rPr>
        <w:rFonts w:hint="default"/>
        <w:lang w:val="pt-BR" w:eastAsia="pt-BR" w:bidi="pt-BR"/>
      </w:rPr>
    </w:lvl>
    <w:lvl w:ilvl="6" w:tplc="482E908A">
      <w:numFmt w:val="bullet"/>
      <w:lvlText w:val="•"/>
      <w:lvlJc w:val="left"/>
      <w:pPr>
        <w:ind w:left="4791" w:hanging="260"/>
      </w:pPr>
      <w:rPr>
        <w:rFonts w:hint="default"/>
        <w:lang w:val="pt-BR" w:eastAsia="pt-BR" w:bidi="pt-BR"/>
      </w:rPr>
    </w:lvl>
    <w:lvl w:ilvl="7" w:tplc="79D6A5EA">
      <w:numFmt w:val="bullet"/>
      <w:lvlText w:val="•"/>
      <w:lvlJc w:val="left"/>
      <w:pPr>
        <w:ind w:left="5529" w:hanging="260"/>
      </w:pPr>
      <w:rPr>
        <w:rFonts w:hint="default"/>
        <w:lang w:val="pt-BR" w:eastAsia="pt-BR" w:bidi="pt-BR"/>
      </w:rPr>
    </w:lvl>
    <w:lvl w:ilvl="8" w:tplc="969C8DAC">
      <w:numFmt w:val="bullet"/>
      <w:lvlText w:val="•"/>
      <w:lvlJc w:val="left"/>
      <w:pPr>
        <w:ind w:left="6268" w:hanging="260"/>
      </w:pPr>
      <w:rPr>
        <w:rFonts w:hint="default"/>
        <w:lang w:val="pt-BR" w:eastAsia="pt-BR" w:bidi="pt-BR"/>
      </w:rPr>
    </w:lvl>
  </w:abstractNum>
  <w:abstractNum w:abstractNumId="4">
    <w:nsid w:val="1DD52139"/>
    <w:multiLevelType w:val="hybridMultilevel"/>
    <w:tmpl w:val="5C70BC5E"/>
    <w:lvl w:ilvl="0" w:tplc="1B3C2548">
      <w:start w:val="1"/>
      <w:numFmt w:val="decimal"/>
      <w:lvlText w:val="%1."/>
      <w:lvlJc w:val="left"/>
      <w:pPr>
        <w:ind w:left="220" w:hanging="284"/>
        <w:jc w:val="left"/>
      </w:pPr>
      <w:rPr>
        <w:rFonts w:ascii="Times New Roman" w:eastAsia="Times New Roman" w:hAnsi="Times New Roman" w:cs="Times New Roman" w:hint="default"/>
        <w:spacing w:val="-17"/>
        <w:w w:val="99"/>
        <w:sz w:val="24"/>
        <w:szCs w:val="24"/>
        <w:lang w:val="pt-BR" w:eastAsia="pt-BR" w:bidi="pt-BR"/>
      </w:rPr>
    </w:lvl>
    <w:lvl w:ilvl="1" w:tplc="9B9893AA">
      <w:numFmt w:val="bullet"/>
      <w:lvlText w:val="•"/>
      <w:lvlJc w:val="left"/>
      <w:pPr>
        <w:ind w:left="1207" w:hanging="284"/>
      </w:pPr>
      <w:rPr>
        <w:rFonts w:hint="default"/>
        <w:lang w:val="pt-BR" w:eastAsia="pt-BR" w:bidi="pt-BR"/>
      </w:rPr>
    </w:lvl>
    <w:lvl w:ilvl="2" w:tplc="7D9AE3F0">
      <w:numFmt w:val="bullet"/>
      <w:lvlText w:val="•"/>
      <w:lvlJc w:val="left"/>
      <w:pPr>
        <w:ind w:left="2195" w:hanging="284"/>
      </w:pPr>
      <w:rPr>
        <w:rFonts w:hint="default"/>
        <w:lang w:val="pt-BR" w:eastAsia="pt-BR" w:bidi="pt-BR"/>
      </w:rPr>
    </w:lvl>
    <w:lvl w:ilvl="3" w:tplc="003E8B68">
      <w:numFmt w:val="bullet"/>
      <w:lvlText w:val="•"/>
      <w:lvlJc w:val="left"/>
      <w:pPr>
        <w:ind w:left="3183" w:hanging="284"/>
      </w:pPr>
      <w:rPr>
        <w:rFonts w:hint="default"/>
        <w:lang w:val="pt-BR" w:eastAsia="pt-BR" w:bidi="pt-BR"/>
      </w:rPr>
    </w:lvl>
    <w:lvl w:ilvl="4" w:tplc="B6B8255A">
      <w:numFmt w:val="bullet"/>
      <w:lvlText w:val="•"/>
      <w:lvlJc w:val="left"/>
      <w:pPr>
        <w:ind w:left="4171" w:hanging="284"/>
      </w:pPr>
      <w:rPr>
        <w:rFonts w:hint="default"/>
        <w:lang w:val="pt-BR" w:eastAsia="pt-BR" w:bidi="pt-BR"/>
      </w:rPr>
    </w:lvl>
    <w:lvl w:ilvl="5" w:tplc="4860FD88">
      <w:numFmt w:val="bullet"/>
      <w:lvlText w:val="•"/>
      <w:lvlJc w:val="left"/>
      <w:pPr>
        <w:ind w:left="5159" w:hanging="284"/>
      </w:pPr>
      <w:rPr>
        <w:rFonts w:hint="default"/>
        <w:lang w:val="pt-BR" w:eastAsia="pt-BR" w:bidi="pt-BR"/>
      </w:rPr>
    </w:lvl>
    <w:lvl w:ilvl="6" w:tplc="CE68220E">
      <w:numFmt w:val="bullet"/>
      <w:lvlText w:val="•"/>
      <w:lvlJc w:val="left"/>
      <w:pPr>
        <w:ind w:left="6147" w:hanging="284"/>
      </w:pPr>
      <w:rPr>
        <w:rFonts w:hint="default"/>
        <w:lang w:val="pt-BR" w:eastAsia="pt-BR" w:bidi="pt-BR"/>
      </w:rPr>
    </w:lvl>
    <w:lvl w:ilvl="7" w:tplc="CC1CC92A">
      <w:numFmt w:val="bullet"/>
      <w:lvlText w:val="•"/>
      <w:lvlJc w:val="left"/>
      <w:pPr>
        <w:ind w:left="7135" w:hanging="284"/>
      </w:pPr>
      <w:rPr>
        <w:rFonts w:hint="default"/>
        <w:lang w:val="pt-BR" w:eastAsia="pt-BR" w:bidi="pt-BR"/>
      </w:rPr>
    </w:lvl>
    <w:lvl w:ilvl="8" w:tplc="E56854F2">
      <w:numFmt w:val="bullet"/>
      <w:lvlText w:val="•"/>
      <w:lvlJc w:val="left"/>
      <w:pPr>
        <w:ind w:left="8123" w:hanging="284"/>
      </w:pPr>
      <w:rPr>
        <w:rFonts w:hint="default"/>
        <w:lang w:val="pt-BR" w:eastAsia="pt-BR" w:bidi="pt-BR"/>
      </w:rPr>
    </w:lvl>
  </w:abstractNum>
  <w:abstractNum w:abstractNumId="5">
    <w:nsid w:val="2CA454B8"/>
    <w:multiLevelType w:val="hybridMultilevel"/>
    <w:tmpl w:val="9EAA4AB4"/>
    <w:lvl w:ilvl="0" w:tplc="5A3E868C">
      <w:start w:val="1"/>
      <w:numFmt w:val="decimal"/>
      <w:lvlText w:val="%1."/>
      <w:lvlJc w:val="left"/>
      <w:pPr>
        <w:ind w:left="220" w:hanging="207"/>
        <w:jc w:val="left"/>
      </w:pPr>
      <w:rPr>
        <w:rFonts w:ascii="Times New Roman" w:eastAsia="Times New Roman" w:hAnsi="Times New Roman" w:cs="Times New Roman" w:hint="default"/>
        <w:b/>
        <w:bCs/>
        <w:w w:val="100"/>
        <w:sz w:val="24"/>
        <w:szCs w:val="24"/>
        <w:lang w:val="pt-BR" w:eastAsia="pt-BR" w:bidi="pt-BR"/>
      </w:rPr>
    </w:lvl>
    <w:lvl w:ilvl="1" w:tplc="0F6AA8D8">
      <w:numFmt w:val="bullet"/>
      <w:lvlText w:val="•"/>
      <w:lvlJc w:val="left"/>
      <w:pPr>
        <w:ind w:left="1207" w:hanging="207"/>
      </w:pPr>
      <w:rPr>
        <w:rFonts w:hint="default"/>
        <w:lang w:val="pt-BR" w:eastAsia="pt-BR" w:bidi="pt-BR"/>
      </w:rPr>
    </w:lvl>
    <w:lvl w:ilvl="2" w:tplc="0C5C8F32">
      <w:numFmt w:val="bullet"/>
      <w:lvlText w:val="•"/>
      <w:lvlJc w:val="left"/>
      <w:pPr>
        <w:ind w:left="2195" w:hanging="207"/>
      </w:pPr>
      <w:rPr>
        <w:rFonts w:hint="default"/>
        <w:lang w:val="pt-BR" w:eastAsia="pt-BR" w:bidi="pt-BR"/>
      </w:rPr>
    </w:lvl>
    <w:lvl w:ilvl="3" w:tplc="F8764DC4">
      <w:numFmt w:val="bullet"/>
      <w:lvlText w:val="•"/>
      <w:lvlJc w:val="left"/>
      <w:pPr>
        <w:ind w:left="3183" w:hanging="207"/>
      </w:pPr>
      <w:rPr>
        <w:rFonts w:hint="default"/>
        <w:lang w:val="pt-BR" w:eastAsia="pt-BR" w:bidi="pt-BR"/>
      </w:rPr>
    </w:lvl>
    <w:lvl w:ilvl="4" w:tplc="E698E244">
      <w:numFmt w:val="bullet"/>
      <w:lvlText w:val="•"/>
      <w:lvlJc w:val="left"/>
      <w:pPr>
        <w:ind w:left="4171" w:hanging="207"/>
      </w:pPr>
      <w:rPr>
        <w:rFonts w:hint="default"/>
        <w:lang w:val="pt-BR" w:eastAsia="pt-BR" w:bidi="pt-BR"/>
      </w:rPr>
    </w:lvl>
    <w:lvl w:ilvl="5" w:tplc="EECCAA80">
      <w:numFmt w:val="bullet"/>
      <w:lvlText w:val="•"/>
      <w:lvlJc w:val="left"/>
      <w:pPr>
        <w:ind w:left="5159" w:hanging="207"/>
      </w:pPr>
      <w:rPr>
        <w:rFonts w:hint="default"/>
        <w:lang w:val="pt-BR" w:eastAsia="pt-BR" w:bidi="pt-BR"/>
      </w:rPr>
    </w:lvl>
    <w:lvl w:ilvl="6" w:tplc="6ACEC1B8">
      <w:numFmt w:val="bullet"/>
      <w:lvlText w:val="•"/>
      <w:lvlJc w:val="left"/>
      <w:pPr>
        <w:ind w:left="6147" w:hanging="207"/>
      </w:pPr>
      <w:rPr>
        <w:rFonts w:hint="default"/>
        <w:lang w:val="pt-BR" w:eastAsia="pt-BR" w:bidi="pt-BR"/>
      </w:rPr>
    </w:lvl>
    <w:lvl w:ilvl="7" w:tplc="693A4480">
      <w:numFmt w:val="bullet"/>
      <w:lvlText w:val="•"/>
      <w:lvlJc w:val="left"/>
      <w:pPr>
        <w:ind w:left="7135" w:hanging="207"/>
      </w:pPr>
      <w:rPr>
        <w:rFonts w:hint="default"/>
        <w:lang w:val="pt-BR" w:eastAsia="pt-BR" w:bidi="pt-BR"/>
      </w:rPr>
    </w:lvl>
    <w:lvl w:ilvl="8" w:tplc="3CB09B8E">
      <w:numFmt w:val="bullet"/>
      <w:lvlText w:val="•"/>
      <w:lvlJc w:val="left"/>
      <w:pPr>
        <w:ind w:left="8123" w:hanging="207"/>
      </w:pPr>
      <w:rPr>
        <w:rFonts w:hint="default"/>
        <w:lang w:val="pt-BR" w:eastAsia="pt-BR" w:bidi="pt-BR"/>
      </w:rPr>
    </w:lvl>
  </w:abstractNum>
  <w:abstractNum w:abstractNumId="6">
    <w:nsid w:val="30C95844"/>
    <w:multiLevelType w:val="hybridMultilevel"/>
    <w:tmpl w:val="CE8C8EAE"/>
    <w:lvl w:ilvl="0" w:tplc="0C242FDA">
      <w:numFmt w:val="bullet"/>
      <w:lvlText w:val="-"/>
      <w:lvlJc w:val="left"/>
      <w:pPr>
        <w:ind w:left="140" w:hanging="140"/>
      </w:pPr>
      <w:rPr>
        <w:rFonts w:ascii="Times New Roman" w:eastAsia="Times New Roman" w:hAnsi="Times New Roman" w:cs="Times New Roman" w:hint="default"/>
        <w:w w:val="99"/>
        <w:sz w:val="24"/>
        <w:szCs w:val="24"/>
        <w:lang w:val="pt-BR" w:eastAsia="pt-BR" w:bidi="pt-BR"/>
      </w:rPr>
    </w:lvl>
    <w:lvl w:ilvl="1" w:tplc="33BAD1AC">
      <w:numFmt w:val="bullet"/>
      <w:lvlText w:val="•"/>
      <w:lvlJc w:val="left"/>
      <w:pPr>
        <w:ind w:left="699" w:hanging="140"/>
      </w:pPr>
      <w:rPr>
        <w:rFonts w:hint="default"/>
        <w:lang w:val="pt-BR" w:eastAsia="pt-BR" w:bidi="pt-BR"/>
      </w:rPr>
    </w:lvl>
    <w:lvl w:ilvl="2" w:tplc="3B429C20">
      <w:numFmt w:val="bullet"/>
      <w:lvlText w:val="•"/>
      <w:lvlJc w:val="left"/>
      <w:pPr>
        <w:ind w:left="1259" w:hanging="140"/>
      </w:pPr>
      <w:rPr>
        <w:rFonts w:hint="default"/>
        <w:lang w:val="pt-BR" w:eastAsia="pt-BR" w:bidi="pt-BR"/>
      </w:rPr>
    </w:lvl>
    <w:lvl w:ilvl="3" w:tplc="178A6FA2">
      <w:numFmt w:val="bullet"/>
      <w:lvlText w:val="•"/>
      <w:lvlJc w:val="left"/>
      <w:pPr>
        <w:ind w:left="1819" w:hanging="140"/>
      </w:pPr>
      <w:rPr>
        <w:rFonts w:hint="default"/>
        <w:lang w:val="pt-BR" w:eastAsia="pt-BR" w:bidi="pt-BR"/>
      </w:rPr>
    </w:lvl>
    <w:lvl w:ilvl="4" w:tplc="27AE8572">
      <w:numFmt w:val="bullet"/>
      <w:lvlText w:val="•"/>
      <w:lvlJc w:val="left"/>
      <w:pPr>
        <w:ind w:left="2379" w:hanging="140"/>
      </w:pPr>
      <w:rPr>
        <w:rFonts w:hint="default"/>
        <w:lang w:val="pt-BR" w:eastAsia="pt-BR" w:bidi="pt-BR"/>
      </w:rPr>
    </w:lvl>
    <w:lvl w:ilvl="5" w:tplc="FE661F8A">
      <w:numFmt w:val="bullet"/>
      <w:lvlText w:val="•"/>
      <w:lvlJc w:val="left"/>
      <w:pPr>
        <w:ind w:left="2939" w:hanging="140"/>
      </w:pPr>
      <w:rPr>
        <w:rFonts w:hint="default"/>
        <w:lang w:val="pt-BR" w:eastAsia="pt-BR" w:bidi="pt-BR"/>
      </w:rPr>
    </w:lvl>
    <w:lvl w:ilvl="6" w:tplc="540E2E76">
      <w:numFmt w:val="bullet"/>
      <w:lvlText w:val="•"/>
      <w:lvlJc w:val="left"/>
      <w:pPr>
        <w:ind w:left="3499" w:hanging="140"/>
      </w:pPr>
      <w:rPr>
        <w:rFonts w:hint="default"/>
        <w:lang w:val="pt-BR" w:eastAsia="pt-BR" w:bidi="pt-BR"/>
      </w:rPr>
    </w:lvl>
    <w:lvl w:ilvl="7" w:tplc="B00642D2">
      <w:numFmt w:val="bullet"/>
      <w:lvlText w:val="•"/>
      <w:lvlJc w:val="left"/>
      <w:pPr>
        <w:ind w:left="4059" w:hanging="140"/>
      </w:pPr>
      <w:rPr>
        <w:rFonts w:hint="default"/>
        <w:lang w:val="pt-BR" w:eastAsia="pt-BR" w:bidi="pt-BR"/>
      </w:rPr>
    </w:lvl>
    <w:lvl w:ilvl="8" w:tplc="C19866D8">
      <w:numFmt w:val="bullet"/>
      <w:lvlText w:val="•"/>
      <w:lvlJc w:val="left"/>
      <w:pPr>
        <w:ind w:left="4619" w:hanging="140"/>
      </w:pPr>
      <w:rPr>
        <w:rFonts w:hint="default"/>
        <w:lang w:val="pt-BR" w:eastAsia="pt-BR" w:bidi="pt-BR"/>
      </w:rPr>
    </w:lvl>
  </w:abstractNum>
  <w:abstractNum w:abstractNumId="7">
    <w:nsid w:val="3C803E8C"/>
    <w:multiLevelType w:val="hybridMultilevel"/>
    <w:tmpl w:val="6076084E"/>
    <w:lvl w:ilvl="0" w:tplc="FC1C65F2">
      <w:start w:val="2"/>
      <w:numFmt w:val="lowerLetter"/>
      <w:lvlText w:val="%1)"/>
      <w:lvlJc w:val="left"/>
      <w:pPr>
        <w:ind w:left="249" w:hanging="260"/>
        <w:jc w:val="left"/>
      </w:pPr>
      <w:rPr>
        <w:rFonts w:ascii="Times New Roman" w:eastAsia="Times New Roman" w:hAnsi="Times New Roman" w:cs="Times New Roman" w:hint="default"/>
        <w:spacing w:val="-20"/>
        <w:w w:val="99"/>
        <w:sz w:val="24"/>
        <w:szCs w:val="24"/>
        <w:lang w:val="pt-BR" w:eastAsia="pt-BR" w:bidi="pt-BR"/>
      </w:rPr>
    </w:lvl>
    <w:lvl w:ilvl="1" w:tplc="657A8136">
      <w:numFmt w:val="bullet"/>
      <w:lvlText w:val="•"/>
      <w:lvlJc w:val="left"/>
      <w:pPr>
        <w:ind w:left="909" w:hanging="260"/>
      </w:pPr>
      <w:rPr>
        <w:rFonts w:hint="default"/>
        <w:lang w:val="pt-BR" w:eastAsia="pt-BR" w:bidi="pt-BR"/>
      </w:rPr>
    </w:lvl>
    <w:lvl w:ilvl="2" w:tplc="5C9429B8">
      <w:numFmt w:val="bullet"/>
      <w:lvlText w:val="•"/>
      <w:lvlJc w:val="left"/>
      <w:pPr>
        <w:ind w:left="1579" w:hanging="260"/>
      </w:pPr>
      <w:rPr>
        <w:rFonts w:hint="default"/>
        <w:lang w:val="pt-BR" w:eastAsia="pt-BR" w:bidi="pt-BR"/>
      </w:rPr>
    </w:lvl>
    <w:lvl w:ilvl="3" w:tplc="D7542B7E">
      <w:numFmt w:val="bullet"/>
      <w:lvlText w:val="•"/>
      <w:lvlJc w:val="left"/>
      <w:pPr>
        <w:ind w:left="2249" w:hanging="260"/>
      </w:pPr>
      <w:rPr>
        <w:rFonts w:hint="default"/>
        <w:lang w:val="pt-BR" w:eastAsia="pt-BR" w:bidi="pt-BR"/>
      </w:rPr>
    </w:lvl>
    <w:lvl w:ilvl="4" w:tplc="DC5E80E8">
      <w:numFmt w:val="bullet"/>
      <w:lvlText w:val="•"/>
      <w:lvlJc w:val="left"/>
      <w:pPr>
        <w:ind w:left="2918" w:hanging="260"/>
      </w:pPr>
      <w:rPr>
        <w:rFonts w:hint="default"/>
        <w:lang w:val="pt-BR" w:eastAsia="pt-BR" w:bidi="pt-BR"/>
      </w:rPr>
    </w:lvl>
    <w:lvl w:ilvl="5" w:tplc="AE4E6E02">
      <w:numFmt w:val="bullet"/>
      <w:lvlText w:val="•"/>
      <w:lvlJc w:val="left"/>
      <w:pPr>
        <w:ind w:left="3588" w:hanging="260"/>
      </w:pPr>
      <w:rPr>
        <w:rFonts w:hint="default"/>
        <w:lang w:val="pt-BR" w:eastAsia="pt-BR" w:bidi="pt-BR"/>
      </w:rPr>
    </w:lvl>
    <w:lvl w:ilvl="6" w:tplc="DD8CE1E8">
      <w:numFmt w:val="bullet"/>
      <w:lvlText w:val="•"/>
      <w:lvlJc w:val="left"/>
      <w:pPr>
        <w:ind w:left="4258" w:hanging="260"/>
      </w:pPr>
      <w:rPr>
        <w:rFonts w:hint="default"/>
        <w:lang w:val="pt-BR" w:eastAsia="pt-BR" w:bidi="pt-BR"/>
      </w:rPr>
    </w:lvl>
    <w:lvl w:ilvl="7" w:tplc="038EB3E0">
      <w:numFmt w:val="bullet"/>
      <w:lvlText w:val="•"/>
      <w:lvlJc w:val="left"/>
      <w:pPr>
        <w:ind w:left="4927" w:hanging="260"/>
      </w:pPr>
      <w:rPr>
        <w:rFonts w:hint="default"/>
        <w:lang w:val="pt-BR" w:eastAsia="pt-BR" w:bidi="pt-BR"/>
      </w:rPr>
    </w:lvl>
    <w:lvl w:ilvl="8" w:tplc="3E440D64">
      <w:numFmt w:val="bullet"/>
      <w:lvlText w:val="•"/>
      <w:lvlJc w:val="left"/>
      <w:pPr>
        <w:ind w:left="5597" w:hanging="260"/>
      </w:pPr>
      <w:rPr>
        <w:rFonts w:hint="default"/>
        <w:lang w:val="pt-BR" w:eastAsia="pt-BR" w:bidi="pt-BR"/>
      </w:rPr>
    </w:lvl>
  </w:abstractNum>
  <w:abstractNum w:abstractNumId="8">
    <w:nsid w:val="3D2F6832"/>
    <w:multiLevelType w:val="hybridMultilevel"/>
    <w:tmpl w:val="0F78BD00"/>
    <w:lvl w:ilvl="0" w:tplc="2DD498CE">
      <w:numFmt w:val="bullet"/>
      <w:lvlText w:val="-"/>
      <w:lvlJc w:val="left"/>
      <w:pPr>
        <w:ind w:left="99" w:hanging="140"/>
      </w:pPr>
      <w:rPr>
        <w:rFonts w:ascii="Times New Roman" w:eastAsia="Times New Roman" w:hAnsi="Times New Roman" w:cs="Times New Roman" w:hint="default"/>
        <w:w w:val="99"/>
        <w:sz w:val="24"/>
        <w:szCs w:val="24"/>
        <w:lang w:val="pt-BR" w:eastAsia="pt-BR" w:bidi="pt-BR"/>
      </w:rPr>
    </w:lvl>
    <w:lvl w:ilvl="1" w:tplc="96CCAFBA">
      <w:numFmt w:val="bullet"/>
      <w:lvlText w:val="•"/>
      <w:lvlJc w:val="left"/>
      <w:pPr>
        <w:ind w:left="663" w:hanging="140"/>
      </w:pPr>
      <w:rPr>
        <w:rFonts w:hint="default"/>
        <w:lang w:val="pt-BR" w:eastAsia="pt-BR" w:bidi="pt-BR"/>
      </w:rPr>
    </w:lvl>
    <w:lvl w:ilvl="2" w:tplc="03286B0E">
      <w:numFmt w:val="bullet"/>
      <w:lvlText w:val="•"/>
      <w:lvlJc w:val="left"/>
      <w:pPr>
        <w:ind w:left="1227" w:hanging="140"/>
      </w:pPr>
      <w:rPr>
        <w:rFonts w:hint="default"/>
        <w:lang w:val="pt-BR" w:eastAsia="pt-BR" w:bidi="pt-BR"/>
      </w:rPr>
    </w:lvl>
    <w:lvl w:ilvl="3" w:tplc="62365062">
      <w:numFmt w:val="bullet"/>
      <w:lvlText w:val="•"/>
      <w:lvlJc w:val="left"/>
      <w:pPr>
        <w:ind w:left="1791" w:hanging="140"/>
      </w:pPr>
      <w:rPr>
        <w:rFonts w:hint="default"/>
        <w:lang w:val="pt-BR" w:eastAsia="pt-BR" w:bidi="pt-BR"/>
      </w:rPr>
    </w:lvl>
    <w:lvl w:ilvl="4" w:tplc="3AC612B4">
      <w:numFmt w:val="bullet"/>
      <w:lvlText w:val="•"/>
      <w:lvlJc w:val="left"/>
      <w:pPr>
        <w:ind w:left="2355" w:hanging="140"/>
      </w:pPr>
      <w:rPr>
        <w:rFonts w:hint="default"/>
        <w:lang w:val="pt-BR" w:eastAsia="pt-BR" w:bidi="pt-BR"/>
      </w:rPr>
    </w:lvl>
    <w:lvl w:ilvl="5" w:tplc="E1A06FD2">
      <w:numFmt w:val="bullet"/>
      <w:lvlText w:val="•"/>
      <w:lvlJc w:val="left"/>
      <w:pPr>
        <w:ind w:left="2919" w:hanging="140"/>
      </w:pPr>
      <w:rPr>
        <w:rFonts w:hint="default"/>
        <w:lang w:val="pt-BR" w:eastAsia="pt-BR" w:bidi="pt-BR"/>
      </w:rPr>
    </w:lvl>
    <w:lvl w:ilvl="6" w:tplc="56B4B6D8">
      <w:numFmt w:val="bullet"/>
      <w:lvlText w:val="•"/>
      <w:lvlJc w:val="left"/>
      <w:pPr>
        <w:ind w:left="3483" w:hanging="140"/>
      </w:pPr>
      <w:rPr>
        <w:rFonts w:hint="default"/>
        <w:lang w:val="pt-BR" w:eastAsia="pt-BR" w:bidi="pt-BR"/>
      </w:rPr>
    </w:lvl>
    <w:lvl w:ilvl="7" w:tplc="2CD8BFEA">
      <w:numFmt w:val="bullet"/>
      <w:lvlText w:val="•"/>
      <w:lvlJc w:val="left"/>
      <w:pPr>
        <w:ind w:left="4047" w:hanging="140"/>
      </w:pPr>
      <w:rPr>
        <w:rFonts w:hint="default"/>
        <w:lang w:val="pt-BR" w:eastAsia="pt-BR" w:bidi="pt-BR"/>
      </w:rPr>
    </w:lvl>
    <w:lvl w:ilvl="8" w:tplc="09A0B32C">
      <w:numFmt w:val="bullet"/>
      <w:lvlText w:val="•"/>
      <w:lvlJc w:val="left"/>
      <w:pPr>
        <w:ind w:left="4611" w:hanging="140"/>
      </w:pPr>
      <w:rPr>
        <w:rFonts w:hint="default"/>
        <w:lang w:val="pt-BR" w:eastAsia="pt-BR" w:bidi="pt-BR"/>
      </w:rPr>
    </w:lvl>
  </w:abstractNum>
  <w:abstractNum w:abstractNumId="9">
    <w:nsid w:val="58822EAF"/>
    <w:multiLevelType w:val="hybridMultilevel"/>
    <w:tmpl w:val="7C08C6FA"/>
    <w:lvl w:ilvl="0" w:tplc="0088C268">
      <w:numFmt w:val="bullet"/>
      <w:lvlText w:val="-"/>
      <w:lvlJc w:val="left"/>
      <w:pPr>
        <w:ind w:left="220" w:hanging="140"/>
      </w:pPr>
      <w:rPr>
        <w:rFonts w:ascii="Times New Roman" w:eastAsia="Times New Roman" w:hAnsi="Times New Roman" w:cs="Times New Roman" w:hint="default"/>
        <w:w w:val="99"/>
        <w:sz w:val="24"/>
        <w:szCs w:val="24"/>
        <w:lang w:val="pt-BR" w:eastAsia="pt-BR" w:bidi="pt-BR"/>
      </w:rPr>
    </w:lvl>
    <w:lvl w:ilvl="1" w:tplc="874CE412">
      <w:numFmt w:val="bullet"/>
      <w:lvlText w:val="•"/>
      <w:lvlJc w:val="left"/>
      <w:pPr>
        <w:ind w:left="1207" w:hanging="140"/>
      </w:pPr>
      <w:rPr>
        <w:rFonts w:hint="default"/>
        <w:lang w:val="pt-BR" w:eastAsia="pt-BR" w:bidi="pt-BR"/>
      </w:rPr>
    </w:lvl>
    <w:lvl w:ilvl="2" w:tplc="41BC32F0">
      <w:numFmt w:val="bullet"/>
      <w:lvlText w:val="•"/>
      <w:lvlJc w:val="left"/>
      <w:pPr>
        <w:ind w:left="2195" w:hanging="140"/>
      </w:pPr>
      <w:rPr>
        <w:rFonts w:hint="default"/>
        <w:lang w:val="pt-BR" w:eastAsia="pt-BR" w:bidi="pt-BR"/>
      </w:rPr>
    </w:lvl>
    <w:lvl w:ilvl="3" w:tplc="75C8FF36">
      <w:numFmt w:val="bullet"/>
      <w:lvlText w:val="•"/>
      <w:lvlJc w:val="left"/>
      <w:pPr>
        <w:ind w:left="3183" w:hanging="140"/>
      </w:pPr>
      <w:rPr>
        <w:rFonts w:hint="default"/>
        <w:lang w:val="pt-BR" w:eastAsia="pt-BR" w:bidi="pt-BR"/>
      </w:rPr>
    </w:lvl>
    <w:lvl w:ilvl="4" w:tplc="5B682E8A">
      <w:numFmt w:val="bullet"/>
      <w:lvlText w:val="•"/>
      <w:lvlJc w:val="left"/>
      <w:pPr>
        <w:ind w:left="4171" w:hanging="140"/>
      </w:pPr>
      <w:rPr>
        <w:rFonts w:hint="default"/>
        <w:lang w:val="pt-BR" w:eastAsia="pt-BR" w:bidi="pt-BR"/>
      </w:rPr>
    </w:lvl>
    <w:lvl w:ilvl="5" w:tplc="B9FC76D0">
      <w:numFmt w:val="bullet"/>
      <w:lvlText w:val="•"/>
      <w:lvlJc w:val="left"/>
      <w:pPr>
        <w:ind w:left="5159" w:hanging="140"/>
      </w:pPr>
      <w:rPr>
        <w:rFonts w:hint="default"/>
        <w:lang w:val="pt-BR" w:eastAsia="pt-BR" w:bidi="pt-BR"/>
      </w:rPr>
    </w:lvl>
    <w:lvl w:ilvl="6" w:tplc="996093B2">
      <w:numFmt w:val="bullet"/>
      <w:lvlText w:val="•"/>
      <w:lvlJc w:val="left"/>
      <w:pPr>
        <w:ind w:left="6147" w:hanging="140"/>
      </w:pPr>
      <w:rPr>
        <w:rFonts w:hint="default"/>
        <w:lang w:val="pt-BR" w:eastAsia="pt-BR" w:bidi="pt-BR"/>
      </w:rPr>
    </w:lvl>
    <w:lvl w:ilvl="7" w:tplc="9DCC0BC8">
      <w:numFmt w:val="bullet"/>
      <w:lvlText w:val="•"/>
      <w:lvlJc w:val="left"/>
      <w:pPr>
        <w:ind w:left="7135" w:hanging="140"/>
      </w:pPr>
      <w:rPr>
        <w:rFonts w:hint="default"/>
        <w:lang w:val="pt-BR" w:eastAsia="pt-BR" w:bidi="pt-BR"/>
      </w:rPr>
    </w:lvl>
    <w:lvl w:ilvl="8" w:tplc="5CE8B444">
      <w:numFmt w:val="bullet"/>
      <w:lvlText w:val="•"/>
      <w:lvlJc w:val="left"/>
      <w:pPr>
        <w:ind w:left="8123" w:hanging="140"/>
      </w:pPr>
      <w:rPr>
        <w:rFonts w:hint="default"/>
        <w:lang w:val="pt-BR" w:eastAsia="pt-BR" w:bidi="pt-BR"/>
      </w:rPr>
    </w:lvl>
  </w:abstractNum>
  <w:abstractNum w:abstractNumId="10">
    <w:nsid w:val="6B3B7C17"/>
    <w:multiLevelType w:val="multilevel"/>
    <w:tmpl w:val="12268E70"/>
    <w:lvl w:ilvl="0">
      <w:start w:val="7"/>
      <w:numFmt w:val="decimal"/>
      <w:lvlText w:val="%1"/>
      <w:lvlJc w:val="left"/>
      <w:pPr>
        <w:ind w:left="1295" w:hanging="360"/>
        <w:jc w:val="left"/>
      </w:pPr>
      <w:rPr>
        <w:rFonts w:hint="default"/>
        <w:lang w:val="pt-BR" w:eastAsia="pt-BR" w:bidi="pt-BR"/>
      </w:rPr>
    </w:lvl>
    <w:lvl w:ilvl="1">
      <w:start w:val="1"/>
      <w:numFmt w:val="decimal"/>
      <w:lvlText w:val="%1.%2"/>
      <w:lvlJc w:val="left"/>
      <w:pPr>
        <w:ind w:left="1295" w:hanging="360"/>
        <w:jc w:val="lef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3059" w:hanging="360"/>
      </w:pPr>
      <w:rPr>
        <w:rFonts w:hint="default"/>
        <w:lang w:val="pt-BR" w:eastAsia="pt-BR" w:bidi="pt-BR"/>
      </w:rPr>
    </w:lvl>
    <w:lvl w:ilvl="3">
      <w:numFmt w:val="bullet"/>
      <w:lvlText w:val="•"/>
      <w:lvlJc w:val="left"/>
      <w:pPr>
        <w:ind w:left="3939" w:hanging="360"/>
      </w:pPr>
      <w:rPr>
        <w:rFonts w:hint="default"/>
        <w:lang w:val="pt-BR" w:eastAsia="pt-BR" w:bidi="pt-BR"/>
      </w:rPr>
    </w:lvl>
    <w:lvl w:ilvl="4">
      <w:numFmt w:val="bullet"/>
      <w:lvlText w:val="•"/>
      <w:lvlJc w:val="left"/>
      <w:pPr>
        <w:ind w:left="4819" w:hanging="360"/>
      </w:pPr>
      <w:rPr>
        <w:rFonts w:hint="default"/>
        <w:lang w:val="pt-BR" w:eastAsia="pt-BR" w:bidi="pt-BR"/>
      </w:rPr>
    </w:lvl>
    <w:lvl w:ilvl="5">
      <w:numFmt w:val="bullet"/>
      <w:lvlText w:val="•"/>
      <w:lvlJc w:val="left"/>
      <w:pPr>
        <w:ind w:left="5699" w:hanging="360"/>
      </w:pPr>
      <w:rPr>
        <w:rFonts w:hint="default"/>
        <w:lang w:val="pt-BR" w:eastAsia="pt-BR" w:bidi="pt-BR"/>
      </w:rPr>
    </w:lvl>
    <w:lvl w:ilvl="6">
      <w:numFmt w:val="bullet"/>
      <w:lvlText w:val="•"/>
      <w:lvlJc w:val="left"/>
      <w:pPr>
        <w:ind w:left="6579" w:hanging="360"/>
      </w:pPr>
      <w:rPr>
        <w:rFonts w:hint="default"/>
        <w:lang w:val="pt-BR" w:eastAsia="pt-BR" w:bidi="pt-BR"/>
      </w:rPr>
    </w:lvl>
    <w:lvl w:ilvl="7">
      <w:numFmt w:val="bullet"/>
      <w:lvlText w:val="•"/>
      <w:lvlJc w:val="left"/>
      <w:pPr>
        <w:ind w:left="7459" w:hanging="360"/>
      </w:pPr>
      <w:rPr>
        <w:rFonts w:hint="default"/>
        <w:lang w:val="pt-BR" w:eastAsia="pt-BR" w:bidi="pt-BR"/>
      </w:rPr>
    </w:lvl>
    <w:lvl w:ilvl="8">
      <w:numFmt w:val="bullet"/>
      <w:lvlText w:val="•"/>
      <w:lvlJc w:val="left"/>
      <w:pPr>
        <w:ind w:left="8339" w:hanging="360"/>
      </w:pPr>
      <w:rPr>
        <w:rFonts w:hint="default"/>
        <w:lang w:val="pt-BR" w:eastAsia="pt-BR" w:bidi="pt-BR"/>
      </w:rPr>
    </w:lvl>
  </w:abstractNum>
  <w:abstractNum w:abstractNumId="11">
    <w:nsid w:val="78855342"/>
    <w:multiLevelType w:val="hybridMultilevel"/>
    <w:tmpl w:val="B0AC6E0A"/>
    <w:lvl w:ilvl="0" w:tplc="ED7AF894">
      <w:numFmt w:val="bullet"/>
      <w:lvlText w:val="-"/>
      <w:lvlJc w:val="left"/>
      <w:pPr>
        <w:ind w:left="100" w:hanging="120"/>
      </w:pPr>
      <w:rPr>
        <w:rFonts w:ascii="Times New Roman" w:eastAsia="Times New Roman" w:hAnsi="Times New Roman" w:cs="Times New Roman" w:hint="default"/>
        <w:w w:val="99"/>
        <w:sz w:val="24"/>
        <w:szCs w:val="24"/>
        <w:lang w:val="pt-BR" w:eastAsia="pt-BR" w:bidi="pt-BR"/>
      </w:rPr>
    </w:lvl>
    <w:lvl w:ilvl="1" w:tplc="D620446A">
      <w:numFmt w:val="bullet"/>
      <w:lvlText w:val="•"/>
      <w:lvlJc w:val="left"/>
      <w:pPr>
        <w:ind w:left="1061" w:hanging="120"/>
      </w:pPr>
      <w:rPr>
        <w:rFonts w:hint="default"/>
        <w:lang w:val="pt-BR" w:eastAsia="pt-BR" w:bidi="pt-BR"/>
      </w:rPr>
    </w:lvl>
    <w:lvl w:ilvl="2" w:tplc="15D29554">
      <w:numFmt w:val="bullet"/>
      <w:lvlText w:val="•"/>
      <w:lvlJc w:val="left"/>
      <w:pPr>
        <w:ind w:left="2023" w:hanging="120"/>
      </w:pPr>
      <w:rPr>
        <w:rFonts w:hint="default"/>
        <w:lang w:val="pt-BR" w:eastAsia="pt-BR" w:bidi="pt-BR"/>
      </w:rPr>
    </w:lvl>
    <w:lvl w:ilvl="3" w:tplc="5FB8B082">
      <w:numFmt w:val="bullet"/>
      <w:lvlText w:val="•"/>
      <w:lvlJc w:val="left"/>
      <w:pPr>
        <w:ind w:left="2985" w:hanging="120"/>
      </w:pPr>
      <w:rPr>
        <w:rFonts w:hint="default"/>
        <w:lang w:val="pt-BR" w:eastAsia="pt-BR" w:bidi="pt-BR"/>
      </w:rPr>
    </w:lvl>
    <w:lvl w:ilvl="4" w:tplc="22E645E6">
      <w:numFmt w:val="bullet"/>
      <w:lvlText w:val="•"/>
      <w:lvlJc w:val="left"/>
      <w:pPr>
        <w:ind w:left="3947" w:hanging="120"/>
      </w:pPr>
      <w:rPr>
        <w:rFonts w:hint="default"/>
        <w:lang w:val="pt-BR" w:eastAsia="pt-BR" w:bidi="pt-BR"/>
      </w:rPr>
    </w:lvl>
    <w:lvl w:ilvl="5" w:tplc="FE5A495E">
      <w:numFmt w:val="bullet"/>
      <w:lvlText w:val="•"/>
      <w:lvlJc w:val="left"/>
      <w:pPr>
        <w:ind w:left="4909" w:hanging="120"/>
      </w:pPr>
      <w:rPr>
        <w:rFonts w:hint="default"/>
        <w:lang w:val="pt-BR" w:eastAsia="pt-BR" w:bidi="pt-BR"/>
      </w:rPr>
    </w:lvl>
    <w:lvl w:ilvl="6" w:tplc="0B9834C2">
      <w:numFmt w:val="bullet"/>
      <w:lvlText w:val="•"/>
      <w:lvlJc w:val="left"/>
      <w:pPr>
        <w:ind w:left="5871" w:hanging="120"/>
      </w:pPr>
      <w:rPr>
        <w:rFonts w:hint="default"/>
        <w:lang w:val="pt-BR" w:eastAsia="pt-BR" w:bidi="pt-BR"/>
      </w:rPr>
    </w:lvl>
    <w:lvl w:ilvl="7" w:tplc="4836B140">
      <w:numFmt w:val="bullet"/>
      <w:lvlText w:val="•"/>
      <w:lvlJc w:val="left"/>
      <w:pPr>
        <w:ind w:left="6833" w:hanging="120"/>
      </w:pPr>
      <w:rPr>
        <w:rFonts w:hint="default"/>
        <w:lang w:val="pt-BR" w:eastAsia="pt-BR" w:bidi="pt-BR"/>
      </w:rPr>
    </w:lvl>
    <w:lvl w:ilvl="8" w:tplc="618E0B60">
      <w:numFmt w:val="bullet"/>
      <w:lvlText w:val="•"/>
      <w:lvlJc w:val="left"/>
      <w:pPr>
        <w:ind w:left="7795" w:hanging="120"/>
      </w:pPr>
      <w:rPr>
        <w:rFonts w:hint="default"/>
        <w:lang w:val="pt-BR" w:eastAsia="pt-BR" w:bidi="pt-BR"/>
      </w:rPr>
    </w:lvl>
  </w:abstractNum>
  <w:abstractNum w:abstractNumId="12">
    <w:nsid w:val="7ABA0620"/>
    <w:multiLevelType w:val="hybridMultilevel"/>
    <w:tmpl w:val="71903642"/>
    <w:lvl w:ilvl="0" w:tplc="F9A0394C">
      <w:numFmt w:val="bullet"/>
      <w:lvlText w:val="-"/>
      <w:lvlJc w:val="left"/>
      <w:pPr>
        <w:ind w:left="99" w:hanging="140"/>
      </w:pPr>
      <w:rPr>
        <w:rFonts w:ascii="Times New Roman" w:eastAsia="Times New Roman" w:hAnsi="Times New Roman" w:cs="Times New Roman" w:hint="default"/>
        <w:w w:val="99"/>
        <w:sz w:val="24"/>
        <w:szCs w:val="24"/>
        <w:lang w:val="pt-BR" w:eastAsia="pt-BR" w:bidi="pt-BR"/>
      </w:rPr>
    </w:lvl>
    <w:lvl w:ilvl="1" w:tplc="82F8D57E">
      <w:numFmt w:val="bullet"/>
      <w:lvlText w:val="•"/>
      <w:lvlJc w:val="left"/>
      <w:pPr>
        <w:ind w:left="663" w:hanging="140"/>
      </w:pPr>
      <w:rPr>
        <w:rFonts w:hint="default"/>
        <w:lang w:val="pt-BR" w:eastAsia="pt-BR" w:bidi="pt-BR"/>
      </w:rPr>
    </w:lvl>
    <w:lvl w:ilvl="2" w:tplc="E02489E4">
      <w:numFmt w:val="bullet"/>
      <w:lvlText w:val="•"/>
      <w:lvlJc w:val="left"/>
      <w:pPr>
        <w:ind w:left="1227" w:hanging="140"/>
      </w:pPr>
      <w:rPr>
        <w:rFonts w:hint="default"/>
        <w:lang w:val="pt-BR" w:eastAsia="pt-BR" w:bidi="pt-BR"/>
      </w:rPr>
    </w:lvl>
    <w:lvl w:ilvl="3" w:tplc="81B47930">
      <w:numFmt w:val="bullet"/>
      <w:lvlText w:val="•"/>
      <w:lvlJc w:val="left"/>
      <w:pPr>
        <w:ind w:left="1791" w:hanging="140"/>
      </w:pPr>
      <w:rPr>
        <w:rFonts w:hint="default"/>
        <w:lang w:val="pt-BR" w:eastAsia="pt-BR" w:bidi="pt-BR"/>
      </w:rPr>
    </w:lvl>
    <w:lvl w:ilvl="4" w:tplc="8E748206">
      <w:numFmt w:val="bullet"/>
      <w:lvlText w:val="•"/>
      <w:lvlJc w:val="left"/>
      <w:pPr>
        <w:ind w:left="2355" w:hanging="140"/>
      </w:pPr>
      <w:rPr>
        <w:rFonts w:hint="default"/>
        <w:lang w:val="pt-BR" w:eastAsia="pt-BR" w:bidi="pt-BR"/>
      </w:rPr>
    </w:lvl>
    <w:lvl w:ilvl="5" w:tplc="97087A48">
      <w:numFmt w:val="bullet"/>
      <w:lvlText w:val="•"/>
      <w:lvlJc w:val="left"/>
      <w:pPr>
        <w:ind w:left="2919" w:hanging="140"/>
      </w:pPr>
      <w:rPr>
        <w:rFonts w:hint="default"/>
        <w:lang w:val="pt-BR" w:eastAsia="pt-BR" w:bidi="pt-BR"/>
      </w:rPr>
    </w:lvl>
    <w:lvl w:ilvl="6" w:tplc="7FBA8382">
      <w:numFmt w:val="bullet"/>
      <w:lvlText w:val="•"/>
      <w:lvlJc w:val="left"/>
      <w:pPr>
        <w:ind w:left="3483" w:hanging="140"/>
      </w:pPr>
      <w:rPr>
        <w:rFonts w:hint="default"/>
        <w:lang w:val="pt-BR" w:eastAsia="pt-BR" w:bidi="pt-BR"/>
      </w:rPr>
    </w:lvl>
    <w:lvl w:ilvl="7" w:tplc="792AB60A">
      <w:numFmt w:val="bullet"/>
      <w:lvlText w:val="•"/>
      <w:lvlJc w:val="left"/>
      <w:pPr>
        <w:ind w:left="4047" w:hanging="140"/>
      </w:pPr>
      <w:rPr>
        <w:rFonts w:hint="default"/>
        <w:lang w:val="pt-BR" w:eastAsia="pt-BR" w:bidi="pt-BR"/>
      </w:rPr>
    </w:lvl>
    <w:lvl w:ilvl="8" w:tplc="0C0435D4">
      <w:numFmt w:val="bullet"/>
      <w:lvlText w:val="•"/>
      <w:lvlJc w:val="left"/>
      <w:pPr>
        <w:ind w:left="4611" w:hanging="140"/>
      </w:pPr>
      <w:rPr>
        <w:rFonts w:hint="default"/>
        <w:lang w:val="pt-BR" w:eastAsia="pt-BR" w:bidi="pt-BR"/>
      </w:rPr>
    </w:lvl>
  </w:abstractNum>
  <w:num w:numId="1">
    <w:abstractNumId w:val="11"/>
  </w:num>
  <w:num w:numId="2">
    <w:abstractNumId w:val="9"/>
  </w:num>
  <w:num w:numId="3">
    <w:abstractNumId w:val="2"/>
  </w:num>
  <w:num w:numId="4">
    <w:abstractNumId w:val="5"/>
  </w:num>
  <w:num w:numId="5">
    <w:abstractNumId w:val="4"/>
  </w:num>
  <w:num w:numId="6">
    <w:abstractNumId w:val="6"/>
  </w:num>
  <w:num w:numId="7">
    <w:abstractNumId w:val="12"/>
  </w:num>
  <w:num w:numId="8">
    <w:abstractNumId w:val="8"/>
  </w:num>
  <w:num w:numId="9">
    <w:abstractNumId w:val="1"/>
  </w:num>
  <w:num w:numId="10">
    <w:abstractNumId w:val="10"/>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825E87"/>
    <w:rsid w:val="00825E87"/>
    <w:rsid w:val="00CB18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220"/>
      <w:outlineLvl w:val="0"/>
    </w:pPr>
    <w:rPr>
      <w:b/>
      <w:bCs/>
      <w:sz w:val="24"/>
      <w:szCs w:val="24"/>
    </w:rPr>
  </w:style>
  <w:style w:type="paragraph" w:styleId="Ttulo2">
    <w:name w:val="heading 2"/>
    <w:basedOn w:val="Normal"/>
    <w:uiPriority w:val="1"/>
    <w:qFormat/>
    <w:pPr>
      <w:ind w:left="928"/>
      <w:outlineLvl w:val="1"/>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0"/>
    </w:pPr>
    <w:rPr>
      <w:sz w:val="24"/>
      <w:szCs w:val="24"/>
    </w:rPr>
  </w:style>
  <w:style w:type="paragraph" w:styleId="PargrafodaLista">
    <w:name w:val="List Paragraph"/>
    <w:basedOn w:val="Normal"/>
    <w:uiPriority w:val="1"/>
    <w:qFormat/>
    <w:pPr>
      <w:ind w:left="220"/>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B188B"/>
    <w:rPr>
      <w:rFonts w:ascii="Tahoma" w:hAnsi="Tahoma" w:cs="Tahoma"/>
      <w:sz w:val="16"/>
      <w:szCs w:val="16"/>
    </w:rPr>
  </w:style>
  <w:style w:type="character" w:customStyle="1" w:styleId="TextodebaloChar">
    <w:name w:val="Texto de balão Char"/>
    <w:basedOn w:val="Fontepargpadro"/>
    <w:link w:val="Textodebalo"/>
    <w:uiPriority w:val="99"/>
    <w:semiHidden/>
    <w:rsid w:val="00CB188B"/>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uideline.gov/" TargetMode="External"/><Relationship Id="rId13" Type="http://schemas.openxmlformats.org/officeDocument/2006/relationships/hyperlink" Target="http://diretrizes.amb.org.br/tag/sociedade-brasileira-de-reumatologia/"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ice.org.uk/guidance/published?type=CG" TargetMode="External"/><Relationship Id="rId12" Type="http://schemas.openxmlformats.org/officeDocument/2006/relationships/hyperlink" Target="http://diretrizes.amb.org.br/tag/sociedade-brasileira-de-reumatologia/"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iretrizes.amb.org.br/tag/sociedade-brasileira-de-reumatologia/" TargetMode="External"/><Relationship Id="rId5" Type="http://schemas.openxmlformats.org/officeDocument/2006/relationships/webSettings" Target="webSettings.xml"/><Relationship Id="rId15" Type="http://schemas.openxmlformats.org/officeDocument/2006/relationships/hyperlink" Target="https://www.guideline.gov/search?q=Ankylosing%2BSpondylitis&amp;amp;f_dateRangeFrom=2015&amp;amp;f_dateRangeTo=2016" TargetMode="External"/><Relationship Id="rId10" Type="http://schemas.openxmlformats.org/officeDocument/2006/relationships/hyperlink" Target="http://www.reumatologia.com.br/PDFs/RBR533PT.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g-i-n.net/library/international-guidelines-library" TargetMode="External"/><Relationship Id="rId14" Type="http://schemas.openxmlformats.org/officeDocument/2006/relationships/hyperlink" Target="https://www.guideline.gov/search?q=Ankylosing%2BSpondylitis&amp;amp;f_dateRangeFrom=2015&amp;amp;f_dateRangeTo=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11854</Words>
  <Characters>64013</Characters>
  <Application>Microsoft Office Word</Application>
  <DocSecurity>0</DocSecurity>
  <Lines>533</Lines>
  <Paragraphs>151</Paragraphs>
  <ScaleCrop>false</ScaleCrop>
  <Company/>
  <LinksUpToDate>false</LinksUpToDate>
  <CharactersWithSpaces>75716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Hepatite B.docx</dc:title>
  <dc:creator>Marcelo Contardo Moscoso Naveira -  CHV</dc:creator>
  <cp:lastModifiedBy>VANESSA ALVES DE OLIVEIRA</cp:lastModifiedBy>
  <cp:revision>2</cp:revision>
  <dcterms:created xsi:type="dcterms:W3CDTF">2019-07-19T15:04:00Z</dcterms:created>
  <dcterms:modified xsi:type="dcterms:W3CDTF">2019-07-19T15:06:00Z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Microsoft® Word 2013</vt:lpwstr>
  </property>
  <property fmtid="{D5CDD505-2E9C-101B-9397-08002B2CF9AE}" pid="4" name="LastSaved">
    <vt:filetime>2019-07-19T00:00:00Z</vt:filetime>
  </property>
</Properties>
</file>