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1"/>
        <w:spacing w:before="76"/>
        <w:ind w:left="504" w:right="279"/>
        <w:jc w:val="center"/>
      </w:pPr>
      <w:r>
        <w:rPr/>
        <w:t>MINISTÉRIO DA SAÚDE</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spacing w:before="185"/>
        <w:ind w:left="507" w:right="279" w:firstLine="0"/>
        <w:jc w:val="center"/>
        <w:rPr>
          <w:b/>
          <w:sz w:val="24"/>
        </w:rPr>
      </w:pPr>
      <w:r>
        <w:rPr>
          <w:b/>
          <w:sz w:val="24"/>
        </w:rPr>
        <w:t>DIRETRIZES CLÍNICAS PARA O CUIDADO AO PACIENTE COM DOENÇA RENAL CRÔNICA – DRC NO SISTEMA ÚNICO DE SAÚDE</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9"/>
        <w:rPr>
          <w:b/>
          <w:sz w:val="25"/>
        </w:rPr>
      </w:pPr>
    </w:p>
    <w:p>
      <w:pPr>
        <w:spacing w:before="1"/>
        <w:ind w:left="4507" w:right="4276" w:firstLine="0"/>
        <w:jc w:val="center"/>
        <w:rPr>
          <w:b/>
          <w:sz w:val="24"/>
        </w:rPr>
      </w:pPr>
      <w:r>
        <w:rPr>
          <w:b/>
          <w:sz w:val="24"/>
        </w:rPr>
        <w:t>Brasília- DF 2014</w:t>
      </w:r>
    </w:p>
    <w:p>
      <w:pPr>
        <w:spacing w:after="0"/>
        <w:jc w:val="center"/>
        <w:rPr>
          <w:sz w:val="24"/>
        </w:rPr>
        <w:sectPr>
          <w:footerReference w:type="default" r:id="rId5"/>
          <w:type w:val="continuous"/>
          <w:pgSz w:w="11910" w:h="16840"/>
          <w:pgMar w:footer="925" w:top="1320" w:bottom="1120" w:left="1240" w:right="620"/>
          <w:pgNumType w:start="1"/>
        </w:sectPr>
      </w:pPr>
    </w:p>
    <w:p>
      <w:pPr>
        <w:spacing w:before="76"/>
        <w:ind w:left="504" w:right="279" w:firstLine="0"/>
        <w:jc w:val="center"/>
        <w:rPr>
          <w:b/>
          <w:sz w:val="24"/>
        </w:rPr>
      </w:pPr>
      <w:r>
        <w:rPr>
          <w:b/>
          <w:sz w:val="24"/>
        </w:rPr>
        <w:t>MINISTÉRIO DA SAÚDE</w:t>
      </w:r>
    </w:p>
    <w:p>
      <w:pPr>
        <w:spacing w:before="0"/>
        <w:ind w:left="2475" w:right="2229" w:firstLine="1101"/>
        <w:jc w:val="left"/>
        <w:rPr>
          <w:b/>
          <w:sz w:val="24"/>
        </w:rPr>
      </w:pPr>
      <w:r>
        <w:rPr>
          <w:b/>
          <w:sz w:val="24"/>
        </w:rPr>
        <w:t>Secretaria de Atenção à Saúde Departamento de Atenção Especializada e Temática Coordenação Geral de Média e Alta Complexidade</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1"/>
        <w:rPr>
          <w:b/>
          <w:sz w:val="38"/>
        </w:rPr>
      </w:pPr>
    </w:p>
    <w:p>
      <w:pPr>
        <w:spacing w:before="0"/>
        <w:ind w:left="507" w:right="279" w:firstLine="0"/>
        <w:jc w:val="center"/>
        <w:rPr>
          <w:b/>
          <w:sz w:val="24"/>
        </w:rPr>
      </w:pPr>
      <w:r>
        <w:rPr>
          <w:b/>
          <w:sz w:val="24"/>
        </w:rPr>
        <w:t>DIRETRIZES CLÍNICAS PARA O CUIDADO AO PACIENTE COM DOENÇA RENAL CRÔNICA – DRC NO SISTEMA ÚNICO DE SAÚDE</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9"/>
        <w:rPr>
          <w:b/>
          <w:sz w:val="31"/>
        </w:rPr>
      </w:pPr>
    </w:p>
    <w:p>
      <w:pPr>
        <w:spacing w:before="1"/>
        <w:ind w:left="507" w:right="278" w:firstLine="0"/>
        <w:jc w:val="center"/>
        <w:rPr>
          <w:b/>
          <w:sz w:val="24"/>
        </w:rPr>
      </w:pPr>
      <w:r>
        <w:rPr>
          <w:b/>
          <w:sz w:val="24"/>
        </w:rPr>
        <w:t>Brasília- DF</w:t>
      </w:r>
    </w:p>
    <w:p>
      <w:pPr>
        <w:spacing w:after="0"/>
        <w:jc w:val="center"/>
        <w:rPr>
          <w:sz w:val="24"/>
        </w:rPr>
        <w:sectPr>
          <w:pgSz w:w="11910" w:h="16840"/>
          <w:pgMar w:header="0" w:footer="925" w:top="1320" w:bottom="1200" w:left="1240" w:right="620"/>
        </w:sectPr>
      </w:pPr>
    </w:p>
    <w:p>
      <w:pPr>
        <w:spacing w:before="76"/>
        <w:ind w:left="506" w:right="279" w:firstLine="0"/>
        <w:jc w:val="center"/>
        <w:rPr>
          <w:b/>
          <w:sz w:val="24"/>
        </w:rPr>
      </w:pPr>
      <w:r>
        <w:rPr>
          <w:b/>
          <w:sz w:val="24"/>
        </w:rPr>
        <w:t>2014</w:t>
      </w:r>
    </w:p>
    <w:p>
      <w:pPr>
        <w:pStyle w:val="BodyText"/>
        <w:spacing w:before="7"/>
        <w:rPr>
          <w:b/>
          <w:sz w:val="23"/>
        </w:rPr>
      </w:pPr>
    </w:p>
    <w:p>
      <w:pPr>
        <w:pStyle w:val="BodyText"/>
        <w:ind w:left="461"/>
      </w:pPr>
      <w:r>
        <w:rPr/>
        <w:t>© 2014 Ministério da Saúde.</w:t>
      </w:r>
    </w:p>
    <w:p>
      <w:pPr>
        <w:pStyle w:val="BodyText"/>
        <w:ind w:left="461" w:right="228"/>
        <w:jc w:val="both"/>
      </w:pPr>
      <w:r>
        <w:rPr/>
        <w:t>Todos os direitos reservados. É permitida a reprodução parcial ou total desta obra, desde que citada a fonte e que não seja para venda ou qualquer fim comercial. A responsabilidade pelos direitos autorais de textos e imagens desta obra é da área técnica. A coleção institucional do Ministério da Saúde pode ser acessada na íntegra na Biblioteca Virtual em Saúde do Ministério da Saúde</w:t>
      </w:r>
      <w:hyperlink r:id="rId6">
        <w:r>
          <w:rPr/>
          <w:t>: http://www.saude.gov.br/bvs.</w:t>
        </w:r>
      </w:hyperlink>
    </w:p>
    <w:p>
      <w:pPr>
        <w:pStyle w:val="BodyText"/>
        <w:rPr>
          <w:sz w:val="20"/>
        </w:rPr>
      </w:pPr>
    </w:p>
    <w:p>
      <w:pPr>
        <w:pStyle w:val="BodyText"/>
        <w:spacing w:before="2"/>
        <w:rPr>
          <w:sz w:val="20"/>
        </w:rPr>
      </w:pPr>
    </w:p>
    <w:p>
      <w:pPr>
        <w:spacing w:after="0"/>
        <w:rPr>
          <w:sz w:val="20"/>
        </w:rPr>
        <w:sectPr>
          <w:pgSz w:w="11910" w:h="16840"/>
          <w:pgMar w:header="0" w:footer="925" w:top="1320" w:bottom="1200" w:left="1240" w:right="620"/>
        </w:sectPr>
      </w:pPr>
    </w:p>
    <w:p>
      <w:pPr>
        <w:pStyle w:val="BodyText"/>
        <w:spacing w:before="90"/>
        <w:ind w:left="461" w:right="185"/>
      </w:pPr>
      <w:r>
        <w:rPr/>
        <w:t>Elaboração, distribuição e Informações: Ministério da Saúde</w:t>
      </w:r>
    </w:p>
    <w:p>
      <w:pPr>
        <w:pStyle w:val="BodyText"/>
        <w:ind w:left="461" w:right="185"/>
      </w:pPr>
      <w:r>
        <w:rPr/>
        <w:t>Secretaria de Atenção à Saúde Departamento de Atenção Especializada e Temática</w:t>
      </w:r>
    </w:p>
    <w:p>
      <w:pPr>
        <w:pStyle w:val="BodyText"/>
        <w:ind w:left="461" w:right="517"/>
      </w:pPr>
      <w:r>
        <w:rPr/>
        <w:t>Edifício Premium, SAF Sul, Quadra 2, Lotes 5/6, Bloco II, Sala 203</w:t>
      </w:r>
    </w:p>
    <w:p>
      <w:pPr>
        <w:pStyle w:val="BodyText"/>
        <w:spacing w:before="1"/>
        <w:ind w:left="461" w:right="870"/>
      </w:pPr>
      <w:r>
        <w:rPr/>
        <w:t>CEP: 70.070-600 Brasília – DF Fones: (61) 3315-6176/ 3315-6175</w:t>
      </w:r>
    </w:p>
    <w:p>
      <w:pPr>
        <w:pStyle w:val="BodyText"/>
        <w:ind w:left="461" w:right="1097"/>
      </w:pPr>
      <w:r>
        <w:rPr/>
        <w:t>Correio eletrônico:</w:t>
      </w:r>
      <w:hyperlink r:id="rId7">
        <w:r>
          <w:rPr/>
          <w:t> altacomplexidade@saude.gov.br</w:t>
        </w:r>
      </w:hyperlink>
    </w:p>
    <w:p>
      <w:pPr>
        <w:pStyle w:val="BodyText"/>
        <w:ind w:left="461"/>
      </w:pPr>
      <w:r>
        <w:rPr/>
        <w:t>Endereço eletrônico: </w:t>
      </w:r>
      <w:hyperlink r:id="rId8">
        <w:r>
          <w:rPr/>
          <w:t>www.saude.gov.br/sas</w:t>
        </w:r>
      </w:hyperlink>
    </w:p>
    <w:p>
      <w:pPr>
        <w:pStyle w:val="BodyText"/>
        <w:spacing w:before="11"/>
        <w:rPr>
          <w:sz w:val="23"/>
        </w:rPr>
      </w:pPr>
    </w:p>
    <w:p>
      <w:pPr>
        <w:pStyle w:val="BodyText"/>
        <w:ind w:left="461"/>
      </w:pPr>
      <w:r>
        <w:rPr/>
        <w:t>Coordenação:</w:t>
      </w:r>
    </w:p>
    <w:p>
      <w:pPr>
        <w:pStyle w:val="BodyText"/>
        <w:ind w:left="461" w:right="738"/>
      </w:pPr>
      <w:r>
        <w:rPr/>
        <w:t>Helvécio Miranda Magalhães Júnior José Eduardo Fogolin Passos</w:t>
      </w:r>
    </w:p>
    <w:p>
      <w:pPr>
        <w:pStyle w:val="BodyText"/>
        <w:ind w:left="461" w:right="944"/>
      </w:pPr>
      <w:r>
        <w:rPr/>
        <w:t>Lêda Lúcia Couto de Vasconcelos Luciana Morais Rocha</w:t>
      </w: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84"/>
        <w:ind w:left="461"/>
      </w:pPr>
      <w:r>
        <w:rPr/>
        <w:t>Impresso no Brasil / Printed in Brazil</w:t>
      </w:r>
    </w:p>
    <w:p>
      <w:pPr>
        <w:pStyle w:val="BodyText"/>
        <w:rPr>
          <w:sz w:val="26"/>
        </w:rPr>
      </w:pPr>
      <w:r>
        <w:rPr/>
        <w:br w:type="column"/>
      </w:r>
      <w:r>
        <w:rPr>
          <w:sz w:val="26"/>
        </w:rPr>
      </w:r>
    </w:p>
    <w:p>
      <w:pPr>
        <w:pStyle w:val="BodyText"/>
        <w:rPr>
          <w:sz w:val="26"/>
        </w:rPr>
      </w:pPr>
    </w:p>
    <w:p>
      <w:pPr>
        <w:pStyle w:val="BodyText"/>
        <w:spacing w:before="10"/>
        <w:rPr>
          <w:sz w:val="27"/>
        </w:rPr>
      </w:pPr>
    </w:p>
    <w:p>
      <w:pPr>
        <w:pStyle w:val="BodyText"/>
        <w:ind w:left="461"/>
      </w:pPr>
      <w:r>
        <w:rPr/>
        <w:t>Elaboração:</w:t>
      </w:r>
    </w:p>
    <w:p>
      <w:pPr>
        <w:pStyle w:val="BodyText"/>
        <w:ind w:left="461" w:right="1340"/>
      </w:pPr>
      <w:r>
        <w:rPr/>
        <w:t>Aline Beatriz Moreira Gullo Andréia Pereira da Silva Oliveira Antônia da Graça Silva</w:t>
      </w:r>
    </w:p>
    <w:p>
      <w:pPr>
        <w:pStyle w:val="BodyText"/>
        <w:spacing w:before="2"/>
        <w:ind w:left="461"/>
      </w:pPr>
      <w:r>
        <w:rPr/>
        <w:t>Daniel Rinaldi dos Santos</w:t>
      </w:r>
    </w:p>
    <w:p>
      <w:pPr>
        <w:pStyle w:val="BodyText"/>
        <w:spacing w:before="197"/>
        <w:ind w:left="461" w:right="1813"/>
      </w:pPr>
      <w:r>
        <w:rPr/>
        <w:t>Eduardo André Viana Alves Hélio Vida Cassi</w:t>
      </w:r>
    </w:p>
    <w:p>
      <w:pPr>
        <w:pStyle w:val="BodyText"/>
        <w:ind w:left="461" w:right="2286"/>
      </w:pPr>
      <w:r>
        <w:rPr/>
        <w:t>Juliana Cristina Backes Luciana Morais Rocha</w:t>
      </w:r>
    </w:p>
    <w:p>
      <w:pPr>
        <w:pStyle w:val="BodyText"/>
        <w:ind w:left="461" w:right="1599"/>
      </w:pPr>
      <w:r>
        <w:rPr/>
        <w:t>Lúcio Roberto Requião Moura Maria Dolores  Nogueira Paulo Sérgio Luconi</w:t>
      </w:r>
    </w:p>
    <w:p>
      <w:pPr>
        <w:spacing w:after="0"/>
        <w:sectPr>
          <w:type w:val="continuous"/>
          <w:pgSz w:w="11910" w:h="16840"/>
          <w:pgMar w:top="1320" w:bottom="1120" w:left="1240" w:right="620"/>
          <w:cols w:num="2" w:equalWidth="0">
            <w:col w:w="4718" w:space="312"/>
            <w:col w:w="5020"/>
          </w:cols>
        </w:sectPr>
      </w:pPr>
    </w:p>
    <w:p>
      <w:pPr>
        <w:pStyle w:val="BodyText"/>
        <w:spacing w:before="2"/>
        <w:rPr>
          <w:sz w:val="16"/>
        </w:rPr>
      </w:pPr>
    </w:p>
    <w:p>
      <w:pPr>
        <w:pStyle w:val="BodyText"/>
        <w:spacing w:before="90"/>
        <w:ind w:left="4193"/>
      </w:pPr>
      <w:r>
        <w:rPr/>
        <w:pict>
          <v:line style="position:absolute;mso-position-horizontal-relative:page;mso-position-vertical-relative:paragraph;z-index:-1024;mso-wrap-distance-left:0;mso-wrap-distance-right:0" from="83.639999pt,20.383137pt" to="554.279999pt,20.383137pt" stroked="true" strokeweight="1.44pt" strokecolor="#000000">
            <v:stroke dashstyle="solid"/>
            <w10:wrap type="topAndBottom"/>
          </v:line>
        </w:pict>
      </w:r>
      <w:r>
        <w:rPr/>
        <w:t>Ficha Catalográfica</w:t>
      </w:r>
    </w:p>
    <w:p>
      <w:pPr>
        <w:pStyle w:val="BodyText"/>
        <w:ind w:left="461" w:right="229"/>
        <w:jc w:val="both"/>
      </w:pPr>
      <w:r>
        <w:rPr/>
        <w:t>Brasil. Ministério da Saúde. Secretaria de Atenção à Saúde. Departamento de Atenção Especializada e Temática. Diretrizes Clínicas para o Cuidado ao paciente com Doença Renal Crônica – DRC no Sistema Único de Saúde/ Ministério da Saúde. Secretaria de Atenção à Saúde. Departamento de Atenção Especializada e Temática. – Brasília: Ministério da Saúde, 2014. p.: 37 p.: il.</w:t>
      </w:r>
    </w:p>
    <w:p>
      <w:pPr>
        <w:pStyle w:val="BodyText"/>
        <w:ind w:left="461"/>
        <w:jc w:val="both"/>
      </w:pPr>
      <w:r>
        <w:rPr/>
        <w:t>ISBN</w:t>
      </w:r>
    </w:p>
    <w:p>
      <w:pPr>
        <w:pStyle w:val="BodyText"/>
        <w:ind w:left="461"/>
        <w:jc w:val="both"/>
      </w:pPr>
      <w:r>
        <w:rPr/>
        <w:t>1. Doença Renal Crônica.</w:t>
      </w:r>
    </w:p>
    <w:p>
      <w:pPr>
        <w:pStyle w:val="BodyText"/>
        <w:spacing w:before="8"/>
        <w:rPr>
          <w:sz w:val="19"/>
        </w:rPr>
      </w:pPr>
      <w:r>
        <w:rPr/>
        <w:pict>
          <v:line style="position:absolute;mso-position-horizontal-relative:page;mso-position-vertical-relative:paragraph;z-index:-1000;mso-wrap-distance-left:0;mso-wrap-distance-right:0" from="85.080002pt,13.563334pt" to="547.080024pt,13.563334pt" stroked="true" strokeweight=".48pt" strokecolor="#000000">
            <v:stroke dashstyle="solid"/>
            <w10:wrap type="topAndBottom"/>
          </v:line>
        </w:pict>
      </w:r>
    </w:p>
    <w:p>
      <w:pPr>
        <w:spacing w:after="0"/>
        <w:rPr>
          <w:sz w:val="19"/>
        </w:rPr>
        <w:sectPr>
          <w:type w:val="continuous"/>
          <w:pgSz w:w="11910" w:h="16840"/>
          <w:pgMar w:top="1320" w:bottom="1120" w:left="1240" w:right="620"/>
        </w:sectPr>
      </w:pPr>
    </w:p>
    <w:p>
      <w:pPr>
        <w:pStyle w:val="BodyText"/>
        <w:rPr>
          <w:sz w:val="20"/>
        </w:rPr>
      </w:pPr>
    </w:p>
    <w:p>
      <w:pPr>
        <w:pStyle w:val="BodyText"/>
        <w:spacing w:before="9"/>
        <w:rPr>
          <w:sz w:val="22"/>
        </w:rPr>
      </w:pPr>
    </w:p>
    <w:p>
      <w:pPr>
        <w:spacing w:before="92"/>
        <w:ind w:left="461" w:right="0" w:firstLine="0"/>
        <w:jc w:val="left"/>
        <w:rPr>
          <w:sz w:val="22"/>
        </w:rPr>
      </w:pPr>
      <w:r>
        <w:rPr>
          <w:sz w:val="22"/>
        </w:rPr>
        <w:t>SUMÁRIO</w:t>
      </w:r>
    </w:p>
    <w:p>
      <w:pPr>
        <w:spacing w:after="0"/>
        <w:jc w:val="left"/>
        <w:rPr>
          <w:sz w:val="22"/>
        </w:rPr>
        <w:sectPr>
          <w:pgSz w:w="11910" w:h="16840"/>
          <w:pgMar w:header="0" w:footer="925" w:top="1580" w:bottom="1762" w:left="1240" w:right="620"/>
        </w:sectPr>
      </w:pPr>
    </w:p>
    <w:sdt>
      <w:sdtPr>
        <w:docPartObj>
          <w:docPartGallery w:val="Table of Contents"/>
          <w:docPartUnique/>
        </w:docPartObj>
      </w:sdtPr>
      <w:sdtEndPr/>
      <w:sdtContent>
        <w:p>
          <w:pPr>
            <w:pStyle w:val="TOC1"/>
            <w:tabs>
              <w:tab w:pos="9696" w:val="left" w:leader="dot"/>
            </w:tabs>
            <w:spacing w:before="324"/>
            <w:ind w:left="461" w:firstLine="0"/>
            <w:rPr>
              <w:rFonts w:ascii="Arial" w:hAnsi="Arial"/>
            </w:rPr>
          </w:pPr>
          <w:hyperlink w:history="true" w:anchor="_bookmark0">
            <w:r>
              <w:rPr/>
              <w:t>APRESENTAÇÃO</w:t>
              <w:tab/>
            </w:r>
            <w:r>
              <w:rPr>
                <w:rFonts w:ascii="Arial" w:hAnsi="Arial"/>
              </w:rPr>
              <w:t>6</w:t>
            </w:r>
          </w:hyperlink>
        </w:p>
        <w:p>
          <w:pPr>
            <w:pStyle w:val="TOC1"/>
            <w:numPr>
              <w:ilvl w:val="0"/>
              <w:numId w:val="1"/>
            </w:numPr>
            <w:tabs>
              <w:tab w:pos="900" w:val="left" w:leader="none"/>
              <w:tab w:pos="901" w:val="left" w:leader="none"/>
              <w:tab w:pos="9696" w:val="left" w:leader="dot"/>
            </w:tabs>
            <w:spacing w:line="240" w:lineRule="auto" w:before="296" w:after="0"/>
            <w:ind w:left="462" w:right="0" w:hanging="1"/>
            <w:jc w:val="left"/>
            <w:rPr>
              <w:rFonts w:ascii="Arial" w:hAnsi="Arial"/>
            </w:rPr>
          </w:pPr>
          <w:hyperlink w:history="true" w:anchor="_bookmark1">
            <w:r>
              <w:rPr/>
              <w:t>INTRODUÇÃO</w:t>
              <w:tab/>
            </w:r>
            <w:r>
              <w:rPr>
                <w:rFonts w:ascii="Arial" w:hAnsi="Arial"/>
              </w:rPr>
              <w:t>7</w:t>
            </w:r>
          </w:hyperlink>
        </w:p>
        <w:p>
          <w:pPr>
            <w:pStyle w:val="TOC1"/>
            <w:numPr>
              <w:ilvl w:val="0"/>
              <w:numId w:val="1"/>
            </w:numPr>
            <w:tabs>
              <w:tab w:pos="900" w:val="left" w:leader="none"/>
              <w:tab w:pos="901" w:val="left" w:leader="none"/>
              <w:tab w:pos="9696" w:val="left" w:leader="dot"/>
            </w:tabs>
            <w:spacing w:line="240" w:lineRule="auto" w:before="293" w:after="0"/>
            <w:ind w:left="462" w:right="0" w:hanging="1"/>
            <w:jc w:val="left"/>
            <w:rPr>
              <w:rFonts w:ascii="Arial"/>
            </w:rPr>
          </w:pPr>
          <w:hyperlink w:history="true" w:anchor="_bookmark2">
            <w:r>
              <w:rPr/>
              <w:t>METODOLOGIA</w:t>
              <w:tab/>
            </w:r>
            <w:r>
              <w:rPr>
                <w:rFonts w:ascii="Arial"/>
              </w:rPr>
              <w:t>8</w:t>
            </w:r>
          </w:hyperlink>
        </w:p>
        <w:p>
          <w:pPr>
            <w:pStyle w:val="TOC1"/>
            <w:numPr>
              <w:ilvl w:val="0"/>
              <w:numId w:val="1"/>
            </w:numPr>
            <w:tabs>
              <w:tab w:pos="900" w:val="left" w:leader="none"/>
              <w:tab w:pos="901" w:val="left" w:leader="none"/>
              <w:tab w:pos="9696" w:val="left" w:leader="dot"/>
            </w:tabs>
            <w:spacing w:line="240" w:lineRule="auto" w:before="296" w:after="0"/>
            <w:ind w:left="900" w:right="0" w:hanging="439"/>
            <w:jc w:val="left"/>
            <w:rPr>
              <w:rFonts w:ascii="Arial"/>
            </w:rPr>
          </w:pPr>
          <w:hyperlink w:history="true" w:anchor="_bookmark3">
            <w:r>
              <w:rPr/>
              <w:t>OBJETIVO</w:t>
              <w:tab/>
            </w:r>
            <w:r>
              <w:rPr>
                <w:rFonts w:ascii="Arial"/>
              </w:rPr>
              <w:t>8</w:t>
            </w:r>
          </w:hyperlink>
        </w:p>
        <w:p>
          <w:pPr>
            <w:pStyle w:val="TOC1"/>
            <w:numPr>
              <w:ilvl w:val="0"/>
              <w:numId w:val="1"/>
            </w:numPr>
            <w:tabs>
              <w:tab w:pos="900" w:val="left" w:leader="none"/>
              <w:tab w:pos="901" w:val="left" w:leader="none"/>
              <w:tab w:pos="9697" w:val="left" w:leader="dot"/>
            </w:tabs>
            <w:spacing w:line="240" w:lineRule="auto" w:before="293" w:after="0"/>
            <w:ind w:left="900" w:right="0" w:hanging="439"/>
            <w:jc w:val="left"/>
            <w:rPr>
              <w:rFonts w:ascii="Arial"/>
            </w:rPr>
          </w:pPr>
          <w:hyperlink w:history="true" w:anchor="_bookmark4">
            <w:r>
              <w:rPr/>
              <w:t>GRUPOS</w:t>
            </w:r>
            <w:r>
              <w:rPr>
                <w:spacing w:val="-3"/>
              </w:rPr>
              <w:t> </w:t>
            </w:r>
            <w:r>
              <w:rPr/>
              <w:t>DE</w:t>
            </w:r>
            <w:r>
              <w:rPr>
                <w:spacing w:val="-3"/>
              </w:rPr>
              <w:t> </w:t>
            </w:r>
            <w:r>
              <w:rPr/>
              <w:t>RISCO</w:t>
              <w:tab/>
            </w:r>
            <w:r>
              <w:rPr>
                <w:rFonts w:ascii="Arial"/>
              </w:rPr>
              <w:t>8</w:t>
            </w:r>
          </w:hyperlink>
        </w:p>
        <w:p>
          <w:pPr>
            <w:pStyle w:val="TOC1"/>
            <w:numPr>
              <w:ilvl w:val="0"/>
              <w:numId w:val="1"/>
            </w:numPr>
            <w:tabs>
              <w:tab w:pos="901" w:val="left" w:leader="none"/>
              <w:tab w:pos="902" w:val="left" w:leader="none"/>
              <w:tab w:pos="9584" w:val="left" w:leader="dot"/>
            </w:tabs>
            <w:spacing w:line="240" w:lineRule="auto" w:before="296" w:after="0"/>
            <w:ind w:left="901" w:right="0" w:hanging="440"/>
            <w:jc w:val="left"/>
            <w:rPr>
              <w:rFonts w:ascii="Arial" w:hAnsi="Arial"/>
            </w:rPr>
          </w:pPr>
          <w:hyperlink w:history="true" w:anchor="_bookmark5">
            <w:r>
              <w:rPr/>
              <w:t>DEFINIÇÃO</w:t>
              <w:tab/>
            </w:r>
            <w:r>
              <w:rPr>
                <w:rFonts w:ascii="Arial" w:hAnsi="Arial"/>
              </w:rPr>
              <w:t>10</w:t>
            </w:r>
          </w:hyperlink>
        </w:p>
        <w:p>
          <w:pPr>
            <w:pStyle w:val="TOC1"/>
            <w:numPr>
              <w:ilvl w:val="0"/>
              <w:numId w:val="1"/>
            </w:numPr>
            <w:tabs>
              <w:tab w:pos="901" w:val="left" w:leader="none"/>
              <w:tab w:pos="902" w:val="left" w:leader="none"/>
              <w:tab w:pos="9584" w:val="left" w:leader="dot"/>
            </w:tabs>
            <w:spacing w:line="247" w:lineRule="auto" w:before="287" w:after="0"/>
            <w:ind w:left="462" w:right="234" w:firstLine="0"/>
            <w:jc w:val="left"/>
            <w:rPr>
              <w:rFonts w:ascii="Arial" w:hAnsi="Arial"/>
            </w:rPr>
          </w:pPr>
          <w:hyperlink w:history="true" w:anchor="_bookmark6">
            <w:r>
              <w:rPr/>
              <w:t>ESTRATÉGIAS DE PREVENÇÃO PARA A DRC NOS PACIENTES SOB O RISCO DE</w:t>
            </w:r>
          </w:hyperlink>
          <w:hyperlink w:history="true" w:anchor="_bookmark6">
            <w:r>
              <w:rPr/>
              <w:t> DESENVOLVER</w:t>
            </w:r>
            <w:r>
              <w:rPr>
                <w:spacing w:val="-3"/>
              </w:rPr>
              <w:t> </w:t>
            </w:r>
            <w:r>
              <w:rPr/>
              <w:t>A</w:t>
            </w:r>
            <w:r>
              <w:rPr>
                <w:spacing w:val="-3"/>
              </w:rPr>
              <w:t> </w:t>
            </w:r>
            <w:r>
              <w:rPr/>
              <w:t>DOENÇA</w:t>
              <w:tab/>
            </w:r>
            <w:r>
              <w:rPr>
                <w:rFonts w:ascii="Arial" w:hAnsi="Arial"/>
                <w:w w:val="90"/>
              </w:rPr>
              <w:t>11</w:t>
            </w:r>
          </w:hyperlink>
        </w:p>
        <w:p>
          <w:pPr>
            <w:pStyle w:val="TOC1"/>
            <w:numPr>
              <w:ilvl w:val="0"/>
              <w:numId w:val="1"/>
            </w:numPr>
            <w:tabs>
              <w:tab w:pos="901" w:val="left" w:leader="none"/>
              <w:tab w:pos="902" w:val="left" w:leader="none"/>
              <w:tab w:pos="9584" w:val="left" w:leader="dot"/>
            </w:tabs>
            <w:spacing w:line="240" w:lineRule="auto" w:before="285" w:after="0"/>
            <w:ind w:left="901" w:right="0" w:hanging="439"/>
            <w:jc w:val="left"/>
            <w:rPr>
              <w:rFonts w:ascii="Arial" w:hAnsi="Arial"/>
            </w:rPr>
          </w:pPr>
          <w:hyperlink w:history="true" w:anchor="_bookmark7">
            <w:r>
              <w:rPr/>
              <w:t>ESTRATÉGIAS DE PREVENÇÃO DA PROGRESSÃO</w:t>
            </w:r>
            <w:r>
              <w:rPr>
                <w:spacing w:val="-14"/>
              </w:rPr>
              <w:t> </w:t>
            </w:r>
            <w:r>
              <w:rPr/>
              <w:t>DA</w:t>
            </w:r>
            <w:r>
              <w:rPr>
                <w:spacing w:val="-3"/>
              </w:rPr>
              <w:t> </w:t>
            </w:r>
            <w:r>
              <w:rPr/>
              <w:t>DRC</w:t>
              <w:tab/>
            </w:r>
            <w:r>
              <w:rPr>
                <w:rFonts w:ascii="Arial" w:hAnsi="Arial"/>
              </w:rPr>
              <w:t>11</w:t>
            </w:r>
          </w:hyperlink>
        </w:p>
        <w:p>
          <w:pPr>
            <w:pStyle w:val="TOC1"/>
            <w:numPr>
              <w:ilvl w:val="0"/>
              <w:numId w:val="1"/>
            </w:numPr>
            <w:tabs>
              <w:tab w:pos="901" w:val="left" w:leader="none"/>
              <w:tab w:pos="902" w:val="left" w:leader="none"/>
              <w:tab w:pos="9584" w:val="left" w:leader="dot"/>
            </w:tabs>
            <w:spacing w:line="240" w:lineRule="auto" w:before="296" w:after="0"/>
            <w:ind w:left="901" w:right="0" w:hanging="439"/>
            <w:jc w:val="left"/>
            <w:rPr>
              <w:rFonts w:ascii="Arial" w:hAnsi="Arial"/>
            </w:rPr>
          </w:pPr>
          <w:hyperlink w:history="true" w:anchor="_bookmark8">
            <w:r>
              <w:rPr/>
              <w:t>DIAGNÓSTICO</w:t>
            </w:r>
            <w:r>
              <w:rPr>
                <w:spacing w:val="-2"/>
              </w:rPr>
              <w:t> </w:t>
            </w:r>
            <w:r>
              <w:rPr/>
              <w:t>DA</w:t>
            </w:r>
            <w:r>
              <w:rPr>
                <w:spacing w:val="-3"/>
              </w:rPr>
              <w:t> </w:t>
            </w:r>
            <w:r>
              <w:rPr/>
              <w:t>DRC</w:t>
              <w:tab/>
            </w:r>
            <w:r>
              <w:rPr>
                <w:rFonts w:ascii="Arial" w:hAnsi="Arial"/>
              </w:rPr>
              <w:t>12</w:t>
            </w:r>
          </w:hyperlink>
        </w:p>
        <w:p>
          <w:pPr>
            <w:pStyle w:val="TOC1"/>
            <w:numPr>
              <w:ilvl w:val="0"/>
              <w:numId w:val="1"/>
            </w:numPr>
            <w:tabs>
              <w:tab w:pos="901" w:val="left" w:leader="none"/>
              <w:tab w:pos="902" w:val="left" w:leader="none"/>
              <w:tab w:pos="9584" w:val="left" w:leader="dot"/>
            </w:tabs>
            <w:spacing w:line="240" w:lineRule="auto" w:before="293" w:after="0"/>
            <w:ind w:left="901" w:right="0" w:hanging="439"/>
            <w:jc w:val="left"/>
            <w:rPr>
              <w:rFonts w:ascii="Arial" w:hAnsi="Arial"/>
            </w:rPr>
          </w:pPr>
          <w:hyperlink w:history="true" w:anchor="_bookmark9">
            <w:r>
              <w:rPr/>
              <w:t>CLASSIFICAÇÃO – ESTÁGIOS</w:t>
            </w:r>
            <w:r>
              <w:rPr>
                <w:spacing w:val="-9"/>
              </w:rPr>
              <w:t> </w:t>
            </w:r>
            <w:r>
              <w:rPr/>
              <w:t>DA</w:t>
            </w:r>
            <w:r>
              <w:rPr>
                <w:spacing w:val="-1"/>
              </w:rPr>
              <w:t> </w:t>
            </w:r>
            <w:r>
              <w:rPr/>
              <w:t>DRC</w:t>
              <w:tab/>
            </w:r>
            <w:r>
              <w:rPr>
                <w:rFonts w:ascii="Arial" w:hAnsi="Arial"/>
              </w:rPr>
              <w:t>14</w:t>
            </w:r>
          </w:hyperlink>
        </w:p>
        <w:p>
          <w:pPr>
            <w:pStyle w:val="TOC1"/>
            <w:numPr>
              <w:ilvl w:val="0"/>
              <w:numId w:val="1"/>
            </w:numPr>
            <w:tabs>
              <w:tab w:pos="902" w:val="left" w:leader="none"/>
              <w:tab w:pos="9584" w:val="left" w:leader="dot"/>
            </w:tabs>
            <w:spacing w:line="240" w:lineRule="auto" w:before="296" w:after="0"/>
            <w:ind w:left="901" w:right="0" w:hanging="439"/>
            <w:jc w:val="left"/>
            <w:rPr>
              <w:rFonts w:ascii="Arial" w:hAnsi="Arial"/>
            </w:rPr>
          </w:pPr>
          <w:hyperlink w:history="true" w:anchor="_bookmark10">
            <w:r>
              <w:rPr/>
              <w:t>MANEJO</w:t>
            </w:r>
            <w:r>
              <w:rPr>
                <w:spacing w:val="-4"/>
              </w:rPr>
              <w:t> </w:t>
            </w:r>
            <w:r>
              <w:rPr/>
              <w:t>CLÍNICO</w:t>
              <w:tab/>
            </w:r>
            <w:r>
              <w:rPr>
                <w:rFonts w:ascii="Arial" w:hAnsi="Arial"/>
              </w:rPr>
              <w:t>15</w:t>
            </w:r>
          </w:hyperlink>
        </w:p>
        <w:p>
          <w:pPr>
            <w:pStyle w:val="TOC2"/>
            <w:numPr>
              <w:ilvl w:val="1"/>
              <w:numId w:val="1"/>
            </w:numPr>
            <w:tabs>
              <w:tab w:pos="952" w:val="left" w:leader="none"/>
              <w:tab w:pos="9582" w:val="left" w:leader="dot"/>
            </w:tabs>
            <w:spacing w:line="240" w:lineRule="auto" w:before="298" w:after="0"/>
            <w:ind w:left="951" w:right="0" w:hanging="268"/>
            <w:jc w:val="left"/>
            <w:rPr>
              <w:rFonts w:ascii="Arial" w:hAnsi="Arial"/>
            </w:rPr>
          </w:pPr>
          <w:hyperlink w:history="true" w:anchor="_bookmark11">
            <w:r>
              <w:rPr/>
              <w:t>Estágio 1</w:t>
              <w:tab/>
            </w:r>
            <w:r>
              <w:rPr>
                <w:rFonts w:ascii="Arial" w:hAnsi="Arial"/>
              </w:rPr>
              <w:t>15</w:t>
            </w:r>
          </w:hyperlink>
        </w:p>
        <w:p>
          <w:pPr>
            <w:pStyle w:val="TOC2"/>
            <w:numPr>
              <w:ilvl w:val="1"/>
              <w:numId w:val="1"/>
            </w:numPr>
            <w:tabs>
              <w:tab w:pos="941" w:val="left" w:leader="none"/>
              <w:tab w:pos="9582" w:val="left" w:leader="dot"/>
            </w:tabs>
            <w:spacing w:line="240" w:lineRule="auto" w:before="255" w:after="0"/>
            <w:ind w:left="940" w:right="0" w:hanging="257"/>
            <w:jc w:val="left"/>
            <w:rPr>
              <w:rFonts w:ascii="Arial" w:hAnsi="Arial"/>
            </w:rPr>
          </w:pPr>
          <w:hyperlink w:history="true" w:anchor="_bookmark12">
            <w:r>
              <w:rPr/>
              <w:t>Estágio 2</w:t>
              <w:tab/>
            </w:r>
            <w:r>
              <w:rPr>
                <w:rFonts w:ascii="Arial" w:hAnsi="Arial"/>
              </w:rPr>
              <w:t>15</w:t>
            </w:r>
          </w:hyperlink>
        </w:p>
        <w:p>
          <w:pPr>
            <w:pStyle w:val="TOC2"/>
            <w:numPr>
              <w:ilvl w:val="1"/>
              <w:numId w:val="1"/>
            </w:numPr>
            <w:tabs>
              <w:tab w:pos="941" w:val="left" w:leader="none"/>
              <w:tab w:pos="9582" w:val="left" w:leader="dot"/>
            </w:tabs>
            <w:spacing w:line="240" w:lineRule="auto" w:before="254" w:after="0"/>
            <w:ind w:left="940" w:right="0" w:hanging="257"/>
            <w:jc w:val="left"/>
            <w:rPr>
              <w:rFonts w:ascii="Arial" w:hAnsi="Arial"/>
            </w:rPr>
          </w:pPr>
          <w:hyperlink w:history="true" w:anchor="_bookmark13">
            <w:r>
              <w:rPr/>
              <w:t>Estágio 3A</w:t>
              <w:tab/>
            </w:r>
            <w:r>
              <w:rPr>
                <w:rFonts w:ascii="Arial" w:hAnsi="Arial"/>
              </w:rPr>
              <w:t>16</w:t>
            </w:r>
          </w:hyperlink>
        </w:p>
        <w:p>
          <w:pPr>
            <w:pStyle w:val="TOC2"/>
            <w:numPr>
              <w:ilvl w:val="1"/>
              <w:numId w:val="1"/>
            </w:numPr>
            <w:tabs>
              <w:tab w:pos="953" w:val="left" w:leader="none"/>
              <w:tab w:pos="9582" w:val="left" w:leader="dot"/>
            </w:tabs>
            <w:spacing w:line="240" w:lineRule="auto" w:before="255" w:after="0"/>
            <w:ind w:left="952" w:right="0" w:hanging="269"/>
            <w:jc w:val="left"/>
            <w:rPr>
              <w:rFonts w:ascii="Arial" w:hAnsi="Arial"/>
            </w:rPr>
          </w:pPr>
          <w:hyperlink w:history="true" w:anchor="_bookmark14">
            <w:r>
              <w:rPr/>
              <w:t>Estágio 3 B</w:t>
              <w:tab/>
            </w:r>
            <w:r>
              <w:rPr>
                <w:rFonts w:ascii="Arial" w:hAnsi="Arial"/>
              </w:rPr>
              <w:t>17</w:t>
            </w:r>
          </w:hyperlink>
        </w:p>
        <w:p>
          <w:pPr>
            <w:pStyle w:val="TOC2"/>
            <w:numPr>
              <w:ilvl w:val="1"/>
              <w:numId w:val="1"/>
            </w:numPr>
            <w:tabs>
              <w:tab w:pos="929" w:val="left" w:leader="none"/>
              <w:tab w:pos="9583" w:val="left" w:leader="dot"/>
            </w:tabs>
            <w:spacing w:line="240" w:lineRule="auto" w:before="255" w:after="0"/>
            <w:ind w:left="928" w:right="0" w:hanging="245"/>
            <w:jc w:val="left"/>
            <w:rPr>
              <w:rFonts w:ascii="Arial" w:hAnsi="Arial"/>
            </w:rPr>
          </w:pPr>
          <w:hyperlink w:history="true" w:anchor="_bookmark15">
            <w:r>
              <w:rPr/>
              <w:t>Estágio 4</w:t>
              <w:tab/>
            </w:r>
            <w:r>
              <w:rPr>
                <w:rFonts w:ascii="Arial" w:hAnsi="Arial"/>
              </w:rPr>
              <w:t>18</w:t>
            </w:r>
          </w:hyperlink>
        </w:p>
        <w:p>
          <w:pPr>
            <w:pStyle w:val="TOC2"/>
            <w:numPr>
              <w:ilvl w:val="1"/>
              <w:numId w:val="1"/>
            </w:numPr>
            <w:tabs>
              <w:tab w:pos="917" w:val="left" w:leader="none"/>
              <w:tab w:pos="9583" w:val="left" w:leader="dot"/>
            </w:tabs>
            <w:spacing w:line="240" w:lineRule="auto" w:before="255" w:after="0"/>
            <w:ind w:left="916" w:right="0" w:hanging="232"/>
            <w:jc w:val="left"/>
            <w:rPr>
              <w:rFonts w:ascii="Arial" w:hAnsi="Arial"/>
            </w:rPr>
          </w:pPr>
          <w:hyperlink w:history="true" w:anchor="_bookmark16">
            <w:r>
              <w:rPr/>
              <w:t>Estágio 5-ND</w:t>
            </w:r>
            <w:r>
              <w:rPr>
                <w:spacing w:val="-3"/>
              </w:rPr>
              <w:t> </w:t>
            </w:r>
            <w:r>
              <w:rPr/>
              <w:t>(não</w:t>
            </w:r>
            <w:r>
              <w:rPr>
                <w:spacing w:val="-1"/>
              </w:rPr>
              <w:t> </w:t>
            </w:r>
            <w:r>
              <w:rPr/>
              <w:t>dialítico)</w:t>
              <w:tab/>
            </w:r>
            <w:r>
              <w:rPr>
                <w:rFonts w:ascii="Arial" w:hAnsi="Arial"/>
              </w:rPr>
              <w:t>19</w:t>
            </w:r>
          </w:hyperlink>
        </w:p>
        <w:p>
          <w:pPr>
            <w:pStyle w:val="TOC2"/>
            <w:numPr>
              <w:ilvl w:val="1"/>
              <w:numId w:val="1"/>
            </w:numPr>
            <w:tabs>
              <w:tab w:pos="953" w:val="left" w:leader="none"/>
              <w:tab w:pos="9583" w:val="left" w:leader="dot"/>
            </w:tabs>
            <w:spacing w:line="240" w:lineRule="auto" w:before="255" w:after="0"/>
            <w:ind w:left="952" w:right="0" w:hanging="268"/>
            <w:jc w:val="left"/>
            <w:rPr>
              <w:rFonts w:ascii="Arial" w:hAnsi="Arial"/>
            </w:rPr>
          </w:pPr>
          <w:hyperlink w:history="true" w:anchor="_bookmark17">
            <w:r>
              <w:rPr/>
              <w:t>Estágio 5-D</w:t>
            </w:r>
            <w:r>
              <w:rPr>
                <w:spacing w:val="-1"/>
              </w:rPr>
              <w:t> </w:t>
            </w:r>
            <w:r>
              <w:rPr/>
              <w:t>(em</w:t>
            </w:r>
            <w:r>
              <w:rPr>
                <w:spacing w:val="-4"/>
              </w:rPr>
              <w:t> </w:t>
            </w:r>
            <w:r>
              <w:rPr/>
              <w:t>diálise)</w:t>
              <w:tab/>
            </w:r>
            <w:r>
              <w:rPr>
                <w:rFonts w:ascii="Arial" w:hAnsi="Arial"/>
              </w:rPr>
              <w:t>21</w:t>
            </w:r>
          </w:hyperlink>
        </w:p>
        <w:p>
          <w:pPr>
            <w:pStyle w:val="TOC2"/>
            <w:numPr>
              <w:ilvl w:val="1"/>
              <w:numId w:val="1"/>
            </w:numPr>
            <w:tabs>
              <w:tab w:pos="954" w:val="left" w:leader="none"/>
              <w:tab w:pos="9583" w:val="left" w:leader="dot"/>
            </w:tabs>
            <w:spacing w:line="240" w:lineRule="auto" w:before="254" w:after="0"/>
            <w:ind w:left="953" w:right="0" w:hanging="269"/>
            <w:jc w:val="left"/>
            <w:rPr>
              <w:rFonts w:ascii="Arial" w:hAnsi="Arial"/>
            </w:rPr>
          </w:pPr>
          <w:hyperlink w:history="true" w:anchor="_bookmark18">
            <w:r>
              <w:rPr/>
              <w:t>Estágio 5-D</w:t>
            </w:r>
            <w:r>
              <w:rPr>
                <w:spacing w:val="-2"/>
              </w:rPr>
              <w:t> </w:t>
            </w:r>
            <w:r>
              <w:rPr/>
              <w:t>em</w:t>
            </w:r>
            <w:r>
              <w:rPr>
                <w:spacing w:val="-2"/>
              </w:rPr>
              <w:t> </w:t>
            </w:r>
            <w:r>
              <w:rPr/>
              <w:t>Hemodiálise</w:t>
              <w:tab/>
            </w:r>
            <w:r>
              <w:rPr>
                <w:rFonts w:ascii="Arial" w:hAnsi="Arial"/>
              </w:rPr>
              <w:t>21</w:t>
            </w:r>
          </w:hyperlink>
        </w:p>
        <w:p>
          <w:pPr>
            <w:pStyle w:val="TOC2"/>
            <w:numPr>
              <w:ilvl w:val="1"/>
              <w:numId w:val="1"/>
            </w:numPr>
            <w:tabs>
              <w:tab w:pos="865" w:val="left" w:leader="none"/>
              <w:tab w:pos="9583" w:val="left" w:leader="dot"/>
            </w:tabs>
            <w:spacing w:line="240" w:lineRule="auto" w:before="255" w:after="0"/>
            <w:ind w:left="864" w:right="0" w:hanging="180"/>
            <w:jc w:val="left"/>
            <w:rPr>
              <w:rFonts w:ascii="Arial" w:hAnsi="Arial"/>
            </w:rPr>
          </w:pPr>
          <w:hyperlink w:history="true" w:anchor="_bookmark19">
            <w:r>
              <w:rPr/>
              <w:t>Estágio 5-D em</w:t>
            </w:r>
            <w:r>
              <w:rPr>
                <w:spacing w:val="-5"/>
              </w:rPr>
              <w:t> </w:t>
            </w:r>
            <w:r>
              <w:rPr/>
              <w:t>Diálise Peritoneal</w:t>
              <w:tab/>
            </w:r>
            <w:r>
              <w:rPr>
                <w:rFonts w:ascii="Arial" w:hAnsi="Arial"/>
              </w:rPr>
              <w:t>22</w:t>
            </w:r>
          </w:hyperlink>
        </w:p>
        <w:p>
          <w:pPr>
            <w:pStyle w:val="TOC1"/>
            <w:numPr>
              <w:ilvl w:val="0"/>
              <w:numId w:val="1"/>
            </w:numPr>
            <w:tabs>
              <w:tab w:pos="903" w:val="left" w:leader="none"/>
              <w:tab w:pos="9586" w:val="left" w:leader="dot"/>
            </w:tabs>
            <w:spacing w:line="240" w:lineRule="auto" w:before="332" w:after="0"/>
            <w:ind w:left="902" w:right="0" w:hanging="439"/>
            <w:jc w:val="left"/>
            <w:rPr>
              <w:rFonts w:ascii="Arial"/>
            </w:rPr>
          </w:pPr>
          <w:hyperlink w:history="true" w:anchor="_bookmark20">
            <w:r>
              <w:rPr/>
              <w:t>TRANSPLANTE</w:t>
              <w:tab/>
            </w:r>
            <w:r>
              <w:rPr>
                <w:rFonts w:ascii="Arial"/>
              </w:rPr>
              <w:t>24</w:t>
            </w:r>
          </w:hyperlink>
        </w:p>
        <w:p>
          <w:pPr>
            <w:pStyle w:val="TOC1"/>
            <w:numPr>
              <w:ilvl w:val="0"/>
              <w:numId w:val="1"/>
            </w:numPr>
            <w:tabs>
              <w:tab w:pos="903" w:val="left" w:leader="none"/>
              <w:tab w:pos="9586" w:val="left" w:leader="dot"/>
            </w:tabs>
            <w:spacing w:line="240" w:lineRule="auto" w:before="295" w:after="0"/>
            <w:ind w:left="902" w:right="0" w:hanging="439"/>
            <w:jc w:val="left"/>
            <w:rPr>
              <w:rFonts w:ascii="Arial"/>
            </w:rPr>
          </w:pPr>
          <w:hyperlink w:history="true" w:anchor="_bookmark21">
            <w:r>
              <w:rPr/>
              <w:t>CUIDADOS ADICIONAIS COM O PACIENTE</w:t>
            </w:r>
            <w:r>
              <w:rPr>
                <w:spacing w:val="-14"/>
              </w:rPr>
              <w:t> </w:t>
            </w:r>
            <w:r>
              <w:rPr/>
              <w:t>COM</w:t>
            </w:r>
            <w:r>
              <w:rPr>
                <w:spacing w:val="-2"/>
              </w:rPr>
              <w:t> </w:t>
            </w:r>
            <w:r>
              <w:rPr/>
              <w:t>DRC</w:t>
              <w:tab/>
            </w:r>
            <w:r>
              <w:rPr>
                <w:rFonts w:ascii="Arial"/>
              </w:rPr>
              <w:t>24</w:t>
            </w:r>
          </w:hyperlink>
        </w:p>
        <w:p>
          <w:pPr>
            <w:pStyle w:val="TOC1"/>
            <w:numPr>
              <w:ilvl w:val="0"/>
              <w:numId w:val="1"/>
            </w:numPr>
            <w:tabs>
              <w:tab w:pos="903" w:val="left" w:leader="none"/>
              <w:tab w:pos="9586" w:val="left" w:leader="dot"/>
            </w:tabs>
            <w:spacing w:line="240" w:lineRule="auto" w:before="294" w:after="20"/>
            <w:ind w:left="902" w:right="0" w:hanging="439"/>
            <w:jc w:val="left"/>
            <w:rPr>
              <w:rFonts w:ascii="Arial" w:hAnsi="Arial"/>
            </w:rPr>
          </w:pPr>
          <w:hyperlink w:history="true" w:anchor="_bookmark22">
            <w:r>
              <w:rPr/>
              <w:t>MANUTENÇÃO EM</w:t>
            </w:r>
            <w:r>
              <w:rPr>
                <w:spacing w:val="-10"/>
              </w:rPr>
              <w:t> </w:t>
            </w:r>
            <w:r>
              <w:rPr/>
              <w:t>TRATAMENTO</w:t>
            </w:r>
            <w:r>
              <w:rPr>
                <w:spacing w:val="-5"/>
              </w:rPr>
              <w:t> </w:t>
            </w:r>
            <w:r>
              <w:rPr/>
              <w:t>CONSERVADOR</w:t>
              <w:tab/>
            </w:r>
            <w:r>
              <w:rPr>
                <w:rFonts w:ascii="Arial" w:hAnsi="Arial"/>
              </w:rPr>
              <w:t>25</w:t>
            </w:r>
          </w:hyperlink>
        </w:p>
        <w:p>
          <w:pPr>
            <w:pStyle w:val="TOC1"/>
            <w:numPr>
              <w:ilvl w:val="0"/>
              <w:numId w:val="1"/>
            </w:numPr>
            <w:tabs>
              <w:tab w:pos="901" w:val="left" w:leader="none"/>
              <w:tab w:pos="9809" w:val="right" w:leader="dot"/>
            </w:tabs>
            <w:spacing w:line="240" w:lineRule="auto" w:before="80" w:after="0"/>
            <w:ind w:left="462" w:right="0" w:hanging="1"/>
            <w:jc w:val="left"/>
            <w:rPr>
              <w:rFonts w:ascii="Arial"/>
            </w:rPr>
          </w:pPr>
          <w:hyperlink w:history="true" w:anchor="_bookmark23">
            <w:r>
              <w:rPr/>
              <w:t>TRATAMENTO</w:t>
            </w:r>
            <w:r>
              <w:rPr>
                <w:spacing w:val="-2"/>
              </w:rPr>
              <w:t> </w:t>
            </w:r>
            <w:r>
              <w:rPr/>
              <w:t>MULTIDISCIPLINAR</w:t>
              <w:tab/>
            </w:r>
            <w:r>
              <w:rPr>
                <w:rFonts w:ascii="Arial"/>
              </w:rPr>
              <w:t>26</w:t>
            </w:r>
          </w:hyperlink>
        </w:p>
        <w:p>
          <w:pPr>
            <w:pStyle w:val="TOC1"/>
            <w:numPr>
              <w:ilvl w:val="0"/>
              <w:numId w:val="2"/>
            </w:numPr>
            <w:tabs>
              <w:tab w:pos="901" w:val="left" w:leader="none"/>
              <w:tab w:pos="9809" w:val="right" w:leader="dot"/>
            </w:tabs>
            <w:spacing w:line="240" w:lineRule="auto" w:before="293" w:after="0"/>
            <w:ind w:left="900" w:right="0" w:hanging="439"/>
            <w:jc w:val="left"/>
            <w:rPr>
              <w:rFonts w:ascii="Arial" w:hAnsi="Arial"/>
            </w:rPr>
          </w:pPr>
          <w:hyperlink w:history="true" w:anchor="_bookmark24">
            <w:r>
              <w:rPr/>
              <w:t>FLUXOGRAMA PARA AVALIAÇÃO</w:t>
            </w:r>
            <w:r>
              <w:rPr>
                <w:spacing w:val="-5"/>
              </w:rPr>
              <w:t> </w:t>
            </w:r>
            <w:r>
              <w:rPr/>
              <w:t>DA</w:t>
            </w:r>
            <w:r>
              <w:rPr>
                <w:spacing w:val="-1"/>
              </w:rPr>
              <w:t> </w:t>
            </w:r>
            <w:r>
              <w:rPr/>
              <w:t>DRC</w:t>
              <w:tab/>
            </w:r>
            <w:r>
              <w:rPr>
                <w:rFonts w:ascii="Arial" w:hAnsi="Arial"/>
              </w:rPr>
              <w:t>27</w:t>
            </w:r>
          </w:hyperlink>
        </w:p>
        <w:p>
          <w:pPr>
            <w:pStyle w:val="TOC1"/>
            <w:numPr>
              <w:ilvl w:val="0"/>
              <w:numId w:val="2"/>
            </w:numPr>
            <w:tabs>
              <w:tab w:pos="901" w:val="left" w:leader="none"/>
              <w:tab w:pos="9809" w:val="right" w:leader="dot"/>
            </w:tabs>
            <w:spacing w:line="240" w:lineRule="auto" w:before="295" w:after="0"/>
            <w:ind w:left="900" w:right="0" w:hanging="439"/>
            <w:jc w:val="left"/>
            <w:rPr>
              <w:rFonts w:ascii="Arial" w:hAnsi="Arial"/>
            </w:rPr>
          </w:pPr>
          <w:hyperlink w:history="true" w:anchor="_bookmark25">
            <w:r>
              <w:rPr/>
              <w:t>REFERÊNCIAS</w:t>
              <w:tab/>
            </w:r>
            <w:r>
              <w:rPr>
                <w:rFonts w:ascii="Arial" w:hAnsi="Arial"/>
              </w:rPr>
              <w:t>28</w:t>
            </w:r>
          </w:hyperlink>
        </w:p>
      </w:sdtContent>
    </w:sdt>
    <w:p>
      <w:pPr>
        <w:spacing w:after="0" w:line="240" w:lineRule="auto"/>
        <w:jc w:val="left"/>
        <w:rPr>
          <w:rFonts w:ascii="Arial" w:hAnsi="Arial"/>
        </w:rPr>
        <w:sectPr>
          <w:type w:val="continuous"/>
          <w:pgSz w:w="11910" w:h="16840"/>
          <w:pgMar w:top="1339" w:bottom="1762" w:left="1240" w:right="620"/>
        </w:sectPr>
      </w:pPr>
    </w:p>
    <w:p>
      <w:pPr>
        <w:pStyle w:val="Heading1"/>
        <w:spacing w:before="606"/>
        <w:ind w:left="461"/>
      </w:pPr>
      <w:bookmarkStart w:name="APRESENTAÇÃO" w:id="1"/>
      <w:bookmarkEnd w:id="1"/>
      <w:r>
        <w:rPr>
          <w:b w:val="0"/>
        </w:rPr>
      </w:r>
      <w:bookmarkStart w:name="_bookmark0" w:id="2"/>
      <w:bookmarkEnd w:id="2"/>
      <w:r>
        <w:rPr>
          <w:b w:val="0"/>
        </w:rPr>
      </w:r>
      <w:r>
        <w:rPr/>
        <w:t>APRESENTAÇÃO</w:t>
      </w:r>
    </w:p>
    <w:p>
      <w:pPr>
        <w:pStyle w:val="BodyText"/>
        <w:spacing w:line="276" w:lineRule="auto" w:before="547"/>
        <w:ind w:left="461" w:right="227"/>
        <w:jc w:val="both"/>
      </w:pPr>
      <w:r>
        <w:rPr/>
        <w:t>Este documento visa estabelecer as diretrizes para o cuidado às pessoas com doença renal crônica na Rede de Atenção às pessoas com Doenças Crônicas. É um documento de caráter nacional e deve ser utilizado pelas Secretarias de Saúde dos Estados, do Distrito Federal e dos Municípios na regulação do acesso assistencial, autorização, registro e ressarcimento dos procedimentos correspondentes, podendo ser alterado, desde que de forma suplementar, considerando as especificidades</w:t>
      </w:r>
      <w:r>
        <w:rPr>
          <w:spacing w:val="1"/>
        </w:rPr>
        <w:t> </w:t>
      </w:r>
      <w:r>
        <w:rPr/>
        <w:t>locais.</w:t>
      </w:r>
    </w:p>
    <w:p>
      <w:pPr>
        <w:spacing w:after="0" w:line="276" w:lineRule="auto"/>
        <w:jc w:val="both"/>
        <w:sectPr>
          <w:pgSz w:w="11910" w:h="16840"/>
          <w:pgMar w:header="0" w:footer="925" w:top="1580" w:bottom="1200" w:left="1240" w:right="620"/>
        </w:sectPr>
      </w:pPr>
    </w:p>
    <w:p>
      <w:pPr>
        <w:pStyle w:val="BodyText"/>
        <w:rPr>
          <w:sz w:val="36"/>
        </w:rPr>
      </w:pPr>
    </w:p>
    <w:p>
      <w:pPr>
        <w:pStyle w:val="Heading1"/>
        <w:numPr>
          <w:ilvl w:val="1"/>
          <w:numId w:val="2"/>
        </w:numPr>
        <w:tabs>
          <w:tab w:pos="1170" w:val="left" w:leader="none"/>
        </w:tabs>
        <w:spacing w:line="240" w:lineRule="auto" w:before="0" w:after="0"/>
        <w:ind w:left="1244" w:right="0" w:hanging="356"/>
        <w:jc w:val="left"/>
      </w:pPr>
      <w:bookmarkStart w:name="1. INTRODUÇÃO" w:id="3"/>
      <w:bookmarkEnd w:id="3"/>
      <w:r>
        <w:rPr>
          <w:b w:val="0"/>
        </w:rPr>
      </w:r>
      <w:bookmarkStart w:name="_bookmark1" w:id="4"/>
      <w:bookmarkEnd w:id="4"/>
      <w:r>
        <w:rPr>
          <w:b w:val="0"/>
        </w:rPr>
      </w:r>
      <w:bookmarkStart w:name="_bookmark1" w:id="5"/>
      <w:bookmarkEnd w:id="5"/>
      <w:r>
        <w:rPr/>
        <w:t>I</w:t>
      </w:r>
      <w:r>
        <w:rPr/>
        <w:t>NTRODUÇÃO</w:t>
      </w:r>
    </w:p>
    <w:p>
      <w:pPr>
        <w:pStyle w:val="BodyText"/>
        <w:spacing w:before="9"/>
        <w:rPr>
          <w:b/>
          <w:sz w:val="27"/>
        </w:rPr>
      </w:pPr>
    </w:p>
    <w:p>
      <w:pPr>
        <w:pStyle w:val="BodyText"/>
        <w:spacing w:line="360" w:lineRule="auto"/>
        <w:ind w:left="461" w:right="226" w:firstLine="705"/>
        <w:jc w:val="both"/>
      </w:pPr>
      <w:r>
        <w:rPr/>
        <w:t>As doenças crônicas não transmissíveis (DCNT) são responsáveis por cerca de 60% das causas de mortes em todo mundo, afetando cerca de 35 milhões de pessoas por ano e, para a próxima década, espera-se que haja um aumento de 17% na mortalidade causada pelas DCNT. Dentre os principais tipos de DCNT, a doença cardiovascular (DCV) é a que tem o maior impacto epidemiológico, sendo responsável por cerca de 30% de todas as mortes no mundo (1). A DCV tem aumentado progressivamente, por conta do acúmulo de fatores de risco tradicionais como hipertensão e diabetes (2), bem como pelo envelhecimento e aumento da expectativa de vida, decorrentes da transição demográfica observada nas últimas décadas (3). Além desses fatores de riscos tradicionais, a doença renal crônica (DRC), caracterizada pela alteração da função renal, tem sido descrita como um dos principais determinantes de risco de eventos cardiovasculares</w:t>
      </w:r>
      <w:r>
        <w:rPr>
          <w:spacing w:val="1"/>
        </w:rPr>
        <w:t> </w:t>
      </w:r>
      <w:r>
        <w:rPr/>
        <w:t>(4).</w:t>
      </w:r>
    </w:p>
    <w:p>
      <w:pPr>
        <w:pStyle w:val="BodyText"/>
        <w:spacing w:line="360" w:lineRule="auto" w:before="198"/>
        <w:ind w:left="461" w:right="226" w:firstLine="705"/>
        <w:jc w:val="both"/>
      </w:pPr>
      <w:r>
        <w:rPr/>
        <w:t>Grandes estudos epidemiológicos realizados com milhares de pacientes demonstraram uma relação inversa entre a filtração glomerular, marcador de função renal, e o risco de morrer por todas as causas, de morrer por DCV, de morbidade cardiovascular e de hospitalização nessa população (4-6). Se por um lado a DRC está associada à DCV, e pode ser um importante fator de prognóstico, a morbidade e a mortalidade cardiovascular entre os pacientes com DRC é bastante elevada (7). Diante do exposto, justifica-se considerar a DRC como parte do grupo de DCV, dentro do contexto das DCNT, como doenças renocardiovasculares (DRCV).</w:t>
      </w:r>
    </w:p>
    <w:p>
      <w:pPr>
        <w:pStyle w:val="BodyText"/>
        <w:spacing w:line="360" w:lineRule="auto" w:before="201"/>
        <w:ind w:left="461" w:right="226" w:firstLine="705"/>
        <w:jc w:val="both"/>
      </w:pPr>
      <w:r>
        <w:rPr/>
        <w:t>Atualmente, a DRC tem sido considerada um problema de saúde pública. Análise do </w:t>
      </w:r>
      <w:r>
        <w:rPr>
          <w:i/>
        </w:rPr>
        <w:t>National Health and Nutrition Examination Survey </w:t>
      </w:r>
      <w:r>
        <w:rPr/>
        <w:t>(NHANES) demonstrou que cerca de 13% da população adulta nos EUA apresenta algum grau de perda de função renal (8). Um importante estudo realizado na cidade de Bambuí, no estado de Minas Gerais, onde mais de 2 mil indivíduos foram avaliados, detectou-se alteração na creatinina sérica, um marcador de DRC, variando de 0,48% a 8,19%, sendo mais frequente em indivíduos idosos (9). Além da DCV, outro desfecho temido da DRC é a perda continuada da função renal, processo patológico conhecido como progressão, que pode levar muitos desses pacientes para a DRC terminal (DRCT) (10). Pacientes que evoluem para DRCT necessitam de algum tipo de terapia renal substitutiva (TRS), sendo as modalidades disponíveis: a hemodiálise, a diálise peritoneal e o transplante renal. No início da década passada, estimava-se que haveria cerca de 2 milhões de pessoas em TRS em todo o mundo em 2010 (11), sendo que esse número tem aumentado de forma expressiva nos países</w:t>
      </w:r>
      <w:r>
        <w:rPr>
          <w:spacing w:val="55"/>
        </w:rPr>
        <w:t> </w:t>
      </w:r>
      <w:r>
        <w:rPr/>
        <w:t>em</w:t>
      </w:r>
    </w:p>
    <w:p>
      <w:pPr>
        <w:spacing w:after="0" w:line="360" w:lineRule="auto"/>
        <w:jc w:val="both"/>
        <w:sectPr>
          <w:pgSz w:w="11910" w:h="16840"/>
          <w:pgMar w:header="0" w:footer="925" w:top="1580" w:bottom="1200" w:left="1240" w:right="620"/>
        </w:sectPr>
      </w:pPr>
    </w:p>
    <w:p>
      <w:pPr>
        <w:pStyle w:val="BodyText"/>
        <w:spacing w:line="360" w:lineRule="auto" w:before="74"/>
        <w:ind w:left="461" w:right="227"/>
        <w:jc w:val="both"/>
      </w:pPr>
      <w:r>
        <w:rPr/>
        <w:t>desenvolvimento (12). Aproximadamente 90% dos casos diagnosticados de DRCT ao redor do mundo são provenientes dos países em desenvolvimento (13). A taxa de prevalência de pacientes em TRS é de 1.000 pacientes por milhão de pessoa (pmp) em países da Europa, no Chile e Uruguai, e de 1.750 pacientes pmp nos EUA (14). De acordo com o Censo Brasileiro de Diálise publicado em 2012, o número de pacientes com DRCT no Brasil praticamente duplicou na última década, passando de 42.695 em 2000 para 91.314 em 2011 (15-16), com uma taxa de 475 pmp, com mais de 28.000 novos pacientes ao ano iniciando TRS. A despeito desse aumento considerável, a prevalência de pacientes em TRS no Brasil está abaixo de nações com perfil semelhante, apontando para a necessidade de identificação e tratamento adequado dos pacientes com fatores de risco para a DRC, bem como seu diagnóstico precoce e tratamento, visando o cuidado integral desses pacientes, tendo como principais objetivos a redução de desfechos desfavoráveis, como a mortalidade cardiovascular e a progressão para</w:t>
      </w:r>
      <w:r>
        <w:rPr>
          <w:spacing w:val="-7"/>
        </w:rPr>
        <w:t> </w:t>
      </w:r>
      <w:r>
        <w:rPr/>
        <w:t>DRCT.</w:t>
      </w:r>
    </w:p>
    <w:p>
      <w:pPr>
        <w:pStyle w:val="BodyText"/>
        <w:spacing w:before="7"/>
      </w:pPr>
    </w:p>
    <w:p>
      <w:pPr>
        <w:pStyle w:val="Heading1"/>
        <w:numPr>
          <w:ilvl w:val="1"/>
          <w:numId w:val="2"/>
        </w:numPr>
        <w:tabs>
          <w:tab w:pos="1170" w:val="left" w:leader="none"/>
        </w:tabs>
        <w:spacing w:line="240" w:lineRule="auto" w:before="1" w:after="0"/>
        <w:ind w:left="1244" w:right="0" w:hanging="356"/>
        <w:jc w:val="left"/>
      </w:pPr>
      <w:bookmarkStart w:name="2. METODOLOGIA" w:id="6"/>
      <w:bookmarkEnd w:id="6"/>
      <w:r>
        <w:rPr>
          <w:b w:val="0"/>
        </w:rPr>
      </w:r>
      <w:bookmarkStart w:name="_bookmark2" w:id="7"/>
      <w:bookmarkEnd w:id="7"/>
      <w:r>
        <w:rPr>
          <w:b w:val="0"/>
        </w:rPr>
      </w:r>
      <w:bookmarkStart w:name="_bookmark2" w:id="8"/>
      <w:bookmarkEnd w:id="8"/>
      <w:r>
        <w:rPr/>
        <w:t>M</w:t>
      </w:r>
      <w:r>
        <w:rPr/>
        <w:t>ETODOLOGIA</w:t>
      </w:r>
    </w:p>
    <w:p>
      <w:pPr>
        <w:pStyle w:val="BodyText"/>
        <w:spacing w:before="6"/>
        <w:rPr>
          <w:b/>
          <w:sz w:val="27"/>
        </w:rPr>
      </w:pPr>
    </w:p>
    <w:p>
      <w:pPr>
        <w:pStyle w:val="BodyText"/>
        <w:spacing w:line="360" w:lineRule="auto"/>
        <w:ind w:left="461" w:right="231" w:firstLine="705"/>
        <w:jc w:val="both"/>
      </w:pPr>
      <w:r>
        <w:rPr/>
        <w:t>A elaboração das Diretrizes de DRC foi uma ação da Coordenação Geral da Média e Alta Complexidade/DAET/SAS. Contou com a colaboração da Sociedade Brasileira de Nefrologia (SBN), da Sociedade Brasileira de Enfermagem em Nefrologia (SOBEN) e da Associação Brasileira de Centros de Diálise e Transplante (ABCDT).</w:t>
      </w:r>
    </w:p>
    <w:p>
      <w:pPr>
        <w:pStyle w:val="BodyText"/>
        <w:spacing w:before="7"/>
      </w:pPr>
    </w:p>
    <w:p>
      <w:pPr>
        <w:pStyle w:val="Heading1"/>
        <w:numPr>
          <w:ilvl w:val="1"/>
          <w:numId w:val="2"/>
        </w:numPr>
        <w:tabs>
          <w:tab w:pos="1170" w:val="left" w:leader="none"/>
        </w:tabs>
        <w:spacing w:line="240" w:lineRule="auto" w:before="0" w:after="0"/>
        <w:ind w:left="1244" w:right="0" w:hanging="356"/>
        <w:jc w:val="left"/>
      </w:pPr>
      <w:bookmarkStart w:name="3. OBJETIVO" w:id="9"/>
      <w:bookmarkEnd w:id="9"/>
      <w:r>
        <w:rPr>
          <w:b w:val="0"/>
        </w:rPr>
      </w:r>
      <w:bookmarkStart w:name="_bookmark3" w:id="10"/>
      <w:bookmarkEnd w:id="10"/>
      <w:r>
        <w:rPr>
          <w:b w:val="0"/>
        </w:rPr>
      </w:r>
      <w:bookmarkStart w:name="_bookmark3" w:id="11"/>
      <w:bookmarkEnd w:id="11"/>
      <w:r>
        <w:rPr/>
        <w:t>OBJETI</w:t>
      </w:r>
      <w:r>
        <w:rPr/>
        <w:t>VO</w:t>
      </w:r>
    </w:p>
    <w:p>
      <w:pPr>
        <w:pStyle w:val="BodyText"/>
        <w:spacing w:before="9"/>
        <w:rPr>
          <w:b/>
          <w:sz w:val="27"/>
        </w:rPr>
      </w:pPr>
    </w:p>
    <w:p>
      <w:pPr>
        <w:pStyle w:val="BodyText"/>
        <w:spacing w:line="360" w:lineRule="auto"/>
        <w:ind w:left="461" w:right="230" w:firstLine="705"/>
        <w:jc w:val="both"/>
      </w:pPr>
      <w:r>
        <w:rPr/>
        <w:t>O objetivo destas diretrizes é oferecer orientações às equipes multiprofissionais sobre o cuidado da pessoa sob o risco ou com diagnóstico de DRC, abrangendo a estratificação de risco, estratégias de prevenção, diagnóstico e o seu manejo clínico.</w:t>
      </w:r>
    </w:p>
    <w:p>
      <w:pPr>
        <w:pStyle w:val="BodyText"/>
        <w:spacing w:before="6"/>
      </w:pPr>
    </w:p>
    <w:p>
      <w:pPr>
        <w:pStyle w:val="Heading1"/>
        <w:numPr>
          <w:ilvl w:val="1"/>
          <w:numId w:val="2"/>
        </w:numPr>
        <w:tabs>
          <w:tab w:pos="1170" w:val="left" w:leader="none"/>
        </w:tabs>
        <w:spacing w:line="240" w:lineRule="auto" w:before="0" w:after="0"/>
        <w:ind w:left="1244" w:right="0" w:hanging="356"/>
        <w:jc w:val="left"/>
      </w:pPr>
      <w:bookmarkStart w:name="4. GRUPOS DE RISCO" w:id="12"/>
      <w:bookmarkEnd w:id="12"/>
      <w:r>
        <w:rPr>
          <w:b w:val="0"/>
        </w:rPr>
      </w:r>
      <w:bookmarkStart w:name="_bookmark4" w:id="13"/>
      <w:bookmarkEnd w:id="13"/>
      <w:r>
        <w:rPr>
          <w:b w:val="0"/>
        </w:rPr>
      </w:r>
      <w:bookmarkStart w:name="_bookmark4" w:id="14"/>
      <w:bookmarkEnd w:id="14"/>
      <w:r>
        <w:rPr/>
        <w:t>G</w:t>
      </w:r>
      <w:r>
        <w:rPr/>
        <w:t>RUPOS DE</w:t>
      </w:r>
      <w:r>
        <w:rPr>
          <w:spacing w:val="-1"/>
        </w:rPr>
        <w:t> </w:t>
      </w:r>
      <w:r>
        <w:rPr/>
        <w:t>RISCO</w:t>
      </w:r>
    </w:p>
    <w:p>
      <w:pPr>
        <w:pStyle w:val="BodyText"/>
        <w:spacing w:before="9"/>
        <w:rPr>
          <w:b/>
          <w:sz w:val="27"/>
        </w:rPr>
      </w:pPr>
    </w:p>
    <w:p>
      <w:pPr>
        <w:pStyle w:val="BodyText"/>
        <w:spacing w:line="360" w:lineRule="auto"/>
        <w:ind w:left="461" w:right="227" w:firstLine="705"/>
        <w:jc w:val="both"/>
      </w:pPr>
      <w:r>
        <w:rPr/>
        <w:t>Doença renal crônica é um termo geral para alterações heterogêneas que afetam tanto a estrutura, quanto a função renal, com múltiplas causas e múltiplos fatores de prognóstico. Trata- se de uma doença de curso prolongado, insidioso e que, na maior parte do tempo de sua evolução, é assintomática. Muitos fatores estão associados tanto à etiologia quanto à progressão para perda de função renal. Por estes motivos é importante reconhecer quem são os indivíduos que estão sob o risco de desenvolver a DRC, com o objetivo do diagnóstico precoce, bem como quais são os fatores de pior prognóstico, definidos como aqueles fatores que estão relacionados à progressão mais rápida para perda de função renal.</w:t>
      </w:r>
    </w:p>
    <w:p>
      <w:pPr>
        <w:spacing w:after="0" w:line="360" w:lineRule="auto"/>
        <w:jc w:val="both"/>
        <w:sectPr>
          <w:pgSz w:w="11910" w:h="16840"/>
          <w:pgMar w:header="0" w:footer="925" w:top="1320" w:bottom="1200" w:left="1240" w:right="620"/>
        </w:sectPr>
      </w:pPr>
    </w:p>
    <w:p>
      <w:pPr>
        <w:pStyle w:val="BodyText"/>
        <w:spacing w:before="74"/>
        <w:ind w:left="1167"/>
      </w:pPr>
      <w:r>
        <w:rPr/>
        <w:t>Os indivíduos sob o risco de desenvolver DRC são:</w:t>
      </w:r>
    </w:p>
    <w:p>
      <w:pPr>
        <w:pStyle w:val="BodyText"/>
        <w:spacing w:before="5"/>
        <w:rPr>
          <w:sz w:val="29"/>
        </w:rPr>
      </w:pPr>
    </w:p>
    <w:p>
      <w:pPr>
        <w:pStyle w:val="ListParagraph"/>
        <w:numPr>
          <w:ilvl w:val="2"/>
          <w:numId w:val="2"/>
        </w:numPr>
        <w:tabs>
          <w:tab w:pos="1878" w:val="left" w:leader="none"/>
        </w:tabs>
        <w:spacing w:line="360" w:lineRule="auto" w:before="0" w:after="0"/>
        <w:ind w:left="1889" w:right="228" w:hanging="360"/>
        <w:jc w:val="both"/>
        <w:rPr>
          <w:sz w:val="24"/>
        </w:rPr>
      </w:pPr>
      <w:r>
        <w:rPr>
          <w:sz w:val="24"/>
        </w:rPr>
        <w:t>Pessoas com diabetes (quer seja do tipo 1 ou do tipo 2): o diagnóstico do diabetes deve ser realizado de acordo com o nível sérico da glicemia de jejum acima de 126 mg/dL, ou acima de 200 mg/dL 2 horas após a ingestão de 75g de glicose, ou qualquer valor de hiperglicemia, na presença de sintomas clássicos, como poliúria, polidipsia ou</w:t>
      </w:r>
      <w:r>
        <w:rPr>
          <w:spacing w:val="-2"/>
          <w:sz w:val="24"/>
        </w:rPr>
        <w:t> </w:t>
      </w:r>
      <w:r>
        <w:rPr>
          <w:sz w:val="24"/>
        </w:rPr>
        <w:t>polifagia;</w:t>
      </w:r>
    </w:p>
    <w:p>
      <w:pPr>
        <w:pStyle w:val="ListParagraph"/>
        <w:numPr>
          <w:ilvl w:val="2"/>
          <w:numId w:val="2"/>
        </w:numPr>
        <w:tabs>
          <w:tab w:pos="1878" w:val="left" w:leader="none"/>
        </w:tabs>
        <w:spacing w:line="360" w:lineRule="auto" w:before="119" w:after="0"/>
        <w:ind w:left="1889" w:right="227" w:hanging="360"/>
        <w:jc w:val="left"/>
        <w:rPr>
          <w:sz w:val="24"/>
        </w:rPr>
      </w:pPr>
      <w:r>
        <w:rPr>
          <w:sz w:val="24"/>
        </w:rPr>
        <w:t>Pessoa hipertensa, definida como valores de pressão arterial acima de 140/90 mmHg em duas medidas com um intervalo de 1 a 2</w:t>
      </w:r>
      <w:r>
        <w:rPr>
          <w:spacing w:val="-4"/>
          <w:sz w:val="24"/>
        </w:rPr>
        <w:t> </w:t>
      </w:r>
      <w:r>
        <w:rPr>
          <w:sz w:val="24"/>
        </w:rPr>
        <w:t>semanas;</w:t>
      </w:r>
    </w:p>
    <w:p>
      <w:pPr>
        <w:pStyle w:val="ListParagraph"/>
        <w:numPr>
          <w:ilvl w:val="2"/>
          <w:numId w:val="2"/>
        </w:numPr>
        <w:tabs>
          <w:tab w:pos="1878" w:val="left" w:leader="none"/>
        </w:tabs>
        <w:spacing w:line="240" w:lineRule="auto" w:before="120" w:after="0"/>
        <w:ind w:left="1889" w:right="0" w:hanging="360"/>
        <w:jc w:val="left"/>
        <w:rPr>
          <w:sz w:val="24"/>
        </w:rPr>
      </w:pPr>
      <w:r>
        <w:rPr>
          <w:sz w:val="24"/>
        </w:rPr>
        <w:t>Idosos;</w:t>
      </w:r>
    </w:p>
    <w:p>
      <w:pPr>
        <w:pStyle w:val="BodyText"/>
        <w:spacing w:before="6"/>
        <w:rPr>
          <w:sz w:val="22"/>
        </w:rPr>
      </w:pPr>
    </w:p>
    <w:p>
      <w:pPr>
        <w:pStyle w:val="ListParagraph"/>
        <w:numPr>
          <w:ilvl w:val="2"/>
          <w:numId w:val="2"/>
        </w:numPr>
        <w:tabs>
          <w:tab w:pos="1878" w:val="left" w:leader="none"/>
        </w:tabs>
        <w:spacing w:line="240" w:lineRule="auto" w:before="0" w:after="0"/>
        <w:ind w:left="1889" w:right="0" w:hanging="360"/>
        <w:jc w:val="left"/>
        <w:rPr>
          <w:sz w:val="24"/>
        </w:rPr>
      </w:pPr>
      <w:r>
        <w:rPr>
          <w:sz w:val="24"/>
        </w:rPr>
        <w:t>Portadores de obesidade (IMC &gt; 30</w:t>
      </w:r>
      <w:r>
        <w:rPr>
          <w:spacing w:val="-2"/>
          <w:sz w:val="24"/>
        </w:rPr>
        <w:t> </w:t>
      </w:r>
      <w:r>
        <w:rPr>
          <w:sz w:val="24"/>
        </w:rPr>
        <w:t>Kg/m²);</w:t>
      </w:r>
    </w:p>
    <w:p>
      <w:pPr>
        <w:pStyle w:val="BodyText"/>
        <w:spacing w:before="4"/>
        <w:rPr>
          <w:sz w:val="22"/>
        </w:rPr>
      </w:pPr>
    </w:p>
    <w:p>
      <w:pPr>
        <w:pStyle w:val="ListParagraph"/>
        <w:numPr>
          <w:ilvl w:val="2"/>
          <w:numId w:val="2"/>
        </w:numPr>
        <w:tabs>
          <w:tab w:pos="1878" w:val="left" w:leader="none"/>
        </w:tabs>
        <w:spacing w:line="360" w:lineRule="auto" w:before="0" w:after="0"/>
        <w:ind w:left="1889" w:right="229" w:hanging="360"/>
        <w:jc w:val="left"/>
        <w:rPr>
          <w:sz w:val="24"/>
        </w:rPr>
      </w:pPr>
      <w:r>
        <w:rPr>
          <w:sz w:val="24"/>
        </w:rPr>
        <w:t>Histórico de doença do aparelho circulatório (doença coronariana, acidente vascular cerebral, doença vascular periférica, insuficiência</w:t>
      </w:r>
      <w:r>
        <w:rPr>
          <w:spacing w:val="-4"/>
          <w:sz w:val="24"/>
        </w:rPr>
        <w:t> </w:t>
      </w:r>
      <w:r>
        <w:rPr>
          <w:sz w:val="24"/>
        </w:rPr>
        <w:t>cardíaca);</w:t>
      </w:r>
    </w:p>
    <w:p>
      <w:pPr>
        <w:pStyle w:val="ListParagraph"/>
        <w:numPr>
          <w:ilvl w:val="2"/>
          <w:numId w:val="2"/>
        </w:numPr>
        <w:tabs>
          <w:tab w:pos="1878" w:val="left" w:leader="none"/>
        </w:tabs>
        <w:spacing w:line="240" w:lineRule="auto" w:before="120" w:after="0"/>
        <w:ind w:left="1889" w:right="0" w:hanging="360"/>
        <w:jc w:val="left"/>
        <w:rPr>
          <w:sz w:val="24"/>
        </w:rPr>
      </w:pPr>
      <w:r>
        <w:rPr>
          <w:sz w:val="24"/>
        </w:rPr>
        <w:t>Histórico de DRC na</w:t>
      </w:r>
      <w:r>
        <w:rPr>
          <w:spacing w:val="-3"/>
          <w:sz w:val="24"/>
        </w:rPr>
        <w:t> </w:t>
      </w:r>
      <w:r>
        <w:rPr>
          <w:sz w:val="24"/>
        </w:rPr>
        <w:t>família;</w:t>
      </w:r>
    </w:p>
    <w:p>
      <w:pPr>
        <w:pStyle w:val="BodyText"/>
        <w:spacing w:before="4"/>
        <w:rPr>
          <w:sz w:val="22"/>
        </w:rPr>
      </w:pPr>
    </w:p>
    <w:p>
      <w:pPr>
        <w:pStyle w:val="ListParagraph"/>
        <w:numPr>
          <w:ilvl w:val="2"/>
          <w:numId w:val="2"/>
        </w:numPr>
        <w:tabs>
          <w:tab w:pos="1878" w:val="left" w:leader="none"/>
        </w:tabs>
        <w:spacing w:line="240" w:lineRule="auto" w:before="0" w:after="0"/>
        <w:ind w:left="1889" w:right="0" w:hanging="360"/>
        <w:jc w:val="left"/>
        <w:rPr>
          <w:sz w:val="24"/>
        </w:rPr>
      </w:pPr>
      <w:r>
        <w:rPr>
          <w:sz w:val="24"/>
        </w:rPr>
        <w:t>Tabagismo;</w:t>
      </w:r>
    </w:p>
    <w:p>
      <w:pPr>
        <w:pStyle w:val="BodyText"/>
        <w:spacing w:before="6"/>
        <w:rPr>
          <w:sz w:val="22"/>
        </w:rPr>
      </w:pPr>
    </w:p>
    <w:p>
      <w:pPr>
        <w:pStyle w:val="ListParagraph"/>
        <w:numPr>
          <w:ilvl w:val="2"/>
          <w:numId w:val="2"/>
        </w:numPr>
        <w:tabs>
          <w:tab w:pos="1878" w:val="left" w:leader="none"/>
        </w:tabs>
        <w:spacing w:line="360" w:lineRule="auto" w:before="0" w:after="0"/>
        <w:ind w:left="1889" w:right="230" w:hanging="360"/>
        <w:jc w:val="both"/>
        <w:rPr>
          <w:sz w:val="24"/>
        </w:rPr>
      </w:pPr>
      <w:r>
        <w:rPr>
          <w:sz w:val="24"/>
        </w:rPr>
        <w:t>Uso de agentes nefrotóxicos (no anexo I encontram-se descritos os principais agentes nefrotóxicos, bem como as medicações que necessitam ajustes em pacientes com alteração da função</w:t>
      </w:r>
      <w:r>
        <w:rPr>
          <w:spacing w:val="3"/>
          <w:sz w:val="24"/>
        </w:rPr>
        <w:t> </w:t>
      </w:r>
      <w:r>
        <w:rPr>
          <w:sz w:val="24"/>
        </w:rPr>
        <w:t>renal).</w:t>
      </w:r>
    </w:p>
    <w:p>
      <w:pPr>
        <w:pStyle w:val="BodyText"/>
        <w:spacing w:line="360" w:lineRule="auto" w:before="119"/>
        <w:ind w:left="461" w:right="227" w:firstLine="705"/>
        <w:jc w:val="both"/>
      </w:pPr>
      <w:r>
        <w:rPr/>
        <w:t>Após o diagnóstico da DRC, devem ser considerados os preditores de progressão, que são marcadores de que o indivíduo com DRC tem pior prognóstico para perda de função renal ao longo da evolução clínica:</w:t>
      </w:r>
    </w:p>
    <w:p>
      <w:pPr>
        <w:pStyle w:val="ListParagraph"/>
        <w:numPr>
          <w:ilvl w:val="0"/>
          <w:numId w:val="3"/>
        </w:numPr>
        <w:tabs>
          <w:tab w:pos="1878" w:val="left" w:leader="none"/>
        </w:tabs>
        <w:spacing w:line="240" w:lineRule="auto" w:before="121" w:after="0"/>
        <w:ind w:left="1889" w:right="0" w:hanging="360"/>
        <w:jc w:val="left"/>
        <w:rPr>
          <w:sz w:val="24"/>
        </w:rPr>
      </w:pPr>
      <w:r>
        <w:rPr>
          <w:sz w:val="24"/>
        </w:rPr>
        <w:t>Pessoas com níveis pressóricos mal</w:t>
      </w:r>
      <w:r>
        <w:rPr>
          <w:spacing w:val="-1"/>
          <w:sz w:val="24"/>
        </w:rPr>
        <w:t> </w:t>
      </w:r>
      <w:r>
        <w:rPr>
          <w:sz w:val="24"/>
        </w:rPr>
        <w:t>controlados;</w:t>
      </w:r>
    </w:p>
    <w:p>
      <w:pPr>
        <w:pStyle w:val="BodyText"/>
        <w:spacing w:before="4"/>
        <w:rPr>
          <w:sz w:val="22"/>
        </w:rPr>
      </w:pPr>
    </w:p>
    <w:p>
      <w:pPr>
        <w:pStyle w:val="ListParagraph"/>
        <w:numPr>
          <w:ilvl w:val="0"/>
          <w:numId w:val="3"/>
        </w:numPr>
        <w:tabs>
          <w:tab w:pos="1878" w:val="left" w:leader="none"/>
        </w:tabs>
        <w:spacing w:line="240" w:lineRule="auto" w:before="0" w:after="0"/>
        <w:ind w:left="1889" w:right="0" w:hanging="360"/>
        <w:jc w:val="left"/>
        <w:rPr>
          <w:sz w:val="24"/>
        </w:rPr>
      </w:pPr>
      <w:r>
        <w:rPr>
          <w:sz w:val="24"/>
        </w:rPr>
        <w:t>Pessoas com níveis glicêmicos mal</w:t>
      </w:r>
      <w:r>
        <w:rPr>
          <w:spacing w:val="-1"/>
          <w:sz w:val="24"/>
        </w:rPr>
        <w:t> </w:t>
      </w:r>
      <w:r>
        <w:rPr>
          <w:sz w:val="24"/>
        </w:rPr>
        <w:t>controlados;</w:t>
      </w:r>
    </w:p>
    <w:p>
      <w:pPr>
        <w:pStyle w:val="BodyText"/>
        <w:spacing w:before="6"/>
        <w:rPr>
          <w:sz w:val="22"/>
        </w:rPr>
      </w:pPr>
    </w:p>
    <w:p>
      <w:pPr>
        <w:pStyle w:val="ListParagraph"/>
        <w:numPr>
          <w:ilvl w:val="0"/>
          <w:numId w:val="3"/>
        </w:numPr>
        <w:tabs>
          <w:tab w:pos="1878" w:val="left" w:leader="none"/>
        </w:tabs>
        <w:spacing w:line="240" w:lineRule="auto" w:before="1" w:after="0"/>
        <w:ind w:left="1889" w:right="0" w:hanging="360"/>
        <w:jc w:val="left"/>
        <w:rPr>
          <w:sz w:val="24"/>
        </w:rPr>
      </w:pPr>
      <w:r>
        <w:rPr>
          <w:sz w:val="24"/>
        </w:rPr>
        <w:t>Pessoas com níveis de colesterol mal</w:t>
      </w:r>
      <w:r>
        <w:rPr>
          <w:spacing w:val="-2"/>
          <w:sz w:val="24"/>
        </w:rPr>
        <w:t> </w:t>
      </w:r>
      <w:r>
        <w:rPr>
          <w:sz w:val="24"/>
        </w:rPr>
        <w:t>controlados;</w:t>
      </w:r>
    </w:p>
    <w:p>
      <w:pPr>
        <w:pStyle w:val="BodyText"/>
        <w:spacing w:before="3"/>
        <w:rPr>
          <w:sz w:val="22"/>
        </w:rPr>
      </w:pPr>
    </w:p>
    <w:p>
      <w:pPr>
        <w:pStyle w:val="ListParagraph"/>
        <w:numPr>
          <w:ilvl w:val="0"/>
          <w:numId w:val="3"/>
        </w:numPr>
        <w:tabs>
          <w:tab w:pos="1878" w:val="left" w:leader="none"/>
        </w:tabs>
        <w:spacing w:line="360" w:lineRule="auto" w:before="0" w:after="0"/>
        <w:ind w:left="1889" w:right="228" w:hanging="360"/>
        <w:jc w:val="left"/>
        <w:rPr>
          <w:sz w:val="24"/>
        </w:rPr>
      </w:pPr>
      <w:r>
        <w:rPr>
          <w:sz w:val="24"/>
        </w:rPr>
        <w:t>Estágios da DRC, sendo que há uma tendência à perda de função renal mais rápida nos estágios mais avançados da</w:t>
      </w:r>
      <w:r>
        <w:rPr>
          <w:spacing w:val="-1"/>
          <w:sz w:val="24"/>
        </w:rPr>
        <w:t> </w:t>
      </w:r>
      <w:r>
        <w:rPr>
          <w:sz w:val="24"/>
        </w:rPr>
        <w:t>doença;</w:t>
      </w:r>
    </w:p>
    <w:p>
      <w:pPr>
        <w:pStyle w:val="ListParagraph"/>
        <w:numPr>
          <w:ilvl w:val="0"/>
          <w:numId w:val="3"/>
        </w:numPr>
        <w:tabs>
          <w:tab w:pos="1878" w:val="left" w:leader="none"/>
        </w:tabs>
        <w:spacing w:line="360" w:lineRule="auto" w:before="121" w:after="0"/>
        <w:ind w:left="1889" w:right="229" w:hanging="360"/>
        <w:jc w:val="left"/>
        <w:rPr>
          <w:sz w:val="24"/>
        </w:rPr>
      </w:pPr>
      <w:r>
        <w:rPr>
          <w:sz w:val="24"/>
        </w:rPr>
        <w:t>Presença de albuminúria e a sua intensidade, sendo que quanto maior o nível de albuminúria, pior o prognóstico para perda de</w:t>
      </w:r>
      <w:r>
        <w:rPr>
          <w:spacing w:val="-3"/>
          <w:sz w:val="24"/>
        </w:rPr>
        <w:t> </w:t>
      </w:r>
      <w:r>
        <w:rPr>
          <w:sz w:val="24"/>
        </w:rPr>
        <w:t>função;</w:t>
      </w:r>
    </w:p>
    <w:p>
      <w:pPr>
        <w:pStyle w:val="ListParagraph"/>
        <w:numPr>
          <w:ilvl w:val="0"/>
          <w:numId w:val="3"/>
        </w:numPr>
        <w:tabs>
          <w:tab w:pos="1878" w:val="left" w:leader="none"/>
        </w:tabs>
        <w:spacing w:line="240" w:lineRule="auto" w:before="120" w:after="0"/>
        <w:ind w:left="1889" w:right="0" w:hanging="360"/>
        <w:jc w:val="left"/>
        <w:rPr>
          <w:sz w:val="24"/>
        </w:rPr>
      </w:pPr>
      <w:r>
        <w:rPr>
          <w:sz w:val="24"/>
        </w:rPr>
        <w:t>Tabagismo;</w:t>
      </w:r>
    </w:p>
    <w:p>
      <w:pPr>
        <w:spacing w:after="0" w:line="240" w:lineRule="auto"/>
        <w:jc w:val="left"/>
        <w:rPr>
          <w:sz w:val="24"/>
        </w:rPr>
        <w:sectPr>
          <w:pgSz w:w="11910" w:h="16840"/>
          <w:pgMar w:header="0" w:footer="925" w:top="1320" w:bottom="1200" w:left="1240" w:right="620"/>
        </w:sectPr>
      </w:pPr>
    </w:p>
    <w:p>
      <w:pPr>
        <w:pStyle w:val="ListParagraph"/>
        <w:numPr>
          <w:ilvl w:val="0"/>
          <w:numId w:val="3"/>
        </w:numPr>
        <w:tabs>
          <w:tab w:pos="1878" w:val="left" w:leader="none"/>
        </w:tabs>
        <w:spacing w:line="360" w:lineRule="auto" w:before="74" w:after="0"/>
        <w:ind w:left="1889" w:right="230" w:hanging="360"/>
        <w:jc w:val="both"/>
        <w:rPr>
          <w:sz w:val="24"/>
        </w:rPr>
      </w:pPr>
      <w:r>
        <w:rPr>
          <w:sz w:val="24"/>
        </w:rPr>
        <w:t>Uso de agentes nefrotóxicos (no anexo I encontram-se descritos os principais agentes nefrotóxicos, bem como as medicações que necessitam ajustes em pacientes com alteração da função</w:t>
      </w:r>
      <w:r>
        <w:rPr>
          <w:spacing w:val="3"/>
          <w:sz w:val="24"/>
        </w:rPr>
        <w:t> </w:t>
      </w:r>
      <w:r>
        <w:rPr>
          <w:sz w:val="24"/>
        </w:rPr>
        <w:t>renal).</w:t>
      </w:r>
    </w:p>
    <w:p>
      <w:pPr>
        <w:pStyle w:val="BodyText"/>
        <w:spacing w:before="6"/>
      </w:pPr>
    </w:p>
    <w:p>
      <w:pPr>
        <w:pStyle w:val="Heading1"/>
        <w:numPr>
          <w:ilvl w:val="1"/>
          <w:numId w:val="2"/>
        </w:numPr>
        <w:tabs>
          <w:tab w:pos="1170" w:val="left" w:leader="none"/>
        </w:tabs>
        <w:spacing w:line="240" w:lineRule="auto" w:before="0" w:after="0"/>
        <w:ind w:left="1244" w:right="0" w:hanging="356"/>
        <w:jc w:val="left"/>
      </w:pPr>
      <w:bookmarkStart w:name="5. DEFINIÇÃO" w:id="15"/>
      <w:bookmarkEnd w:id="15"/>
      <w:r>
        <w:rPr>
          <w:b w:val="0"/>
        </w:rPr>
      </w:r>
      <w:bookmarkStart w:name="_bookmark5" w:id="16"/>
      <w:bookmarkEnd w:id="16"/>
      <w:r>
        <w:rPr>
          <w:b w:val="0"/>
        </w:rPr>
      </w:r>
      <w:bookmarkStart w:name="_bookmark5" w:id="17"/>
      <w:bookmarkEnd w:id="17"/>
      <w:r>
        <w:rPr/>
        <w:t>D</w:t>
      </w:r>
      <w:r>
        <w:rPr/>
        <w:t>EFINIÇÃO</w:t>
      </w:r>
    </w:p>
    <w:p>
      <w:pPr>
        <w:pStyle w:val="BodyText"/>
        <w:spacing w:before="1"/>
        <w:rPr>
          <w:b/>
          <w:sz w:val="36"/>
        </w:rPr>
      </w:pPr>
    </w:p>
    <w:p>
      <w:pPr>
        <w:pStyle w:val="BodyText"/>
        <w:spacing w:line="360" w:lineRule="auto"/>
        <w:ind w:left="461" w:right="228" w:firstLine="705"/>
        <w:jc w:val="both"/>
      </w:pPr>
      <w:r>
        <w:rPr/>
        <w:t>O rim tem múltiplas funções, como a excreção de produtos finais de diversos metabolismos, produção de hormônios, controle do equilíbrio hidroeletrolítico, do metabolismo ácido-básico e da pressão arterial. Existem diversas formas de aferir as funções renais, mas do ponto de vista clínico, a função excretora é aquela que tem maior correlação com os desfechos clínicos. Todas as funções renais costumam declinar de forma paralela com a sua função excretora. Na prática clínica, a função excretora renal pode ser medida através da Taxa de Filtração Glomerular (TFG). Para o diagnóstico da DRC são utilizados os seguintes parâmetros:</w:t>
      </w:r>
    </w:p>
    <w:p>
      <w:pPr>
        <w:pStyle w:val="BodyText"/>
        <w:spacing w:before="4"/>
      </w:pPr>
    </w:p>
    <w:p>
      <w:pPr>
        <w:pStyle w:val="ListParagraph"/>
        <w:numPr>
          <w:ilvl w:val="0"/>
          <w:numId w:val="4"/>
        </w:numPr>
        <w:tabs>
          <w:tab w:pos="2237" w:val="left" w:leader="none"/>
          <w:tab w:pos="2238" w:val="left" w:leader="none"/>
        </w:tabs>
        <w:spacing w:line="240" w:lineRule="auto" w:before="0" w:after="0"/>
        <w:ind w:left="2237" w:right="0" w:hanging="487"/>
        <w:jc w:val="left"/>
        <w:rPr>
          <w:sz w:val="24"/>
        </w:rPr>
      </w:pPr>
      <w:r>
        <w:rPr>
          <w:sz w:val="24"/>
        </w:rPr>
        <w:t>TFG</w:t>
      </w:r>
      <w:r>
        <w:rPr>
          <w:spacing w:val="-2"/>
          <w:sz w:val="24"/>
        </w:rPr>
        <w:t> </w:t>
      </w:r>
      <w:r>
        <w:rPr>
          <w:sz w:val="24"/>
        </w:rPr>
        <w:t>alterada;</w:t>
      </w:r>
    </w:p>
    <w:p>
      <w:pPr>
        <w:pStyle w:val="ListParagraph"/>
        <w:numPr>
          <w:ilvl w:val="0"/>
          <w:numId w:val="4"/>
        </w:numPr>
        <w:tabs>
          <w:tab w:pos="2237" w:val="left" w:leader="none"/>
          <w:tab w:pos="2238" w:val="left" w:leader="none"/>
        </w:tabs>
        <w:spacing w:line="360" w:lineRule="auto" w:before="140" w:after="0"/>
        <w:ind w:left="2237" w:right="231" w:hanging="554"/>
        <w:jc w:val="left"/>
        <w:rPr>
          <w:sz w:val="24"/>
        </w:rPr>
      </w:pPr>
      <w:r>
        <w:rPr>
          <w:sz w:val="24"/>
        </w:rPr>
        <w:t>TFG normal ou próxima do normal, mas com evidência de dano renal parenquimatoso ou alteração no exame de</w:t>
      </w:r>
      <w:r>
        <w:rPr>
          <w:spacing w:val="-3"/>
          <w:sz w:val="24"/>
        </w:rPr>
        <w:t> </w:t>
      </w:r>
      <w:r>
        <w:rPr>
          <w:sz w:val="24"/>
        </w:rPr>
        <w:t>imagem.</w:t>
      </w:r>
    </w:p>
    <w:p>
      <w:pPr>
        <w:pStyle w:val="BodyText"/>
        <w:spacing w:line="360" w:lineRule="auto" w:before="120"/>
        <w:ind w:left="461" w:right="229" w:firstLine="705"/>
        <w:jc w:val="both"/>
      </w:pPr>
      <w:r>
        <w:rPr/>
        <w:t>Dessa forma, é portador de DRC qualquer indivíduo que, independente da causa, apresente por pelo menos três meses consecutivos uma TFG &lt; 60ml/min/1,73m². Nos casos de pacientes com TFG ≥ 60ml/mim/1,73m², considerar DRC se associada a pelo menos um marcador de dano renal parenquimatoso ou alteração no exame de imagem.</w:t>
      </w:r>
    </w:p>
    <w:p>
      <w:pPr>
        <w:pStyle w:val="BodyText"/>
        <w:spacing w:before="120"/>
        <w:ind w:left="1167"/>
      </w:pPr>
      <w:r>
        <w:rPr/>
        <w:t>São considerados marcadores de dano renal parenquimatoso:</w:t>
      </w:r>
    </w:p>
    <w:p>
      <w:pPr>
        <w:pStyle w:val="BodyText"/>
        <w:spacing w:before="3"/>
        <w:rPr>
          <w:sz w:val="22"/>
        </w:rPr>
      </w:pPr>
    </w:p>
    <w:p>
      <w:pPr>
        <w:pStyle w:val="ListParagraph"/>
        <w:numPr>
          <w:ilvl w:val="0"/>
          <w:numId w:val="5"/>
        </w:numPr>
        <w:tabs>
          <w:tab w:pos="1878" w:val="left" w:leader="none"/>
        </w:tabs>
        <w:spacing w:line="360" w:lineRule="auto" w:before="1" w:after="0"/>
        <w:ind w:left="1889" w:right="230" w:hanging="360"/>
        <w:jc w:val="both"/>
        <w:rPr>
          <w:sz w:val="24"/>
        </w:rPr>
      </w:pPr>
      <w:r>
        <w:rPr>
          <w:sz w:val="24"/>
        </w:rPr>
        <w:t>Albuminúria &gt; 30 mg/24 horas ou Relação Albuminúria Creatininúria (RAC) &gt; 30 mg/g;</w:t>
      </w:r>
    </w:p>
    <w:p>
      <w:pPr>
        <w:pStyle w:val="ListParagraph"/>
        <w:numPr>
          <w:ilvl w:val="0"/>
          <w:numId w:val="5"/>
        </w:numPr>
        <w:tabs>
          <w:tab w:pos="1878" w:val="left" w:leader="none"/>
        </w:tabs>
        <w:spacing w:line="360" w:lineRule="auto" w:before="120" w:after="0"/>
        <w:ind w:left="1889" w:right="228" w:hanging="360"/>
        <w:jc w:val="both"/>
        <w:rPr>
          <w:sz w:val="24"/>
        </w:rPr>
      </w:pPr>
      <w:r>
        <w:rPr>
          <w:sz w:val="24"/>
        </w:rPr>
        <w:t>Hematúria de origem glomerular, definida pela presença de cilindros hemáticos ou dismorfismo eritrocitário no exame de urina</w:t>
      </w:r>
      <w:r>
        <w:rPr>
          <w:spacing w:val="-3"/>
          <w:sz w:val="24"/>
        </w:rPr>
        <w:t> </w:t>
      </w:r>
      <w:r>
        <w:rPr>
          <w:sz w:val="24"/>
        </w:rPr>
        <w:t>(EAS);</w:t>
      </w:r>
    </w:p>
    <w:p>
      <w:pPr>
        <w:pStyle w:val="ListParagraph"/>
        <w:numPr>
          <w:ilvl w:val="0"/>
          <w:numId w:val="5"/>
        </w:numPr>
        <w:tabs>
          <w:tab w:pos="1878" w:val="left" w:leader="none"/>
        </w:tabs>
        <w:spacing w:line="360" w:lineRule="auto" w:before="120" w:after="0"/>
        <w:ind w:left="1889" w:right="227" w:hanging="360"/>
        <w:jc w:val="both"/>
        <w:rPr>
          <w:sz w:val="24"/>
        </w:rPr>
      </w:pPr>
      <w:r>
        <w:rPr>
          <w:sz w:val="24"/>
        </w:rPr>
        <w:t>Alterações eletrolíticas ou outras anormalidades tubulares. Essas alterações e anormalidades resultam de alterações da reabsorção e secreção dos túbulos renais, geralmente secundárias a síndromes incomuns. Essas doenças costumam ser identificadas em pacientes portadores de acidose metabólica de origem tubular (acidose tubular renal), alterações persistentes dos níveis séricos de potássio, alterações na dosagem de eletrólitos urinários, em geral feito por</w:t>
      </w:r>
      <w:r>
        <w:rPr>
          <w:spacing w:val="-11"/>
          <w:sz w:val="24"/>
        </w:rPr>
        <w:t> </w:t>
      </w:r>
      <w:r>
        <w:rPr>
          <w:sz w:val="24"/>
        </w:rPr>
        <w:t>nefrologistas;</w:t>
      </w:r>
    </w:p>
    <w:p>
      <w:pPr>
        <w:spacing w:after="0" w:line="360" w:lineRule="auto"/>
        <w:jc w:val="both"/>
        <w:rPr>
          <w:sz w:val="24"/>
        </w:rPr>
        <w:sectPr>
          <w:pgSz w:w="11910" w:h="16840"/>
          <w:pgMar w:header="0" w:footer="925" w:top="1320" w:bottom="1200" w:left="1240" w:right="620"/>
        </w:sectPr>
      </w:pPr>
    </w:p>
    <w:p>
      <w:pPr>
        <w:pStyle w:val="ListParagraph"/>
        <w:numPr>
          <w:ilvl w:val="0"/>
          <w:numId w:val="5"/>
        </w:numPr>
        <w:tabs>
          <w:tab w:pos="1878" w:val="left" w:leader="none"/>
        </w:tabs>
        <w:spacing w:line="360" w:lineRule="auto" w:before="74" w:after="0"/>
        <w:ind w:left="1889" w:right="229" w:hanging="360"/>
        <w:jc w:val="both"/>
        <w:rPr>
          <w:sz w:val="24"/>
        </w:rPr>
      </w:pPr>
      <w:r>
        <w:rPr>
          <w:sz w:val="24"/>
        </w:rPr>
        <w:t>Alterações detectadas por histologia, através de biópsia renal. A biópsia renal é utilizada para investigação de anormalidades na função renal de etiologia não esclarecida, em casos de proteinúria ou de suspeita de doenças glomerulares. A biópsia renal, em geral, é indicada pelo</w:t>
      </w:r>
      <w:r>
        <w:rPr>
          <w:spacing w:val="-1"/>
          <w:sz w:val="24"/>
        </w:rPr>
        <w:t> </w:t>
      </w:r>
      <w:r>
        <w:rPr>
          <w:sz w:val="24"/>
        </w:rPr>
        <w:t>nefrologista.</w:t>
      </w:r>
    </w:p>
    <w:p>
      <w:pPr>
        <w:pStyle w:val="BodyText"/>
        <w:spacing w:line="360" w:lineRule="auto" w:before="120"/>
        <w:ind w:left="461" w:right="227" w:firstLine="705"/>
        <w:jc w:val="both"/>
      </w:pPr>
      <w:r>
        <w:rPr/>
        <w:t>As alterações em qualquer exame de imagem como raios-X simples de abdome, ultrassonografia dos rins e vias urinárias ou tomografia, podem ser utilizadas para identificar pacientes com DRC. São consideradas alterações nos exames de imagem:</w:t>
      </w:r>
    </w:p>
    <w:p>
      <w:pPr>
        <w:pStyle w:val="ListParagraph"/>
        <w:numPr>
          <w:ilvl w:val="0"/>
          <w:numId w:val="6"/>
        </w:numPr>
        <w:tabs>
          <w:tab w:pos="1878" w:val="left" w:leader="none"/>
        </w:tabs>
        <w:spacing w:line="240" w:lineRule="auto" w:before="119" w:after="0"/>
        <w:ind w:left="1877" w:right="0" w:hanging="348"/>
        <w:jc w:val="left"/>
        <w:rPr>
          <w:sz w:val="24"/>
        </w:rPr>
      </w:pPr>
      <w:r>
        <w:rPr>
          <w:sz w:val="24"/>
        </w:rPr>
        <w:t>rins</w:t>
      </w:r>
      <w:r>
        <w:rPr>
          <w:spacing w:val="-1"/>
          <w:sz w:val="24"/>
        </w:rPr>
        <w:t> </w:t>
      </w:r>
      <w:r>
        <w:rPr>
          <w:sz w:val="24"/>
        </w:rPr>
        <w:t>policísticos;</w:t>
      </w:r>
    </w:p>
    <w:p>
      <w:pPr>
        <w:pStyle w:val="ListParagraph"/>
        <w:numPr>
          <w:ilvl w:val="0"/>
          <w:numId w:val="6"/>
        </w:numPr>
        <w:tabs>
          <w:tab w:pos="1878" w:val="left" w:leader="none"/>
        </w:tabs>
        <w:spacing w:line="240" w:lineRule="auto" w:before="139" w:after="0"/>
        <w:ind w:left="1877" w:right="0" w:hanging="348"/>
        <w:jc w:val="left"/>
        <w:rPr>
          <w:sz w:val="24"/>
        </w:rPr>
      </w:pPr>
      <w:r>
        <w:rPr>
          <w:sz w:val="24"/>
        </w:rPr>
        <w:t>hidronefrose;</w:t>
      </w:r>
    </w:p>
    <w:p>
      <w:pPr>
        <w:pStyle w:val="ListParagraph"/>
        <w:numPr>
          <w:ilvl w:val="0"/>
          <w:numId w:val="6"/>
        </w:numPr>
        <w:tabs>
          <w:tab w:pos="1878" w:val="left" w:leader="none"/>
        </w:tabs>
        <w:spacing w:line="240" w:lineRule="auto" w:before="137" w:after="0"/>
        <w:ind w:left="1877" w:right="0" w:hanging="348"/>
        <w:jc w:val="left"/>
        <w:rPr>
          <w:sz w:val="24"/>
        </w:rPr>
      </w:pPr>
      <w:r>
        <w:rPr>
          <w:sz w:val="24"/>
        </w:rPr>
        <w:t>cicatrizes corticais ou alterações da textura</w:t>
      </w:r>
      <w:r>
        <w:rPr>
          <w:spacing w:val="-4"/>
          <w:sz w:val="24"/>
        </w:rPr>
        <w:t> </w:t>
      </w:r>
      <w:r>
        <w:rPr>
          <w:sz w:val="24"/>
        </w:rPr>
        <w:t>cortical;</w:t>
      </w:r>
    </w:p>
    <w:p>
      <w:pPr>
        <w:pStyle w:val="ListParagraph"/>
        <w:numPr>
          <w:ilvl w:val="0"/>
          <w:numId w:val="6"/>
        </w:numPr>
        <w:tabs>
          <w:tab w:pos="1878" w:val="left" w:leader="none"/>
        </w:tabs>
        <w:spacing w:line="240" w:lineRule="auto" w:before="139" w:after="0"/>
        <w:ind w:left="1877" w:right="0" w:hanging="348"/>
        <w:jc w:val="left"/>
        <w:rPr>
          <w:sz w:val="24"/>
        </w:rPr>
      </w:pPr>
      <w:r>
        <w:rPr>
          <w:sz w:val="24"/>
        </w:rPr>
        <w:t>sinais de doença</w:t>
      </w:r>
      <w:r>
        <w:rPr>
          <w:spacing w:val="-3"/>
          <w:sz w:val="24"/>
        </w:rPr>
        <w:t> </w:t>
      </w:r>
      <w:r>
        <w:rPr>
          <w:sz w:val="24"/>
        </w:rPr>
        <w:t>infiltrativa;</w:t>
      </w:r>
    </w:p>
    <w:p>
      <w:pPr>
        <w:pStyle w:val="ListParagraph"/>
        <w:numPr>
          <w:ilvl w:val="0"/>
          <w:numId w:val="6"/>
        </w:numPr>
        <w:tabs>
          <w:tab w:pos="1878" w:val="left" w:leader="none"/>
        </w:tabs>
        <w:spacing w:line="240" w:lineRule="auto" w:before="137" w:after="0"/>
        <w:ind w:left="1877" w:right="0" w:hanging="348"/>
        <w:jc w:val="left"/>
        <w:rPr>
          <w:sz w:val="24"/>
        </w:rPr>
      </w:pPr>
      <w:r>
        <w:rPr>
          <w:sz w:val="24"/>
        </w:rPr>
        <w:t>estenose da artéria</w:t>
      </w:r>
      <w:r>
        <w:rPr>
          <w:spacing w:val="-2"/>
          <w:sz w:val="24"/>
        </w:rPr>
        <w:t> </w:t>
      </w:r>
      <w:r>
        <w:rPr>
          <w:sz w:val="24"/>
        </w:rPr>
        <w:t>renal.</w:t>
      </w:r>
    </w:p>
    <w:p>
      <w:pPr>
        <w:pStyle w:val="BodyText"/>
        <w:spacing w:before="11"/>
        <w:rPr>
          <w:sz w:val="36"/>
        </w:rPr>
      </w:pPr>
    </w:p>
    <w:p>
      <w:pPr>
        <w:pStyle w:val="Heading1"/>
        <w:numPr>
          <w:ilvl w:val="1"/>
          <w:numId w:val="2"/>
        </w:numPr>
        <w:tabs>
          <w:tab w:pos="1170" w:val="left" w:leader="none"/>
        </w:tabs>
        <w:spacing w:line="237" w:lineRule="auto" w:before="0" w:after="0"/>
        <w:ind w:left="1244" w:right="878" w:hanging="358"/>
        <w:jc w:val="left"/>
      </w:pPr>
      <w:bookmarkStart w:name="6. ESTRATÉGIAS DE PREVENÇÃO PARA A DRC N" w:id="18"/>
      <w:bookmarkEnd w:id="18"/>
      <w:r>
        <w:rPr>
          <w:b w:val="0"/>
        </w:rPr>
      </w:r>
      <w:bookmarkStart w:name="_bookmark6" w:id="19"/>
      <w:bookmarkEnd w:id="19"/>
      <w:r>
        <w:rPr>
          <w:b w:val="0"/>
        </w:rPr>
      </w:r>
      <w:bookmarkStart w:name="_bookmark6" w:id="20"/>
      <w:bookmarkEnd w:id="20"/>
      <w:r>
        <w:rPr/>
        <w:t>E</w:t>
      </w:r>
      <w:r>
        <w:rPr/>
        <w:t>STRATÉGIAS DE PREVENÇÃO PARA A DRC NOS PACIENTES SOB O RISCO DE DESENVOLVER A</w:t>
      </w:r>
      <w:r>
        <w:rPr>
          <w:spacing w:val="-3"/>
        </w:rPr>
        <w:t> </w:t>
      </w:r>
      <w:r>
        <w:rPr/>
        <w:t>DOENÇA</w:t>
      </w:r>
    </w:p>
    <w:p>
      <w:pPr>
        <w:pStyle w:val="BodyText"/>
        <w:spacing w:before="3"/>
        <w:rPr>
          <w:b/>
        </w:rPr>
      </w:pPr>
    </w:p>
    <w:p>
      <w:pPr>
        <w:pStyle w:val="BodyText"/>
        <w:spacing w:line="360" w:lineRule="auto"/>
        <w:ind w:left="461" w:right="227" w:firstLine="705"/>
        <w:jc w:val="both"/>
      </w:pPr>
      <w:r>
        <w:rPr/>
        <w:t>Prevenção é tratar e controlar os fatores de risco modificáveis: diabetes, hipertensão, dislipidemia, obesidade, doença cardiovascular e tabagismo, cujo controle e tratamento devem estar de acordo com as normatizações e orientações do Ministério da Saúde. Em relação ao uso de medicamentos, deve-se orientar que o uso crônico de qualquer tipo de medicação deve ser realizado apenas com orientação médica e deve-se ter cuidado específico com agentes com efeito reconhecidamente nefrotóxico (os principais estão listados no Anexo</w:t>
      </w:r>
      <w:r>
        <w:rPr>
          <w:spacing w:val="-1"/>
        </w:rPr>
        <w:t> </w:t>
      </w:r>
      <w:r>
        <w:rPr>
          <w:spacing w:val="-3"/>
        </w:rPr>
        <w:t>I).</w:t>
      </w:r>
    </w:p>
    <w:p>
      <w:pPr>
        <w:pStyle w:val="BodyText"/>
        <w:spacing w:before="7"/>
      </w:pPr>
    </w:p>
    <w:p>
      <w:pPr>
        <w:pStyle w:val="Heading1"/>
        <w:numPr>
          <w:ilvl w:val="1"/>
          <w:numId w:val="2"/>
        </w:numPr>
        <w:tabs>
          <w:tab w:pos="1170" w:val="left" w:leader="none"/>
        </w:tabs>
        <w:spacing w:line="240" w:lineRule="auto" w:before="1" w:after="0"/>
        <w:ind w:left="1244" w:right="0" w:hanging="356"/>
        <w:jc w:val="left"/>
      </w:pPr>
      <w:bookmarkStart w:name="7. ESTRATÉGIAS DE PREVENÇÃO DA PROGRESSÃ" w:id="21"/>
      <w:bookmarkEnd w:id="21"/>
      <w:r>
        <w:rPr>
          <w:b w:val="0"/>
        </w:rPr>
      </w:r>
      <w:bookmarkStart w:name="_bookmark7" w:id="22"/>
      <w:bookmarkEnd w:id="22"/>
      <w:r>
        <w:rPr>
          <w:b w:val="0"/>
        </w:rPr>
      </w:r>
      <w:bookmarkStart w:name="_bookmark7" w:id="23"/>
      <w:bookmarkEnd w:id="23"/>
      <w:r>
        <w:rPr/>
        <w:t>E</w:t>
      </w:r>
      <w:r>
        <w:rPr/>
        <w:t>STRATÉGIAS DE PREVENÇÃO DA PROGRESSÃO DA</w:t>
      </w:r>
      <w:r>
        <w:rPr>
          <w:spacing w:val="-4"/>
        </w:rPr>
        <w:t> </w:t>
      </w:r>
      <w:r>
        <w:rPr/>
        <w:t>DRC</w:t>
      </w:r>
    </w:p>
    <w:p>
      <w:pPr>
        <w:pStyle w:val="BodyText"/>
        <w:spacing w:before="6"/>
        <w:rPr>
          <w:b/>
          <w:sz w:val="27"/>
        </w:rPr>
      </w:pPr>
    </w:p>
    <w:p>
      <w:pPr>
        <w:pStyle w:val="BodyText"/>
        <w:spacing w:line="360" w:lineRule="auto"/>
        <w:ind w:left="461" w:right="227" w:firstLine="705"/>
        <w:jc w:val="both"/>
      </w:pPr>
      <w:r>
        <w:rPr/>
        <w:t>Progressão da DRC é entendida como a perda progressiva da função renal, avaliada por meio da TFG. A linha de cuidado para a DRC visa à manutenção da função renal, e quando a progressão é inexorável, a lentificação na velocidade de perda da função renal. A redução progressiva da TFG, como referido acima, está associada ao declínio paralelo das demais funções renais, portanto com a progressão da DRC é esperado o desenvolvimento de anemia, acidose metabólica e alterações do metabolismo mineral e ósseo. Além disso, há uma relação inversamente proporcional entre a TFG e o risco de morbidade cardiovascular, mortalidade por todas as causas e, especialmente, mortalidade cardiovascular. Por fim, outro desfecho que pode ocorrer em pacientes com DRC é a DRCT, quando há necessidade de uma das TRS</w:t>
      </w:r>
      <w:r>
        <w:rPr>
          <w:spacing w:val="-13"/>
        </w:rPr>
        <w:t> </w:t>
      </w:r>
      <w:r>
        <w:rPr/>
        <w:t>(17).</w:t>
      </w:r>
    </w:p>
    <w:p>
      <w:pPr>
        <w:spacing w:after="0" w:line="360" w:lineRule="auto"/>
        <w:jc w:val="both"/>
        <w:sectPr>
          <w:pgSz w:w="11910" w:h="16840"/>
          <w:pgMar w:header="0" w:footer="925" w:top="1320" w:bottom="1200" w:left="1240" w:right="620"/>
        </w:sectPr>
      </w:pPr>
    </w:p>
    <w:p>
      <w:pPr>
        <w:pStyle w:val="BodyText"/>
        <w:spacing w:line="360" w:lineRule="auto" w:before="74"/>
        <w:ind w:left="461" w:right="228" w:firstLine="705"/>
        <w:jc w:val="both"/>
      </w:pPr>
      <w:r>
        <w:rPr/>
        <w:t>Pacientes com TFG entre 30 e 45 ml/min, quando comparados com aqueles com TFG acima de 60 ml/min, tem aumento no risco de mortalidade de 90% maior e de mortalidade cardiovascular de 110% maior. Quando o desfecho para essa comparação é a DRCT, há um risco 56 vezes maior entre os pacientes com pior TFG (18). Dessa forma, os desfechos clínicos mais temidos da DRC são a doença cardiovascular, a necessidade de TRS e a mortalidade por todas as causas, especialmente a mortalidade cardiovascular. Prevenir a progressão da DRC, utilizando todos os esforços clínicos para a conservação da TFG, tem impacto positivo nesses desfechos e deve ser realizada de acordo com o nível de TFG, conforme o manejo clínico apresentado nestas diretrizes.</w:t>
      </w:r>
    </w:p>
    <w:p>
      <w:pPr>
        <w:pStyle w:val="BodyText"/>
        <w:spacing w:before="6"/>
      </w:pPr>
    </w:p>
    <w:p>
      <w:pPr>
        <w:pStyle w:val="Heading1"/>
        <w:numPr>
          <w:ilvl w:val="1"/>
          <w:numId w:val="2"/>
        </w:numPr>
        <w:tabs>
          <w:tab w:pos="1170" w:val="left" w:leader="none"/>
        </w:tabs>
        <w:spacing w:line="240" w:lineRule="auto" w:before="0" w:after="0"/>
        <w:ind w:left="1244" w:right="0" w:hanging="356"/>
        <w:jc w:val="left"/>
      </w:pPr>
      <w:bookmarkStart w:name="8. DIAGNÓSTICO DA DRC:" w:id="24"/>
      <w:bookmarkEnd w:id="24"/>
      <w:r>
        <w:rPr>
          <w:b w:val="0"/>
        </w:rPr>
      </w:r>
      <w:bookmarkStart w:name="_bookmark8" w:id="25"/>
      <w:bookmarkEnd w:id="25"/>
      <w:r>
        <w:rPr>
          <w:b w:val="0"/>
        </w:rPr>
      </w:r>
      <w:bookmarkStart w:name="_bookmark8" w:id="26"/>
      <w:bookmarkEnd w:id="26"/>
      <w:r>
        <w:rPr/>
        <w:t>D</w:t>
      </w:r>
      <w:r>
        <w:rPr/>
        <w:t>IAGNÓSTICO DA</w:t>
      </w:r>
      <w:r>
        <w:rPr>
          <w:spacing w:val="-2"/>
        </w:rPr>
        <w:t> </w:t>
      </w:r>
      <w:r>
        <w:rPr/>
        <w:t>DRC:</w:t>
      </w:r>
    </w:p>
    <w:p>
      <w:pPr>
        <w:pStyle w:val="BodyText"/>
        <w:spacing w:before="9"/>
        <w:rPr>
          <w:b/>
          <w:sz w:val="27"/>
        </w:rPr>
      </w:pPr>
    </w:p>
    <w:p>
      <w:pPr>
        <w:pStyle w:val="BodyText"/>
        <w:spacing w:line="360" w:lineRule="auto"/>
        <w:ind w:left="461" w:right="230" w:firstLine="705"/>
        <w:jc w:val="both"/>
      </w:pPr>
      <w:r>
        <w:rPr/>
        <w:t>Os recursos diagnósticos utilizados para identificar o paciente com DRC são a TFG, o exame sumário de urina (EAS) e um exame de imagem, preferencialmente a ultrassonografia dos rins e vias urinárias.</w:t>
      </w:r>
    </w:p>
    <w:p>
      <w:pPr>
        <w:pStyle w:val="BodyText"/>
        <w:spacing w:before="4"/>
      </w:pPr>
    </w:p>
    <w:p>
      <w:pPr>
        <w:pStyle w:val="ListParagraph"/>
        <w:numPr>
          <w:ilvl w:val="0"/>
          <w:numId w:val="7"/>
        </w:numPr>
        <w:tabs>
          <w:tab w:pos="1528" w:val="left" w:leader="none"/>
        </w:tabs>
        <w:spacing w:line="360" w:lineRule="auto" w:before="0" w:after="0"/>
        <w:ind w:left="1527" w:right="226" w:hanging="360"/>
        <w:jc w:val="both"/>
        <w:rPr>
          <w:sz w:val="24"/>
        </w:rPr>
      </w:pPr>
      <w:r>
        <w:rPr>
          <w:sz w:val="24"/>
        </w:rPr>
        <w:t>Avaliação da Taxa de Filtração Glomerular (TFG): Para a avaliação da TFG, deve-se evitar o uso da depuração de creatinina medida através da coleta de urina de 24 horas, pelo potencial de erro de coleta, além dos inconvenientes da coleta temporal. Deve-se, portanto, utilizar fórmulas baseadas na creatinina sérica, para estimar a TFG. Recomenda-se o uso de uma das duas fórmulas a seguir (19-20): MDRD simplificada ou CKD-EPI (quadro 1). No Anexo II estão apresentadas duas tabelas validadas para a identificação da TFG através do MDRD (21) e no Anexo III duas tabelas validadas para a identificação da TGF através do CKD-EPI (22). A fórmula de Cockcroft-Gault, que foi a mais utilizada no passado para estimar a depuração de creatinina, não é recomendada, porque necessita da correção para a superfície corpórea, além de apresentar vieses na correlação com a TFG. O cálculo da TFG é recomendado para todos os pacientes sob o risco de desenvolver DRC. Todos os pacientes que se encontram no grupo de risco para a DRC devem dosar a creatinina sérica e ter a sua TFG</w:t>
      </w:r>
      <w:r>
        <w:rPr>
          <w:spacing w:val="-2"/>
          <w:sz w:val="24"/>
        </w:rPr>
        <w:t> </w:t>
      </w:r>
      <w:r>
        <w:rPr>
          <w:sz w:val="24"/>
        </w:rPr>
        <w:t>estimada.</w:t>
      </w:r>
    </w:p>
    <w:p>
      <w:pPr>
        <w:pStyle w:val="ListParagraph"/>
        <w:numPr>
          <w:ilvl w:val="0"/>
          <w:numId w:val="7"/>
        </w:numPr>
        <w:tabs>
          <w:tab w:pos="1528" w:val="left" w:leader="none"/>
        </w:tabs>
        <w:spacing w:line="360" w:lineRule="auto" w:before="0" w:after="0"/>
        <w:ind w:left="1527" w:right="229" w:hanging="360"/>
        <w:jc w:val="both"/>
        <w:rPr>
          <w:sz w:val="24"/>
        </w:rPr>
      </w:pPr>
      <w:r>
        <w:rPr>
          <w:sz w:val="24"/>
        </w:rPr>
        <w:t>Alterações parenquimatosas- Exame de urina: as alterações parenquimatosas devem ser pesquisadas através do exame sumário de urina (EAS) ou da pesquisa de albuminúria, que é a presença de albumina na urina. O EAS deve ser feito para todos os pacientes sob o risco de DRC. Nos pacientes diabéticos e hipertensos com EAS mostrando</w:t>
      </w:r>
      <w:r>
        <w:rPr>
          <w:spacing w:val="10"/>
          <w:sz w:val="24"/>
        </w:rPr>
        <w:t> </w:t>
      </w:r>
      <w:r>
        <w:rPr>
          <w:sz w:val="24"/>
        </w:rPr>
        <w:t>ausência</w:t>
      </w:r>
      <w:r>
        <w:rPr>
          <w:spacing w:val="10"/>
          <w:sz w:val="24"/>
        </w:rPr>
        <w:t> </w:t>
      </w:r>
      <w:r>
        <w:rPr>
          <w:sz w:val="24"/>
        </w:rPr>
        <w:t>de</w:t>
      </w:r>
      <w:r>
        <w:rPr>
          <w:spacing w:val="11"/>
          <w:sz w:val="24"/>
        </w:rPr>
        <w:t> </w:t>
      </w:r>
      <w:r>
        <w:rPr>
          <w:sz w:val="24"/>
        </w:rPr>
        <w:t>proteinúria,</w:t>
      </w:r>
      <w:r>
        <w:rPr>
          <w:spacing w:val="10"/>
          <w:sz w:val="24"/>
        </w:rPr>
        <w:t> </w:t>
      </w:r>
      <w:r>
        <w:rPr>
          <w:sz w:val="24"/>
        </w:rPr>
        <w:t>está</w:t>
      </w:r>
      <w:r>
        <w:rPr>
          <w:spacing w:val="10"/>
          <w:sz w:val="24"/>
        </w:rPr>
        <w:t> </w:t>
      </w:r>
      <w:r>
        <w:rPr>
          <w:sz w:val="24"/>
        </w:rPr>
        <w:t>indicada</w:t>
      </w:r>
      <w:r>
        <w:rPr>
          <w:spacing w:val="9"/>
          <w:sz w:val="24"/>
        </w:rPr>
        <w:t> </w:t>
      </w:r>
      <w:r>
        <w:rPr>
          <w:sz w:val="24"/>
        </w:rPr>
        <w:t>a</w:t>
      </w:r>
      <w:r>
        <w:rPr>
          <w:spacing w:val="10"/>
          <w:sz w:val="24"/>
        </w:rPr>
        <w:t> </w:t>
      </w:r>
      <w:r>
        <w:rPr>
          <w:sz w:val="24"/>
        </w:rPr>
        <w:t>pesquisa</w:t>
      </w:r>
      <w:r>
        <w:rPr>
          <w:spacing w:val="10"/>
          <w:sz w:val="24"/>
        </w:rPr>
        <w:t> </w:t>
      </w:r>
      <w:r>
        <w:rPr>
          <w:sz w:val="24"/>
        </w:rPr>
        <w:t>de</w:t>
      </w:r>
      <w:r>
        <w:rPr>
          <w:spacing w:val="9"/>
          <w:sz w:val="24"/>
        </w:rPr>
        <w:t> </w:t>
      </w:r>
      <w:r>
        <w:rPr>
          <w:sz w:val="24"/>
        </w:rPr>
        <w:t>albuminúria</w:t>
      </w:r>
      <w:r>
        <w:rPr>
          <w:spacing w:val="10"/>
          <w:sz w:val="24"/>
        </w:rPr>
        <w:t> </w:t>
      </w:r>
      <w:r>
        <w:rPr>
          <w:sz w:val="24"/>
        </w:rPr>
        <w:t>em</w:t>
      </w:r>
    </w:p>
    <w:p>
      <w:pPr>
        <w:spacing w:after="0" w:line="360" w:lineRule="auto"/>
        <w:jc w:val="both"/>
        <w:rPr>
          <w:sz w:val="24"/>
        </w:rPr>
        <w:sectPr>
          <w:pgSz w:w="11910" w:h="16840"/>
          <w:pgMar w:header="0" w:footer="925" w:top="1320" w:bottom="1200" w:left="1240" w:right="620"/>
        </w:sectPr>
      </w:pPr>
    </w:p>
    <w:p>
      <w:pPr>
        <w:pStyle w:val="BodyText"/>
        <w:spacing w:line="360" w:lineRule="auto" w:before="74"/>
        <w:ind w:left="1527" w:right="227"/>
        <w:jc w:val="both"/>
      </w:pPr>
      <w:r>
        <w:rPr/>
        <w:t>amostra isolada de urina corrigida pela creatininúria, a Relação Albuminúria Creatininúria (RAC). Os valores de referência, bem como a classificação da RAC estão apresentados na tabela 1. Em relação à hematúria, deve-se considerar a hematúria de origem glomerular, definida pela presença de cilindros hemáticos ou dimorfismo eritrocitário, identificados no EAS. Análise através de biópsia renal (histologia) ou alterações eletrolíticas características de lesões tubulares renais serão feitas pelo especialista.</w:t>
      </w:r>
    </w:p>
    <w:p>
      <w:pPr>
        <w:pStyle w:val="ListParagraph"/>
        <w:numPr>
          <w:ilvl w:val="0"/>
          <w:numId w:val="7"/>
        </w:numPr>
        <w:tabs>
          <w:tab w:pos="1528" w:val="left" w:leader="none"/>
        </w:tabs>
        <w:spacing w:line="360" w:lineRule="auto" w:before="0" w:after="0"/>
        <w:ind w:left="1527" w:right="229" w:hanging="360"/>
        <w:jc w:val="both"/>
        <w:rPr>
          <w:sz w:val="24"/>
        </w:rPr>
      </w:pPr>
      <w:r>
        <w:rPr>
          <w:sz w:val="24"/>
        </w:rPr>
        <w:t>Avaliação de imagem: deve ser feita para indivíduos com história de DRC familiar, infecção urinária de repetição e doenças urológicas. O exame de imagem preferido é a ultrassonografia dos rins e vias</w:t>
      </w:r>
      <w:r>
        <w:rPr>
          <w:spacing w:val="-1"/>
          <w:sz w:val="24"/>
        </w:rPr>
        <w:t> </w:t>
      </w:r>
      <w:r>
        <w:rPr>
          <w:sz w:val="24"/>
        </w:rPr>
        <w:t>urinárias.</w:t>
      </w:r>
    </w:p>
    <w:p>
      <w:pPr>
        <w:pStyle w:val="BodyText"/>
        <w:spacing w:line="360" w:lineRule="auto" w:before="120"/>
        <w:ind w:left="461" w:right="230" w:firstLine="705"/>
        <w:jc w:val="both"/>
      </w:pPr>
      <w:r>
        <w:rPr/>
        <w:t>Nos indivíduos de risco nos quais a DRC não foi identificada na primeira avaliação, recomenda-se a reavaliação da TFG e do EAS anualmente. Essa avaliação deve ser feita no contexto do cuidado dos pacientes com fatores de risco, na unidade básica de saúde.</w:t>
      </w:r>
    </w:p>
    <w:p>
      <w:pPr>
        <w:pStyle w:val="BodyText"/>
        <w:rPr>
          <w:sz w:val="26"/>
        </w:rPr>
      </w:pPr>
    </w:p>
    <w:p>
      <w:pPr>
        <w:pStyle w:val="BodyText"/>
        <w:spacing w:before="10"/>
        <w:rPr>
          <w:sz w:val="30"/>
        </w:rPr>
      </w:pPr>
    </w:p>
    <w:p>
      <w:pPr>
        <w:pStyle w:val="BodyText"/>
        <w:spacing w:before="1"/>
        <w:ind w:left="461"/>
      </w:pPr>
      <w:r>
        <w:rPr/>
        <w:t>Quadro 1. Fórmulas para o cálculo da TFG</w:t>
      </w:r>
    </w:p>
    <w:p>
      <w:pPr>
        <w:pStyle w:val="BodyText"/>
        <w:spacing w:before="2"/>
      </w:pPr>
      <w:r>
        <w:rPr/>
        <w:drawing>
          <wp:anchor distT="0" distB="0" distL="0" distR="0" allowOverlap="1" layoutInCell="1" locked="0" behindDoc="1" simplePos="0" relativeHeight="268434479">
            <wp:simplePos x="0" y="0"/>
            <wp:positionH relativeFrom="page">
              <wp:posOffset>1116099</wp:posOffset>
            </wp:positionH>
            <wp:positionV relativeFrom="paragraph">
              <wp:posOffset>201755</wp:posOffset>
            </wp:positionV>
            <wp:extent cx="4229028" cy="2950464"/>
            <wp:effectExtent l="0" t="0" r="0" b="0"/>
            <wp:wrapTopAndBottom/>
            <wp:docPr id="1" name="image1.jpeg" descr="Quadro 1"/>
            <wp:cNvGraphicFramePr>
              <a:graphicFrameLocks noChangeAspect="1"/>
            </wp:cNvGraphicFramePr>
            <a:graphic>
              <a:graphicData uri="http://schemas.openxmlformats.org/drawingml/2006/picture">
                <pic:pic>
                  <pic:nvPicPr>
                    <pic:cNvPr id="2" name="image1.jpeg"/>
                    <pic:cNvPicPr/>
                  </pic:nvPicPr>
                  <pic:blipFill>
                    <a:blip r:embed="rId9" cstate="print"/>
                    <a:stretch>
                      <a:fillRect/>
                    </a:stretch>
                  </pic:blipFill>
                  <pic:spPr>
                    <a:xfrm>
                      <a:off x="0" y="0"/>
                      <a:ext cx="4229028" cy="2950464"/>
                    </a:xfrm>
                    <a:prstGeom prst="rect">
                      <a:avLst/>
                    </a:prstGeom>
                  </pic:spPr>
                </pic:pic>
              </a:graphicData>
            </a:graphic>
          </wp:anchor>
        </w:drawing>
      </w:r>
    </w:p>
    <w:p>
      <w:pPr>
        <w:pStyle w:val="BodyText"/>
        <w:spacing w:before="2"/>
        <w:rPr>
          <w:sz w:val="21"/>
        </w:rPr>
      </w:pPr>
    </w:p>
    <w:p>
      <w:pPr>
        <w:pStyle w:val="BodyText"/>
        <w:ind w:left="1361"/>
      </w:pPr>
      <w:r>
        <w:rPr/>
        <w:t>Tabela 1. Classificação da RAC</w:t>
      </w:r>
    </w:p>
    <w:p>
      <w:pPr>
        <w:pStyle w:val="BodyText"/>
        <w:spacing w:before="4"/>
        <w:rPr>
          <w:sz w:val="12"/>
        </w:rPr>
      </w:pPr>
    </w:p>
    <w:tbl>
      <w:tblPr>
        <w:tblW w:w="0" w:type="auto"/>
        <w:jc w:val="left"/>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93"/>
        <w:gridCol w:w="2393"/>
      </w:tblGrid>
      <w:tr>
        <w:trPr>
          <w:trHeight w:val="534" w:hRule="atLeast"/>
        </w:trPr>
        <w:tc>
          <w:tcPr>
            <w:tcW w:w="2393" w:type="dxa"/>
          </w:tcPr>
          <w:p>
            <w:pPr>
              <w:pStyle w:val="TableParagraph"/>
              <w:spacing w:line="270" w:lineRule="exact"/>
              <w:ind w:left="105"/>
              <w:rPr>
                <w:rFonts w:ascii="Times New Roman"/>
                <w:sz w:val="24"/>
              </w:rPr>
            </w:pPr>
            <w:r>
              <w:rPr>
                <w:rFonts w:ascii="Times New Roman"/>
                <w:sz w:val="24"/>
              </w:rPr>
              <w:t>Categoria</w:t>
            </w:r>
          </w:p>
        </w:tc>
        <w:tc>
          <w:tcPr>
            <w:tcW w:w="2393" w:type="dxa"/>
          </w:tcPr>
          <w:p>
            <w:pPr>
              <w:pStyle w:val="TableParagraph"/>
              <w:spacing w:line="270" w:lineRule="exact"/>
              <w:ind w:left="105"/>
              <w:rPr>
                <w:rFonts w:ascii="Times New Roman"/>
                <w:sz w:val="24"/>
              </w:rPr>
            </w:pPr>
            <w:r>
              <w:rPr>
                <w:rFonts w:ascii="Times New Roman"/>
                <w:sz w:val="24"/>
              </w:rPr>
              <w:t>RAC (mg/g)</w:t>
            </w:r>
          </w:p>
        </w:tc>
      </w:tr>
      <w:tr>
        <w:trPr>
          <w:trHeight w:val="534" w:hRule="atLeast"/>
        </w:trPr>
        <w:tc>
          <w:tcPr>
            <w:tcW w:w="2393" w:type="dxa"/>
          </w:tcPr>
          <w:p>
            <w:pPr>
              <w:pStyle w:val="TableParagraph"/>
              <w:spacing w:line="270" w:lineRule="exact"/>
              <w:ind w:left="105"/>
              <w:rPr>
                <w:rFonts w:ascii="Times New Roman"/>
                <w:sz w:val="24"/>
              </w:rPr>
            </w:pPr>
            <w:r>
              <w:rPr>
                <w:rFonts w:ascii="Times New Roman"/>
                <w:sz w:val="24"/>
              </w:rPr>
              <w:t>Normal</w:t>
            </w:r>
          </w:p>
        </w:tc>
        <w:tc>
          <w:tcPr>
            <w:tcW w:w="2393" w:type="dxa"/>
          </w:tcPr>
          <w:p>
            <w:pPr>
              <w:pStyle w:val="TableParagraph"/>
              <w:spacing w:line="270" w:lineRule="exact"/>
              <w:ind w:left="105"/>
              <w:rPr>
                <w:rFonts w:ascii="Times New Roman"/>
                <w:sz w:val="24"/>
              </w:rPr>
            </w:pPr>
            <w:r>
              <w:rPr>
                <w:rFonts w:ascii="Times New Roman"/>
                <w:sz w:val="24"/>
              </w:rPr>
              <w:t>&lt; 30</w:t>
            </w:r>
          </w:p>
        </w:tc>
      </w:tr>
      <w:tr>
        <w:trPr>
          <w:trHeight w:val="532" w:hRule="atLeast"/>
        </w:trPr>
        <w:tc>
          <w:tcPr>
            <w:tcW w:w="2393" w:type="dxa"/>
          </w:tcPr>
          <w:p>
            <w:pPr>
              <w:pStyle w:val="TableParagraph"/>
              <w:spacing w:line="270" w:lineRule="exact"/>
              <w:ind w:left="105"/>
              <w:rPr>
                <w:rFonts w:ascii="Times New Roman" w:hAnsi="Times New Roman"/>
                <w:sz w:val="24"/>
              </w:rPr>
            </w:pPr>
            <w:r>
              <w:rPr>
                <w:rFonts w:ascii="Times New Roman" w:hAnsi="Times New Roman"/>
                <w:sz w:val="24"/>
              </w:rPr>
              <w:t>Microalbuminúria</w:t>
            </w:r>
          </w:p>
        </w:tc>
        <w:tc>
          <w:tcPr>
            <w:tcW w:w="2393" w:type="dxa"/>
          </w:tcPr>
          <w:p>
            <w:pPr>
              <w:pStyle w:val="TableParagraph"/>
              <w:spacing w:line="270" w:lineRule="exact"/>
              <w:ind w:left="105"/>
              <w:rPr>
                <w:rFonts w:ascii="Times New Roman" w:hAnsi="Times New Roman"/>
                <w:sz w:val="24"/>
              </w:rPr>
            </w:pPr>
            <w:r>
              <w:rPr>
                <w:rFonts w:ascii="Times New Roman" w:hAnsi="Times New Roman"/>
                <w:sz w:val="24"/>
              </w:rPr>
              <w:t>30 – 300</w:t>
            </w:r>
          </w:p>
        </w:tc>
      </w:tr>
    </w:tbl>
    <w:p>
      <w:pPr>
        <w:spacing w:after="0" w:line="270" w:lineRule="exact"/>
        <w:rPr>
          <w:rFonts w:ascii="Times New Roman" w:hAnsi="Times New Roman"/>
          <w:sz w:val="24"/>
        </w:rPr>
        <w:sectPr>
          <w:pgSz w:w="11910" w:h="16840"/>
          <w:pgMar w:header="0" w:footer="925" w:top="1320" w:bottom="1200" w:left="1240" w:right="620"/>
        </w:sectPr>
      </w:pPr>
    </w:p>
    <w:tbl>
      <w:tblPr>
        <w:tblW w:w="0" w:type="auto"/>
        <w:jc w:val="left"/>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93"/>
        <w:gridCol w:w="2393"/>
      </w:tblGrid>
      <w:tr>
        <w:trPr>
          <w:trHeight w:val="534" w:hRule="atLeast"/>
        </w:trPr>
        <w:tc>
          <w:tcPr>
            <w:tcW w:w="2393" w:type="dxa"/>
          </w:tcPr>
          <w:p>
            <w:pPr>
              <w:pStyle w:val="TableParagraph"/>
              <w:spacing w:line="270" w:lineRule="exact"/>
              <w:ind w:left="105"/>
              <w:rPr>
                <w:rFonts w:ascii="Times New Roman" w:hAnsi="Times New Roman"/>
                <w:sz w:val="24"/>
              </w:rPr>
            </w:pPr>
            <w:r>
              <w:rPr>
                <w:rFonts w:ascii="Times New Roman" w:hAnsi="Times New Roman"/>
                <w:sz w:val="24"/>
              </w:rPr>
              <w:t>Macroalbuminúria</w:t>
            </w:r>
          </w:p>
        </w:tc>
        <w:tc>
          <w:tcPr>
            <w:tcW w:w="2393" w:type="dxa"/>
          </w:tcPr>
          <w:p>
            <w:pPr>
              <w:pStyle w:val="TableParagraph"/>
              <w:spacing w:line="270" w:lineRule="exact"/>
              <w:ind w:left="105"/>
              <w:rPr>
                <w:rFonts w:ascii="Times New Roman"/>
                <w:sz w:val="24"/>
              </w:rPr>
            </w:pPr>
            <w:r>
              <w:rPr>
                <w:rFonts w:ascii="Times New Roman"/>
                <w:sz w:val="24"/>
              </w:rPr>
              <w:t>&gt; 300</w:t>
            </w:r>
          </w:p>
        </w:tc>
      </w:tr>
    </w:tbl>
    <w:p>
      <w:pPr>
        <w:pStyle w:val="BodyText"/>
        <w:spacing w:before="3"/>
        <w:rPr>
          <w:sz w:val="16"/>
        </w:rPr>
      </w:pPr>
    </w:p>
    <w:p>
      <w:pPr>
        <w:pStyle w:val="Heading1"/>
        <w:numPr>
          <w:ilvl w:val="1"/>
          <w:numId w:val="2"/>
        </w:numPr>
        <w:tabs>
          <w:tab w:pos="1170" w:val="left" w:leader="none"/>
        </w:tabs>
        <w:spacing w:line="240" w:lineRule="auto" w:before="90" w:after="0"/>
        <w:ind w:left="1244" w:right="0" w:hanging="356"/>
        <w:jc w:val="left"/>
      </w:pPr>
      <w:bookmarkStart w:name="9. CLASSIFICAÇÃO – ESTÁGIOS DA DRC" w:id="27"/>
      <w:bookmarkEnd w:id="27"/>
      <w:r>
        <w:rPr>
          <w:b w:val="0"/>
        </w:rPr>
      </w:r>
      <w:bookmarkStart w:name="_bookmark9" w:id="28"/>
      <w:bookmarkEnd w:id="28"/>
      <w:r>
        <w:rPr>
          <w:b w:val="0"/>
        </w:rPr>
      </w:r>
      <w:bookmarkStart w:name="_bookmark9" w:id="29"/>
      <w:bookmarkEnd w:id="29"/>
      <w:r>
        <w:rPr/>
        <w:t>C</w:t>
      </w:r>
      <w:r>
        <w:rPr/>
        <w:t>LASSIFICAÇÃO – ESTÁGIOS DA</w:t>
      </w:r>
      <w:r>
        <w:rPr>
          <w:spacing w:val="-2"/>
        </w:rPr>
        <w:t> </w:t>
      </w:r>
      <w:r>
        <w:rPr/>
        <w:t>DRC</w:t>
      </w:r>
    </w:p>
    <w:p>
      <w:pPr>
        <w:pStyle w:val="BodyText"/>
        <w:spacing w:before="6"/>
        <w:rPr>
          <w:b/>
          <w:sz w:val="27"/>
        </w:rPr>
      </w:pPr>
    </w:p>
    <w:p>
      <w:pPr>
        <w:pStyle w:val="BodyText"/>
        <w:spacing w:line="360" w:lineRule="auto" w:before="1"/>
        <w:ind w:left="461" w:right="227" w:firstLine="705"/>
        <w:jc w:val="both"/>
      </w:pPr>
      <w:r>
        <w:rPr/>
        <w:t>Para melhor estruturação do tratamento dos pacientes com DRC, bem como para estimativa de prognóstico, é necessário que, após o diagnóstico, todos os pacientes sejam classificados, de acordo com a tabela 2. Essa classificação tem estreita relação com prognóstico, levando-se em consideração principalmente os principais desfechos da DRC: doença cardiovascular, evolução para TRS e mortalidade (20). Por haver uma relação estreita entre o estágio da DCR com os desfechos, conforme mencionado acima, o cuidado clínico no controle dos fatores de progressão da DRC devem ser sempre intensificados, de acordo com a evolução da</w:t>
      </w:r>
      <w:r>
        <w:rPr>
          <w:spacing w:val="-1"/>
        </w:rPr>
        <w:t> </w:t>
      </w:r>
      <w:r>
        <w:rPr/>
        <w:t>DRC.</w:t>
      </w:r>
    </w:p>
    <w:p>
      <w:pPr>
        <w:pStyle w:val="BodyText"/>
        <w:spacing w:before="4"/>
      </w:pPr>
    </w:p>
    <w:p>
      <w:pPr>
        <w:pStyle w:val="BodyText"/>
        <w:spacing w:line="360" w:lineRule="auto" w:before="1"/>
        <w:ind w:left="461" w:right="226" w:firstLine="705"/>
        <w:jc w:val="both"/>
      </w:pPr>
      <w:r>
        <w:rPr/>
        <w:t>Além disso, a classificação deve ser aplicada para tomada de decisão no que diz respeito ao encaminhamento para os serviços de referências e para o especialista. Para fins de organização do atendimento integral ao paciente com DRC, o tratamento deve ser classificado em conservador, quando nos estágios de 1 a 3, pré-diálise quando 4 e 5-ND (não dialítico) e TRS quando 5-D (diálitico). O tratamento conservador consiste em controlar os fatores de risco para a progressão da DRC, bem como para os eventos cardiovasculares e mortalidade, com o objetivo de conservar a TFG pelo maior tempo de evolução possível. A pré-diálise, para fins dessa diretriz, consiste na manutenção do tratamento conservador, bem como no preparo adequado para o início da TRS em paciente com DRC em estágios mais avançados. A TRS, como definida anteriormente, é uma das modalidades de substituição da função renal: hemodiálise, diálise peritoneal e transplante</w:t>
      </w:r>
      <w:r>
        <w:rPr>
          <w:spacing w:val="-3"/>
        </w:rPr>
        <w:t> </w:t>
      </w:r>
      <w:r>
        <w:rPr/>
        <w:t>renal.</w:t>
      </w:r>
    </w:p>
    <w:p>
      <w:pPr>
        <w:pStyle w:val="BodyText"/>
        <w:spacing w:before="119"/>
        <w:ind w:left="1877"/>
      </w:pPr>
      <w:r>
        <w:rPr/>
        <w:t>Tabela 2. Classificação da DRC</w:t>
      </w:r>
    </w:p>
    <w:p>
      <w:pPr>
        <w:pStyle w:val="BodyText"/>
        <w:rPr>
          <w:sz w:val="23"/>
        </w:rPr>
      </w:pPr>
    </w:p>
    <w:tbl>
      <w:tblPr>
        <w:tblW w:w="0" w:type="auto"/>
        <w:jc w:val="left"/>
        <w:tblInd w:w="16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93"/>
        <w:gridCol w:w="2393"/>
      </w:tblGrid>
      <w:tr>
        <w:trPr>
          <w:trHeight w:val="498" w:hRule="atLeast"/>
        </w:trPr>
        <w:tc>
          <w:tcPr>
            <w:tcW w:w="2393" w:type="dxa"/>
          </w:tcPr>
          <w:p>
            <w:pPr>
              <w:pStyle w:val="TableParagraph"/>
              <w:spacing w:line="247" w:lineRule="exact"/>
              <w:ind w:left="105"/>
              <w:rPr>
                <w:rFonts w:ascii="Times New Roman" w:hAnsi="Times New Roman"/>
                <w:sz w:val="22"/>
              </w:rPr>
            </w:pPr>
            <w:r>
              <w:rPr>
                <w:rFonts w:ascii="Times New Roman" w:hAnsi="Times New Roman"/>
                <w:sz w:val="22"/>
              </w:rPr>
              <w:t>Estágio</w:t>
            </w:r>
          </w:p>
        </w:tc>
        <w:tc>
          <w:tcPr>
            <w:tcW w:w="2393" w:type="dxa"/>
          </w:tcPr>
          <w:p>
            <w:pPr>
              <w:pStyle w:val="TableParagraph"/>
              <w:spacing w:line="247" w:lineRule="exact"/>
              <w:ind w:left="177" w:right="169"/>
              <w:jc w:val="center"/>
              <w:rPr>
                <w:rFonts w:ascii="Times New Roman"/>
                <w:sz w:val="22"/>
              </w:rPr>
            </w:pPr>
            <w:r>
              <w:rPr>
                <w:rFonts w:ascii="Times New Roman"/>
                <w:sz w:val="22"/>
              </w:rPr>
              <w:t>TFG (ml/min/1,73 m</w:t>
            </w:r>
            <w:r>
              <w:rPr>
                <w:rFonts w:ascii="Times New Roman"/>
                <w:sz w:val="22"/>
                <w:vertAlign w:val="superscript"/>
              </w:rPr>
              <w:t>2</w:t>
            </w:r>
            <w:r>
              <w:rPr>
                <w:rFonts w:ascii="Times New Roman"/>
                <w:sz w:val="22"/>
                <w:vertAlign w:val="baseline"/>
              </w:rPr>
              <w:t>)</w:t>
            </w:r>
          </w:p>
        </w:tc>
      </w:tr>
      <w:tr>
        <w:trPr>
          <w:trHeight w:val="498" w:hRule="atLeast"/>
        </w:trPr>
        <w:tc>
          <w:tcPr>
            <w:tcW w:w="2393" w:type="dxa"/>
          </w:tcPr>
          <w:p>
            <w:pPr>
              <w:pStyle w:val="TableParagraph"/>
              <w:spacing w:line="247" w:lineRule="exact"/>
              <w:ind w:left="105"/>
              <w:rPr>
                <w:rFonts w:ascii="Times New Roman"/>
                <w:sz w:val="22"/>
              </w:rPr>
            </w:pPr>
            <w:r>
              <w:rPr>
                <w:rFonts w:ascii="Times New Roman"/>
                <w:w w:val="100"/>
                <w:sz w:val="22"/>
              </w:rPr>
              <w:t>1</w:t>
            </w:r>
          </w:p>
        </w:tc>
        <w:tc>
          <w:tcPr>
            <w:tcW w:w="2393" w:type="dxa"/>
          </w:tcPr>
          <w:p>
            <w:pPr>
              <w:pStyle w:val="TableParagraph"/>
              <w:spacing w:line="247" w:lineRule="exact"/>
              <w:ind w:left="177" w:right="166"/>
              <w:jc w:val="center"/>
              <w:rPr>
                <w:rFonts w:ascii="Times New Roman" w:hAnsi="Times New Roman"/>
                <w:sz w:val="22"/>
              </w:rPr>
            </w:pPr>
            <w:r>
              <w:rPr>
                <w:rFonts w:ascii="Times New Roman" w:hAnsi="Times New Roman"/>
                <w:sz w:val="22"/>
              </w:rPr>
              <w:t>≥ 90</w:t>
            </w:r>
          </w:p>
        </w:tc>
      </w:tr>
      <w:tr>
        <w:trPr>
          <w:trHeight w:val="498" w:hRule="atLeast"/>
        </w:trPr>
        <w:tc>
          <w:tcPr>
            <w:tcW w:w="2393" w:type="dxa"/>
          </w:tcPr>
          <w:p>
            <w:pPr>
              <w:pStyle w:val="TableParagraph"/>
              <w:spacing w:line="247" w:lineRule="exact"/>
              <w:ind w:left="105"/>
              <w:rPr>
                <w:rFonts w:ascii="Times New Roman"/>
                <w:sz w:val="22"/>
              </w:rPr>
            </w:pPr>
            <w:r>
              <w:rPr>
                <w:rFonts w:ascii="Times New Roman"/>
                <w:w w:val="100"/>
                <w:sz w:val="22"/>
              </w:rPr>
              <w:t>2</w:t>
            </w:r>
          </w:p>
        </w:tc>
        <w:tc>
          <w:tcPr>
            <w:tcW w:w="2393" w:type="dxa"/>
          </w:tcPr>
          <w:p>
            <w:pPr>
              <w:pStyle w:val="TableParagraph"/>
              <w:spacing w:line="247" w:lineRule="exact"/>
              <w:ind w:left="177" w:right="166"/>
              <w:jc w:val="center"/>
              <w:rPr>
                <w:rFonts w:ascii="Times New Roman" w:hAnsi="Times New Roman"/>
                <w:sz w:val="22"/>
              </w:rPr>
            </w:pPr>
            <w:r>
              <w:rPr>
                <w:rFonts w:ascii="Times New Roman" w:hAnsi="Times New Roman"/>
                <w:sz w:val="22"/>
              </w:rPr>
              <w:t>60 – 89</w:t>
            </w:r>
          </w:p>
        </w:tc>
      </w:tr>
      <w:tr>
        <w:trPr>
          <w:trHeight w:val="501" w:hRule="atLeast"/>
        </w:trPr>
        <w:tc>
          <w:tcPr>
            <w:tcW w:w="2393" w:type="dxa"/>
          </w:tcPr>
          <w:p>
            <w:pPr>
              <w:pStyle w:val="TableParagraph"/>
              <w:spacing w:line="249" w:lineRule="exact"/>
              <w:ind w:left="105"/>
              <w:rPr>
                <w:rFonts w:ascii="Times New Roman"/>
                <w:sz w:val="22"/>
              </w:rPr>
            </w:pPr>
            <w:r>
              <w:rPr>
                <w:rFonts w:ascii="Times New Roman"/>
                <w:sz w:val="22"/>
              </w:rPr>
              <w:t>3 a</w:t>
            </w:r>
          </w:p>
        </w:tc>
        <w:tc>
          <w:tcPr>
            <w:tcW w:w="2393" w:type="dxa"/>
          </w:tcPr>
          <w:p>
            <w:pPr>
              <w:pStyle w:val="TableParagraph"/>
              <w:spacing w:line="249" w:lineRule="exact"/>
              <w:ind w:left="177" w:right="166"/>
              <w:jc w:val="center"/>
              <w:rPr>
                <w:rFonts w:ascii="Times New Roman" w:hAnsi="Times New Roman"/>
                <w:sz w:val="22"/>
              </w:rPr>
            </w:pPr>
            <w:r>
              <w:rPr>
                <w:rFonts w:ascii="Times New Roman" w:hAnsi="Times New Roman"/>
                <w:sz w:val="22"/>
              </w:rPr>
              <w:t>45 – 59</w:t>
            </w:r>
          </w:p>
        </w:tc>
      </w:tr>
      <w:tr>
        <w:trPr>
          <w:trHeight w:val="498" w:hRule="atLeast"/>
        </w:trPr>
        <w:tc>
          <w:tcPr>
            <w:tcW w:w="2393" w:type="dxa"/>
          </w:tcPr>
          <w:p>
            <w:pPr>
              <w:pStyle w:val="TableParagraph"/>
              <w:spacing w:line="247" w:lineRule="exact"/>
              <w:ind w:left="105"/>
              <w:rPr>
                <w:rFonts w:ascii="Times New Roman"/>
                <w:sz w:val="22"/>
              </w:rPr>
            </w:pPr>
            <w:r>
              <w:rPr>
                <w:rFonts w:ascii="Times New Roman"/>
                <w:sz w:val="22"/>
              </w:rPr>
              <w:t>3 b</w:t>
            </w:r>
          </w:p>
        </w:tc>
        <w:tc>
          <w:tcPr>
            <w:tcW w:w="2393" w:type="dxa"/>
          </w:tcPr>
          <w:p>
            <w:pPr>
              <w:pStyle w:val="TableParagraph"/>
              <w:spacing w:line="247" w:lineRule="exact"/>
              <w:ind w:left="177" w:right="166"/>
              <w:jc w:val="center"/>
              <w:rPr>
                <w:rFonts w:ascii="Times New Roman" w:hAnsi="Times New Roman"/>
                <w:sz w:val="22"/>
              </w:rPr>
            </w:pPr>
            <w:r>
              <w:rPr>
                <w:rFonts w:ascii="Times New Roman" w:hAnsi="Times New Roman"/>
                <w:sz w:val="22"/>
              </w:rPr>
              <w:t>30 – 44</w:t>
            </w:r>
          </w:p>
        </w:tc>
      </w:tr>
      <w:tr>
        <w:trPr>
          <w:trHeight w:val="498" w:hRule="atLeast"/>
        </w:trPr>
        <w:tc>
          <w:tcPr>
            <w:tcW w:w="2393" w:type="dxa"/>
          </w:tcPr>
          <w:p>
            <w:pPr>
              <w:pStyle w:val="TableParagraph"/>
              <w:spacing w:line="247" w:lineRule="exact"/>
              <w:ind w:left="105"/>
              <w:rPr>
                <w:rFonts w:ascii="Times New Roman"/>
                <w:sz w:val="22"/>
              </w:rPr>
            </w:pPr>
            <w:r>
              <w:rPr>
                <w:rFonts w:ascii="Times New Roman"/>
                <w:w w:val="100"/>
                <w:sz w:val="22"/>
              </w:rPr>
              <w:t>4</w:t>
            </w:r>
          </w:p>
        </w:tc>
        <w:tc>
          <w:tcPr>
            <w:tcW w:w="2393" w:type="dxa"/>
          </w:tcPr>
          <w:p>
            <w:pPr>
              <w:pStyle w:val="TableParagraph"/>
              <w:spacing w:line="247" w:lineRule="exact"/>
              <w:ind w:left="177" w:right="166"/>
              <w:jc w:val="center"/>
              <w:rPr>
                <w:rFonts w:ascii="Times New Roman" w:hAnsi="Times New Roman"/>
                <w:sz w:val="22"/>
              </w:rPr>
            </w:pPr>
            <w:r>
              <w:rPr>
                <w:rFonts w:ascii="Times New Roman" w:hAnsi="Times New Roman"/>
                <w:sz w:val="22"/>
              </w:rPr>
              <w:t>15 – 29</w:t>
            </w:r>
          </w:p>
        </w:tc>
      </w:tr>
      <w:tr>
        <w:trPr>
          <w:trHeight w:val="501" w:hRule="atLeast"/>
        </w:trPr>
        <w:tc>
          <w:tcPr>
            <w:tcW w:w="2393" w:type="dxa"/>
          </w:tcPr>
          <w:p>
            <w:pPr>
              <w:pStyle w:val="TableParagraph"/>
              <w:spacing w:line="247" w:lineRule="exact"/>
              <w:ind w:left="105"/>
              <w:rPr>
                <w:rFonts w:ascii="Times New Roman"/>
                <w:sz w:val="22"/>
              </w:rPr>
            </w:pPr>
            <w:r>
              <w:rPr>
                <w:rFonts w:ascii="Times New Roman"/>
                <w:w w:val="100"/>
                <w:sz w:val="22"/>
              </w:rPr>
              <w:t>5</w:t>
            </w:r>
          </w:p>
        </w:tc>
        <w:tc>
          <w:tcPr>
            <w:tcW w:w="2393" w:type="dxa"/>
          </w:tcPr>
          <w:p>
            <w:pPr>
              <w:pStyle w:val="TableParagraph"/>
              <w:spacing w:line="247" w:lineRule="exact"/>
              <w:ind w:left="177" w:right="169"/>
              <w:jc w:val="center"/>
              <w:rPr>
                <w:rFonts w:ascii="Times New Roman"/>
                <w:sz w:val="22"/>
              </w:rPr>
            </w:pPr>
            <w:r>
              <w:rPr>
                <w:rFonts w:ascii="Times New Roman"/>
                <w:sz w:val="22"/>
              </w:rPr>
              <w:t>&lt; 15</w:t>
            </w:r>
          </w:p>
        </w:tc>
      </w:tr>
    </w:tbl>
    <w:p>
      <w:pPr>
        <w:spacing w:after="0" w:line="247" w:lineRule="exact"/>
        <w:jc w:val="center"/>
        <w:rPr>
          <w:rFonts w:ascii="Times New Roman"/>
          <w:sz w:val="22"/>
        </w:rPr>
        <w:sectPr>
          <w:pgSz w:w="11910" w:h="16840"/>
          <w:pgMar w:header="0" w:footer="925" w:top="1400" w:bottom="1200" w:left="1240" w:right="620"/>
        </w:sectPr>
      </w:pPr>
    </w:p>
    <w:p>
      <w:pPr>
        <w:pStyle w:val="Heading1"/>
        <w:numPr>
          <w:ilvl w:val="1"/>
          <w:numId w:val="2"/>
        </w:numPr>
        <w:tabs>
          <w:tab w:pos="1249" w:val="left" w:leader="none"/>
        </w:tabs>
        <w:spacing w:line="240" w:lineRule="auto" w:before="76" w:after="0"/>
        <w:ind w:left="1248" w:right="0" w:hanging="360"/>
        <w:jc w:val="left"/>
      </w:pPr>
      <w:bookmarkStart w:name="10. MANEJO CLÍNICO" w:id="30"/>
      <w:bookmarkEnd w:id="30"/>
      <w:r>
        <w:rPr>
          <w:b w:val="0"/>
        </w:rPr>
      </w:r>
      <w:bookmarkStart w:name="_bookmark10" w:id="31"/>
      <w:bookmarkEnd w:id="31"/>
      <w:r>
        <w:rPr>
          <w:b w:val="0"/>
        </w:rPr>
      </w:r>
      <w:bookmarkStart w:name="_bookmark10" w:id="32"/>
      <w:bookmarkEnd w:id="32"/>
      <w:r>
        <w:rPr/>
        <w:t>M</w:t>
      </w:r>
      <w:r>
        <w:rPr/>
        <w:t>ANEJO</w:t>
      </w:r>
      <w:r>
        <w:rPr>
          <w:spacing w:val="-1"/>
        </w:rPr>
        <w:t> </w:t>
      </w:r>
      <w:r>
        <w:rPr/>
        <w:t>CLÍNICO</w:t>
      </w:r>
    </w:p>
    <w:p>
      <w:pPr>
        <w:pStyle w:val="BodyText"/>
        <w:spacing w:before="9"/>
        <w:rPr>
          <w:b/>
          <w:sz w:val="27"/>
        </w:rPr>
      </w:pPr>
    </w:p>
    <w:p>
      <w:pPr>
        <w:pStyle w:val="ListParagraph"/>
        <w:numPr>
          <w:ilvl w:val="0"/>
          <w:numId w:val="8"/>
        </w:numPr>
        <w:tabs>
          <w:tab w:pos="1511" w:val="left" w:leader="none"/>
        </w:tabs>
        <w:spacing w:line="360" w:lineRule="auto" w:before="0" w:after="0"/>
        <w:ind w:left="461" w:right="228" w:firstLine="706"/>
        <w:jc w:val="both"/>
        <w:rPr>
          <w:sz w:val="24"/>
        </w:rPr>
      </w:pPr>
      <w:bookmarkStart w:name="_bookmark11" w:id="33"/>
      <w:bookmarkEnd w:id="33"/>
      <w:r>
        <w:rPr/>
      </w:r>
      <w:bookmarkStart w:name="_bookmark11" w:id="34"/>
      <w:bookmarkEnd w:id="34"/>
      <w:r>
        <w:rPr>
          <w:b/>
          <w:sz w:val="24"/>
        </w:rPr>
        <w:t>E</w:t>
      </w:r>
      <w:r>
        <w:rPr>
          <w:b/>
          <w:sz w:val="24"/>
        </w:rPr>
        <w:t>stágio 1 </w:t>
      </w:r>
      <w:r>
        <w:rPr>
          <w:sz w:val="24"/>
        </w:rPr>
        <w:t>– TFG ≥ 90mL/min/1,73m</w:t>
      </w:r>
      <w:r>
        <w:rPr>
          <w:sz w:val="24"/>
          <w:vertAlign w:val="superscript"/>
        </w:rPr>
        <w:t>2</w:t>
      </w:r>
      <w:r>
        <w:rPr>
          <w:sz w:val="24"/>
          <w:vertAlign w:val="baseline"/>
        </w:rPr>
        <w:t> na presença de proteinúria ou hematúria glomerular ou alteração no exame de imagem. O acompanhamento desses indivíduos deverá ser realizado pelas Unidades Básicas de Saúde (UBS) para tratamento dos fatores de risco modificáveis de progressão da DRC e doença cardiovascular de acordo com as recomendações do MS: controle da glicemia, da hipertensão arterial, dislipidemia, obesidade, doenças cardiovasculares, tabagismo e adequação do estilo de vida. A avaliação da TFG e do EAS deverá ser realizada anualmente. Esses pacientes devem ser encaminhados às unidades de</w:t>
      </w:r>
      <w:r>
        <w:rPr>
          <w:spacing w:val="33"/>
          <w:sz w:val="24"/>
          <w:vertAlign w:val="baseline"/>
        </w:rPr>
        <w:t> </w:t>
      </w:r>
      <w:r>
        <w:rPr>
          <w:sz w:val="24"/>
          <w:vertAlign w:val="baseline"/>
        </w:rPr>
        <w:t>atenção especializadas em doença renal crônica se apresentar uma das seguintes alterações clínicas: RAC acima de 1 g/g, se não diabético, e perda de 30% de TFG com Inibidores da Enzima Conversora da Angiotensina (IECA) ou Bloqueadores dos Receptores da Angiotensina (BRA). Recomenda- se o encaminhamento para atualização do calendário vacinal, conforme Programa Nacional de Imunização do Ministério da Saúde (PNI/MS). Pacientes com DRC devem ser vacinados precocemente porque a redução da TFG está associada com redução da capacidade de soroconversão.</w:t>
      </w:r>
    </w:p>
    <w:p>
      <w:pPr>
        <w:pStyle w:val="BodyText"/>
        <w:spacing w:before="3"/>
      </w:pPr>
    </w:p>
    <w:p>
      <w:pPr>
        <w:pStyle w:val="BodyText"/>
        <w:ind w:left="1167"/>
      </w:pPr>
      <w:r>
        <w:rPr/>
        <w:t>Está recomendado para todos os pacientes no estágio 1:</w:t>
      </w:r>
    </w:p>
    <w:p>
      <w:pPr>
        <w:pStyle w:val="BodyText"/>
        <w:spacing w:before="6"/>
        <w:rPr>
          <w:sz w:val="22"/>
        </w:rPr>
      </w:pPr>
    </w:p>
    <w:p>
      <w:pPr>
        <w:pStyle w:val="ListParagraph"/>
        <w:numPr>
          <w:ilvl w:val="1"/>
          <w:numId w:val="8"/>
        </w:numPr>
        <w:tabs>
          <w:tab w:pos="1878" w:val="left" w:leader="none"/>
        </w:tabs>
        <w:spacing w:line="360" w:lineRule="auto" w:before="0" w:after="0"/>
        <w:ind w:left="1889" w:right="230" w:hanging="360"/>
        <w:jc w:val="left"/>
        <w:rPr>
          <w:sz w:val="24"/>
        </w:rPr>
      </w:pPr>
      <w:r>
        <w:rPr>
          <w:sz w:val="24"/>
        </w:rPr>
        <w:t>Diminuir a ingestão de sódio (menor que 2 g/dia) correspondente a 5 g de cloreto de sódio, em adultos, a não ser se contra</w:t>
      </w:r>
      <w:r>
        <w:rPr>
          <w:spacing w:val="-4"/>
          <w:sz w:val="24"/>
        </w:rPr>
        <w:t> </w:t>
      </w:r>
      <w:r>
        <w:rPr>
          <w:sz w:val="24"/>
        </w:rPr>
        <w:t>indicado;</w:t>
      </w:r>
    </w:p>
    <w:p>
      <w:pPr>
        <w:pStyle w:val="ListParagraph"/>
        <w:numPr>
          <w:ilvl w:val="1"/>
          <w:numId w:val="8"/>
        </w:numPr>
        <w:tabs>
          <w:tab w:pos="1878" w:val="left" w:leader="none"/>
        </w:tabs>
        <w:spacing w:line="360" w:lineRule="auto" w:before="0" w:after="0"/>
        <w:ind w:left="1889" w:right="229" w:hanging="360"/>
        <w:jc w:val="left"/>
        <w:rPr>
          <w:sz w:val="24"/>
        </w:rPr>
      </w:pPr>
      <w:r>
        <w:rPr>
          <w:sz w:val="24"/>
        </w:rPr>
        <w:t>Atividade física compatível com a saúde cardiovascular e tolerância: caminhada de 30 minutos 5x por semana para manter IMC &lt;</w:t>
      </w:r>
      <w:r>
        <w:rPr>
          <w:spacing w:val="-2"/>
          <w:sz w:val="24"/>
        </w:rPr>
        <w:t> </w:t>
      </w:r>
      <w:r>
        <w:rPr>
          <w:sz w:val="24"/>
        </w:rPr>
        <w:t>25;</w:t>
      </w:r>
    </w:p>
    <w:p>
      <w:pPr>
        <w:pStyle w:val="ListParagraph"/>
        <w:numPr>
          <w:ilvl w:val="1"/>
          <w:numId w:val="8"/>
        </w:numPr>
        <w:tabs>
          <w:tab w:pos="1878" w:val="left" w:leader="none"/>
        </w:tabs>
        <w:spacing w:line="240" w:lineRule="auto" w:before="0" w:after="0"/>
        <w:ind w:left="1889" w:right="0" w:hanging="360"/>
        <w:jc w:val="left"/>
        <w:rPr>
          <w:sz w:val="24"/>
        </w:rPr>
      </w:pPr>
      <w:r>
        <w:rPr>
          <w:sz w:val="24"/>
        </w:rPr>
        <w:t>Abandono do</w:t>
      </w:r>
      <w:r>
        <w:rPr>
          <w:spacing w:val="59"/>
          <w:sz w:val="24"/>
        </w:rPr>
        <w:t> </w:t>
      </w:r>
      <w:r>
        <w:rPr>
          <w:sz w:val="24"/>
        </w:rPr>
        <w:t>tabagismo.</w:t>
      </w:r>
    </w:p>
    <w:p>
      <w:pPr>
        <w:pStyle w:val="BodyText"/>
        <w:spacing w:before="4"/>
        <w:rPr>
          <w:sz w:val="22"/>
        </w:rPr>
      </w:pPr>
    </w:p>
    <w:p>
      <w:pPr>
        <w:pStyle w:val="BodyText"/>
        <w:ind w:left="1167"/>
      </w:pPr>
      <w:r>
        <w:rPr/>
        <w:t>Para o controle da hipertensão os alvos devem ser os seguintes:</w:t>
      </w:r>
    </w:p>
    <w:p>
      <w:pPr>
        <w:pStyle w:val="BodyText"/>
        <w:spacing w:before="6"/>
        <w:rPr>
          <w:sz w:val="22"/>
        </w:rPr>
      </w:pPr>
    </w:p>
    <w:p>
      <w:pPr>
        <w:pStyle w:val="ListParagraph"/>
        <w:numPr>
          <w:ilvl w:val="0"/>
          <w:numId w:val="9"/>
        </w:numPr>
        <w:tabs>
          <w:tab w:pos="1877" w:val="left" w:leader="none"/>
          <w:tab w:pos="1878" w:val="left" w:leader="none"/>
        </w:tabs>
        <w:spacing w:line="240" w:lineRule="auto" w:before="1" w:after="0"/>
        <w:ind w:left="1167" w:right="0" w:firstLine="235"/>
        <w:jc w:val="left"/>
        <w:rPr>
          <w:sz w:val="24"/>
        </w:rPr>
      </w:pPr>
      <w:r>
        <w:rPr>
          <w:sz w:val="24"/>
        </w:rPr>
        <w:t>Não diabéticos e com RAC &lt; 30: PA &lt; 140/90</w:t>
      </w:r>
      <w:r>
        <w:rPr>
          <w:spacing w:val="-4"/>
          <w:sz w:val="24"/>
        </w:rPr>
        <w:t> </w:t>
      </w:r>
      <w:r>
        <w:rPr>
          <w:sz w:val="24"/>
        </w:rPr>
        <w:t>mmHg</w:t>
      </w:r>
    </w:p>
    <w:p>
      <w:pPr>
        <w:pStyle w:val="BodyText"/>
        <w:spacing w:before="3"/>
        <w:rPr>
          <w:sz w:val="22"/>
        </w:rPr>
      </w:pPr>
    </w:p>
    <w:p>
      <w:pPr>
        <w:pStyle w:val="ListParagraph"/>
        <w:numPr>
          <w:ilvl w:val="0"/>
          <w:numId w:val="9"/>
        </w:numPr>
        <w:tabs>
          <w:tab w:pos="1877" w:val="left" w:leader="none"/>
          <w:tab w:pos="1878" w:val="left" w:leader="none"/>
        </w:tabs>
        <w:spacing w:line="240" w:lineRule="auto" w:before="0" w:after="0"/>
        <w:ind w:left="1877" w:right="0" w:hanging="542"/>
        <w:jc w:val="left"/>
        <w:rPr>
          <w:sz w:val="24"/>
        </w:rPr>
      </w:pPr>
      <w:r>
        <w:rPr>
          <w:sz w:val="24"/>
        </w:rPr>
        <w:t>Diabéticos e com RAC &gt; 30: PA ≤ 130/80</w:t>
      </w:r>
      <w:r>
        <w:rPr>
          <w:spacing w:val="-3"/>
          <w:sz w:val="24"/>
        </w:rPr>
        <w:t> </w:t>
      </w:r>
      <w:r>
        <w:rPr>
          <w:sz w:val="24"/>
        </w:rPr>
        <w:t>mmHg</w:t>
      </w:r>
    </w:p>
    <w:p>
      <w:pPr>
        <w:pStyle w:val="BodyText"/>
        <w:spacing w:before="6"/>
        <w:rPr>
          <w:sz w:val="22"/>
        </w:rPr>
      </w:pPr>
    </w:p>
    <w:p>
      <w:pPr>
        <w:pStyle w:val="ListParagraph"/>
        <w:numPr>
          <w:ilvl w:val="0"/>
          <w:numId w:val="9"/>
        </w:numPr>
        <w:tabs>
          <w:tab w:pos="1877" w:val="left" w:leader="none"/>
          <w:tab w:pos="1878" w:val="left" w:leader="none"/>
        </w:tabs>
        <w:spacing w:line="463" w:lineRule="auto" w:before="1" w:after="0"/>
        <w:ind w:left="1167" w:right="342" w:firstLine="103"/>
        <w:jc w:val="left"/>
        <w:rPr>
          <w:sz w:val="24"/>
        </w:rPr>
      </w:pPr>
      <w:r>
        <w:rPr>
          <w:sz w:val="24"/>
        </w:rPr>
        <w:t>Todos os pacientes diabéticos e/ou com RAC ≥ 30 devem utilizar IECA ou BRA. Para pacientes diabéticos, deve-se manter a hemoglobina glicada em torno de</w:t>
      </w:r>
      <w:r>
        <w:rPr>
          <w:spacing w:val="-10"/>
          <w:sz w:val="24"/>
        </w:rPr>
        <w:t> </w:t>
      </w:r>
      <w:r>
        <w:rPr>
          <w:sz w:val="24"/>
        </w:rPr>
        <w:t>7%.</w:t>
      </w:r>
    </w:p>
    <w:p>
      <w:pPr>
        <w:pStyle w:val="ListParagraph"/>
        <w:numPr>
          <w:ilvl w:val="0"/>
          <w:numId w:val="8"/>
        </w:numPr>
        <w:tabs>
          <w:tab w:pos="1472" w:val="left" w:leader="none"/>
        </w:tabs>
        <w:spacing w:line="360" w:lineRule="auto" w:before="2" w:after="0"/>
        <w:ind w:left="461" w:right="228" w:firstLine="706"/>
        <w:jc w:val="both"/>
        <w:rPr>
          <w:sz w:val="24"/>
        </w:rPr>
      </w:pPr>
      <w:bookmarkStart w:name="_bookmark12" w:id="35"/>
      <w:bookmarkEnd w:id="35"/>
      <w:r>
        <w:rPr/>
      </w:r>
      <w:bookmarkStart w:name="_bookmark12" w:id="36"/>
      <w:bookmarkEnd w:id="36"/>
      <w:r>
        <w:rPr>
          <w:b/>
          <w:sz w:val="24"/>
        </w:rPr>
        <w:t>E</w:t>
      </w:r>
      <w:r>
        <w:rPr>
          <w:b/>
          <w:sz w:val="24"/>
        </w:rPr>
        <w:t>stágio 2 </w:t>
      </w:r>
      <w:r>
        <w:rPr>
          <w:sz w:val="24"/>
        </w:rPr>
        <w:t>– TFG ≥ 60 a 89 mL/min/1,73m</w:t>
      </w:r>
      <w:r>
        <w:rPr>
          <w:sz w:val="24"/>
          <w:vertAlign w:val="superscript"/>
        </w:rPr>
        <w:t>2</w:t>
      </w:r>
      <w:r>
        <w:rPr>
          <w:sz w:val="24"/>
          <w:vertAlign w:val="baseline"/>
        </w:rPr>
        <w:t>. O acompanhamento desses indivíduos deverá ser realizado pelas Unidades Básicas de Saúde (UBS) para tratamento dos fatores de risco modificáveis de progressão da DRC e doença cardiovascular de acordo com as recomendações do MS: controle da glicemia, da hipertensão arterial, dislipidemia, obesidade, doenças cardiovasculares,</w:t>
      </w:r>
      <w:r>
        <w:rPr>
          <w:spacing w:val="24"/>
          <w:sz w:val="24"/>
          <w:vertAlign w:val="baseline"/>
        </w:rPr>
        <w:t> </w:t>
      </w:r>
      <w:r>
        <w:rPr>
          <w:sz w:val="24"/>
          <w:vertAlign w:val="baseline"/>
        </w:rPr>
        <w:t>tabagismo</w:t>
      </w:r>
      <w:r>
        <w:rPr>
          <w:spacing w:val="25"/>
          <w:sz w:val="24"/>
          <w:vertAlign w:val="baseline"/>
        </w:rPr>
        <w:t> </w:t>
      </w:r>
      <w:r>
        <w:rPr>
          <w:sz w:val="24"/>
          <w:vertAlign w:val="baseline"/>
        </w:rPr>
        <w:t>e</w:t>
      </w:r>
      <w:r>
        <w:rPr>
          <w:spacing w:val="23"/>
          <w:sz w:val="24"/>
          <w:vertAlign w:val="baseline"/>
        </w:rPr>
        <w:t> </w:t>
      </w:r>
      <w:r>
        <w:rPr>
          <w:sz w:val="24"/>
          <w:vertAlign w:val="baseline"/>
        </w:rPr>
        <w:t>adequação</w:t>
      </w:r>
      <w:r>
        <w:rPr>
          <w:spacing w:val="25"/>
          <w:sz w:val="24"/>
          <w:vertAlign w:val="baseline"/>
        </w:rPr>
        <w:t> </w:t>
      </w:r>
      <w:r>
        <w:rPr>
          <w:sz w:val="24"/>
          <w:vertAlign w:val="baseline"/>
        </w:rPr>
        <w:t>do</w:t>
      </w:r>
      <w:r>
        <w:rPr>
          <w:spacing w:val="24"/>
          <w:sz w:val="24"/>
          <w:vertAlign w:val="baseline"/>
        </w:rPr>
        <w:t> </w:t>
      </w:r>
      <w:r>
        <w:rPr>
          <w:sz w:val="24"/>
          <w:vertAlign w:val="baseline"/>
        </w:rPr>
        <w:t>estilo</w:t>
      </w:r>
      <w:r>
        <w:rPr>
          <w:spacing w:val="25"/>
          <w:sz w:val="24"/>
          <w:vertAlign w:val="baseline"/>
        </w:rPr>
        <w:t> </w:t>
      </w:r>
      <w:r>
        <w:rPr>
          <w:sz w:val="24"/>
          <w:vertAlign w:val="baseline"/>
        </w:rPr>
        <w:t>de</w:t>
      </w:r>
      <w:r>
        <w:rPr>
          <w:spacing w:val="23"/>
          <w:sz w:val="24"/>
          <w:vertAlign w:val="baseline"/>
        </w:rPr>
        <w:t> </w:t>
      </w:r>
      <w:r>
        <w:rPr>
          <w:sz w:val="24"/>
          <w:vertAlign w:val="baseline"/>
        </w:rPr>
        <w:t>vida.</w:t>
      </w:r>
      <w:r>
        <w:rPr>
          <w:spacing w:val="25"/>
          <w:sz w:val="24"/>
          <w:vertAlign w:val="baseline"/>
        </w:rPr>
        <w:t> </w:t>
      </w:r>
      <w:r>
        <w:rPr>
          <w:sz w:val="24"/>
          <w:vertAlign w:val="baseline"/>
        </w:rPr>
        <w:t>A</w:t>
      </w:r>
      <w:r>
        <w:rPr>
          <w:spacing w:val="23"/>
          <w:sz w:val="24"/>
          <w:vertAlign w:val="baseline"/>
        </w:rPr>
        <w:t> </w:t>
      </w:r>
      <w:r>
        <w:rPr>
          <w:sz w:val="24"/>
          <w:vertAlign w:val="baseline"/>
        </w:rPr>
        <w:t>avaliação</w:t>
      </w:r>
      <w:r>
        <w:rPr>
          <w:spacing w:val="25"/>
          <w:sz w:val="24"/>
          <w:vertAlign w:val="baseline"/>
        </w:rPr>
        <w:t> </w:t>
      </w:r>
      <w:r>
        <w:rPr>
          <w:sz w:val="24"/>
          <w:vertAlign w:val="baseline"/>
        </w:rPr>
        <w:t>da</w:t>
      </w:r>
      <w:r>
        <w:rPr>
          <w:spacing w:val="23"/>
          <w:sz w:val="24"/>
          <w:vertAlign w:val="baseline"/>
        </w:rPr>
        <w:t> </w:t>
      </w:r>
      <w:r>
        <w:rPr>
          <w:sz w:val="24"/>
          <w:vertAlign w:val="baseline"/>
        </w:rPr>
        <w:t>TFG,</w:t>
      </w:r>
      <w:r>
        <w:rPr>
          <w:spacing w:val="25"/>
          <w:sz w:val="24"/>
          <w:vertAlign w:val="baseline"/>
        </w:rPr>
        <w:t> </w:t>
      </w:r>
      <w:r>
        <w:rPr>
          <w:sz w:val="24"/>
          <w:vertAlign w:val="baseline"/>
        </w:rPr>
        <w:t>do</w:t>
      </w:r>
      <w:r>
        <w:rPr>
          <w:spacing w:val="25"/>
          <w:sz w:val="24"/>
          <w:vertAlign w:val="baseline"/>
        </w:rPr>
        <w:t> </w:t>
      </w:r>
      <w:r>
        <w:rPr>
          <w:sz w:val="24"/>
          <w:vertAlign w:val="baseline"/>
        </w:rPr>
        <w:t>EAS</w:t>
      </w:r>
      <w:r>
        <w:rPr>
          <w:spacing w:val="25"/>
          <w:sz w:val="24"/>
          <w:vertAlign w:val="baseline"/>
        </w:rPr>
        <w:t> </w:t>
      </w:r>
      <w:r>
        <w:rPr>
          <w:sz w:val="24"/>
          <w:vertAlign w:val="baseline"/>
        </w:rPr>
        <w:t>e</w:t>
      </w:r>
      <w:r>
        <w:rPr>
          <w:spacing w:val="24"/>
          <w:sz w:val="24"/>
          <w:vertAlign w:val="baseline"/>
        </w:rPr>
        <w:t> </w:t>
      </w:r>
      <w:r>
        <w:rPr>
          <w:sz w:val="24"/>
          <w:vertAlign w:val="baseline"/>
        </w:rPr>
        <w:t>da</w:t>
      </w:r>
    </w:p>
    <w:p>
      <w:pPr>
        <w:spacing w:after="0" w:line="360" w:lineRule="auto"/>
        <w:jc w:val="both"/>
        <w:rPr>
          <w:sz w:val="24"/>
        </w:rPr>
        <w:sectPr>
          <w:pgSz w:w="11910" w:h="16840"/>
          <w:pgMar w:header="0" w:footer="925" w:top="1320" w:bottom="1200" w:left="1240" w:right="620"/>
        </w:sectPr>
      </w:pPr>
    </w:p>
    <w:p>
      <w:pPr>
        <w:pStyle w:val="BodyText"/>
        <w:spacing w:line="360" w:lineRule="auto" w:before="74"/>
        <w:ind w:left="461" w:right="227"/>
        <w:jc w:val="both"/>
      </w:pPr>
      <w:r>
        <w:rPr/>
        <w:t>RAC deverá ser realizada anualmente. Esses pacientes devem ser encaminhados às unidades de atenção especializadas em doença renal crônica se apresentar uma das seguintes alterações clínicas: RAC acima de 1 g/g, se não diabético, e perda de 30% de TFG com Inibidores da Enzima Conversora de Angiotensina (IECA) ou Bloqueadores dos Receptores da Angiotensina (BRA). Recomenda-se o encaminhamento para atualização do calendário vacinal, conforme PNI/MS.</w:t>
      </w:r>
    </w:p>
    <w:p>
      <w:pPr>
        <w:pStyle w:val="BodyText"/>
        <w:spacing w:before="120"/>
        <w:ind w:left="1167"/>
      </w:pPr>
      <w:r>
        <w:rPr/>
        <w:t>Está recomendado para todos os pacientes no estágio 2:</w:t>
      </w:r>
    </w:p>
    <w:p>
      <w:pPr>
        <w:pStyle w:val="BodyText"/>
        <w:spacing w:before="4"/>
        <w:rPr>
          <w:sz w:val="22"/>
        </w:rPr>
      </w:pPr>
    </w:p>
    <w:p>
      <w:pPr>
        <w:pStyle w:val="ListParagraph"/>
        <w:numPr>
          <w:ilvl w:val="1"/>
          <w:numId w:val="8"/>
        </w:numPr>
        <w:tabs>
          <w:tab w:pos="1878" w:val="left" w:leader="none"/>
        </w:tabs>
        <w:spacing w:line="360" w:lineRule="auto" w:before="0" w:after="0"/>
        <w:ind w:left="1901" w:right="230" w:hanging="360"/>
        <w:jc w:val="left"/>
        <w:rPr>
          <w:sz w:val="24"/>
        </w:rPr>
      </w:pPr>
      <w:r>
        <w:rPr>
          <w:sz w:val="24"/>
        </w:rPr>
        <w:t>Diminuir a ingestão de sódio (menor que 2 g/dia) correspondente a 5 g de cloreto de sódio, em adultos, a não ser se contra</w:t>
      </w:r>
      <w:r>
        <w:rPr>
          <w:spacing w:val="-4"/>
          <w:sz w:val="24"/>
        </w:rPr>
        <w:t> </w:t>
      </w:r>
      <w:r>
        <w:rPr>
          <w:sz w:val="24"/>
        </w:rPr>
        <w:t>indicado;</w:t>
      </w:r>
    </w:p>
    <w:p>
      <w:pPr>
        <w:pStyle w:val="ListParagraph"/>
        <w:numPr>
          <w:ilvl w:val="1"/>
          <w:numId w:val="8"/>
        </w:numPr>
        <w:tabs>
          <w:tab w:pos="1878" w:val="left" w:leader="none"/>
        </w:tabs>
        <w:spacing w:line="360" w:lineRule="auto" w:before="0" w:after="0"/>
        <w:ind w:left="1901" w:right="229" w:hanging="360"/>
        <w:jc w:val="left"/>
        <w:rPr>
          <w:sz w:val="24"/>
        </w:rPr>
      </w:pPr>
      <w:r>
        <w:rPr>
          <w:sz w:val="24"/>
        </w:rPr>
        <w:t>Atividade física compatível com a saúde cardiovascular e tolerância: caminhada de 30 minutos 5x por semana para manter IMC &lt;</w:t>
      </w:r>
      <w:r>
        <w:rPr>
          <w:spacing w:val="-2"/>
          <w:sz w:val="24"/>
        </w:rPr>
        <w:t> </w:t>
      </w:r>
      <w:r>
        <w:rPr>
          <w:sz w:val="24"/>
        </w:rPr>
        <w:t>25;</w:t>
      </w:r>
    </w:p>
    <w:p>
      <w:pPr>
        <w:pStyle w:val="ListParagraph"/>
        <w:numPr>
          <w:ilvl w:val="1"/>
          <w:numId w:val="8"/>
        </w:numPr>
        <w:tabs>
          <w:tab w:pos="1878" w:val="left" w:leader="none"/>
        </w:tabs>
        <w:spacing w:line="240" w:lineRule="auto" w:before="0" w:after="0"/>
        <w:ind w:left="1901" w:right="0" w:hanging="360"/>
        <w:jc w:val="left"/>
        <w:rPr>
          <w:sz w:val="24"/>
        </w:rPr>
      </w:pPr>
      <w:r>
        <w:rPr>
          <w:sz w:val="24"/>
        </w:rPr>
        <w:t>Abandono do</w:t>
      </w:r>
      <w:r>
        <w:rPr>
          <w:spacing w:val="-1"/>
          <w:sz w:val="24"/>
        </w:rPr>
        <w:t> </w:t>
      </w:r>
      <w:r>
        <w:rPr>
          <w:sz w:val="24"/>
        </w:rPr>
        <w:t>tabagismo.</w:t>
      </w:r>
    </w:p>
    <w:p>
      <w:pPr>
        <w:pStyle w:val="BodyText"/>
        <w:spacing w:before="6"/>
        <w:rPr>
          <w:sz w:val="22"/>
        </w:rPr>
      </w:pPr>
    </w:p>
    <w:p>
      <w:pPr>
        <w:pStyle w:val="BodyText"/>
        <w:ind w:left="1167"/>
      </w:pPr>
      <w:r>
        <w:rPr/>
        <w:t>Para o controle da hipertensão os alvos devem ser os seguintes:</w:t>
      </w:r>
    </w:p>
    <w:p>
      <w:pPr>
        <w:pStyle w:val="BodyText"/>
        <w:spacing w:before="4"/>
        <w:rPr>
          <w:sz w:val="22"/>
        </w:rPr>
      </w:pPr>
    </w:p>
    <w:p>
      <w:pPr>
        <w:pStyle w:val="ListParagraph"/>
        <w:numPr>
          <w:ilvl w:val="0"/>
          <w:numId w:val="10"/>
        </w:numPr>
        <w:tabs>
          <w:tab w:pos="1877" w:val="left" w:leader="none"/>
          <w:tab w:pos="1878" w:val="left" w:leader="none"/>
        </w:tabs>
        <w:spacing w:line="240" w:lineRule="auto" w:before="0" w:after="0"/>
        <w:ind w:left="1167" w:right="0" w:firstLine="235"/>
        <w:jc w:val="left"/>
        <w:rPr>
          <w:sz w:val="24"/>
        </w:rPr>
      </w:pPr>
      <w:r>
        <w:rPr>
          <w:sz w:val="24"/>
        </w:rPr>
        <w:t>Não diabéticos e com RAC &lt; 30: PA &lt; 140/90</w:t>
      </w:r>
      <w:r>
        <w:rPr>
          <w:spacing w:val="-4"/>
          <w:sz w:val="24"/>
        </w:rPr>
        <w:t> </w:t>
      </w:r>
      <w:r>
        <w:rPr>
          <w:sz w:val="24"/>
        </w:rPr>
        <w:t>mmHg</w:t>
      </w:r>
    </w:p>
    <w:p>
      <w:pPr>
        <w:pStyle w:val="ListParagraph"/>
        <w:numPr>
          <w:ilvl w:val="0"/>
          <w:numId w:val="10"/>
        </w:numPr>
        <w:tabs>
          <w:tab w:pos="1877" w:val="left" w:leader="none"/>
          <w:tab w:pos="1878" w:val="left" w:leader="none"/>
        </w:tabs>
        <w:spacing w:line="240" w:lineRule="auto" w:before="140" w:after="0"/>
        <w:ind w:left="1877" w:right="0" w:hanging="542"/>
        <w:jc w:val="left"/>
        <w:rPr>
          <w:sz w:val="24"/>
        </w:rPr>
      </w:pPr>
      <w:r>
        <w:rPr>
          <w:sz w:val="24"/>
        </w:rPr>
        <w:t>Diabéticos e com RAC &gt; 30: PA ≤ 130/80</w:t>
      </w:r>
      <w:r>
        <w:rPr>
          <w:spacing w:val="-3"/>
          <w:sz w:val="24"/>
        </w:rPr>
        <w:t> </w:t>
      </w:r>
      <w:r>
        <w:rPr>
          <w:sz w:val="24"/>
        </w:rPr>
        <w:t>mmHg</w:t>
      </w:r>
    </w:p>
    <w:p>
      <w:pPr>
        <w:pStyle w:val="ListParagraph"/>
        <w:numPr>
          <w:ilvl w:val="0"/>
          <w:numId w:val="10"/>
        </w:numPr>
        <w:tabs>
          <w:tab w:pos="1877" w:val="left" w:leader="none"/>
          <w:tab w:pos="1878" w:val="left" w:leader="none"/>
        </w:tabs>
        <w:spacing w:line="465" w:lineRule="auto" w:before="136" w:after="0"/>
        <w:ind w:left="1167" w:right="342" w:firstLine="103"/>
        <w:jc w:val="left"/>
        <w:rPr>
          <w:sz w:val="24"/>
        </w:rPr>
      </w:pPr>
      <w:r>
        <w:rPr>
          <w:sz w:val="24"/>
        </w:rPr>
        <w:t>Todos os pacientes diabéticos e/ou com RAC ≥ 30 devem utilizar IECA ou BRA. Para pacientes diabéticos, deve-se manter a hemoglobina glicada em torno de</w:t>
      </w:r>
      <w:r>
        <w:rPr>
          <w:spacing w:val="-10"/>
          <w:sz w:val="24"/>
        </w:rPr>
        <w:t> </w:t>
      </w:r>
      <w:r>
        <w:rPr>
          <w:sz w:val="24"/>
        </w:rPr>
        <w:t>7%.</w:t>
      </w:r>
    </w:p>
    <w:p>
      <w:pPr>
        <w:pStyle w:val="ListParagraph"/>
        <w:numPr>
          <w:ilvl w:val="0"/>
          <w:numId w:val="8"/>
        </w:numPr>
        <w:tabs>
          <w:tab w:pos="1477" w:val="left" w:leader="none"/>
        </w:tabs>
        <w:spacing w:line="360" w:lineRule="auto" w:before="0" w:after="0"/>
        <w:ind w:left="461" w:right="226" w:firstLine="706"/>
        <w:jc w:val="both"/>
        <w:rPr>
          <w:sz w:val="24"/>
        </w:rPr>
      </w:pPr>
      <w:bookmarkStart w:name="_bookmark13" w:id="37"/>
      <w:bookmarkEnd w:id="37"/>
      <w:r>
        <w:rPr/>
      </w:r>
      <w:bookmarkStart w:name="_bookmark13" w:id="38"/>
      <w:bookmarkEnd w:id="38"/>
      <w:r>
        <w:rPr>
          <w:b/>
          <w:sz w:val="24"/>
        </w:rPr>
        <w:t>E</w:t>
      </w:r>
      <w:r>
        <w:rPr>
          <w:b/>
          <w:sz w:val="24"/>
        </w:rPr>
        <w:t>stágio 3A </w:t>
      </w:r>
      <w:r>
        <w:rPr>
          <w:sz w:val="24"/>
        </w:rPr>
        <w:t>– TFG ≥ 45 a 59 mL/min/1,73m</w:t>
      </w:r>
      <w:r>
        <w:rPr>
          <w:sz w:val="24"/>
          <w:vertAlign w:val="superscript"/>
        </w:rPr>
        <w:t>2</w:t>
      </w:r>
      <w:r>
        <w:rPr>
          <w:sz w:val="24"/>
          <w:vertAlign w:val="baseline"/>
        </w:rPr>
        <w:t>. O acompanhamento desses indivíduos deverá ser realizado nas Unidades Básicas de Saúde (UBS) para tratamento dos fatores de risco modificáveis para a progressão da DRC e doença cardiovascular de acordo com as recomendações do MS: controle da glicemia, da hipertensão arterial, dislipidemia, obesidade, doenças cardiovasculares, tabagismo e adequação do estilo de vida. A avaliação da TFG, do EAS, RAC e da dosagem de potássio sérico deverá ser realizada anualmente. A dosagem do potássio sérico justifica-se porque a redução da TFG está associada à redução da capacidade da sua excreção, bem como a hipercalemia associada à IECA ou BRA é mais frequente quanto menor for a TFG. Em relação às alterações do metabolismo mineral e ósseo, menos de 10% desses pacientes apresentam alterações no nível sérico de fósforo e pouco mais de 20% no PTH sérico. Recomenda-se a dosagem anual do fóforo e do PTH intacto, e havendo alterações nos seus níveis, o caso deve ser discutido com o nefrologista responsável pelo matriciamento da UBS. Nos casos de pacientes com DRC estágio 3A com RAC &gt; 30 mg/g, essa avaliação deve  ser semestral. Esses pacientes devem ser encaminhados às unidades de atenção especializadas  em doença renal crônica quando apresentarem uma das seguintes alterações clínicas: RAC</w:t>
      </w:r>
      <w:r>
        <w:rPr>
          <w:spacing w:val="17"/>
          <w:sz w:val="24"/>
          <w:vertAlign w:val="baseline"/>
        </w:rPr>
        <w:t> </w:t>
      </w:r>
      <w:r>
        <w:rPr>
          <w:sz w:val="24"/>
          <w:vertAlign w:val="baseline"/>
        </w:rPr>
        <w:t>acima</w:t>
      </w:r>
    </w:p>
    <w:p>
      <w:pPr>
        <w:spacing w:after="0" w:line="360" w:lineRule="auto"/>
        <w:jc w:val="both"/>
        <w:rPr>
          <w:sz w:val="24"/>
        </w:rPr>
        <w:sectPr>
          <w:pgSz w:w="11910" w:h="16840"/>
          <w:pgMar w:header="0" w:footer="925" w:top="1320" w:bottom="1200" w:left="1240" w:right="620"/>
        </w:sectPr>
      </w:pPr>
    </w:p>
    <w:p>
      <w:pPr>
        <w:pStyle w:val="BodyText"/>
        <w:spacing w:line="360" w:lineRule="auto" w:before="74"/>
        <w:ind w:left="461" w:right="226"/>
        <w:jc w:val="both"/>
      </w:pPr>
      <w:r>
        <w:rPr/>
        <w:t>de 1 g/g, se não diabético, e perda de 30% de TFG com Inibidores da Enzima Conversora de Angiotensina (IECA) ou Bloqueadores dos Receptores da Angiotensina (BRA). Deverá ser realizada sorologia para hepatite B (AgHbs, Anti-HBc IgG e Anti-HBs) no início do acompanhamento. Recomenda-se o encaminhamento para atualização do calendário vacinal, conforme PNI/MS.</w:t>
      </w:r>
    </w:p>
    <w:p>
      <w:pPr>
        <w:pStyle w:val="BodyText"/>
        <w:spacing w:line="275" w:lineRule="exact"/>
        <w:ind w:left="1167"/>
      </w:pPr>
      <w:r>
        <w:rPr/>
        <w:t>Está recomendado para todos os pacientes no estágio 3A:</w:t>
      </w:r>
    </w:p>
    <w:p>
      <w:pPr>
        <w:pStyle w:val="ListParagraph"/>
        <w:numPr>
          <w:ilvl w:val="1"/>
          <w:numId w:val="8"/>
        </w:numPr>
        <w:tabs>
          <w:tab w:pos="1878" w:val="left" w:leader="none"/>
        </w:tabs>
        <w:spacing w:line="360" w:lineRule="auto" w:before="139" w:after="0"/>
        <w:ind w:left="1889" w:right="230" w:hanging="360"/>
        <w:jc w:val="left"/>
        <w:rPr>
          <w:sz w:val="24"/>
        </w:rPr>
      </w:pPr>
      <w:r>
        <w:rPr>
          <w:sz w:val="24"/>
        </w:rPr>
        <w:t>Diminuir a ingestão de sódio (menor que 2 g/dia) correspondente a 5 g de cloreto de sódio, em adultos, a não ser se contra</w:t>
      </w:r>
      <w:r>
        <w:rPr>
          <w:spacing w:val="-4"/>
          <w:sz w:val="24"/>
        </w:rPr>
        <w:t> </w:t>
      </w:r>
      <w:r>
        <w:rPr>
          <w:sz w:val="24"/>
        </w:rPr>
        <w:t>indicado;</w:t>
      </w:r>
    </w:p>
    <w:p>
      <w:pPr>
        <w:pStyle w:val="ListParagraph"/>
        <w:numPr>
          <w:ilvl w:val="1"/>
          <w:numId w:val="8"/>
        </w:numPr>
        <w:tabs>
          <w:tab w:pos="1878" w:val="left" w:leader="none"/>
        </w:tabs>
        <w:spacing w:line="360" w:lineRule="auto" w:before="0" w:after="0"/>
        <w:ind w:left="1889" w:right="229" w:hanging="360"/>
        <w:jc w:val="left"/>
        <w:rPr>
          <w:sz w:val="24"/>
        </w:rPr>
      </w:pPr>
      <w:r>
        <w:rPr>
          <w:sz w:val="24"/>
        </w:rPr>
        <w:t>Atividade física compatível com a saúde cardiovascular e tolerância: caminhada de 30 minutos 5x por semana para manter IMC &lt;</w:t>
      </w:r>
      <w:r>
        <w:rPr>
          <w:spacing w:val="-2"/>
          <w:sz w:val="24"/>
        </w:rPr>
        <w:t> </w:t>
      </w:r>
      <w:r>
        <w:rPr>
          <w:sz w:val="24"/>
        </w:rPr>
        <w:t>25;</w:t>
      </w:r>
    </w:p>
    <w:p>
      <w:pPr>
        <w:pStyle w:val="ListParagraph"/>
        <w:numPr>
          <w:ilvl w:val="1"/>
          <w:numId w:val="8"/>
        </w:numPr>
        <w:tabs>
          <w:tab w:pos="1878" w:val="left" w:leader="none"/>
        </w:tabs>
        <w:spacing w:line="240" w:lineRule="auto" w:before="0" w:after="0"/>
        <w:ind w:left="1889" w:right="0" w:hanging="360"/>
        <w:jc w:val="left"/>
        <w:rPr>
          <w:sz w:val="24"/>
        </w:rPr>
      </w:pPr>
      <w:r>
        <w:rPr>
          <w:sz w:val="24"/>
        </w:rPr>
        <w:t>Abandono do</w:t>
      </w:r>
      <w:r>
        <w:rPr>
          <w:spacing w:val="-1"/>
          <w:sz w:val="24"/>
        </w:rPr>
        <w:t> </w:t>
      </w:r>
      <w:r>
        <w:rPr>
          <w:sz w:val="24"/>
        </w:rPr>
        <w:t>tabagismo;</w:t>
      </w:r>
    </w:p>
    <w:p>
      <w:pPr>
        <w:pStyle w:val="ListParagraph"/>
        <w:numPr>
          <w:ilvl w:val="1"/>
          <w:numId w:val="8"/>
        </w:numPr>
        <w:tabs>
          <w:tab w:pos="1878" w:val="left" w:leader="none"/>
        </w:tabs>
        <w:spacing w:line="360" w:lineRule="auto" w:before="137" w:after="0"/>
        <w:ind w:left="1889" w:right="226" w:hanging="360"/>
        <w:jc w:val="left"/>
        <w:rPr>
          <w:sz w:val="24"/>
        </w:rPr>
      </w:pPr>
      <w:r>
        <w:rPr>
          <w:sz w:val="24"/>
        </w:rPr>
        <w:t>Correção da dose de medicações como antibióticos e antivirais de acordo com a TFG.</w:t>
      </w:r>
    </w:p>
    <w:p>
      <w:pPr>
        <w:pStyle w:val="BodyText"/>
        <w:ind w:left="1167"/>
      </w:pPr>
      <w:r>
        <w:rPr/>
        <w:t>Para o controle da hipertensão os alvos devem ser os seguintes:</w:t>
      </w:r>
    </w:p>
    <w:p>
      <w:pPr>
        <w:pStyle w:val="ListParagraph"/>
        <w:numPr>
          <w:ilvl w:val="0"/>
          <w:numId w:val="11"/>
        </w:numPr>
        <w:tabs>
          <w:tab w:pos="1877" w:val="left" w:leader="none"/>
          <w:tab w:pos="1878" w:val="left" w:leader="none"/>
        </w:tabs>
        <w:spacing w:line="240" w:lineRule="auto" w:before="140" w:after="0"/>
        <w:ind w:left="1167" w:right="0" w:firstLine="235"/>
        <w:jc w:val="left"/>
        <w:rPr>
          <w:sz w:val="24"/>
        </w:rPr>
      </w:pPr>
      <w:r>
        <w:rPr>
          <w:sz w:val="24"/>
        </w:rPr>
        <w:t>Não diabéticos e com RAC &lt; 30: PA &lt; 140/90</w:t>
      </w:r>
      <w:r>
        <w:rPr>
          <w:spacing w:val="-4"/>
          <w:sz w:val="24"/>
        </w:rPr>
        <w:t> </w:t>
      </w:r>
      <w:r>
        <w:rPr>
          <w:sz w:val="24"/>
        </w:rPr>
        <w:t>mmHg</w:t>
      </w:r>
    </w:p>
    <w:p>
      <w:pPr>
        <w:pStyle w:val="ListParagraph"/>
        <w:numPr>
          <w:ilvl w:val="0"/>
          <w:numId w:val="11"/>
        </w:numPr>
        <w:tabs>
          <w:tab w:pos="1877" w:val="left" w:leader="none"/>
          <w:tab w:pos="1878" w:val="left" w:leader="none"/>
        </w:tabs>
        <w:spacing w:line="240" w:lineRule="auto" w:before="136" w:after="0"/>
        <w:ind w:left="1877" w:right="0" w:hanging="542"/>
        <w:jc w:val="left"/>
        <w:rPr>
          <w:sz w:val="24"/>
        </w:rPr>
      </w:pPr>
      <w:r>
        <w:rPr>
          <w:sz w:val="24"/>
        </w:rPr>
        <w:t>Diabéticos e com RAC &gt; 30: PA ≤ 130/80</w:t>
      </w:r>
      <w:r>
        <w:rPr>
          <w:spacing w:val="-3"/>
          <w:sz w:val="24"/>
        </w:rPr>
        <w:t> </w:t>
      </w:r>
      <w:r>
        <w:rPr>
          <w:sz w:val="24"/>
        </w:rPr>
        <w:t>mmHg</w:t>
      </w:r>
    </w:p>
    <w:p>
      <w:pPr>
        <w:pStyle w:val="ListParagraph"/>
        <w:numPr>
          <w:ilvl w:val="0"/>
          <w:numId w:val="11"/>
        </w:numPr>
        <w:tabs>
          <w:tab w:pos="1877" w:val="left" w:leader="none"/>
          <w:tab w:pos="1878" w:val="left" w:leader="none"/>
        </w:tabs>
        <w:spacing w:line="360" w:lineRule="auto" w:before="140" w:after="0"/>
        <w:ind w:left="1167" w:right="342" w:firstLine="103"/>
        <w:jc w:val="left"/>
        <w:rPr>
          <w:sz w:val="24"/>
        </w:rPr>
      </w:pPr>
      <w:r>
        <w:rPr>
          <w:sz w:val="24"/>
        </w:rPr>
        <w:t>Todos os pacientes diabéticos e/ou com RAC ≥ 30 devem utilizar IECA ou BRA. Para pacientes diabéticos, deve-se manter a hemoglobina glicada em torno de</w:t>
      </w:r>
      <w:r>
        <w:rPr>
          <w:spacing w:val="-10"/>
          <w:sz w:val="24"/>
        </w:rPr>
        <w:t> </w:t>
      </w:r>
      <w:r>
        <w:rPr>
          <w:sz w:val="24"/>
        </w:rPr>
        <w:t>7%.</w:t>
      </w:r>
    </w:p>
    <w:p>
      <w:pPr>
        <w:pStyle w:val="BodyText"/>
        <w:spacing w:before="10"/>
        <w:rPr>
          <w:sz w:val="35"/>
        </w:rPr>
      </w:pPr>
    </w:p>
    <w:p>
      <w:pPr>
        <w:pStyle w:val="ListParagraph"/>
        <w:numPr>
          <w:ilvl w:val="0"/>
          <w:numId w:val="8"/>
        </w:numPr>
        <w:tabs>
          <w:tab w:pos="1472" w:val="left" w:leader="none"/>
        </w:tabs>
        <w:spacing w:line="360" w:lineRule="auto" w:before="0" w:after="0"/>
        <w:ind w:left="461" w:right="227" w:firstLine="706"/>
        <w:jc w:val="both"/>
        <w:rPr>
          <w:sz w:val="24"/>
        </w:rPr>
      </w:pPr>
      <w:bookmarkStart w:name="_bookmark14" w:id="39"/>
      <w:bookmarkEnd w:id="39"/>
      <w:r>
        <w:rPr/>
      </w:r>
      <w:bookmarkStart w:name="_bookmark14" w:id="40"/>
      <w:bookmarkEnd w:id="40"/>
      <w:r>
        <w:rPr>
          <w:b/>
          <w:sz w:val="24"/>
        </w:rPr>
        <w:t>E</w:t>
      </w:r>
      <w:r>
        <w:rPr>
          <w:b/>
          <w:sz w:val="24"/>
        </w:rPr>
        <w:t>stágio 3 B </w:t>
      </w:r>
      <w:r>
        <w:rPr>
          <w:sz w:val="24"/>
        </w:rPr>
        <w:t>– TFG ≥ 30 a 44 mL/min/1,73m</w:t>
      </w:r>
      <w:r>
        <w:rPr>
          <w:sz w:val="24"/>
          <w:vertAlign w:val="superscript"/>
        </w:rPr>
        <w:t>2</w:t>
      </w:r>
      <w:r>
        <w:rPr>
          <w:sz w:val="24"/>
          <w:vertAlign w:val="baseline"/>
        </w:rPr>
        <w:t>. O acompanhamento desses indivíduos deverá ser mantido nas Unidades Básicas de Saúde (UBS) para tratamento dos fatores de risco modificáveis para a progressão da DRC e doença cardiovascular de acordo com as recomendações do MS: controle da glicemia, da hipertensão arterial, dislipidemia, obesidade, doenças cardiovasculares, tabagismo e adequação do estilo de vida. Havendo necessidade, as unidades de atenção especializadas em doença renal crônica poderão matriciar o acompanhamento do paciente nesse estágio da DRC. Esses pacientes devem ser encaminhados às unidades de atenção especializadas em doença renal crônica quando apresentarem uma das seguintes alterações clínicas: RAC acima de 300 mg/g, se não diabético, e perda de 30% de TFG com Inibidores da Enzima Conversora de Angiotensina (IECA) ou Bloqueadores dos Receptores da Angiotensina</w:t>
      </w:r>
      <w:r>
        <w:rPr>
          <w:spacing w:val="-3"/>
          <w:sz w:val="24"/>
          <w:vertAlign w:val="baseline"/>
        </w:rPr>
        <w:t> </w:t>
      </w:r>
      <w:r>
        <w:rPr>
          <w:sz w:val="24"/>
          <w:vertAlign w:val="baseline"/>
        </w:rPr>
        <w:t>(BRA).</w:t>
      </w:r>
    </w:p>
    <w:p>
      <w:pPr>
        <w:pStyle w:val="BodyText"/>
        <w:spacing w:line="360" w:lineRule="auto"/>
        <w:ind w:left="461" w:right="228" w:firstLine="705"/>
        <w:jc w:val="both"/>
      </w:pPr>
      <w:r>
        <w:rPr/>
        <w:t>A avaliação da TFG, do EAS, RAC e da dosagem de potássio sérico deverá ser realizada semestralmente. Os demais exames deverão ser realizados anualmente conforme descrito abaixo: cálcio, fósforo, PTH e Proteínas totais e frações. Em pacientes com diagnóstico de anemia (Hb</w:t>
      </w:r>
    </w:p>
    <w:p>
      <w:pPr>
        <w:spacing w:after="0" w:line="360" w:lineRule="auto"/>
        <w:jc w:val="both"/>
        <w:sectPr>
          <w:pgSz w:w="11910" w:h="16840"/>
          <w:pgMar w:header="0" w:footer="925" w:top="1320" w:bottom="1200" w:left="1240" w:right="620"/>
        </w:sectPr>
      </w:pPr>
    </w:p>
    <w:p>
      <w:pPr>
        <w:pStyle w:val="BodyText"/>
        <w:spacing w:line="360" w:lineRule="auto" w:before="74"/>
        <w:ind w:left="461"/>
      </w:pPr>
      <w:r>
        <w:rPr/>
        <w:t>&lt;13g/Dl, para homens e Hb&lt;12, para mulheres), hematócrito e hemoglobina, ferritina e índice de saturação de transferrina (IST) .</w:t>
      </w:r>
    </w:p>
    <w:p>
      <w:pPr>
        <w:pStyle w:val="BodyText"/>
        <w:ind w:left="1167"/>
      </w:pPr>
      <w:r>
        <w:rPr/>
        <w:t>Está recomendado para todos os pacientes no estágio 3B:</w:t>
      </w:r>
    </w:p>
    <w:p>
      <w:pPr>
        <w:pStyle w:val="ListParagraph"/>
        <w:numPr>
          <w:ilvl w:val="1"/>
          <w:numId w:val="8"/>
        </w:numPr>
        <w:tabs>
          <w:tab w:pos="1878" w:val="left" w:leader="none"/>
        </w:tabs>
        <w:spacing w:line="360" w:lineRule="auto" w:before="137" w:after="0"/>
        <w:ind w:left="1889" w:right="230" w:hanging="360"/>
        <w:jc w:val="left"/>
        <w:rPr>
          <w:sz w:val="24"/>
        </w:rPr>
      </w:pPr>
      <w:r>
        <w:rPr>
          <w:sz w:val="24"/>
        </w:rPr>
        <w:t>Diminuir a ingestão de sódio (menor que 2 g/dia) correspondente a 5 g de cloreto de sódio, em adultos, a não ser se contra</w:t>
      </w:r>
      <w:r>
        <w:rPr>
          <w:spacing w:val="-4"/>
          <w:sz w:val="24"/>
        </w:rPr>
        <w:t> </w:t>
      </w:r>
      <w:r>
        <w:rPr>
          <w:sz w:val="24"/>
        </w:rPr>
        <w:t>indicado;</w:t>
      </w:r>
    </w:p>
    <w:p>
      <w:pPr>
        <w:pStyle w:val="ListParagraph"/>
        <w:numPr>
          <w:ilvl w:val="1"/>
          <w:numId w:val="8"/>
        </w:numPr>
        <w:tabs>
          <w:tab w:pos="1878" w:val="left" w:leader="none"/>
        </w:tabs>
        <w:spacing w:line="360" w:lineRule="auto" w:before="0" w:after="0"/>
        <w:ind w:left="1889" w:right="229" w:hanging="360"/>
        <w:jc w:val="left"/>
        <w:rPr>
          <w:sz w:val="24"/>
        </w:rPr>
      </w:pPr>
      <w:r>
        <w:rPr>
          <w:sz w:val="24"/>
        </w:rPr>
        <w:t>Atividade física compatível com a saúde cardiovascular e tolerância: caminhada de 30 minutos 5x por semana para manter IMC &lt;</w:t>
      </w:r>
      <w:r>
        <w:rPr>
          <w:spacing w:val="-2"/>
          <w:sz w:val="24"/>
        </w:rPr>
        <w:t> </w:t>
      </w:r>
      <w:r>
        <w:rPr>
          <w:sz w:val="24"/>
        </w:rPr>
        <w:t>25;</w:t>
      </w:r>
    </w:p>
    <w:p>
      <w:pPr>
        <w:pStyle w:val="ListParagraph"/>
        <w:numPr>
          <w:ilvl w:val="1"/>
          <w:numId w:val="8"/>
        </w:numPr>
        <w:tabs>
          <w:tab w:pos="1878" w:val="left" w:leader="none"/>
        </w:tabs>
        <w:spacing w:line="240" w:lineRule="auto" w:before="0" w:after="0"/>
        <w:ind w:left="1889" w:right="0" w:hanging="360"/>
        <w:jc w:val="left"/>
        <w:rPr>
          <w:sz w:val="24"/>
        </w:rPr>
      </w:pPr>
      <w:r>
        <w:rPr>
          <w:sz w:val="24"/>
        </w:rPr>
        <w:t>Abandono do</w:t>
      </w:r>
      <w:r>
        <w:rPr>
          <w:spacing w:val="-1"/>
          <w:sz w:val="24"/>
        </w:rPr>
        <w:t> </w:t>
      </w:r>
      <w:r>
        <w:rPr>
          <w:sz w:val="24"/>
        </w:rPr>
        <w:t>tabagismo;</w:t>
      </w:r>
    </w:p>
    <w:p>
      <w:pPr>
        <w:pStyle w:val="ListParagraph"/>
        <w:numPr>
          <w:ilvl w:val="1"/>
          <w:numId w:val="8"/>
        </w:numPr>
        <w:tabs>
          <w:tab w:pos="1878" w:val="left" w:leader="none"/>
        </w:tabs>
        <w:spacing w:line="360" w:lineRule="auto" w:before="139" w:after="0"/>
        <w:ind w:left="1889" w:right="226" w:hanging="360"/>
        <w:jc w:val="left"/>
        <w:rPr>
          <w:sz w:val="24"/>
        </w:rPr>
      </w:pPr>
      <w:r>
        <w:rPr>
          <w:sz w:val="24"/>
        </w:rPr>
        <w:t>Correção da dose de medicações como antibióticos e antivirais de acordo com a TFG.</w:t>
      </w:r>
    </w:p>
    <w:p>
      <w:pPr>
        <w:pStyle w:val="BodyText"/>
        <w:ind w:left="1167"/>
      </w:pPr>
      <w:r>
        <w:rPr/>
        <w:t>Para o controle da hipertensão os alvos devem ser os seguintes:</w:t>
      </w:r>
    </w:p>
    <w:p>
      <w:pPr>
        <w:pStyle w:val="ListParagraph"/>
        <w:numPr>
          <w:ilvl w:val="0"/>
          <w:numId w:val="12"/>
        </w:numPr>
        <w:tabs>
          <w:tab w:pos="1877" w:val="left" w:leader="none"/>
          <w:tab w:pos="1878" w:val="left" w:leader="none"/>
        </w:tabs>
        <w:spacing w:line="240" w:lineRule="auto" w:before="137" w:after="0"/>
        <w:ind w:left="1167" w:right="0" w:firstLine="235"/>
        <w:jc w:val="left"/>
        <w:rPr>
          <w:sz w:val="24"/>
        </w:rPr>
      </w:pPr>
      <w:r>
        <w:rPr>
          <w:sz w:val="24"/>
        </w:rPr>
        <w:t>Não diabéticos e com RAC &lt; 30: PA &lt; 140/90</w:t>
      </w:r>
      <w:r>
        <w:rPr>
          <w:spacing w:val="-4"/>
          <w:sz w:val="24"/>
        </w:rPr>
        <w:t> </w:t>
      </w:r>
      <w:r>
        <w:rPr>
          <w:sz w:val="24"/>
        </w:rPr>
        <w:t>mmHg</w:t>
      </w:r>
    </w:p>
    <w:p>
      <w:pPr>
        <w:pStyle w:val="ListParagraph"/>
        <w:numPr>
          <w:ilvl w:val="0"/>
          <w:numId w:val="12"/>
        </w:numPr>
        <w:tabs>
          <w:tab w:pos="1877" w:val="left" w:leader="none"/>
          <w:tab w:pos="1878" w:val="left" w:leader="none"/>
        </w:tabs>
        <w:spacing w:line="240" w:lineRule="auto" w:before="139" w:after="0"/>
        <w:ind w:left="1877" w:right="0" w:hanging="542"/>
        <w:jc w:val="left"/>
        <w:rPr>
          <w:sz w:val="24"/>
        </w:rPr>
      </w:pPr>
      <w:r>
        <w:rPr>
          <w:sz w:val="24"/>
        </w:rPr>
        <w:t>Diabéticos e com RAC &gt; 30: PA ≤ 130/80</w:t>
      </w:r>
      <w:r>
        <w:rPr>
          <w:spacing w:val="-3"/>
          <w:sz w:val="24"/>
        </w:rPr>
        <w:t> </w:t>
      </w:r>
      <w:r>
        <w:rPr>
          <w:sz w:val="24"/>
        </w:rPr>
        <w:t>mmHg</w:t>
      </w:r>
    </w:p>
    <w:p>
      <w:pPr>
        <w:pStyle w:val="ListParagraph"/>
        <w:numPr>
          <w:ilvl w:val="0"/>
          <w:numId w:val="12"/>
        </w:numPr>
        <w:tabs>
          <w:tab w:pos="1877" w:val="left" w:leader="none"/>
          <w:tab w:pos="1878" w:val="left" w:leader="none"/>
        </w:tabs>
        <w:spacing w:line="360" w:lineRule="auto" w:before="137" w:after="0"/>
        <w:ind w:left="1167" w:right="342" w:firstLine="103"/>
        <w:jc w:val="left"/>
        <w:rPr>
          <w:sz w:val="24"/>
        </w:rPr>
      </w:pPr>
      <w:r>
        <w:rPr>
          <w:sz w:val="24"/>
        </w:rPr>
        <w:t>Todos os pacientes diabéticos e/ou com RAC ≥ 30 devem utilizar IECA ou BRA. Para pacientes diabéticos, deve-se manter a hemoglobina glicada em torno de</w:t>
      </w:r>
      <w:r>
        <w:rPr>
          <w:spacing w:val="-10"/>
          <w:sz w:val="24"/>
        </w:rPr>
        <w:t> </w:t>
      </w:r>
      <w:r>
        <w:rPr>
          <w:sz w:val="24"/>
        </w:rPr>
        <w:t>7%.</w:t>
      </w:r>
    </w:p>
    <w:p>
      <w:pPr>
        <w:pStyle w:val="BodyText"/>
        <w:spacing w:before="1"/>
        <w:rPr>
          <w:sz w:val="36"/>
        </w:rPr>
      </w:pPr>
    </w:p>
    <w:p>
      <w:pPr>
        <w:pStyle w:val="ListParagraph"/>
        <w:numPr>
          <w:ilvl w:val="0"/>
          <w:numId w:val="8"/>
        </w:numPr>
        <w:tabs>
          <w:tab w:pos="1472" w:val="left" w:leader="none"/>
        </w:tabs>
        <w:spacing w:line="360" w:lineRule="auto" w:before="1" w:after="0"/>
        <w:ind w:left="461" w:right="227" w:firstLine="706"/>
        <w:jc w:val="both"/>
        <w:rPr>
          <w:sz w:val="24"/>
        </w:rPr>
      </w:pPr>
      <w:bookmarkStart w:name="_bookmark15" w:id="41"/>
      <w:bookmarkEnd w:id="41"/>
      <w:r>
        <w:rPr/>
      </w:r>
      <w:bookmarkStart w:name="_bookmark15" w:id="42"/>
      <w:bookmarkEnd w:id="42"/>
      <w:r>
        <w:rPr>
          <w:b/>
          <w:sz w:val="24"/>
        </w:rPr>
        <w:t>E</w:t>
      </w:r>
      <w:r>
        <w:rPr>
          <w:b/>
          <w:sz w:val="24"/>
        </w:rPr>
        <w:t>stágio 4 </w:t>
      </w:r>
      <w:r>
        <w:rPr>
          <w:sz w:val="24"/>
        </w:rPr>
        <w:t>– TFG ≥ 15 a 29 mL/min/1,73m</w:t>
      </w:r>
      <w:r>
        <w:rPr>
          <w:sz w:val="24"/>
          <w:vertAlign w:val="superscript"/>
        </w:rPr>
        <w:t>2</w:t>
      </w:r>
      <w:r>
        <w:rPr>
          <w:sz w:val="24"/>
          <w:vertAlign w:val="baseline"/>
        </w:rPr>
        <w:t>. O acompanhamento desses indivíduos deverá ser realizado pela equipe multiprofissional composta de no mínimo os seguintes profissionais: médico nefrologista, enfermeiro, nutricionista, psicólogo, assistente social, nas unidades de atenção especializadas em doença renal crônica, mantendo vínculo com as Unidades Básicas de Saúde (UBS). O tratamento dos fatores de risco modificáveis para a progressão da DRC e doença cardiovascular deve ser mantido de acordo com as recomendações do MS: controle da glicemia, da hipertensão arterial, dislipidemia, obesidade, doenças cardiovasculares, tabagismo e adequação do estilo de vida. A avaliação nefrológica deverá ser realizada trimestralmente, ou de acordo com indicação clínica. Nesse estágio deverá ser realizado o esclarecimento sobre as modalidades de TRS por uma equipe multiprofissional da atenção especializada, com o registro de tal esclarecimento no prontuário. Caso o paciente opte pela hemodiálise como TRS, pode-se encaminhá-lo, após avaliação criteriosa pelo Médico Nefrologista, para confecção de fístula arteriovenosa em serviço de referência quando a TFG for menor do que 20 ml/min. Em casos de pacientes que optarem por diálise peritoneal, esses poderão ser encaminhados, após avaliação criteriosa pelo Médico Nefrologista, juntamente com seus familiares, para treinamento pela equipe multidisciplinar. Concomitante, os pacientes podem ser encaminhados para o serviço de referência de implante de cateter em período suficiente para o início programado da</w:t>
      </w:r>
      <w:r>
        <w:rPr>
          <w:spacing w:val="-4"/>
          <w:sz w:val="24"/>
          <w:vertAlign w:val="baseline"/>
        </w:rPr>
        <w:t> </w:t>
      </w:r>
      <w:r>
        <w:rPr>
          <w:sz w:val="24"/>
          <w:vertAlign w:val="baseline"/>
        </w:rPr>
        <w:t>diálise.</w:t>
      </w:r>
    </w:p>
    <w:p>
      <w:pPr>
        <w:spacing w:after="0" w:line="360" w:lineRule="auto"/>
        <w:jc w:val="both"/>
        <w:rPr>
          <w:sz w:val="24"/>
        </w:rPr>
        <w:sectPr>
          <w:pgSz w:w="11910" w:h="16840"/>
          <w:pgMar w:header="0" w:footer="925" w:top="1320" w:bottom="1200" w:left="1240" w:right="620"/>
        </w:sectPr>
      </w:pPr>
    </w:p>
    <w:p>
      <w:pPr>
        <w:pStyle w:val="BodyText"/>
        <w:spacing w:before="74"/>
        <w:ind w:left="1167"/>
      </w:pPr>
      <w:r>
        <w:rPr/>
        <w:t>Os exames mínimos realizados devem seguir a seguinte programação:</w:t>
      </w:r>
    </w:p>
    <w:p>
      <w:pPr>
        <w:pStyle w:val="ListParagraph"/>
        <w:numPr>
          <w:ilvl w:val="0"/>
          <w:numId w:val="13"/>
        </w:numPr>
        <w:tabs>
          <w:tab w:pos="1170" w:val="left" w:leader="none"/>
        </w:tabs>
        <w:spacing w:line="360" w:lineRule="auto" w:before="137" w:after="0"/>
        <w:ind w:left="1181" w:right="229" w:hanging="360"/>
        <w:jc w:val="left"/>
        <w:rPr>
          <w:sz w:val="24"/>
        </w:rPr>
      </w:pPr>
      <w:r>
        <w:rPr>
          <w:sz w:val="24"/>
        </w:rPr>
        <w:t>Trimestralmente: creatinina, úreia, cálcio, fósforo, hematócrito e hemoglobina, ferritina e índice de saturação de transferrina (IST) nos pacientes com anemia e</w:t>
      </w:r>
      <w:r>
        <w:rPr>
          <w:spacing w:val="-10"/>
          <w:sz w:val="24"/>
        </w:rPr>
        <w:t> </w:t>
      </w:r>
      <w:r>
        <w:rPr>
          <w:sz w:val="24"/>
        </w:rPr>
        <w:t>potássio.</w:t>
      </w:r>
    </w:p>
    <w:p>
      <w:pPr>
        <w:pStyle w:val="ListParagraph"/>
        <w:numPr>
          <w:ilvl w:val="0"/>
          <w:numId w:val="13"/>
        </w:numPr>
        <w:tabs>
          <w:tab w:pos="1170" w:val="left" w:leader="none"/>
        </w:tabs>
        <w:spacing w:line="360" w:lineRule="auto" w:before="0" w:after="0"/>
        <w:ind w:left="1181" w:right="230" w:hanging="360"/>
        <w:jc w:val="left"/>
        <w:rPr>
          <w:sz w:val="24"/>
        </w:rPr>
      </w:pPr>
      <w:r>
        <w:rPr>
          <w:sz w:val="24"/>
        </w:rPr>
        <w:t>Semestralmente: PTH, fosfatase alcalina, gasometria venosa ou reserva alcalina, Proteínas totais e frações e</w:t>
      </w:r>
      <w:r>
        <w:rPr>
          <w:spacing w:val="-1"/>
          <w:sz w:val="24"/>
        </w:rPr>
        <w:t> </w:t>
      </w:r>
      <w:r>
        <w:rPr>
          <w:sz w:val="24"/>
        </w:rPr>
        <w:t>RAC.</w:t>
      </w:r>
    </w:p>
    <w:p>
      <w:pPr>
        <w:pStyle w:val="ListParagraph"/>
        <w:numPr>
          <w:ilvl w:val="0"/>
          <w:numId w:val="13"/>
        </w:numPr>
        <w:tabs>
          <w:tab w:pos="1170" w:val="left" w:leader="none"/>
        </w:tabs>
        <w:spacing w:line="240" w:lineRule="auto" w:before="0" w:after="0"/>
        <w:ind w:left="1181" w:right="0" w:hanging="360"/>
        <w:jc w:val="left"/>
        <w:rPr>
          <w:sz w:val="24"/>
        </w:rPr>
      </w:pPr>
      <w:r>
        <w:rPr>
          <w:sz w:val="24"/>
        </w:rPr>
        <w:t>Anualmente:</w:t>
      </w:r>
      <w:r>
        <w:rPr>
          <w:spacing w:val="-1"/>
          <w:sz w:val="24"/>
        </w:rPr>
        <w:t> </w:t>
      </w:r>
      <w:r>
        <w:rPr>
          <w:sz w:val="24"/>
        </w:rPr>
        <w:t>Anti-HBs.</w:t>
      </w:r>
    </w:p>
    <w:p>
      <w:pPr>
        <w:pStyle w:val="BodyText"/>
        <w:spacing w:line="360" w:lineRule="auto" w:before="139"/>
        <w:ind w:left="461" w:right="230" w:firstLine="705"/>
        <w:jc w:val="both"/>
      </w:pPr>
      <w:r>
        <w:rPr/>
        <w:t>Deverá ser realizada sorologia para hepatite B (AgHbs, Anti-HBc IgG e Anti-HBs) no início do acompanhamento. Recomenda-se o encaminhamento para atualização do calendário vacinal, conforme PNI/MS.</w:t>
      </w:r>
    </w:p>
    <w:p>
      <w:pPr>
        <w:pStyle w:val="BodyText"/>
        <w:spacing w:before="119"/>
        <w:ind w:left="1167"/>
      </w:pPr>
      <w:r>
        <w:rPr/>
        <w:t>Está recomendado para todos os pacientes no estágio 4:</w:t>
      </w:r>
    </w:p>
    <w:p>
      <w:pPr>
        <w:pStyle w:val="BodyText"/>
        <w:spacing w:before="6"/>
        <w:rPr>
          <w:sz w:val="22"/>
        </w:rPr>
      </w:pPr>
    </w:p>
    <w:p>
      <w:pPr>
        <w:pStyle w:val="ListParagraph"/>
        <w:numPr>
          <w:ilvl w:val="1"/>
          <w:numId w:val="13"/>
        </w:numPr>
        <w:tabs>
          <w:tab w:pos="1528" w:val="left" w:leader="none"/>
        </w:tabs>
        <w:spacing w:line="360" w:lineRule="auto" w:before="0" w:after="0"/>
        <w:ind w:left="1527" w:right="229" w:hanging="360"/>
        <w:jc w:val="left"/>
        <w:rPr>
          <w:sz w:val="24"/>
        </w:rPr>
      </w:pPr>
      <w:r>
        <w:rPr>
          <w:sz w:val="24"/>
        </w:rPr>
        <w:t>Diminuir a ingestão de sódio (menor que 2 g/dia) correspondente a 5 g de cloreto de sódio, em adultos, a não ser se contra</w:t>
      </w:r>
      <w:r>
        <w:rPr>
          <w:spacing w:val="-3"/>
          <w:sz w:val="24"/>
        </w:rPr>
        <w:t> </w:t>
      </w:r>
      <w:r>
        <w:rPr>
          <w:sz w:val="24"/>
        </w:rPr>
        <w:t>indicado;</w:t>
      </w:r>
    </w:p>
    <w:p>
      <w:pPr>
        <w:pStyle w:val="ListParagraph"/>
        <w:numPr>
          <w:ilvl w:val="1"/>
          <w:numId w:val="13"/>
        </w:numPr>
        <w:tabs>
          <w:tab w:pos="1528" w:val="left" w:leader="none"/>
        </w:tabs>
        <w:spacing w:line="360" w:lineRule="auto" w:before="0" w:after="0"/>
        <w:ind w:left="1527" w:right="232" w:hanging="360"/>
        <w:jc w:val="left"/>
        <w:rPr>
          <w:sz w:val="24"/>
        </w:rPr>
      </w:pPr>
      <w:r>
        <w:rPr>
          <w:sz w:val="24"/>
        </w:rPr>
        <w:t>Atividade física compatível com a saúde cardiovascular e tolerância: caminhada de 30 minutos 5x por semana para manter IMC &lt;</w:t>
      </w:r>
      <w:r>
        <w:rPr>
          <w:spacing w:val="-2"/>
          <w:sz w:val="24"/>
        </w:rPr>
        <w:t> </w:t>
      </w:r>
      <w:r>
        <w:rPr>
          <w:sz w:val="24"/>
        </w:rPr>
        <w:t>25;</w:t>
      </w:r>
    </w:p>
    <w:p>
      <w:pPr>
        <w:pStyle w:val="ListParagraph"/>
        <w:numPr>
          <w:ilvl w:val="1"/>
          <w:numId w:val="13"/>
        </w:numPr>
        <w:tabs>
          <w:tab w:pos="1528" w:val="left" w:leader="none"/>
        </w:tabs>
        <w:spacing w:line="240" w:lineRule="auto" w:before="1" w:after="0"/>
        <w:ind w:left="1527" w:right="0" w:hanging="360"/>
        <w:jc w:val="left"/>
        <w:rPr>
          <w:sz w:val="24"/>
        </w:rPr>
      </w:pPr>
      <w:r>
        <w:rPr>
          <w:sz w:val="24"/>
        </w:rPr>
        <w:t>Abandono do</w:t>
      </w:r>
      <w:r>
        <w:rPr>
          <w:spacing w:val="-1"/>
          <w:sz w:val="24"/>
        </w:rPr>
        <w:t> </w:t>
      </w:r>
      <w:r>
        <w:rPr>
          <w:sz w:val="24"/>
        </w:rPr>
        <w:t>tabagismo;</w:t>
      </w:r>
    </w:p>
    <w:p>
      <w:pPr>
        <w:pStyle w:val="ListParagraph"/>
        <w:numPr>
          <w:ilvl w:val="1"/>
          <w:numId w:val="13"/>
        </w:numPr>
        <w:tabs>
          <w:tab w:pos="1528" w:val="left" w:leader="none"/>
        </w:tabs>
        <w:spacing w:line="240" w:lineRule="auto" w:before="136" w:after="0"/>
        <w:ind w:left="1527" w:right="0" w:hanging="360"/>
        <w:jc w:val="left"/>
        <w:rPr>
          <w:sz w:val="24"/>
        </w:rPr>
      </w:pPr>
      <w:r>
        <w:rPr>
          <w:sz w:val="24"/>
        </w:rPr>
        <w:t>Correção da dose de medicações como antibióticos e antivirais de acordo com a</w:t>
      </w:r>
      <w:r>
        <w:rPr>
          <w:spacing w:val="-15"/>
          <w:sz w:val="24"/>
        </w:rPr>
        <w:t> </w:t>
      </w:r>
      <w:r>
        <w:rPr>
          <w:sz w:val="24"/>
        </w:rPr>
        <w:t>TFG;</w:t>
      </w:r>
    </w:p>
    <w:p>
      <w:pPr>
        <w:pStyle w:val="ListParagraph"/>
        <w:numPr>
          <w:ilvl w:val="1"/>
          <w:numId w:val="13"/>
        </w:numPr>
        <w:tabs>
          <w:tab w:pos="1528" w:val="left" w:leader="none"/>
        </w:tabs>
        <w:spacing w:line="360" w:lineRule="auto" w:before="140" w:after="0"/>
        <w:ind w:left="1527" w:right="229" w:hanging="360"/>
        <w:jc w:val="both"/>
        <w:rPr>
          <w:sz w:val="24"/>
        </w:rPr>
      </w:pPr>
      <w:r>
        <w:rPr>
          <w:sz w:val="24"/>
        </w:rPr>
        <w:t>Redução da ingestão de proteínas para 0,8 g/Kg/dia em adultos, acompanhado de adequada orientação nutricional, devendo-se evitar ingestão maior do que 1,3g/kg/dia nos pacientes que necessitarem, por outra indicação, ingesta acima de 0,8</w:t>
      </w:r>
      <w:r>
        <w:rPr>
          <w:spacing w:val="-13"/>
          <w:sz w:val="24"/>
        </w:rPr>
        <w:t> </w:t>
      </w:r>
      <w:r>
        <w:rPr>
          <w:sz w:val="24"/>
        </w:rPr>
        <w:t>g/kg/dia;</w:t>
      </w:r>
    </w:p>
    <w:p>
      <w:pPr>
        <w:pStyle w:val="ListParagraph"/>
        <w:numPr>
          <w:ilvl w:val="1"/>
          <w:numId w:val="13"/>
        </w:numPr>
        <w:tabs>
          <w:tab w:pos="1528" w:val="left" w:leader="none"/>
        </w:tabs>
        <w:spacing w:line="360" w:lineRule="auto" w:before="0" w:after="0"/>
        <w:ind w:left="1527" w:right="229" w:hanging="360"/>
        <w:jc w:val="left"/>
        <w:rPr>
          <w:sz w:val="24"/>
        </w:rPr>
      </w:pPr>
      <w:r>
        <w:rPr>
          <w:sz w:val="24"/>
        </w:rPr>
        <w:t>Reposição de bicarbonato via oral para pacientes com acidose metabólica, definida por nível sérico de bicarbonato abaixo de 22 mEq/L na gasometria</w:t>
      </w:r>
      <w:r>
        <w:rPr>
          <w:spacing w:val="-9"/>
          <w:sz w:val="24"/>
        </w:rPr>
        <w:t> </w:t>
      </w:r>
      <w:r>
        <w:rPr>
          <w:sz w:val="24"/>
        </w:rPr>
        <w:t>venosa.</w:t>
      </w:r>
    </w:p>
    <w:p>
      <w:pPr>
        <w:pStyle w:val="BodyText"/>
        <w:rPr>
          <w:sz w:val="36"/>
        </w:rPr>
      </w:pPr>
    </w:p>
    <w:p>
      <w:pPr>
        <w:pStyle w:val="BodyText"/>
        <w:ind w:left="1181"/>
      </w:pPr>
      <w:r>
        <w:rPr/>
        <w:t>Para o controle da hipertensão os alvos devem ser os seguintes:</w:t>
      </w:r>
    </w:p>
    <w:p>
      <w:pPr>
        <w:pStyle w:val="ListParagraph"/>
        <w:numPr>
          <w:ilvl w:val="2"/>
          <w:numId w:val="13"/>
        </w:numPr>
        <w:tabs>
          <w:tab w:pos="1877" w:val="left" w:leader="none"/>
          <w:tab w:pos="1878" w:val="left" w:leader="none"/>
        </w:tabs>
        <w:spacing w:line="240" w:lineRule="auto" w:before="137" w:after="0"/>
        <w:ind w:left="1167" w:right="0" w:firstLine="247"/>
        <w:jc w:val="left"/>
        <w:rPr>
          <w:sz w:val="24"/>
        </w:rPr>
      </w:pPr>
      <w:r>
        <w:rPr>
          <w:sz w:val="24"/>
        </w:rPr>
        <w:t>Não diabéticos e com RAC &lt; 30: PA &lt; 140/90</w:t>
      </w:r>
      <w:r>
        <w:rPr>
          <w:spacing w:val="-4"/>
          <w:sz w:val="24"/>
        </w:rPr>
        <w:t> </w:t>
      </w:r>
      <w:r>
        <w:rPr>
          <w:sz w:val="24"/>
        </w:rPr>
        <w:t>mmHg</w:t>
      </w:r>
    </w:p>
    <w:p>
      <w:pPr>
        <w:pStyle w:val="ListParagraph"/>
        <w:numPr>
          <w:ilvl w:val="2"/>
          <w:numId w:val="13"/>
        </w:numPr>
        <w:tabs>
          <w:tab w:pos="1877" w:val="left" w:leader="none"/>
          <w:tab w:pos="1878" w:val="left" w:leader="none"/>
        </w:tabs>
        <w:spacing w:line="240" w:lineRule="auto" w:before="136" w:after="0"/>
        <w:ind w:left="1877" w:right="0" w:hanging="530"/>
        <w:jc w:val="left"/>
        <w:rPr>
          <w:sz w:val="24"/>
        </w:rPr>
      </w:pPr>
      <w:r>
        <w:rPr>
          <w:sz w:val="24"/>
        </w:rPr>
        <w:t>Diabéticos e com RAC &gt; 30: PA ≤ 130/80</w:t>
      </w:r>
      <w:r>
        <w:rPr>
          <w:spacing w:val="-3"/>
          <w:sz w:val="24"/>
        </w:rPr>
        <w:t> </w:t>
      </w:r>
      <w:r>
        <w:rPr>
          <w:sz w:val="24"/>
        </w:rPr>
        <w:t>mmHg</w:t>
      </w:r>
    </w:p>
    <w:p>
      <w:pPr>
        <w:pStyle w:val="ListParagraph"/>
        <w:numPr>
          <w:ilvl w:val="2"/>
          <w:numId w:val="13"/>
        </w:numPr>
        <w:tabs>
          <w:tab w:pos="1877" w:val="left" w:leader="none"/>
          <w:tab w:pos="1878" w:val="left" w:leader="none"/>
        </w:tabs>
        <w:spacing w:line="360" w:lineRule="auto" w:before="140" w:after="0"/>
        <w:ind w:left="1167" w:right="342" w:firstLine="115"/>
        <w:jc w:val="left"/>
        <w:rPr>
          <w:sz w:val="24"/>
        </w:rPr>
      </w:pPr>
      <w:r>
        <w:rPr>
          <w:sz w:val="24"/>
        </w:rPr>
        <w:t>Todos os pacientes diabéticos e/ou com RAC ≥ 30 devem utilizar IECA ou BRA. Para pacientes diabéticos, deve-se manter a hemoglobina glicada em torno de</w:t>
      </w:r>
      <w:r>
        <w:rPr>
          <w:spacing w:val="-10"/>
          <w:sz w:val="24"/>
        </w:rPr>
        <w:t> </w:t>
      </w:r>
      <w:r>
        <w:rPr>
          <w:sz w:val="24"/>
        </w:rPr>
        <w:t>7%.</w:t>
      </w:r>
    </w:p>
    <w:p>
      <w:pPr>
        <w:pStyle w:val="BodyText"/>
        <w:spacing w:before="10"/>
        <w:rPr>
          <w:sz w:val="35"/>
        </w:rPr>
      </w:pPr>
    </w:p>
    <w:p>
      <w:pPr>
        <w:pStyle w:val="ListParagraph"/>
        <w:numPr>
          <w:ilvl w:val="0"/>
          <w:numId w:val="8"/>
        </w:numPr>
        <w:tabs>
          <w:tab w:pos="1412" w:val="left" w:leader="none"/>
        </w:tabs>
        <w:spacing w:line="360" w:lineRule="auto" w:before="0" w:after="0"/>
        <w:ind w:left="461" w:right="229" w:firstLine="660"/>
        <w:jc w:val="both"/>
        <w:rPr>
          <w:sz w:val="24"/>
        </w:rPr>
      </w:pPr>
      <w:bookmarkStart w:name="_bookmark16" w:id="43"/>
      <w:bookmarkEnd w:id="43"/>
      <w:r>
        <w:rPr/>
      </w:r>
      <w:bookmarkStart w:name="_bookmark16" w:id="44"/>
      <w:bookmarkEnd w:id="44"/>
      <w:r>
        <w:rPr>
          <w:b/>
          <w:sz w:val="24"/>
        </w:rPr>
        <w:t>E</w:t>
      </w:r>
      <w:r>
        <w:rPr>
          <w:b/>
          <w:sz w:val="24"/>
        </w:rPr>
        <w:t>stágio 5-ND (não dialítico) </w:t>
      </w:r>
      <w:r>
        <w:rPr>
          <w:sz w:val="24"/>
        </w:rPr>
        <w:t>– TFG &lt;15 mL/min/1,73m</w:t>
      </w:r>
      <w:r>
        <w:rPr>
          <w:sz w:val="24"/>
          <w:vertAlign w:val="superscript"/>
        </w:rPr>
        <w:t>2</w:t>
      </w:r>
      <w:r>
        <w:rPr>
          <w:sz w:val="24"/>
          <w:vertAlign w:val="baseline"/>
        </w:rPr>
        <w:t>, em paciente que não está em TRS. O acompanhamento desses indivíduos deverá ser realizado pela equipe multiprofissional composta de no mínimo os seguintes profissionais: médico nefrologista, enfermeiro, nutricionista, psicólogo, assistente social, nas unidades de atenção especializadas em doença renal crônica, mantendo vínculo com as Unidades Básicas de Saúde (UBS). O</w:t>
      </w:r>
      <w:r>
        <w:rPr>
          <w:spacing w:val="6"/>
          <w:sz w:val="24"/>
          <w:vertAlign w:val="baseline"/>
        </w:rPr>
        <w:t> </w:t>
      </w:r>
      <w:r>
        <w:rPr>
          <w:sz w:val="24"/>
          <w:vertAlign w:val="baseline"/>
        </w:rPr>
        <w:t>tratamento</w:t>
      </w:r>
    </w:p>
    <w:p>
      <w:pPr>
        <w:spacing w:after="0" w:line="360" w:lineRule="auto"/>
        <w:jc w:val="both"/>
        <w:rPr>
          <w:sz w:val="24"/>
        </w:rPr>
        <w:sectPr>
          <w:pgSz w:w="11910" w:h="16840"/>
          <w:pgMar w:header="0" w:footer="925" w:top="1320" w:bottom="1200" w:left="1240" w:right="620"/>
        </w:sectPr>
      </w:pPr>
    </w:p>
    <w:p>
      <w:pPr>
        <w:pStyle w:val="BodyText"/>
        <w:spacing w:line="360" w:lineRule="auto" w:before="74"/>
        <w:ind w:left="461" w:right="227"/>
        <w:jc w:val="both"/>
      </w:pPr>
      <w:r>
        <w:rPr/>
        <w:t>dos fatores de risco modificáveis para a progressão da DRC e doença cardiovascular deve ser mantido de acordo com as recomendações do MS: controle da glicemia, da hipertensão arterial, da dislipidemia, obesidade, doenças cardiovasculares, tabagismo e adequação do estilo de vida. A avaliação nefrológica deverá ser realizada mensalmente. Nesse estágio deverá ser realizado o treinamento e preparo para a modalidade de TRS escolhida pelo paciente, por uma equipe multiprofissional da atenção especializada. Os exames mínimos realizados devem seguir a seguinte</w:t>
      </w:r>
      <w:r>
        <w:rPr>
          <w:spacing w:val="-2"/>
        </w:rPr>
        <w:t> </w:t>
      </w:r>
      <w:r>
        <w:rPr/>
        <w:t>programação:</w:t>
      </w:r>
    </w:p>
    <w:p>
      <w:pPr>
        <w:pStyle w:val="ListParagraph"/>
        <w:numPr>
          <w:ilvl w:val="0"/>
          <w:numId w:val="14"/>
        </w:numPr>
        <w:tabs>
          <w:tab w:pos="1170" w:val="left" w:leader="none"/>
        </w:tabs>
        <w:spacing w:line="275" w:lineRule="exact" w:before="0" w:after="0"/>
        <w:ind w:left="1181" w:right="0" w:hanging="360"/>
        <w:jc w:val="left"/>
        <w:rPr>
          <w:sz w:val="24"/>
        </w:rPr>
      </w:pPr>
      <w:r>
        <w:rPr>
          <w:sz w:val="24"/>
        </w:rPr>
        <w:t>Mensalmente: creatinina, ureia, cálcio, fósforo, hematócrito e hemoglobina,</w:t>
      </w:r>
      <w:r>
        <w:rPr>
          <w:spacing w:val="-6"/>
          <w:sz w:val="24"/>
        </w:rPr>
        <w:t> </w:t>
      </w:r>
      <w:r>
        <w:rPr>
          <w:sz w:val="24"/>
        </w:rPr>
        <w:t>potássio.</w:t>
      </w:r>
    </w:p>
    <w:p>
      <w:pPr>
        <w:pStyle w:val="ListParagraph"/>
        <w:numPr>
          <w:ilvl w:val="0"/>
          <w:numId w:val="14"/>
        </w:numPr>
        <w:tabs>
          <w:tab w:pos="1170" w:val="left" w:leader="none"/>
        </w:tabs>
        <w:spacing w:line="360" w:lineRule="auto" w:before="139" w:after="0"/>
        <w:ind w:left="1181" w:right="231" w:hanging="360"/>
        <w:jc w:val="left"/>
        <w:rPr>
          <w:sz w:val="24"/>
        </w:rPr>
      </w:pPr>
      <w:r>
        <w:rPr>
          <w:sz w:val="24"/>
        </w:rPr>
        <w:t>Trimestralmente: Proteínas totais e frações, ferritina, índice de saturação de transferrina (IST), fosfatase alcalina, PTH e gasometria venosa ou reserva</w:t>
      </w:r>
      <w:r>
        <w:rPr>
          <w:spacing w:val="-8"/>
          <w:sz w:val="24"/>
        </w:rPr>
        <w:t> </w:t>
      </w:r>
      <w:r>
        <w:rPr>
          <w:sz w:val="24"/>
        </w:rPr>
        <w:t>alcalina.</w:t>
      </w:r>
    </w:p>
    <w:p>
      <w:pPr>
        <w:pStyle w:val="ListParagraph"/>
        <w:numPr>
          <w:ilvl w:val="0"/>
          <w:numId w:val="14"/>
        </w:numPr>
        <w:tabs>
          <w:tab w:pos="1170" w:val="left" w:leader="none"/>
        </w:tabs>
        <w:spacing w:line="240" w:lineRule="auto" w:before="0" w:after="0"/>
        <w:ind w:left="1181" w:right="0" w:hanging="360"/>
        <w:jc w:val="left"/>
        <w:rPr>
          <w:sz w:val="24"/>
        </w:rPr>
      </w:pPr>
      <w:r>
        <w:rPr>
          <w:sz w:val="24"/>
        </w:rPr>
        <w:t>Semestralmente: vitamina</w:t>
      </w:r>
      <w:r>
        <w:rPr>
          <w:spacing w:val="-2"/>
          <w:sz w:val="24"/>
        </w:rPr>
        <w:t> </w:t>
      </w:r>
      <w:r>
        <w:rPr>
          <w:sz w:val="24"/>
        </w:rPr>
        <w:t>D.</w:t>
      </w:r>
    </w:p>
    <w:p>
      <w:pPr>
        <w:pStyle w:val="ListParagraph"/>
        <w:numPr>
          <w:ilvl w:val="0"/>
          <w:numId w:val="14"/>
        </w:numPr>
        <w:tabs>
          <w:tab w:pos="1170" w:val="left" w:leader="none"/>
        </w:tabs>
        <w:spacing w:line="240" w:lineRule="auto" w:before="137" w:after="0"/>
        <w:ind w:left="1181" w:right="0" w:hanging="360"/>
        <w:jc w:val="left"/>
        <w:rPr>
          <w:sz w:val="24"/>
        </w:rPr>
      </w:pPr>
      <w:r>
        <w:rPr>
          <w:sz w:val="24"/>
        </w:rPr>
        <w:t>Anualmente: anti-Hbs, anti-Hcv, HBsAg,</w:t>
      </w:r>
      <w:r>
        <w:rPr>
          <w:spacing w:val="-1"/>
          <w:sz w:val="24"/>
        </w:rPr>
        <w:t> </w:t>
      </w:r>
      <w:r>
        <w:rPr>
          <w:sz w:val="24"/>
        </w:rPr>
        <w:t>HIV.</w:t>
      </w:r>
    </w:p>
    <w:p>
      <w:pPr>
        <w:pStyle w:val="BodyText"/>
        <w:rPr>
          <w:sz w:val="26"/>
        </w:rPr>
      </w:pPr>
    </w:p>
    <w:p>
      <w:pPr>
        <w:pStyle w:val="BodyText"/>
        <w:rPr>
          <w:sz w:val="26"/>
        </w:rPr>
      </w:pPr>
    </w:p>
    <w:p>
      <w:pPr>
        <w:pStyle w:val="BodyText"/>
        <w:spacing w:line="360" w:lineRule="auto" w:before="194"/>
        <w:ind w:left="461" w:right="227" w:firstLine="283"/>
        <w:jc w:val="both"/>
      </w:pPr>
      <w:r>
        <w:rPr/>
        <w:t>Deverá ser realizada sorologia para hepatite B (AgHbs, Anti-HBc IgG e Anti-HBs) no início do acompanhamento. Recomenda-se o encaminhamento para atualização do calendário vacinal, conforme PNI/MS.</w:t>
      </w:r>
    </w:p>
    <w:p>
      <w:pPr>
        <w:pStyle w:val="BodyText"/>
        <w:spacing w:before="122"/>
        <w:ind w:left="1167"/>
      </w:pPr>
      <w:r>
        <w:rPr/>
        <w:t>Está recomendado para todos os pacientes no estágio 5-ND:</w:t>
      </w:r>
    </w:p>
    <w:p>
      <w:pPr>
        <w:pStyle w:val="BodyText"/>
        <w:spacing w:before="3"/>
        <w:rPr>
          <w:sz w:val="22"/>
        </w:rPr>
      </w:pPr>
    </w:p>
    <w:p>
      <w:pPr>
        <w:pStyle w:val="ListParagraph"/>
        <w:numPr>
          <w:ilvl w:val="1"/>
          <w:numId w:val="14"/>
        </w:numPr>
        <w:tabs>
          <w:tab w:pos="1441" w:val="left" w:leader="none"/>
        </w:tabs>
        <w:spacing w:line="360" w:lineRule="auto" w:before="0" w:after="0"/>
        <w:ind w:left="1181" w:right="229" w:firstLine="0"/>
        <w:jc w:val="left"/>
        <w:rPr>
          <w:sz w:val="24"/>
        </w:rPr>
      </w:pPr>
      <w:r>
        <w:rPr>
          <w:sz w:val="24"/>
        </w:rPr>
        <w:t>Diminuir a ingestão de sódio (menor que 2 g/dia) correspondente a 5 g de cloreto de sódio, em adultos, a não ser se contra</w:t>
      </w:r>
      <w:r>
        <w:rPr>
          <w:spacing w:val="-3"/>
          <w:sz w:val="24"/>
        </w:rPr>
        <w:t> </w:t>
      </w:r>
      <w:r>
        <w:rPr>
          <w:sz w:val="24"/>
        </w:rPr>
        <w:t>indicado;</w:t>
      </w:r>
    </w:p>
    <w:p>
      <w:pPr>
        <w:pStyle w:val="ListParagraph"/>
        <w:numPr>
          <w:ilvl w:val="1"/>
          <w:numId w:val="14"/>
        </w:numPr>
        <w:tabs>
          <w:tab w:pos="1432" w:val="left" w:leader="none"/>
        </w:tabs>
        <w:spacing w:line="360" w:lineRule="auto" w:before="0" w:after="0"/>
        <w:ind w:left="1181" w:right="228" w:firstLine="0"/>
        <w:jc w:val="left"/>
        <w:rPr>
          <w:sz w:val="24"/>
        </w:rPr>
      </w:pPr>
      <w:r>
        <w:rPr>
          <w:sz w:val="24"/>
        </w:rPr>
        <w:t>Atividade física compatível com a saúde cardiovascular e tolerância: caminhada de 30 minutos 5x por semana para manter IMC &lt;</w:t>
      </w:r>
      <w:r>
        <w:rPr>
          <w:spacing w:val="-3"/>
          <w:sz w:val="24"/>
        </w:rPr>
        <w:t> </w:t>
      </w:r>
      <w:r>
        <w:rPr>
          <w:sz w:val="24"/>
        </w:rPr>
        <w:t>25;</w:t>
      </w:r>
    </w:p>
    <w:p>
      <w:pPr>
        <w:pStyle w:val="ListParagraph"/>
        <w:numPr>
          <w:ilvl w:val="1"/>
          <w:numId w:val="14"/>
        </w:numPr>
        <w:tabs>
          <w:tab w:pos="1422" w:val="left" w:leader="none"/>
        </w:tabs>
        <w:spacing w:line="240" w:lineRule="auto" w:before="1" w:after="0"/>
        <w:ind w:left="1421" w:right="0" w:hanging="240"/>
        <w:jc w:val="left"/>
        <w:rPr>
          <w:sz w:val="24"/>
        </w:rPr>
      </w:pPr>
      <w:r>
        <w:rPr>
          <w:sz w:val="24"/>
        </w:rPr>
        <w:t>Abandono do</w:t>
      </w:r>
      <w:r>
        <w:rPr>
          <w:spacing w:val="-1"/>
          <w:sz w:val="24"/>
        </w:rPr>
        <w:t> </w:t>
      </w:r>
      <w:r>
        <w:rPr>
          <w:sz w:val="24"/>
        </w:rPr>
        <w:t>tabagismo;</w:t>
      </w:r>
    </w:p>
    <w:p>
      <w:pPr>
        <w:pStyle w:val="ListParagraph"/>
        <w:numPr>
          <w:ilvl w:val="1"/>
          <w:numId w:val="14"/>
        </w:numPr>
        <w:tabs>
          <w:tab w:pos="1422" w:val="left" w:leader="none"/>
        </w:tabs>
        <w:spacing w:line="240" w:lineRule="auto" w:before="139" w:after="0"/>
        <w:ind w:left="1421" w:right="0" w:hanging="240"/>
        <w:jc w:val="left"/>
        <w:rPr>
          <w:sz w:val="24"/>
        </w:rPr>
      </w:pPr>
      <w:r>
        <w:rPr>
          <w:sz w:val="24"/>
        </w:rPr>
        <w:t>Correção da dose de medicações como antibióticos e antivirais de acordo com a</w:t>
      </w:r>
      <w:r>
        <w:rPr>
          <w:spacing w:val="-13"/>
          <w:sz w:val="24"/>
        </w:rPr>
        <w:t> </w:t>
      </w:r>
      <w:r>
        <w:rPr>
          <w:sz w:val="24"/>
        </w:rPr>
        <w:t>TFG;</w:t>
      </w:r>
    </w:p>
    <w:p>
      <w:pPr>
        <w:pStyle w:val="ListParagraph"/>
        <w:numPr>
          <w:ilvl w:val="1"/>
          <w:numId w:val="14"/>
        </w:numPr>
        <w:tabs>
          <w:tab w:pos="1472" w:val="left" w:leader="none"/>
        </w:tabs>
        <w:spacing w:line="360" w:lineRule="auto" w:before="137" w:after="0"/>
        <w:ind w:left="1181" w:right="229" w:firstLine="0"/>
        <w:jc w:val="both"/>
        <w:rPr>
          <w:sz w:val="24"/>
        </w:rPr>
      </w:pPr>
      <w:r>
        <w:rPr>
          <w:sz w:val="24"/>
        </w:rPr>
        <w:t>Redução da ingestão de proteínas para 0,8 g/Kg/dia em adultos, acompanhado de adequada orientação nutricional, devendo-se evitar ingestão maior do que 1,3g/kg/dia nos pacientes que necessitarem, por outra indicação, ingesta acima de 0,8</w:t>
      </w:r>
      <w:r>
        <w:rPr>
          <w:spacing w:val="-8"/>
          <w:sz w:val="24"/>
        </w:rPr>
        <w:t> </w:t>
      </w:r>
      <w:r>
        <w:rPr>
          <w:sz w:val="24"/>
        </w:rPr>
        <w:t>g/kg/dia;</w:t>
      </w:r>
    </w:p>
    <w:p>
      <w:pPr>
        <w:pStyle w:val="ListParagraph"/>
        <w:numPr>
          <w:ilvl w:val="1"/>
          <w:numId w:val="14"/>
        </w:numPr>
        <w:tabs>
          <w:tab w:pos="1427" w:val="left" w:leader="none"/>
        </w:tabs>
        <w:spacing w:line="360" w:lineRule="auto" w:before="0" w:after="0"/>
        <w:ind w:left="1181" w:right="230" w:firstLine="0"/>
        <w:jc w:val="left"/>
        <w:rPr>
          <w:sz w:val="24"/>
        </w:rPr>
      </w:pPr>
      <w:r>
        <w:rPr>
          <w:sz w:val="24"/>
        </w:rPr>
        <w:t>Reposição de bicarbonato via oral para pacientes com acidose metabólica, definida por nível sérico de bicarbonato abaixo de 22 mEq/L na gasometria</w:t>
      </w:r>
      <w:r>
        <w:rPr>
          <w:spacing w:val="-11"/>
          <w:sz w:val="24"/>
        </w:rPr>
        <w:t> </w:t>
      </w:r>
      <w:r>
        <w:rPr>
          <w:sz w:val="24"/>
        </w:rPr>
        <w:t>venosa.</w:t>
      </w:r>
    </w:p>
    <w:p>
      <w:pPr>
        <w:pStyle w:val="BodyText"/>
        <w:spacing w:before="119"/>
        <w:ind w:left="1167"/>
      </w:pPr>
      <w:r>
        <w:rPr/>
        <w:t>Para o controle da hipertensão os alvos devem ser os seguintes:</w:t>
      </w:r>
    </w:p>
    <w:p>
      <w:pPr>
        <w:pStyle w:val="BodyText"/>
        <w:spacing w:before="6"/>
        <w:rPr>
          <w:sz w:val="22"/>
        </w:rPr>
      </w:pPr>
    </w:p>
    <w:p>
      <w:pPr>
        <w:pStyle w:val="ListParagraph"/>
        <w:numPr>
          <w:ilvl w:val="0"/>
          <w:numId w:val="15"/>
        </w:numPr>
        <w:tabs>
          <w:tab w:pos="1529" w:val="left" w:leader="none"/>
          <w:tab w:pos="1530" w:val="left" w:leader="none"/>
        </w:tabs>
        <w:spacing w:line="240" w:lineRule="auto" w:before="0" w:after="0"/>
        <w:ind w:left="1529" w:right="0" w:hanging="487"/>
        <w:jc w:val="left"/>
        <w:rPr>
          <w:sz w:val="24"/>
        </w:rPr>
      </w:pPr>
      <w:r>
        <w:rPr>
          <w:sz w:val="24"/>
        </w:rPr>
        <w:t>Não diabéticos e com RAC &lt; 30: PA &lt; 140/90</w:t>
      </w:r>
      <w:r>
        <w:rPr>
          <w:spacing w:val="-4"/>
          <w:sz w:val="24"/>
        </w:rPr>
        <w:t> </w:t>
      </w:r>
      <w:r>
        <w:rPr>
          <w:sz w:val="24"/>
        </w:rPr>
        <w:t>mmHg</w:t>
      </w:r>
    </w:p>
    <w:p>
      <w:pPr>
        <w:pStyle w:val="ListParagraph"/>
        <w:numPr>
          <w:ilvl w:val="0"/>
          <w:numId w:val="15"/>
        </w:numPr>
        <w:tabs>
          <w:tab w:pos="1529" w:val="left" w:leader="none"/>
          <w:tab w:pos="1530" w:val="left" w:leader="none"/>
        </w:tabs>
        <w:spacing w:line="240" w:lineRule="auto" w:before="137" w:after="0"/>
        <w:ind w:left="1529" w:right="0" w:hanging="554"/>
        <w:jc w:val="left"/>
        <w:rPr>
          <w:sz w:val="24"/>
        </w:rPr>
      </w:pPr>
      <w:r>
        <w:rPr>
          <w:sz w:val="24"/>
        </w:rPr>
        <w:t>Diabéticos e com RAC &gt; 30: PA ≤ 130/80</w:t>
      </w:r>
      <w:r>
        <w:rPr>
          <w:spacing w:val="-2"/>
          <w:sz w:val="24"/>
        </w:rPr>
        <w:t> </w:t>
      </w:r>
      <w:r>
        <w:rPr>
          <w:sz w:val="24"/>
        </w:rPr>
        <w:t>mmHg</w:t>
      </w:r>
    </w:p>
    <w:p>
      <w:pPr>
        <w:pStyle w:val="ListParagraph"/>
        <w:numPr>
          <w:ilvl w:val="0"/>
          <w:numId w:val="15"/>
        </w:numPr>
        <w:tabs>
          <w:tab w:pos="1529" w:val="left" w:leader="none"/>
          <w:tab w:pos="1530" w:val="left" w:leader="none"/>
        </w:tabs>
        <w:spacing w:line="240" w:lineRule="auto" w:before="139" w:after="0"/>
        <w:ind w:left="1529" w:right="0" w:hanging="619"/>
        <w:jc w:val="left"/>
        <w:rPr>
          <w:sz w:val="24"/>
        </w:rPr>
      </w:pPr>
      <w:r>
        <w:rPr>
          <w:sz w:val="24"/>
        </w:rPr>
        <w:t>Todos os pacientes diabéticos e/ou com RAC ≥ 30 devem utilizar IECA ou</w:t>
      </w:r>
      <w:r>
        <w:rPr>
          <w:spacing w:val="-8"/>
          <w:sz w:val="24"/>
        </w:rPr>
        <w:t> </w:t>
      </w:r>
      <w:r>
        <w:rPr>
          <w:sz w:val="24"/>
        </w:rPr>
        <w:t>BRA.</w:t>
      </w:r>
    </w:p>
    <w:p>
      <w:pPr>
        <w:spacing w:after="0" w:line="240" w:lineRule="auto"/>
        <w:jc w:val="left"/>
        <w:rPr>
          <w:sz w:val="24"/>
        </w:rPr>
        <w:sectPr>
          <w:pgSz w:w="11910" w:h="16840"/>
          <w:pgMar w:header="0" w:footer="925" w:top="1320" w:bottom="1200" w:left="1240" w:right="620"/>
        </w:sectPr>
      </w:pPr>
    </w:p>
    <w:p>
      <w:pPr>
        <w:pStyle w:val="BodyText"/>
        <w:spacing w:before="74"/>
        <w:ind w:left="1167"/>
      </w:pPr>
      <w:r>
        <w:rPr/>
        <w:t>Para pacientes diabéticos, deve-se manter a hemoglobina glicada em torno de 7%.</w:t>
      </w:r>
    </w:p>
    <w:p>
      <w:pPr>
        <w:pStyle w:val="BodyText"/>
        <w:spacing w:before="4"/>
        <w:rPr>
          <w:sz w:val="22"/>
        </w:rPr>
      </w:pPr>
    </w:p>
    <w:p>
      <w:pPr>
        <w:pStyle w:val="ListParagraph"/>
        <w:numPr>
          <w:ilvl w:val="0"/>
          <w:numId w:val="8"/>
        </w:numPr>
        <w:tabs>
          <w:tab w:pos="1475" w:val="left" w:leader="none"/>
        </w:tabs>
        <w:spacing w:line="360" w:lineRule="auto" w:before="0" w:after="0"/>
        <w:ind w:left="461" w:right="227" w:firstLine="706"/>
        <w:jc w:val="both"/>
        <w:rPr>
          <w:sz w:val="24"/>
        </w:rPr>
      </w:pPr>
      <w:bookmarkStart w:name="_bookmark17" w:id="45"/>
      <w:bookmarkEnd w:id="45"/>
      <w:r>
        <w:rPr/>
      </w:r>
      <w:bookmarkStart w:name="_bookmark17" w:id="46"/>
      <w:bookmarkEnd w:id="46"/>
      <w:r>
        <w:rPr>
          <w:b/>
          <w:sz w:val="24"/>
        </w:rPr>
        <w:t>E</w:t>
      </w:r>
      <w:r>
        <w:rPr>
          <w:b/>
          <w:sz w:val="24"/>
        </w:rPr>
        <w:t>stágio 5-D (em diálise) </w:t>
      </w:r>
      <w:r>
        <w:rPr>
          <w:sz w:val="24"/>
        </w:rPr>
        <w:t>– deve-se indicar TRS para pacientes com TFG inferior a 10 mL/min/1,73m</w:t>
      </w:r>
      <w:r>
        <w:rPr>
          <w:sz w:val="24"/>
          <w:vertAlign w:val="superscript"/>
        </w:rPr>
        <w:t>2</w:t>
      </w:r>
      <w:r>
        <w:rPr>
          <w:sz w:val="24"/>
          <w:vertAlign w:val="baseline"/>
        </w:rPr>
        <w:t>. Em pacientes diabéticos e com idade inferior à 18 anos, pode-se indicar o início da TRS quando a TFG for menor do que 15 mL/min/1,73m</w:t>
      </w:r>
      <w:r>
        <w:rPr>
          <w:sz w:val="24"/>
          <w:vertAlign w:val="superscript"/>
        </w:rPr>
        <w:t>2</w:t>
      </w:r>
      <w:r>
        <w:rPr>
          <w:sz w:val="24"/>
          <w:vertAlign w:val="baseline"/>
        </w:rPr>
        <w:t>. Em todas essas situações, deve-se respeitar a condição clínica e alteração laboratorial do paciente. A escolha do método de TRS deve levar em consideração a escolha do paciente, bem como a condição clínica, de acordo com avaliação da equipe multiprofissional. Antes do inídio da TRS é recomendado que o paciente assine um termo de consentimento livre e esclarecido (TCLE) sobre a modalidade escolhida e esse termo deve ser anexado ao prontuário. O acompanhamento desses indivíduos em procedimento dialítico é realizado nas unidades de atenção especializadas em doença renal crônica, pelo nefrologista e equipe multiprofissional desse serviço, mantendo vínculo com as Unidades Básicas de Saúde (UBS). O tratamento dos fatores de risco modificáveis para mortalidade cardiovascular deve ser mantido de acordo com as recomendações do MS: controle da glicemia, da hipertensão arterial, dislipidemia, obesidade, doenças cardiovasculares, tabagismo e adequação do estilo de vida. A avaliação nefrológica deverá ser realizada mensalmente.</w:t>
      </w:r>
    </w:p>
    <w:p>
      <w:pPr>
        <w:pStyle w:val="BodyText"/>
        <w:spacing w:before="122"/>
        <w:ind w:left="1167"/>
      </w:pPr>
      <w:r>
        <w:rPr/>
        <w:t>Está recomendado para todos os pacientes no estágio</w:t>
      </w:r>
      <w:r>
        <w:rPr>
          <w:spacing w:val="-15"/>
        </w:rPr>
        <w:t> </w:t>
      </w:r>
      <w:r>
        <w:rPr/>
        <w:t>5-D:</w:t>
      </w:r>
    </w:p>
    <w:p>
      <w:pPr>
        <w:pStyle w:val="BodyText"/>
        <w:spacing w:before="3"/>
        <w:rPr>
          <w:sz w:val="22"/>
        </w:rPr>
      </w:pPr>
    </w:p>
    <w:p>
      <w:pPr>
        <w:pStyle w:val="ListParagraph"/>
        <w:numPr>
          <w:ilvl w:val="0"/>
          <w:numId w:val="16"/>
        </w:numPr>
        <w:tabs>
          <w:tab w:pos="1429" w:val="left" w:leader="none"/>
        </w:tabs>
        <w:spacing w:line="360" w:lineRule="auto" w:before="0" w:after="0"/>
        <w:ind w:left="1169" w:right="229" w:firstLine="0"/>
        <w:jc w:val="left"/>
        <w:rPr>
          <w:sz w:val="24"/>
        </w:rPr>
      </w:pPr>
      <w:r>
        <w:rPr>
          <w:sz w:val="24"/>
        </w:rPr>
        <w:t>Diminuir a ingestão de sódio (menor que 2 g/dia) correspondente a 5 g de cloreto de sódio, em adultos, a não ser se contra</w:t>
      </w:r>
      <w:r>
        <w:rPr>
          <w:spacing w:val="-3"/>
          <w:sz w:val="24"/>
        </w:rPr>
        <w:t> </w:t>
      </w:r>
      <w:r>
        <w:rPr>
          <w:sz w:val="24"/>
        </w:rPr>
        <w:t>indicado;</w:t>
      </w:r>
    </w:p>
    <w:p>
      <w:pPr>
        <w:pStyle w:val="ListParagraph"/>
        <w:numPr>
          <w:ilvl w:val="0"/>
          <w:numId w:val="16"/>
        </w:numPr>
        <w:tabs>
          <w:tab w:pos="1420" w:val="left" w:leader="none"/>
        </w:tabs>
        <w:spacing w:line="360" w:lineRule="auto" w:before="121" w:after="0"/>
        <w:ind w:left="1169" w:right="231" w:firstLine="0"/>
        <w:jc w:val="left"/>
        <w:rPr>
          <w:sz w:val="24"/>
        </w:rPr>
      </w:pPr>
      <w:r>
        <w:rPr>
          <w:sz w:val="24"/>
        </w:rPr>
        <w:t>Atividade física compatível com a saúde cardiovascular e tolerância: caminhada de 30 minutos 5x por semana para manter IMC &lt;</w:t>
      </w:r>
      <w:r>
        <w:rPr>
          <w:spacing w:val="-3"/>
          <w:sz w:val="24"/>
        </w:rPr>
        <w:t> </w:t>
      </w:r>
      <w:r>
        <w:rPr>
          <w:sz w:val="24"/>
        </w:rPr>
        <w:t>25;</w:t>
      </w:r>
    </w:p>
    <w:p>
      <w:pPr>
        <w:pStyle w:val="ListParagraph"/>
        <w:numPr>
          <w:ilvl w:val="0"/>
          <w:numId w:val="16"/>
        </w:numPr>
        <w:tabs>
          <w:tab w:pos="1410" w:val="left" w:leader="none"/>
        </w:tabs>
        <w:spacing w:line="240" w:lineRule="auto" w:before="120" w:after="0"/>
        <w:ind w:left="1409" w:right="0" w:hanging="240"/>
        <w:jc w:val="left"/>
        <w:rPr>
          <w:sz w:val="24"/>
        </w:rPr>
      </w:pPr>
      <w:r>
        <w:rPr>
          <w:sz w:val="24"/>
        </w:rPr>
        <w:t>Abandono do</w:t>
      </w:r>
      <w:r>
        <w:rPr>
          <w:spacing w:val="-1"/>
          <w:sz w:val="24"/>
        </w:rPr>
        <w:t> </w:t>
      </w:r>
      <w:r>
        <w:rPr>
          <w:sz w:val="24"/>
        </w:rPr>
        <w:t>tabagismo;</w:t>
      </w:r>
    </w:p>
    <w:p>
      <w:pPr>
        <w:pStyle w:val="BodyText"/>
        <w:spacing w:before="6"/>
        <w:rPr>
          <w:sz w:val="22"/>
        </w:rPr>
      </w:pPr>
    </w:p>
    <w:p>
      <w:pPr>
        <w:pStyle w:val="ListParagraph"/>
        <w:numPr>
          <w:ilvl w:val="0"/>
          <w:numId w:val="16"/>
        </w:numPr>
        <w:tabs>
          <w:tab w:pos="1468" w:val="left" w:leader="none"/>
        </w:tabs>
        <w:spacing w:line="360" w:lineRule="auto" w:before="0" w:after="0"/>
        <w:ind w:left="1169" w:right="229" w:firstLine="0"/>
        <w:jc w:val="left"/>
        <w:rPr>
          <w:sz w:val="24"/>
        </w:rPr>
      </w:pPr>
      <w:r>
        <w:rPr>
          <w:sz w:val="24"/>
        </w:rPr>
        <w:t>Correção da dose de medicações como antibióticos e antivirais de acordo com a modalidade de</w:t>
      </w:r>
      <w:r>
        <w:rPr>
          <w:spacing w:val="-3"/>
          <w:sz w:val="24"/>
        </w:rPr>
        <w:t> </w:t>
      </w:r>
      <w:r>
        <w:rPr>
          <w:sz w:val="24"/>
        </w:rPr>
        <w:t>diálise;</w:t>
      </w:r>
    </w:p>
    <w:p>
      <w:pPr>
        <w:pStyle w:val="ListParagraph"/>
        <w:numPr>
          <w:ilvl w:val="0"/>
          <w:numId w:val="16"/>
        </w:numPr>
        <w:tabs>
          <w:tab w:pos="1436" w:val="left" w:leader="none"/>
        </w:tabs>
        <w:spacing w:line="360" w:lineRule="auto" w:before="118" w:after="0"/>
        <w:ind w:left="1169" w:right="232" w:firstLine="0"/>
        <w:jc w:val="left"/>
        <w:rPr>
          <w:sz w:val="24"/>
        </w:rPr>
      </w:pPr>
      <w:r>
        <w:rPr>
          <w:sz w:val="24"/>
        </w:rPr>
        <w:t>Adequação da ingesta de proteínas de acordo com o estado nutricional, avaliação da hiperfosfatemia e da adequação da</w:t>
      </w:r>
      <w:r>
        <w:rPr>
          <w:spacing w:val="-3"/>
          <w:sz w:val="24"/>
        </w:rPr>
        <w:t> </w:t>
      </w:r>
      <w:r>
        <w:rPr>
          <w:sz w:val="24"/>
        </w:rPr>
        <w:t>diálise.</w:t>
      </w:r>
    </w:p>
    <w:p>
      <w:pPr>
        <w:pStyle w:val="BodyText"/>
        <w:spacing w:before="120"/>
        <w:ind w:left="1167"/>
      </w:pPr>
      <w:r>
        <w:rPr/>
        <w:t>Para o controle da hipertensão o alvo deve ser PA &lt; 140/90 mmHg</w:t>
      </w:r>
    </w:p>
    <w:p>
      <w:pPr>
        <w:pStyle w:val="BodyText"/>
        <w:spacing w:before="6"/>
        <w:rPr>
          <w:sz w:val="22"/>
        </w:rPr>
      </w:pPr>
    </w:p>
    <w:p>
      <w:pPr>
        <w:pStyle w:val="BodyText"/>
        <w:ind w:left="1167"/>
      </w:pPr>
      <w:r>
        <w:rPr/>
        <w:t>Para pacientes diabéticos, deve-se manter a hemoglobina glicada em torno de 7%.</w:t>
      </w:r>
    </w:p>
    <w:p>
      <w:pPr>
        <w:pStyle w:val="BodyText"/>
        <w:spacing w:before="8"/>
        <w:rPr>
          <w:sz w:val="22"/>
        </w:rPr>
      </w:pPr>
    </w:p>
    <w:p>
      <w:pPr>
        <w:pStyle w:val="Heading1"/>
        <w:numPr>
          <w:ilvl w:val="0"/>
          <w:numId w:val="8"/>
        </w:numPr>
        <w:tabs>
          <w:tab w:pos="1429" w:val="left" w:leader="none"/>
        </w:tabs>
        <w:spacing w:line="240" w:lineRule="auto" w:before="0" w:after="0"/>
        <w:ind w:left="1428" w:right="0" w:hanging="307"/>
        <w:jc w:val="left"/>
      </w:pPr>
      <w:bookmarkStart w:name="_bookmark18" w:id="47"/>
      <w:bookmarkEnd w:id="47"/>
      <w:r>
        <w:rPr>
          <w:b w:val="0"/>
        </w:rPr>
      </w:r>
      <w:bookmarkStart w:name="_bookmark18" w:id="48"/>
      <w:bookmarkEnd w:id="48"/>
      <w:r>
        <w:rPr/>
        <w:t>E</w:t>
      </w:r>
      <w:r>
        <w:rPr/>
        <w:t>stágio 5-D em</w:t>
      </w:r>
      <w:r>
        <w:rPr>
          <w:spacing w:val="-6"/>
        </w:rPr>
        <w:t> </w:t>
      </w:r>
      <w:r>
        <w:rPr/>
        <w:t>Hemodiálise:</w:t>
      </w:r>
    </w:p>
    <w:p>
      <w:pPr>
        <w:spacing w:after="0" w:line="240" w:lineRule="auto"/>
        <w:jc w:val="left"/>
        <w:sectPr>
          <w:pgSz w:w="11910" w:h="16840"/>
          <w:pgMar w:header="0" w:footer="925" w:top="1320" w:bottom="1200" w:left="1240" w:right="620"/>
        </w:sectPr>
      </w:pPr>
    </w:p>
    <w:p>
      <w:pPr>
        <w:pStyle w:val="BodyText"/>
        <w:spacing w:line="360" w:lineRule="auto" w:before="74"/>
        <w:ind w:left="461" w:right="228" w:firstLine="360"/>
        <w:jc w:val="both"/>
      </w:pPr>
      <w:r>
        <w:rPr/>
        <w:t>Os exames mínimos realizados para pacientes em hemodiálise devem seguir a seguinte programação:</w:t>
      </w:r>
    </w:p>
    <w:p>
      <w:pPr>
        <w:pStyle w:val="ListParagraph"/>
        <w:numPr>
          <w:ilvl w:val="0"/>
          <w:numId w:val="17"/>
        </w:numPr>
        <w:tabs>
          <w:tab w:pos="1170" w:val="left" w:leader="none"/>
        </w:tabs>
        <w:spacing w:line="360" w:lineRule="auto" w:before="120" w:after="0"/>
        <w:ind w:left="1181" w:right="230" w:hanging="360"/>
        <w:jc w:val="both"/>
        <w:rPr>
          <w:sz w:val="24"/>
        </w:rPr>
      </w:pPr>
      <w:r>
        <w:rPr>
          <w:sz w:val="24"/>
        </w:rPr>
        <w:t>Mensalmente: hematócrito, hemoglobina, ureia pré e pós a sessão de hemodiálise, sódio, potássio, cálcio, fósforo, transaminase glutâmica pirúvica (TGP), glicemia para pacientes diabéticos e creatinina durante o primeiro</w:t>
      </w:r>
      <w:r>
        <w:rPr>
          <w:spacing w:val="-2"/>
          <w:sz w:val="24"/>
        </w:rPr>
        <w:t> </w:t>
      </w:r>
      <w:r>
        <w:rPr>
          <w:sz w:val="24"/>
        </w:rPr>
        <w:t>ano.</w:t>
      </w:r>
    </w:p>
    <w:p>
      <w:pPr>
        <w:pStyle w:val="ListParagraph"/>
        <w:numPr>
          <w:ilvl w:val="1"/>
          <w:numId w:val="17"/>
        </w:numPr>
        <w:tabs>
          <w:tab w:pos="1648" w:val="left" w:leader="none"/>
        </w:tabs>
        <w:spacing w:line="360" w:lineRule="auto" w:before="119" w:after="0"/>
        <w:ind w:left="1901" w:right="229" w:hanging="487"/>
        <w:jc w:val="left"/>
        <w:rPr>
          <w:sz w:val="24"/>
        </w:rPr>
      </w:pPr>
      <w:r>
        <w:rPr>
          <w:sz w:val="24"/>
        </w:rPr>
        <w:t>Quando houver elevação de TGP deve-se solicitar: AntiHBc IgM, HbsAg e AntiHCV.</w:t>
      </w:r>
    </w:p>
    <w:p>
      <w:pPr>
        <w:pStyle w:val="ListParagraph"/>
        <w:numPr>
          <w:ilvl w:val="1"/>
          <w:numId w:val="17"/>
        </w:numPr>
        <w:tabs>
          <w:tab w:pos="1648" w:val="left" w:leader="none"/>
        </w:tabs>
        <w:spacing w:line="360" w:lineRule="auto" w:before="120" w:after="0"/>
        <w:ind w:left="1901" w:right="227" w:hanging="554"/>
        <w:jc w:val="left"/>
        <w:rPr>
          <w:sz w:val="24"/>
        </w:rPr>
      </w:pPr>
      <w:r>
        <w:rPr>
          <w:sz w:val="24"/>
        </w:rPr>
        <w:t>A complementação diagnóstica e terapêutica nos casos de diagnóstico de hepatite viral deve ser assegurada aos pacientes e realizada nos serviços</w:t>
      </w:r>
      <w:r>
        <w:rPr>
          <w:spacing w:val="-10"/>
          <w:sz w:val="24"/>
        </w:rPr>
        <w:t> </w:t>
      </w:r>
      <w:r>
        <w:rPr>
          <w:sz w:val="24"/>
        </w:rPr>
        <w:t>especializados.</w:t>
      </w:r>
    </w:p>
    <w:p>
      <w:pPr>
        <w:pStyle w:val="ListParagraph"/>
        <w:numPr>
          <w:ilvl w:val="0"/>
          <w:numId w:val="17"/>
        </w:numPr>
        <w:tabs>
          <w:tab w:pos="1170" w:val="left" w:leader="none"/>
        </w:tabs>
        <w:spacing w:line="360" w:lineRule="auto" w:before="120" w:after="0"/>
        <w:ind w:left="1181" w:right="229" w:hanging="360"/>
        <w:jc w:val="both"/>
        <w:rPr>
          <w:sz w:val="24"/>
        </w:rPr>
      </w:pPr>
      <w:r>
        <w:rPr>
          <w:sz w:val="24"/>
        </w:rPr>
        <w:t>Trimestralmente: hemograma completo, índice de saturação de transferrina, dosagem de ferritina, fosfatase alcalina, PTH, Proteínas totais e frações e hemoglobina glicosilada para</w:t>
      </w:r>
      <w:r>
        <w:rPr>
          <w:spacing w:val="-2"/>
          <w:sz w:val="24"/>
        </w:rPr>
        <w:t> </w:t>
      </w:r>
      <w:r>
        <w:rPr>
          <w:sz w:val="24"/>
        </w:rPr>
        <w:t>diabéticos.</w:t>
      </w:r>
    </w:p>
    <w:p>
      <w:pPr>
        <w:pStyle w:val="ListParagraph"/>
        <w:numPr>
          <w:ilvl w:val="0"/>
          <w:numId w:val="17"/>
        </w:numPr>
        <w:tabs>
          <w:tab w:pos="1170" w:val="left" w:leader="none"/>
        </w:tabs>
        <w:spacing w:line="360" w:lineRule="auto" w:before="121" w:after="0"/>
        <w:ind w:left="1181" w:right="229" w:hanging="360"/>
        <w:jc w:val="both"/>
        <w:rPr>
          <w:sz w:val="24"/>
        </w:rPr>
      </w:pPr>
      <w:r>
        <w:rPr>
          <w:sz w:val="24"/>
        </w:rPr>
        <w:t>Semestralmente: Vitamina D e AntiHBs. Para pacientes susceptíveis, definidos como AntiHBC total ou IgG, AgHBs ou AntiHCV inicialmente negativos, fazer AgHbs e AntiHCV.</w:t>
      </w:r>
    </w:p>
    <w:p>
      <w:pPr>
        <w:pStyle w:val="ListParagraph"/>
        <w:numPr>
          <w:ilvl w:val="0"/>
          <w:numId w:val="17"/>
        </w:numPr>
        <w:tabs>
          <w:tab w:pos="1170" w:val="left" w:leader="none"/>
        </w:tabs>
        <w:spacing w:line="360" w:lineRule="auto" w:before="119" w:after="0"/>
        <w:ind w:left="1181" w:right="227" w:hanging="360"/>
        <w:jc w:val="both"/>
        <w:rPr>
          <w:sz w:val="24"/>
        </w:rPr>
      </w:pPr>
      <w:r>
        <w:rPr>
          <w:sz w:val="24"/>
        </w:rPr>
        <w:t>Anualmente: Colesterol total e frações, triglicérides, alumínio sérico, glicemia, TSH, T4, dosagem de anticorpos para HIV, Rx de tórax em PA e perfil, ultrassonografia renal e de vias urinárias,</w:t>
      </w:r>
      <w:r>
        <w:rPr>
          <w:spacing w:val="-1"/>
          <w:sz w:val="24"/>
        </w:rPr>
        <w:t> </w:t>
      </w:r>
      <w:r>
        <w:rPr>
          <w:sz w:val="24"/>
        </w:rPr>
        <w:t>eletrocardiograma.</w:t>
      </w:r>
    </w:p>
    <w:p>
      <w:pPr>
        <w:pStyle w:val="ListParagraph"/>
        <w:numPr>
          <w:ilvl w:val="0"/>
          <w:numId w:val="17"/>
        </w:numPr>
        <w:tabs>
          <w:tab w:pos="1170" w:val="left" w:leader="none"/>
        </w:tabs>
        <w:spacing w:line="360" w:lineRule="auto" w:before="122" w:after="0"/>
        <w:ind w:left="1181" w:right="227" w:hanging="360"/>
        <w:jc w:val="both"/>
        <w:rPr>
          <w:sz w:val="24"/>
        </w:rPr>
      </w:pPr>
      <w:r>
        <w:rPr>
          <w:sz w:val="24"/>
        </w:rPr>
        <w:t>Exames eventuais: hemocultura na suspeita de infecção da corrente sanguínea e teste do desferal na suspeita de intoxicação pelo</w:t>
      </w:r>
      <w:r>
        <w:rPr>
          <w:spacing w:val="-4"/>
          <w:sz w:val="24"/>
        </w:rPr>
        <w:t> </w:t>
      </w:r>
      <w:r>
        <w:rPr>
          <w:sz w:val="24"/>
        </w:rPr>
        <w:t>alumínio.</w:t>
      </w:r>
    </w:p>
    <w:p>
      <w:pPr>
        <w:pStyle w:val="Heading1"/>
        <w:spacing w:before="125"/>
        <w:ind w:left="1169"/>
      </w:pPr>
      <w:bookmarkStart w:name="_bookmark19" w:id="49"/>
      <w:bookmarkEnd w:id="49"/>
      <w:r>
        <w:rPr>
          <w:b w:val="0"/>
        </w:rPr>
      </w:r>
      <w:r>
        <w:rPr/>
        <w:t>I. Estágio 5-D em Diálise Peritoneal:</w:t>
      </w:r>
    </w:p>
    <w:p>
      <w:pPr>
        <w:pStyle w:val="BodyText"/>
        <w:spacing w:before="10"/>
        <w:rPr>
          <w:b/>
          <w:sz w:val="21"/>
        </w:rPr>
      </w:pPr>
    </w:p>
    <w:p>
      <w:pPr>
        <w:pStyle w:val="BodyText"/>
        <w:spacing w:line="360" w:lineRule="auto"/>
        <w:ind w:left="461" w:right="226" w:firstLine="360"/>
        <w:jc w:val="both"/>
      </w:pPr>
      <w:r>
        <w:rPr/>
        <w:t>Deve-se destacar que menos de 10% dos pacientes com DRCT terá contra indicação para realizar a diálise peritoneal. No quadro 2 estão apresentadas as potenciais contra indicações para esta modalidade. Para os pacientes que optarem pela diálise peritoneal, recomenda-se uma visita domiciliar para avaliação da adequação ambiental para realização do procedimento.</w:t>
      </w:r>
    </w:p>
    <w:p>
      <w:pPr>
        <w:pStyle w:val="BodyText"/>
        <w:spacing w:line="360" w:lineRule="auto"/>
        <w:ind w:left="461" w:right="232" w:firstLine="360"/>
        <w:jc w:val="both"/>
      </w:pPr>
      <w:r>
        <w:rPr/>
        <w:t>Os exames mínimos realizados para pacientes em diálise peritoneal devem seguir a seguinte programação:</w:t>
      </w:r>
    </w:p>
    <w:p>
      <w:pPr>
        <w:pStyle w:val="ListParagraph"/>
        <w:numPr>
          <w:ilvl w:val="0"/>
          <w:numId w:val="18"/>
        </w:numPr>
        <w:tabs>
          <w:tab w:pos="1456" w:val="left" w:leader="none"/>
        </w:tabs>
        <w:spacing w:line="360" w:lineRule="auto" w:before="120" w:after="0"/>
        <w:ind w:left="1181" w:right="226" w:hanging="360"/>
        <w:jc w:val="both"/>
        <w:rPr>
          <w:sz w:val="24"/>
        </w:rPr>
      </w:pPr>
      <w:r>
        <w:rPr>
          <w:sz w:val="24"/>
        </w:rPr>
        <w:t>Mensalmente: hematócrito, hemoglobina, sódio, potássio, cálcio, fósforo, creatinina e glicemia para pacientes</w:t>
      </w:r>
      <w:r>
        <w:rPr>
          <w:spacing w:val="-3"/>
          <w:sz w:val="24"/>
        </w:rPr>
        <w:t> </w:t>
      </w:r>
      <w:r>
        <w:rPr>
          <w:sz w:val="24"/>
        </w:rPr>
        <w:t>diabéticos.</w:t>
      </w:r>
    </w:p>
    <w:p>
      <w:pPr>
        <w:spacing w:after="0" w:line="360" w:lineRule="auto"/>
        <w:jc w:val="both"/>
        <w:rPr>
          <w:sz w:val="24"/>
        </w:rPr>
        <w:sectPr>
          <w:pgSz w:w="11910" w:h="16840"/>
          <w:pgMar w:header="0" w:footer="925" w:top="1320" w:bottom="1200" w:left="1240" w:right="620"/>
        </w:sectPr>
      </w:pPr>
    </w:p>
    <w:p>
      <w:pPr>
        <w:pStyle w:val="ListParagraph"/>
        <w:numPr>
          <w:ilvl w:val="0"/>
          <w:numId w:val="18"/>
        </w:numPr>
        <w:tabs>
          <w:tab w:pos="1170" w:val="left" w:leader="none"/>
        </w:tabs>
        <w:spacing w:line="360" w:lineRule="auto" w:before="74" w:after="0"/>
        <w:ind w:left="1181" w:right="226" w:hanging="360"/>
        <w:jc w:val="both"/>
        <w:rPr>
          <w:sz w:val="24"/>
        </w:rPr>
      </w:pPr>
      <w:r>
        <w:rPr>
          <w:sz w:val="24"/>
        </w:rPr>
        <w:t>Trimestralmente: hemograma completo, índice de saturação de transferrina, dosagem de ferritina, fosfatase alcalina, PTH, glicemia, Proteínas totais e frações e hemoglobina glicosilada para</w:t>
      </w:r>
      <w:r>
        <w:rPr>
          <w:spacing w:val="-3"/>
          <w:sz w:val="24"/>
        </w:rPr>
        <w:t> </w:t>
      </w:r>
      <w:r>
        <w:rPr>
          <w:sz w:val="24"/>
        </w:rPr>
        <w:t>diabéticos.</w:t>
      </w:r>
    </w:p>
    <w:p>
      <w:pPr>
        <w:pStyle w:val="ListParagraph"/>
        <w:numPr>
          <w:ilvl w:val="0"/>
          <w:numId w:val="18"/>
        </w:numPr>
        <w:tabs>
          <w:tab w:pos="1170" w:val="left" w:leader="none"/>
        </w:tabs>
        <w:spacing w:line="360" w:lineRule="auto" w:before="119" w:after="0"/>
        <w:ind w:left="1181" w:right="229" w:hanging="360"/>
        <w:jc w:val="both"/>
        <w:rPr>
          <w:sz w:val="24"/>
        </w:rPr>
      </w:pPr>
      <w:r>
        <w:rPr>
          <w:sz w:val="24"/>
        </w:rPr>
        <w:t>Semestralmente: Vitamina D, Colesterol total e frações, triglicérides. Realizar o KT/V semanal de uréia, através da dosagem da uréia sérica e no líquido de diálise peritoneal. Para pacientes que apresentam função renal residual, realizar depuração de creatinina, através da coleta de urina de 24 horas e depuração de uréia, através de coleta de urina de 24</w:t>
      </w:r>
      <w:r>
        <w:rPr>
          <w:spacing w:val="-1"/>
          <w:sz w:val="24"/>
        </w:rPr>
        <w:t> </w:t>
      </w:r>
      <w:r>
        <w:rPr>
          <w:sz w:val="24"/>
        </w:rPr>
        <w:t>horas.</w:t>
      </w:r>
    </w:p>
    <w:p>
      <w:pPr>
        <w:pStyle w:val="ListParagraph"/>
        <w:numPr>
          <w:ilvl w:val="0"/>
          <w:numId w:val="18"/>
        </w:numPr>
        <w:tabs>
          <w:tab w:pos="1170" w:val="left" w:leader="none"/>
        </w:tabs>
        <w:spacing w:line="360" w:lineRule="auto" w:before="121" w:after="0"/>
        <w:ind w:left="1181" w:right="229" w:hanging="360"/>
        <w:jc w:val="both"/>
        <w:rPr>
          <w:sz w:val="24"/>
        </w:rPr>
      </w:pPr>
      <w:r>
        <w:rPr>
          <w:sz w:val="24"/>
        </w:rPr>
        <w:t>Anualmente: alumínio sérico, TSH, T4, Rx de tórax em PA e perfil, ultrassonografia renal e de vias urinárias,</w:t>
      </w:r>
      <w:r>
        <w:rPr>
          <w:spacing w:val="-1"/>
          <w:sz w:val="24"/>
        </w:rPr>
        <w:t> </w:t>
      </w:r>
      <w:r>
        <w:rPr>
          <w:sz w:val="24"/>
        </w:rPr>
        <w:t>eletrocardiograma.</w:t>
      </w:r>
    </w:p>
    <w:p>
      <w:pPr>
        <w:pStyle w:val="ListParagraph"/>
        <w:numPr>
          <w:ilvl w:val="0"/>
          <w:numId w:val="18"/>
        </w:numPr>
        <w:tabs>
          <w:tab w:pos="1170" w:val="left" w:leader="none"/>
        </w:tabs>
        <w:spacing w:line="360" w:lineRule="auto" w:before="120" w:after="0"/>
        <w:ind w:left="1181" w:right="227" w:hanging="360"/>
        <w:jc w:val="both"/>
        <w:rPr>
          <w:sz w:val="24"/>
        </w:rPr>
      </w:pPr>
      <w:r>
        <w:rPr>
          <w:sz w:val="24"/>
        </w:rPr>
        <w:t>Exames eventuais: teste do desferal na suspeita de intoxicação pelo alumínio; na suspeita de peritonite, análise do líquido peritoneal com contagem total e diferencial de  leucócitos, bacterioscopia por gram e cultura; teste de equilíbrio peritoneal, no início do tratamento e repetir nos casos de redução de ultrafiltração e/ou inadequação de diálise. Para o teste de equilíbrio peritoneal é necessário realizar uma dosagem sérica de creatinina e duas dosagens de creatinina no líquido peritoneal, em tempos diferentes, e três dosagens de glicose no líquido peritoneal, em tempos</w:t>
      </w:r>
      <w:r>
        <w:rPr>
          <w:spacing w:val="-2"/>
          <w:sz w:val="24"/>
        </w:rPr>
        <w:t> </w:t>
      </w:r>
      <w:r>
        <w:rPr>
          <w:sz w:val="24"/>
        </w:rPr>
        <w:t>diferentes.</w:t>
      </w:r>
    </w:p>
    <w:p>
      <w:pPr>
        <w:pStyle w:val="BodyText"/>
        <w:spacing w:line="360" w:lineRule="auto" w:before="119"/>
        <w:ind w:left="821" w:right="229" w:firstLine="348"/>
        <w:jc w:val="both"/>
      </w:pPr>
      <w:r>
        <w:rPr/>
        <w:t>As unidades de atenção especializada em DRC devem assegurar aos pacientes os antimicrobianos para o tratamento de peritonite e infecções relacionadas ao uso de cateteres, desde que as condições clínicas do paciente permitam que essas infecções sejam tratadas a nível ambulatorial.</w:t>
      </w:r>
    </w:p>
    <w:p>
      <w:pPr>
        <w:pStyle w:val="BodyText"/>
        <w:spacing w:before="121"/>
        <w:ind w:left="461"/>
      </w:pPr>
      <w:r>
        <w:rPr/>
        <w:t>Quadro 2. Contra indicações para a diálise peritoneal.</w:t>
      </w:r>
    </w:p>
    <w:p>
      <w:pPr>
        <w:pStyle w:val="BodyText"/>
        <w:rPr>
          <w:sz w:val="23"/>
        </w:rPr>
      </w:pPr>
    </w:p>
    <w:tbl>
      <w:tblPr>
        <w:tblW w:w="0" w:type="auto"/>
        <w:jc w:val="left"/>
        <w:tblInd w:w="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19"/>
        <w:gridCol w:w="8052"/>
      </w:tblGrid>
      <w:tr>
        <w:trPr>
          <w:trHeight w:val="2428" w:hRule="atLeast"/>
        </w:trPr>
        <w:tc>
          <w:tcPr>
            <w:tcW w:w="1519" w:type="dxa"/>
          </w:tcPr>
          <w:p>
            <w:pPr>
              <w:pStyle w:val="TableParagraph"/>
              <w:spacing w:line="270" w:lineRule="exact"/>
              <w:rPr>
                <w:rFonts w:ascii="Times New Roman"/>
                <w:sz w:val="24"/>
              </w:rPr>
            </w:pPr>
            <w:r>
              <w:rPr>
                <w:rFonts w:ascii="Times New Roman"/>
                <w:sz w:val="24"/>
              </w:rPr>
              <w:t>Absolutas</w:t>
            </w:r>
          </w:p>
        </w:tc>
        <w:tc>
          <w:tcPr>
            <w:tcW w:w="8052" w:type="dxa"/>
          </w:tcPr>
          <w:p>
            <w:pPr>
              <w:pStyle w:val="TableParagraph"/>
              <w:spacing w:line="463" w:lineRule="auto"/>
              <w:ind w:left="105" w:right="872"/>
              <w:rPr>
                <w:rFonts w:ascii="Times New Roman" w:hAnsi="Times New Roman"/>
                <w:sz w:val="24"/>
              </w:rPr>
            </w:pPr>
            <w:r>
              <w:rPr>
                <w:rFonts w:ascii="Times New Roman" w:hAnsi="Times New Roman"/>
                <w:sz w:val="24"/>
              </w:rPr>
              <w:t>Perda comprovada da função peritoneal ou múltiplas adesões peritoneais. Incapacidade física ou mental para a execução do método.</w:t>
            </w:r>
          </w:p>
          <w:p>
            <w:pPr>
              <w:pStyle w:val="TableParagraph"/>
              <w:spacing w:line="360" w:lineRule="auto"/>
              <w:ind w:left="105" w:right="96"/>
              <w:jc w:val="both"/>
              <w:rPr>
                <w:rFonts w:ascii="Times New Roman" w:hAnsi="Times New Roman"/>
                <w:sz w:val="24"/>
              </w:rPr>
            </w:pPr>
            <w:r>
              <w:rPr>
                <w:rFonts w:ascii="Times New Roman" w:hAnsi="Times New Roman"/>
                <w:sz w:val="24"/>
              </w:rPr>
              <w:t>Condições cirúrgicas não corrigíveis (grandes hérnias inguinais, incisionais ou umbilical), onfalocele, gastrosquise (malformação da parede abdominal, com extrusão de vísceras abdominais), hérnia diafragmática, extrofia vesical.</w:t>
            </w:r>
          </w:p>
        </w:tc>
      </w:tr>
      <w:tr>
        <w:trPr>
          <w:trHeight w:val="1602" w:hRule="atLeast"/>
        </w:trPr>
        <w:tc>
          <w:tcPr>
            <w:tcW w:w="1519" w:type="dxa"/>
          </w:tcPr>
          <w:p>
            <w:pPr>
              <w:pStyle w:val="TableParagraph"/>
              <w:spacing w:line="270" w:lineRule="exact"/>
              <w:rPr>
                <w:rFonts w:ascii="Times New Roman"/>
                <w:sz w:val="24"/>
              </w:rPr>
            </w:pPr>
            <w:r>
              <w:rPr>
                <w:rFonts w:ascii="Times New Roman"/>
                <w:sz w:val="24"/>
              </w:rPr>
              <w:t>Relativas</w:t>
            </w:r>
          </w:p>
        </w:tc>
        <w:tc>
          <w:tcPr>
            <w:tcW w:w="8052" w:type="dxa"/>
          </w:tcPr>
          <w:p>
            <w:pPr>
              <w:pStyle w:val="TableParagraph"/>
              <w:spacing w:line="465" w:lineRule="auto"/>
              <w:ind w:left="105" w:right="1639"/>
              <w:rPr>
                <w:rFonts w:ascii="Times New Roman" w:hAnsi="Times New Roman"/>
                <w:sz w:val="24"/>
              </w:rPr>
            </w:pPr>
            <w:r>
              <w:rPr>
                <w:rFonts w:ascii="Times New Roman" w:hAnsi="Times New Roman"/>
                <w:sz w:val="24"/>
              </w:rPr>
              <w:t>Presença de próteses vasculares abdominais há menos de 4 meses. Presença de derivações ventrículo-peritoneais recentes.</w:t>
            </w:r>
          </w:p>
          <w:p>
            <w:pPr>
              <w:pStyle w:val="TableParagraph"/>
              <w:spacing w:line="273" w:lineRule="exact"/>
              <w:ind w:left="105"/>
              <w:rPr>
                <w:rFonts w:ascii="Times New Roman" w:hAnsi="Times New Roman"/>
                <w:sz w:val="24"/>
              </w:rPr>
            </w:pPr>
            <w:r>
              <w:rPr>
                <w:rFonts w:ascii="Times New Roman" w:hAnsi="Times New Roman"/>
                <w:sz w:val="24"/>
              </w:rPr>
              <w:t>Episódios frequentes de diverticulite.</w:t>
            </w:r>
          </w:p>
        </w:tc>
      </w:tr>
    </w:tbl>
    <w:p>
      <w:pPr>
        <w:spacing w:after="0" w:line="273" w:lineRule="exact"/>
        <w:rPr>
          <w:rFonts w:ascii="Times New Roman" w:hAnsi="Times New Roman"/>
          <w:sz w:val="24"/>
        </w:rPr>
        <w:sectPr>
          <w:pgSz w:w="11910" w:h="16840"/>
          <w:pgMar w:header="0" w:footer="925" w:top="1320" w:bottom="1200" w:left="1240" w:right="620"/>
        </w:sectPr>
      </w:pPr>
    </w:p>
    <w:p>
      <w:pPr>
        <w:pStyle w:val="BodyText"/>
        <w:ind w:left="1867"/>
        <w:rPr>
          <w:sz w:val="20"/>
        </w:rPr>
      </w:pPr>
      <w:r>
        <w:rPr>
          <w:sz w:val="20"/>
        </w:rPr>
        <w:pict>
          <v:shape style="width:402.6pt;height:53.9pt;mso-position-horizontal-relative:char;mso-position-vertical-relative:line" type="#_x0000_t202" filled="false" stroked="true" strokeweight=".48pt" strokecolor="#000000">
            <w10:anchorlock/>
            <v:textbox inset="0,0,0,0">
              <w:txbxContent>
                <w:p>
                  <w:pPr>
                    <w:pStyle w:val="BodyText"/>
                    <w:spacing w:line="270" w:lineRule="exact"/>
                    <w:ind w:left="100"/>
                  </w:pPr>
                  <w:r>
                    <w:rPr/>
                    <w:t>Doença inflamatória ou isquêmica intestinal.</w:t>
                  </w:r>
                </w:p>
                <w:p>
                  <w:pPr>
                    <w:pStyle w:val="BodyText"/>
                    <w:spacing w:before="3"/>
                    <w:rPr>
                      <w:sz w:val="22"/>
                    </w:rPr>
                  </w:pPr>
                </w:p>
                <w:p>
                  <w:pPr>
                    <w:pStyle w:val="BodyText"/>
                    <w:spacing w:before="1"/>
                    <w:ind w:left="100"/>
                  </w:pPr>
                  <w:r>
                    <w:rPr/>
                    <w:t>Intolerância à infusão de volume necessário para a adequação dialítica.</w:t>
                  </w:r>
                </w:p>
              </w:txbxContent>
            </v:textbox>
            <v:stroke dashstyle="solid"/>
          </v:shape>
        </w:pict>
      </w:r>
      <w:r>
        <w:rPr>
          <w:sz w:val="20"/>
        </w:rPr>
      </w:r>
    </w:p>
    <w:p>
      <w:pPr>
        <w:pStyle w:val="BodyText"/>
        <w:rPr>
          <w:sz w:val="20"/>
        </w:rPr>
      </w:pPr>
    </w:p>
    <w:p>
      <w:pPr>
        <w:pStyle w:val="BodyText"/>
        <w:spacing w:before="6"/>
        <w:rPr>
          <w:sz w:val="29"/>
        </w:rPr>
      </w:pPr>
    </w:p>
    <w:p>
      <w:pPr>
        <w:pStyle w:val="Heading1"/>
        <w:numPr>
          <w:ilvl w:val="0"/>
          <w:numId w:val="19"/>
        </w:numPr>
        <w:tabs>
          <w:tab w:pos="1249" w:val="left" w:leader="none"/>
        </w:tabs>
        <w:spacing w:line="240" w:lineRule="auto" w:before="90" w:after="0"/>
        <w:ind w:left="1248" w:right="0" w:hanging="360"/>
        <w:jc w:val="left"/>
      </w:pPr>
      <w:r>
        <w:rPr/>
        <w:pict>
          <v:line style="position:absolute;mso-position-horizontal-relative:page;mso-position-vertical-relative:paragraph;z-index:1120" from="79.680pt,-84.497887pt" to="79.680pt,-30.136887pt" stroked="true" strokeweight=".48pt" strokecolor="#000000">
            <v:stroke dashstyle="solid"/>
            <w10:wrap type="none"/>
          </v:line>
        </w:pict>
      </w:r>
      <w:bookmarkStart w:name="11. TRANSPLANTE" w:id="50"/>
      <w:bookmarkEnd w:id="50"/>
      <w:r>
        <w:rPr>
          <w:b w:val="0"/>
        </w:rPr>
      </w:r>
      <w:bookmarkStart w:name="_bookmark20" w:id="51"/>
      <w:bookmarkEnd w:id="51"/>
      <w:r>
        <w:rPr>
          <w:b w:val="0"/>
        </w:rPr>
      </w:r>
      <w:bookmarkStart w:name="_bookmark20" w:id="52"/>
      <w:bookmarkEnd w:id="52"/>
      <w:r>
        <w:rPr/>
        <w:t>T</w:t>
      </w:r>
      <w:r>
        <w:rPr/>
        <w:t>RANSPLANTE</w:t>
      </w:r>
    </w:p>
    <w:p>
      <w:pPr>
        <w:pStyle w:val="BodyText"/>
        <w:spacing w:before="6"/>
        <w:rPr>
          <w:b/>
          <w:sz w:val="27"/>
        </w:rPr>
      </w:pPr>
    </w:p>
    <w:p>
      <w:pPr>
        <w:pStyle w:val="BodyText"/>
        <w:spacing w:line="360" w:lineRule="auto"/>
        <w:ind w:left="461" w:right="229" w:firstLine="427"/>
        <w:jc w:val="both"/>
      </w:pPr>
      <w:r>
        <w:rPr/>
        <w:t>Os pacientes com DRC devem ser encaminhados para os serviços especializados em transplante, desde o estágio 5-ND. Duas modalidades de transplante de rim podem ser consideradas, de acordo com o tipo de doador, em transplante com doador vivo ou doador falecido. Pode-se considerar o transplante preemptivo, que é aquele realizado antes do paciente iniciar TRS. A indicação de transplante deve seguir as orientações da Portaria GM/MS N° 2.600, de 31 de outubro de 2009, ou a que venha a substituir.</w:t>
      </w:r>
    </w:p>
    <w:p>
      <w:pPr>
        <w:pStyle w:val="BodyText"/>
        <w:spacing w:before="5"/>
      </w:pPr>
    </w:p>
    <w:p>
      <w:pPr>
        <w:pStyle w:val="BodyText"/>
        <w:spacing w:line="360" w:lineRule="auto"/>
        <w:ind w:left="461" w:right="226" w:firstLine="427"/>
        <w:jc w:val="both"/>
      </w:pPr>
      <w:r>
        <w:rPr/>
        <w:t>No prazo de 90 (noventa) dias após o início do tratamento dialítico, o serviço de diálise deverá, obrigatoriamente, apresentar ao paciente apto ou ao seu representante legal, a opção de inscrição na Central de Notificação Captação e Distribuição de Órgãos (CNCDO) local ou de referência. O serviço de diálise deve encaminhar formalmente o paciente, acompanhado do relatório médico atualizado, ao estabelecimento e equipe escolhidos pelo paciente para  realização do transplante, comprometendo-se a encaminhar, trimestralmente, amostras do soro coletado, além de informar a situação clínica e o status em lista de espera, especialmente no que diz respeito a: falta de condições clínicas para o transplante, gestação, transfusão e</w:t>
      </w:r>
      <w:r>
        <w:rPr>
          <w:spacing w:val="-11"/>
        </w:rPr>
        <w:t> </w:t>
      </w:r>
      <w:r>
        <w:rPr/>
        <w:t>óbito.</w:t>
      </w:r>
    </w:p>
    <w:p>
      <w:pPr>
        <w:pStyle w:val="BodyText"/>
        <w:spacing w:line="360" w:lineRule="auto" w:before="120"/>
        <w:ind w:left="461" w:right="229" w:firstLine="427"/>
        <w:jc w:val="both"/>
      </w:pPr>
      <w:r>
        <w:rPr/>
        <w:t>As diretrizes sobre o transplante renal devem ser conforme as normativas e recomendações do da Portaria SAS/MS n° 666, de 17 de julho de 2012, ou a que venha a substituir.</w:t>
      </w:r>
    </w:p>
    <w:p>
      <w:pPr>
        <w:pStyle w:val="BodyText"/>
        <w:spacing w:before="8"/>
      </w:pPr>
    </w:p>
    <w:p>
      <w:pPr>
        <w:pStyle w:val="Heading1"/>
        <w:numPr>
          <w:ilvl w:val="0"/>
          <w:numId w:val="19"/>
        </w:numPr>
        <w:tabs>
          <w:tab w:pos="853" w:val="left" w:leader="none"/>
        </w:tabs>
        <w:spacing w:line="240" w:lineRule="auto" w:before="0" w:after="0"/>
        <w:ind w:left="852" w:right="0" w:hanging="391"/>
        <w:jc w:val="left"/>
      </w:pPr>
      <w:bookmarkStart w:name="12. CUIDADOS ADICIONAIS COM O PACIENTE C" w:id="53"/>
      <w:bookmarkEnd w:id="53"/>
      <w:r>
        <w:rPr>
          <w:b w:val="0"/>
        </w:rPr>
      </w:r>
      <w:bookmarkStart w:name="_bookmark21" w:id="54"/>
      <w:bookmarkEnd w:id="54"/>
      <w:r>
        <w:rPr>
          <w:b w:val="0"/>
        </w:rPr>
      </w:r>
      <w:bookmarkStart w:name="_bookmark21" w:id="55"/>
      <w:bookmarkEnd w:id="55"/>
      <w:r>
        <w:rPr/>
        <w:t>CU</w:t>
      </w:r>
      <w:r>
        <w:rPr/>
        <w:t>IDADOS ADICIONAIS COM O PACIENTE COM</w:t>
      </w:r>
      <w:r>
        <w:rPr>
          <w:spacing w:val="-4"/>
        </w:rPr>
        <w:t> </w:t>
      </w:r>
      <w:r>
        <w:rPr/>
        <w:t>DRC</w:t>
      </w:r>
    </w:p>
    <w:p>
      <w:pPr>
        <w:pStyle w:val="BodyText"/>
        <w:spacing w:before="6"/>
        <w:rPr>
          <w:b/>
          <w:sz w:val="27"/>
        </w:rPr>
      </w:pPr>
    </w:p>
    <w:p>
      <w:pPr>
        <w:pStyle w:val="ListParagraph"/>
        <w:numPr>
          <w:ilvl w:val="1"/>
          <w:numId w:val="19"/>
        </w:numPr>
        <w:tabs>
          <w:tab w:pos="1877" w:val="left" w:leader="none"/>
          <w:tab w:pos="1878" w:val="left" w:leader="none"/>
        </w:tabs>
        <w:spacing w:line="240" w:lineRule="auto" w:before="0" w:after="0"/>
        <w:ind w:left="1877" w:right="0" w:hanging="564"/>
        <w:jc w:val="left"/>
        <w:rPr>
          <w:sz w:val="24"/>
        </w:rPr>
      </w:pPr>
      <w:r>
        <w:rPr>
          <w:sz w:val="24"/>
        </w:rPr>
        <w:t>Tratamento da Anemia na</w:t>
      </w:r>
      <w:r>
        <w:rPr>
          <w:spacing w:val="-2"/>
          <w:sz w:val="24"/>
        </w:rPr>
        <w:t> </w:t>
      </w:r>
      <w:r>
        <w:rPr>
          <w:sz w:val="24"/>
        </w:rPr>
        <w:t>DRC</w:t>
      </w:r>
    </w:p>
    <w:p>
      <w:pPr>
        <w:pStyle w:val="BodyText"/>
        <w:spacing w:before="6"/>
        <w:rPr>
          <w:sz w:val="22"/>
        </w:rPr>
      </w:pPr>
    </w:p>
    <w:p>
      <w:pPr>
        <w:pStyle w:val="BodyText"/>
        <w:spacing w:line="360" w:lineRule="auto"/>
        <w:ind w:left="461" w:right="227" w:firstLine="360"/>
        <w:jc w:val="both"/>
      </w:pPr>
      <w:r>
        <w:rPr/>
        <w:t>A Anemia é definida como concentração de hemoglobina menor do que 13,0 g/dl entre os homens e 12,0 g/dl entre as mulheres. Sempre que o diagnóstico de anemia for feito,</w:t>
      </w:r>
      <w:r>
        <w:rPr>
          <w:spacing w:val="32"/>
        </w:rPr>
        <w:t> </w:t>
      </w:r>
      <w:r>
        <w:rPr/>
        <w:t>em qualquer estágio, deve-se dosar a ferritina e o índice de saturação de transferrina, conforme descrito anteriormente. Duas estratégias devem ser consideradas, no que diz respeito especificamente à DRC: a reposição de ferro e o uso de agentes estimuladores da eritopoese, a eritopoetina. O uso dessas estratégias terapêuticas deve seguir as recomendações do Protocolo Clínico e Diretriz Terapêutica (PCDT) para Anemia em Pacientes com Insuficiência Renal Crônica</w:t>
      </w:r>
      <w:r>
        <w:rPr>
          <w:spacing w:val="43"/>
        </w:rPr>
        <w:t> </w:t>
      </w:r>
      <w:r>
        <w:rPr/>
        <w:t>–</w:t>
      </w:r>
      <w:r>
        <w:rPr>
          <w:spacing w:val="45"/>
        </w:rPr>
        <w:t> </w:t>
      </w:r>
      <w:r>
        <w:rPr/>
        <w:t>Alfaepoetina</w:t>
      </w:r>
      <w:r>
        <w:rPr>
          <w:spacing w:val="46"/>
        </w:rPr>
        <w:t> </w:t>
      </w:r>
      <w:r>
        <w:rPr/>
        <w:t>(Portaria</w:t>
      </w:r>
      <w:r>
        <w:rPr>
          <w:spacing w:val="44"/>
        </w:rPr>
        <w:t> </w:t>
      </w:r>
      <w:r>
        <w:rPr/>
        <w:t>SAS/MS</w:t>
      </w:r>
      <w:r>
        <w:rPr>
          <w:spacing w:val="45"/>
        </w:rPr>
        <w:t> </w:t>
      </w:r>
      <w:r>
        <w:rPr/>
        <w:t>n°</w:t>
      </w:r>
      <w:r>
        <w:rPr>
          <w:spacing w:val="45"/>
        </w:rPr>
        <w:t> </w:t>
      </w:r>
      <w:r>
        <w:rPr/>
        <w:t>226,</w:t>
      </w:r>
      <w:r>
        <w:rPr>
          <w:spacing w:val="44"/>
        </w:rPr>
        <w:t> </w:t>
      </w:r>
      <w:r>
        <w:rPr/>
        <w:t>de</w:t>
      </w:r>
      <w:r>
        <w:rPr>
          <w:spacing w:val="44"/>
        </w:rPr>
        <w:t> </w:t>
      </w:r>
      <w:r>
        <w:rPr/>
        <w:t>10</w:t>
      </w:r>
      <w:r>
        <w:rPr>
          <w:spacing w:val="44"/>
        </w:rPr>
        <w:t> </w:t>
      </w:r>
      <w:r>
        <w:rPr/>
        <w:t>de</w:t>
      </w:r>
      <w:r>
        <w:rPr>
          <w:spacing w:val="44"/>
        </w:rPr>
        <w:t> </w:t>
      </w:r>
      <w:r>
        <w:rPr/>
        <w:t>maio</w:t>
      </w:r>
      <w:r>
        <w:rPr>
          <w:spacing w:val="45"/>
        </w:rPr>
        <w:t> </w:t>
      </w:r>
      <w:r>
        <w:rPr/>
        <w:t>de</w:t>
      </w:r>
      <w:r>
        <w:rPr>
          <w:spacing w:val="43"/>
        </w:rPr>
        <w:t> </w:t>
      </w:r>
      <w:r>
        <w:rPr/>
        <w:t>2010)</w:t>
      </w:r>
      <w:r>
        <w:rPr>
          <w:spacing w:val="44"/>
        </w:rPr>
        <w:t> </w:t>
      </w:r>
      <w:r>
        <w:rPr/>
        <w:t>e</w:t>
      </w:r>
      <w:r>
        <w:rPr>
          <w:spacing w:val="43"/>
        </w:rPr>
        <w:t> </w:t>
      </w:r>
      <w:r>
        <w:rPr/>
        <w:t>o</w:t>
      </w:r>
      <w:r>
        <w:rPr>
          <w:spacing w:val="45"/>
        </w:rPr>
        <w:t> </w:t>
      </w:r>
      <w:r>
        <w:rPr/>
        <w:t>PCDT</w:t>
      </w:r>
      <w:r>
        <w:rPr>
          <w:spacing w:val="44"/>
        </w:rPr>
        <w:t> </w:t>
      </w:r>
      <w:r>
        <w:rPr/>
        <w:t>para</w:t>
      </w:r>
    </w:p>
    <w:p>
      <w:pPr>
        <w:spacing w:after="0" w:line="360" w:lineRule="auto"/>
        <w:jc w:val="both"/>
        <w:sectPr>
          <w:pgSz w:w="11910" w:h="16840"/>
          <w:pgMar w:header="0" w:footer="925" w:top="1400" w:bottom="1200" w:left="1240" w:right="620"/>
        </w:sectPr>
      </w:pPr>
    </w:p>
    <w:p>
      <w:pPr>
        <w:pStyle w:val="BodyText"/>
        <w:spacing w:line="360" w:lineRule="auto" w:before="74"/>
        <w:ind w:left="461" w:right="158"/>
      </w:pPr>
      <w:r>
        <w:rPr/>
        <w:t>Anemia em Pacientes com Insuficiência Renal Crônica – Reposição de Ferro III (Portaria SAS/MS n° 226, de 10 de maio de 2010) ou os que venham os substituir.</w:t>
      </w:r>
    </w:p>
    <w:p>
      <w:pPr>
        <w:pStyle w:val="ListParagraph"/>
        <w:numPr>
          <w:ilvl w:val="1"/>
          <w:numId w:val="19"/>
        </w:numPr>
        <w:tabs>
          <w:tab w:pos="1877" w:val="left" w:leader="none"/>
          <w:tab w:pos="1878" w:val="left" w:leader="none"/>
        </w:tabs>
        <w:spacing w:line="240" w:lineRule="auto" w:before="120" w:after="0"/>
        <w:ind w:left="1877" w:right="0" w:hanging="564"/>
        <w:jc w:val="left"/>
        <w:rPr>
          <w:sz w:val="24"/>
        </w:rPr>
      </w:pPr>
      <w:r>
        <w:rPr>
          <w:sz w:val="24"/>
        </w:rPr>
        <w:t>Tratamento dos Distúrbios do Metabolismo Mineral e Ósseo na</w:t>
      </w:r>
      <w:r>
        <w:rPr>
          <w:spacing w:val="-5"/>
          <w:sz w:val="24"/>
        </w:rPr>
        <w:t> </w:t>
      </w:r>
      <w:r>
        <w:rPr>
          <w:sz w:val="24"/>
        </w:rPr>
        <w:t>DRC</w:t>
      </w:r>
    </w:p>
    <w:p>
      <w:pPr>
        <w:pStyle w:val="BodyText"/>
        <w:spacing w:before="4"/>
        <w:rPr>
          <w:sz w:val="22"/>
        </w:rPr>
      </w:pPr>
    </w:p>
    <w:p>
      <w:pPr>
        <w:pStyle w:val="BodyText"/>
        <w:spacing w:line="360" w:lineRule="auto"/>
        <w:ind w:left="461" w:right="226" w:firstLine="360"/>
        <w:jc w:val="both"/>
      </w:pPr>
      <w:r>
        <w:rPr/>
        <w:t>Em relação aos distúrbios do metabolismo mineral e ósseo (MMO), deve-se considerar como parâmetros para o tratamento os valores de fósforo, PTH e vitamina D, apenas para pacientes com DRC nos estágios 3, 4 e 5. Os níveis séricos de fósforo de PTH devem ser mantidos na faixa de normalidade, de acordo com o estágio da DRC, como apresentado na tabela 3. Os quelantes de fósforo devem ser prescritos se, apesar da restrição dietética, o fósforo sérico ou o PTH estiverem acima dos níveis recomendados, de acordo com o PCDT de Hiperfosfatemia na Insuficiência Renal Crônica (Portaria SAS/MS n° 225, de 10 de maio de 2010) ou os que venham os</w:t>
      </w:r>
      <w:r>
        <w:rPr>
          <w:spacing w:val="-1"/>
        </w:rPr>
        <w:t> </w:t>
      </w:r>
      <w:r>
        <w:rPr/>
        <w:t>substituir.</w:t>
      </w:r>
    </w:p>
    <w:p>
      <w:pPr>
        <w:pStyle w:val="BodyText"/>
        <w:spacing w:before="120"/>
        <w:ind w:left="461"/>
      </w:pPr>
      <w:r>
        <w:rPr/>
        <w:t>Tabela 3. Valores recomendados de Fósforo e de PTH, conforme estágio de DRC.</w:t>
      </w:r>
    </w:p>
    <w:p>
      <w:pPr>
        <w:pStyle w:val="BodyText"/>
        <w:spacing w:after="1"/>
        <w:rPr>
          <w:sz w:val="23"/>
        </w:rPr>
      </w:pPr>
    </w:p>
    <w:tbl>
      <w:tblPr>
        <w:tblW w:w="0" w:type="auto"/>
        <w:jc w:val="left"/>
        <w:tblInd w:w="1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9"/>
        <w:gridCol w:w="1819"/>
        <w:gridCol w:w="1819"/>
      </w:tblGrid>
      <w:tr>
        <w:trPr>
          <w:trHeight w:val="532" w:hRule="atLeast"/>
        </w:trPr>
        <w:tc>
          <w:tcPr>
            <w:tcW w:w="1819" w:type="dxa"/>
          </w:tcPr>
          <w:p>
            <w:pPr>
              <w:pStyle w:val="TableParagraph"/>
              <w:spacing w:line="270" w:lineRule="exact"/>
              <w:rPr>
                <w:rFonts w:ascii="Times New Roman"/>
                <w:sz w:val="24"/>
              </w:rPr>
            </w:pPr>
            <w:r>
              <w:rPr>
                <w:rFonts w:ascii="Times New Roman"/>
                <w:sz w:val="24"/>
              </w:rPr>
              <w:t>DRC</w:t>
            </w:r>
          </w:p>
        </w:tc>
        <w:tc>
          <w:tcPr>
            <w:tcW w:w="1819" w:type="dxa"/>
          </w:tcPr>
          <w:p>
            <w:pPr>
              <w:pStyle w:val="TableParagraph"/>
              <w:spacing w:line="270" w:lineRule="exact"/>
              <w:ind w:left="125" w:right="117"/>
              <w:jc w:val="center"/>
              <w:rPr>
                <w:rFonts w:ascii="Times New Roman" w:hAnsi="Times New Roman"/>
                <w:sz w:val="24"/>
              </w:rPr>
            </w:pPr>
            <w:r>
              <w:rPr>
                <w:rFonts w:ascii="Times New Roman" w:hAnsi="Times New Roman"/>
                <w:sz w:val="24"/>
              </w:rPr>
              <w:t>Fósforo (mg/dl)</w:t>
            </w:r>
          </w:p>
        </w:tc>
        <w:tc>
          <w:tcPr>
            <w:tcW w:w="1819" w:type="dxa"/>
          </w:tcPr>
          <w:p>
            <w:pPr>
              <w:pStyle w:val="TableParagraph"/>
              <w:spacing w:line="270" w:lineRule="exact"/>
              <w:ind w:left="121" w:right="117"/>
              <w:jc w:val="center"/>
              <w:rPr>
                <w:rFonts w:ascii="Times New Roman"/>
                <w:sz w:val="24"/>
              </w:rPr>
            </w:pPr>
            <w:r>
              <w:rPr>
                <w:rFonts w:ascii="Times New Roman"/>
                <w:sz w:val="24"/>
              </w:rPr>
              <w:t>PTH (pg/ml)</w:t>
            </w:r>
          </w:p>
        </w:tc>
      </w:tr>
      <w:tr>
        <w:trPr>
          <w:trHeight w:val="534" w:hRule="atLeast"/>
        </w:trPr>
        <w:tc>
          <w:tcPr>
            <w:tcW w:w="1819" w:type="dxa"/>
          </w:tcPr>
          <w:p>
            <w:pPr>
              <w:pStyle w:val="TableParagraph"/>
              <w:spacing w:line="270" w:lineRule="exact"/>
              <w:rPr>
                <w:rFonts w:ascii="Times New Roman"/>
                <w:sz w:val="24"/>
              </w:rPr>
            </w:pPr>
            <w:r>
              <w:rPr>
                <w:rFonts w:ascii="Times New Roman"/>
                <w:sz w:val="24"/>
              </w:rPr>
              <w:t>3</w:t>
            </w:r>
          </w:p>
        </w:tc>
        <w:tc>
          <w:tcPr>
            <w:tcW w:w="1819" w:type="dxa"/>
          </w:tcPr>
          <w:p>
            <w:pPr>
              <w:pStyle w:val="TableParagraph"/>
              <w:spacing w:line="270" w:lineRule="exact"/>
              <w:ind w:left="125" w:right="115"/>
              <w:jc w:val="center"/>
              <w:rPr>
                <w:rFonts w:ascii="Times New Roman" w:hAnsi="Times New Roman"/>
                <w:sz w:val="24"/>
              </w:rPr>
            </w:pPr>
            <w:r>
              <w:rPr>
                <w:rFonts w:ascii="Times New Roman" w:hAnsi="Times New Roman"/>
                <w:sz w:val="24"/>
              </w:rPr>
              <w:t>3,0 – 4,6</w:t>
            </w:r>
          </w:p>
        </w:tc>
        <w:tc>
          <w:tcPr>
            <w:tcW w:w="1819" w:type="dxa"/>
          </w:tcPr>
          <w:p>
            <w:pPr>
              <w:pStyle w:val="TableParagraph"/>
              <w:spacing w:line="270" w:lineRule="exact"/>
              <w:ind w:left="122" w:right="117"/>
              <w:jc w:val="center"/>
              <w:rPr>
                <w:rFonts w:ascii="Times New Roman" w:hAnsi="Times New Roman"/>
                <w:sz w:val="24"/>
              </w:rPr>
            </w:pPr>
            <w:r>
              <w:rPr>
                <w:rFonts w:ascii="Times New Roman" w:hAnsi="Times New Roman"/>
                <w:sz w:val="24"/>
              </w:rPr>
              <w:t>35 – 70</w:t>
            </w:r>
          </w:p>
        </w:tc>
      </w:tr>
      <w:tr>
        <w:trPr>
          <w:trHeight w:val="534" w:hRule="atLeast"/>
        </w:trPr>
        <w:tc>
          <w:tcPr>
            <w:tcW w:w="1819" w:type="dxa"/>
          </w:tcPr>
          <w:p>
            <w:pPr>
              <w:pStyle w:val="TableParagraph"/>
              <w:spacing w:line="270" w:lineRule="exact"/>
              <w:rPr>
                <w:rFonts w:ascii="Times New Roman"/>
                <w:sz w:val="24"/>
              </w:rPr>
            </w:pPr>
            <w:r>
              <w:rPr>
                <w:rFonts w:ascii="Times New Roman"/>
                <w:sz w:val="24"/>
              </w:rPr>
              <w:t>4</w:t>
            </w:r>
          </w:p>
        </w:tc>
        <w:tc>
          <w:tcPr>
            <w:tcW w:w="1819" w:type="dxa"/>
          </w:tcPr>
          <w:p>
            <w:pPr>
              <w:pStyle w:val="TableParagraph"/>
              <w:spacing w:line="270" w:lineRule="exact"/>
              <w:ind w:left="125" w:right="115"/>
              <w:jc w:val="center"/>
              <w:rPr>
                <w:rFonts w:ascii="Times New Roman" w:hAnsi="Times New Roman"/>
                <w:sz w:val="24"/>
              </w:rPr>
            </w:pPr>
            <w:r>
              <w:rPr>
                <w:rFonts w:ascii="Times New Roman" w:hAnsi="Times New Roman"/>
                <w:sz w:val="24"/>
              </w:rPr>
              <w:t>3,0 – 4,6</w:t>
            </w:r>
          </w:p>
        </w:tc>
        <w:tc>
          <w:tcPr>
            <w:tcW w:w="1819" w:type="dxa"/>
          </w:tcPr>
          <w:p>
            <w:pPr>
              <w:pStyle w:val="TableParagraph"/>
              <w:spacing w:line="270" w:lineRule="exact"/>
              <w:ind w:left="122" w:right="117"/>
              <w:jc w:val="center"/>
              <w:rPr>
                <w:rFonts w:ascii="Times New Roman" w:hAnsi="Times New Roman"/>
                <w:sz w:val="24"/>
              </w:rPr>
            </w:pPr>
            <w:r>
              <w:rPr>
                <w:rFonts w:ascii="Times New Roman" w:hAnsi="Times New Roman"/>
                <w:sz w:val="24"/>
              </w:rPr>
              <w:t>70 – 110</w:t>
            </w:r>
          </w:p>
        </w:tc>
      </w:tr>
      <w:tr>
        <w:trPr>
          <w:trHeight w:val="532" w:hRule="atLeast"/>
        </w:trPr>
        <w:tc>
          <w:tcPr>
            <w:tcW w:w="1819" w:type="dxa"/>
          </w:tcPr>
          <w:p>
            <w:pPr>
              <w:pStyle w:val="TableParagraph"/>
              <w:spacing w:line="270" w:lineRule="exact"/>
              <w:rPr>
                <w:rFonts w:ascii="Times New Roman"/>
                <w:sz w:val="24"/>
              </w:rPr>
            </w:pPr>
            <w:r>
              <w:rPr>
                <w:rFonts w:ascii="Times New Roman"/>
                <w:sz w:val="24"/>
              </w:rPr>
              <w:t>5</w:t>
            </w:r>
          </w:p>
        </w:tc>
        <w:tc>
          <w:tcPr>
            <w:tcW w:w="1819" w:type="dxa"/>
          </w:tcPr>
          <w:p>
            <w:pPr>
              <w:pStyle w:val="TableParagraph"/>
              <w:spacing w:line="270" w:lineRule="exact"/>
              <w:ind w:left="125" w:right="115"/>
              <w:jc w:val="center"/>
              <w:rPr>
                <w:rFonts w:ascii="Times New Roman" w:hAnsi="Times New Roman"/>
                <w:sz w:val="24"/>
              </w:rPr>
            </w:pPr>
            <w:r>
              <w:rPr>
                <w:rFonts w:ascii="Times New Roman" w:hAnsi="Times New Roman"/>
                <w:sz w:val="24"/>
              </w:rPr>
              <w:t>3,5 – 5,5</w:t>
            </w:r>
          </w:p>
        </w:tc>
        <w:tc>
          <w:tcPr>
            <w:tcW w:w="1819" w:type="dxa"/>
          </w:tcPr>
          <w:p>
            <w:pPr>
              <w:pStyle w:val="TableParagraph"/>
              <w:spacing w:line="270" w:lineRule="exact"/>
              <w:ind w:left="122" w:right="117"/>
              <w:jc w:val="center"/>
              <w:rPr>
                <w:rFonts w:ascii="Times New Roman" w:hAnsi="Times New Roman"/>
                <w:sz w:val="24"/>
              </w:rPr>
            </w:pPr>
            <w:r>
              <w:rPr>
                <w:rFonts w:ascii="Times New Roman" w:hAnsi="Times New Roman"/>
                <w:sz w:val="24"/>
              </w:rPr>
              <w:t>150 – 300</w:t>
            </w:r>
          </w:p>
        </w:tc>
      </w:tr>
    </w:tbl>
    <w:p>
      <w:pPr>
        <w:pStyle w:val="BodyText"/>
        <w:rPr>
          <w:sz w:val="26"/>
        </w:rPr>
      </w:pPr>
    </w:p>
    <w:p>
      <w:pPr>
        <w:pStyle w:val="Heading1"/>
        <w:numPr>
          <w:ilvl w:val="0"/>
          <w:numId w:val="19"/>
        </w:numPr>
        <w:tabs>
          <w:tab w:pos="1249" w:val="left" w:leader="none"/>
        </w:tabs>
        <w:spacing w:line="240" w:lineRule="auto" w:before="180" w:after="0"/>
        <w:ind w:left="1248" w:right="0" w:hanging="360"/>
        <w:jc w:val="left"/>
      </w:pPr>
      <w:bookmarkStart w:name="13. MANUTENÇÃO EM TRATAMENTO CONSERVADOR" w:id="56"/>
      <w:bookmarkEnd w:id="56"/>
      <w:r>
        <w:rPr>
          <w:b w:val="0"/>
        </w:rPr>
      </w:r>
      <w:bookmarkStart w:name="_bookmark22" w:id="57"/>
      <w:bookmarkEnd w:id="57"/>
      <w:r>
        <w:rPr>
          <w:b w:val="0"/>
        </w:rPr>
      </w:r>
      <w:bookmarkStart w:name="_bookmark22" w:id="58"/>
      <w:bookmarkEnd w:id="58"/>
      <w:r>
        <w:rPr/>
        <w:t>M</w:t>
      </w:r>
      <w:r>
        <w:rPr/>
        <w:t>ANUTENÇÃO EM TRATAMENTO</w:t>
      </w:r>
      <w:r>
        <w:rPr>
          <w:spacing w:val="-17"/>
        </w:rPr>
        <w:t> </w:t>
      </w:r>
      <w:r>
        <w:rPr/>
        <w:t>CONSERVADOR</w:t>
      </w:r>
    </w:p>
    <w:p>
      <w:pPr>
        <w:pStyle w:val="BodyText"/>
        <w:rPr>
          <w:b/>
          <w:sz w:val="30"/>
        </w:rPr>
      </w:pPr>
    </w:p>
    <w:p>
      <w:pPr>
        <w:pStyle w:val="BodyText"/>
        <w:spacing w:line="360" w:lineRule="auto" w:before="1"/>
        <w:ind w:left="461" w:right="227" w:firstLine="427"/>
        <w:jc w:val="both"/>
      </w:pPr>
      <w:r>
        <w:rPr/>
        <w:t>Manutenção em tratamento conservador: O tratamento conservador pode ser considerado uma opção para pacientes que escolham não serem mantidos em TRS devendo ser criado um programa de suporte para estes casos. Todo o programa de DRC deve estar apto para fornecer e planejar cuidados para as necessidades e suportes adequados para o fim de vida, incluindo pacientes em tratamento conservador por opção. Suporte coordenado para o fim de vida deve ser avaliado e mantido para pacientes e familiares, utilizando tanto a atenção primária, como especialistas na área específica, de acordo com o sistema de saúde local. O plano de suporte avançado de vida deve incluir protocolos para o manuseio de sintomas dolorosos, atenção psicológica, cuidados espirituais e preparo para o paciente e familiar sobre a morte em domicílio ou hospitalar com a provisão de todo o suporte humano e cultural apropriado. Caso haja a opção pela manutenção do paciente em tratamento conservador, o paciente deve assinar um termo de consentimento livre e esclarecido (TCLE), que deve ser anexado ao seu</w:t>
      </w:r>
      <w:r>
        <w:rPr>
          <w:spacing w:val="-8"/>
        </w:rPr>
        <w:t> </w:t>
      </w:r>
      <w:r>
        <w:rPr/>
        <w:t>prontuário.</w:t>
      </w:r>
    </w:p>
    <w:p>
      <w:pPr>
        <w:spacing w:after="0" w:line="360" w:lineRule="auto"/>
        <w:jc w:val="both"/>
        <w:sectPr>
          <w:pgSz w:w="11910" w:h="16840"/>
          <w:pgMar w:header="0" w:footer="925" w:top="1320" w:bottom="1200" w:left="1240" w:right="620"/>
        </w:sectPr>
      </w:pPr>
    </w:p>
    <w:p>
      <w:pPr>
        <w:pStyle w:val="Heading1"/>
        <w:numPr>
          <w:ilvl w:val="0"/>
          <w:numId w:val="19"/>
        </w:numPr>
        <w:tabs>
          <w:tab w:pos="1249" w:val="left" w:leader="none"/>
        </w:tabs>
        <w:spacing w:line="240" w:lineRule="auto" w:before="79" w:after="0"/>
        <w:ind w:left="1248" w:right="0" w:hanging="360"/>
        <w:jc w:val="left"/>
      </w:pPr>
      <w:bookmarkStart w:name="14. TRATAMENTO MULTIDISCIPLINAR" w:id="59"/>
      <w:bookmarkEnd w:id="59"/>
      <w:r>
        <w:rPr>
          <w:b w:val="0"/>
        </w:rPr>
      </w:r>
      <w:bookmarkStart w:name="_bookmark23" w:id="60"/>
      <w:bookmarkEnd w:id="60"/>
      <w:r>
        <w:rPr>
          <w:b w:val="0"/>
        </w:rPr>
      </w:r>
      <w:bookmarkStart w:name="_bookmark23" w:id="61"/>
      <w:bookmarkEnd w:id="61"/>
      <w:r>
        <w:rPr/>
        <w:t>T</w:t>
      </w:r>
      <w:r>
        <w:rPr/>
        <w:t>RATAMENTO</w:t>
      </w:r>
      <w:r>
        <w:rPr>
          <w:spacing w:val="-1"/>
        </w:rPr>
        <w:t> </w:t>
      </w:r>
      <w:r>
        <w:rPr/>
        <w:t>MULTIDISCIPLINAR</w:t>
      </w:r>
    </w:p>
    <w:p>
      <w:pPr>
        <w:pStyle w:val="BodyText"/>
        <w:spacing w:before="6"/>
        <w:rPr>
          <w:b/>
          <w:sz w:val="27"/>
        </w:rPr>
      </w:pPr>
    </w:p>
    <w:p>
      <w:pPr>
        <w:pStyle w:val="BodyText"/>
        <w:spacing w:line="360" w:lineRule="auto"/>
        <w:ind w:left="461" w:right="227" w:firstLine="484"/>
        <w:jc w:val="both"/>
      </w:pPr>
      <w:r>
        <w:rPr/>
        <w:t>As pessoas com DRC devem ser acompanhadas por uma equipe multiprofissional, nas Unidades Básicas de Saúde e nos casos que requerem, nas unidades de atenção especializada em doença renal crônica, para orientações e educação como, por exemplo: aconselhamento e suporte sobre mudança do estilo de vida; avaliação nutricional; orientação sobre exercícios físicos e abandono do tabagismo; inclusão na programação de vacinação; seguimento contínuo dos medicamentos prescritos; programa de educação sobre DRC e TRS; orientação sobre o auto cuidado; orientações sobre as modalidades de tratamento da DRC; cuidado ao acesso vascular ou peritoneal, entre outros.</w:t>
      </w:r>
    </w:p>
    <w:p>
      <w:pPr>
        <w:pStyle w:val="BodyText"/>
        <w:spacing w:before="8"/>
      </w:pPr>
    </w:p>
    <w:p>
      <w:pPr>
        <w:pStyle w:val="Heading1"/>
        <w:numPr>
          <w:ilvl w:val="0"/>
          <w:numId w:val="19"/>
        </w:numPr>
        <w:tabs>
          <w:tab w:pos="1249" w:val="left" w:leader="none"/>
        </w:tabs>
        <w:spacing w:line="360" w:lineRule="auto" w:before="0" w:after="0"/>
        <w:ind w:left="1248" w:right="228" w:hanging="360"/>
        <w:jc w:val="left"/>
      </w:pPr>
      <w:r>
        <w:rPr/>
        <w:t>INFORMAÇÕES QUE DEVEM CONTER NO TERMO DE CONSENTIMENTO LIVRE E ESCLARECIDO</w:t>
      </w:r>
      <w:r>
        <w:rPr>
          <w:spacing w:val="-1"/>
        </w:rPr>
        <w:t> </w:t>
      </w:r>
      <w:r>
        <w:rPr/>
        <w:t>(TCLE)</w:t>
      </w:r>
    </w:p>
    <w:p>
      <w:pPr>
        <w:pStyle w:val="BodyText"/>
        <w:rPr>
          <w:b/>
        </w:rPr>
      </w:pPr>
    </w:p>
    <w:p>
      <w:pPr>
        <w:pStyle w:val="BodyText"/>
        <w:spacing w:line="360" w:lineRule="auto"/>
        <w:ind w:left="461" w:right="229" w:firstLine="432"/>
        <w:jc w:val="both"/>
      </w:pPr>
      <w:r>
        <w:rPr/>
        <w:t>As unidades especializadas em DRC devem disponibilizar informações relativas ao tratamento do paciente, e essas informações devem conter em um TCLE, sendo que uma cópia deverá ser entregue ao paciente e outra deve ser anexada ao prontuário. Cada unidade pode ter o seu texto próprio, entretanto as informações mínimas que devem conter nesse documento são:</w:t>
      </w:r>
    </w:p>
    <w:p>
      <w:pPr>
        <w:pStyle w:val="BodyText"/>
        <w:spacing w:before="5"/>
      </w:pPr>
    </w:p>
    <w:p>
      <w:pPr>
        <w:pStyle w:val="ListParagraph"/>
        <w:numPr>
          <w:ilvl w:val="0"/>
          <w:numId w:val="20"/>
        </w:numPr>
        <w:tabs>
          <w:tab w:pos="1045" w:val="left" w:leader="none"/>
        </w:tabs>
        <w:spacing w:line="360" w:lineRule="auto" w:before="0" w:after="0"/>
        <w:ind w:left="461" w:right="231" w:firstLine="432"/>
        <w:jc w:val="both"/>
        <w:rPr>
          <w:sz w:val="24"/>
        </w:rPr>
      </w:pPr>
      <w:r>
        <w:rPr>
          <w:sz w:val="24"/>
        </w:rPr>
        <w:t>- Normas e Rotinas do serviço de diálise incluindo os direitos e deveres do paciente renal crônico.</w:t>
      </w:r>
    </w:p>
    <w:p>
      <w:pPr>
        <w:pStyle w:val="BodyText"/>
        <w:spacing w:before="2"/>
      </w:pPr>
    </w:p>
    <w:p>
      <w:pPr>
        <w:pStyle w:val="ListParagraph"/>
        <w:numPr>
          <w:ilvl w:val="0"/>
          <w:numId w:val="20"/>
        </w:numPr>
        <w:tabs>
          <w:tab w:pos="1148" w:val="left" w:leader="none"/>
        </w:tabs>
        <w:spacing w:line="360" w:lineRule="auto" w:before="0" w:after="0"/>
        <w:ind w:left="461" w:right="227" w:firstLine="432"/>
        <w:jc w:val="both"/>
        <w:rPr>
          <w:sz w:val="24"/>
        </w:rPr>
      </w:pPr>
      <w:r>
        <w:rPr>
          <w:sz w:val="24"/>
        </w:rPr>
        <w:t>- Tipos de tratamentos disponíveis na rede de assistência à saúde: hemodiálise, diálise peritoneal e transplante, bem como seus benefícios e</w:t>
      </w:r>
      <w:r>
        <w:rPr>
          <w:spacing w:val="-2"/>
          <w:sz w:val="24"/>
        </w:rPr>
        <w:t> </w:t>
      </w:r>
      <w:r>
        <w:rPr>
          <w:sz w:val="24"/>
        </w:rPr>
        <w:t>riscos.</w:t>
      </w:r>
    </w:p>
    <w:p>
      <w:pPr>
        <w:pStyle w:val="BodyText"/>
        <w:spacing w:before="5"/>
      </w:pPr>
    </w:p>
    <w:p>
      <w:pPr>
        <w:pStyle w:val="ListParagraph"/>
        <w:numPr>
          <w:ilvl w:val="0"/>
          <w:numId w:val="20"/>
        </w:numPr>
        <w:tabs>
          <w:tab w:pos="1228" w:val="left" w:leader="none"/>
        </w:tabs>
        <w:spacing w:line="360" w:lineRule="auto" w:before="0" w:after="0"/>
        <w:ind w:left="461" w:right="234" w:firstLine="432"/>
        <w:jc w:val="both"/>
        <w:rPr>
          <w:sz w:val="24"/>
        </w:rPr>
      </w:pPr>
      <w:r>
        <w:rPr>
          <w:sz w:val="24"/>
        </w:rPr>
        <w:t>- A doença renal crônica, os cuidados com o acesso dialítico (fístulas e cateteres), as possíveis intercorrências, alimentação e como proceder em</w:t>
      </w:r>
      <w:r>
        <w:rPr>
          <w:spacing w:val="1"/>
          <w:sz w:val="24"/>
        </w:rPr>
        <w:t> </w:t>
      </w:r>
      <w:r>
        <w:rPr>
          <w:sz w:val="24"/>
        </w:rPr>
        <w:t>viagens.</w:t>
      </w:r>
    </w:p>
    <w:p>
      <w:pPr>
        <w:pStyle w:val="BodyText"/>
        <w:spacing w:before="2"/>
      </w:pPr>
    </w:p>
    <w:p>
      <w:pPr>
        <w:pStyle w:val="ListParagraph"/>
        <w:numPr>
          <w:ilvl w:val="0"/>
          <w:numId w:val="20"/>
        </w:numPr>
        <w:tabs>
          <w:tab w:pos="1278" w:val="left" w:leader="none"/>
        </w:tabs>
        <w:spacing w:line="360" w:lineRule="auto" w:before="1" w:after="0"/>
        <w:ind w:left="461" w:right="229" w:firstLine="432"/>
        <w:jc w:val="both"/>
        <w:rPr>
          <w:sz w:val="24"/>
        </w:rPr>
      </w:pPr>
      <w:r>
        <w:rPr>
          <w:sz w:val="24"/>
        </w:rPr>
        <w:t>- Telefones para denúncia, endereços das associações de usuários e da vigilância sanitária.</w:t>
      </w:r>
    </w:p>
    <w:p>
      <w:pPr>
        <w:pStyle w:val="BodyText"/>
        <w:spacing w:before="4"/>
      </w:pPr>
    </w:p>
    <w:p>
      <w:pPr>
        <w:pStyle w:val="ListParagraph"/>
        <w:numPr>
          <w:ilvl w:val="0"/>
          <w:numId w:val="20"/>
        </w:numPr>
        <w:tabs>
          <w:tab w:pos="1127" w:val="left" w:leader="none"/>
        </w:tabs>
        <w:spacing w:line="240" w:lineRule="auto" w:before="1" w:after="0"/>
        <w:ind w:left="1126" w:right="0" w:hanging="233"/>
        <w:jc w:val="left"/>
        <w:rPr>
          <w:sz w:val="24"/>
        </w:rPr>
      </w:pPr>
      <w:r>
        <w:rPr>
          <w:sz w:val="24"/>
        </w:rPr>
        <w:t>- Condições para entrada e como acompanhar sua situação na fila de</w:t>
      </w:r>
      <w:r>
        <w:rPr>
          <w:spacing w:val="-9"/>
          <w:sz w:val="24"/>
        </w:rPr>
        <w:t> </w:t>
      </w:r>
      <w:r>
        <w:rPr>
          <w:sz w:val="24"/>
        </w:rPr>
        <w:t>transplante.</w:t>
      </w:r>
    </w:p>
    <w:p>
      <w:pPr>
        <w:pStyle w:val="BodyText"/>
        <w:spacing w:before="3"/>
        <w:rPr>
          <w:sz w:val="36"/>
        </w:rPr>
      </w:pPr>
    </w:p>
    <w:p>
      <w:pPr>
        <w:pStyle w:val="BodyText"/>
        <w:spacing w:line="360" w:lineRule="auto"/>
        <w:ind w:left="461" w:right="227" w:firstLine="432"/>
        <w:jc w:val="both"/>
      </w:pPr>
      <w:r>
        <w:rPr/>
        <w:t>As unidades especializadas em DRC devem fornecer ao paciente documento sumário, para eventual atendimento fora da unidade de diálise, com as seguintes informações básicas:</w:t>
      </w:r>
    </w:p>
    <w:p>
      <w:pPr>
        <w:pStyle w:val="BodyText"/>
        <w:spacing w:before="5"/>
      </w:pPr>
    </w:p>
    <w:p>
      <w:pPr>
        <w:pStyle w:val="ListParagraph"/>
        <w:numPr>
          <w:ilvl w:val="0"/>
          <w:numId w:val="21"/>
        </w:numPr>
        <w:tabs>
          <w:tab w:pos="1033" w:val="left" w:leader="none"/>
        </w:tabs>
        <w:spacing w:line="240" w:lineRule="auto" w:before="0" w:after="0"/>
        <w:ind w:left="461" w:right="0" w:firstLine="432"/>
        <w:jc w:val="left"/>
        <w:rPr>
          <w:sz w:val="24"/>
        </w:rPr>
      </w:pPr>
      <w:r>
        <w:rPr>
          <w:sz w:val="24"/>
        </w:rPr>
        <w:t>- Doenças de base e</w:t>
      </w:r>
      <w:r>
        <w:rPr>
          <w:spacing w:val="-3"/>
          <w:sz w:val="24"/>
        </w:rPr>
        <w:t> </w:t>
      </w:r>
      <w:r>
        <w:rPr>
          <w:sz w:val="24"/>
        </w:rPr>
        <w:t>comorbidades;</w:t>
      </w:r>
    </w:p>
    <w:p>
      <w:pPr>
        <w:spacing w:after="0" w:line="240" w:lineRule="auto"/>
        <w:jc w:val="left"/>
        <w:rPr>
          <w:sz w:val="24"/>
        </w:rPr>
        <w:sectPr>
          <w:pgSz w:w="11910" w:h="16840"/>
          <w:pgMar w:header="0" w:footer="925" w:top="1320" w:bottom="1200" w:left="1240" w:right="620"/>
        </w:sectPr>
      </w:pPr>
    </w:p>
    <w:p>
      <w:pPr>
        <w:pStyle w:val="ListParagraph"/>
        <w:numPr>
          <w:ilvl w:val="0"/>
          <w:numId w:val="21"/>
        </w:numPr>
        <w:tabs>
          <w:tab w:pos="1112" w:val="left" w:leader="none"/>
        </w:tabs>
        <w:spacing w:line="240" w:lineRule="auto" w:before="74" w:after="0"/>
        <w:ind w:left="1112" w:right="0" w:hanging="219"/>
        <w:jc w:val="left"/>
        <w:rPr>
          <w:sz w:val="24"/>
        </w:rPr>
      </w:pPr>
      <w:r>
        <w:rPr>
          <w:sz w:val="24"/>
        </w:rPr>
        <w:t>-</w:t>
      </w:r>
      <w:r>
        <w:rPr>
          <w:spacing w:val="-2"/>
          <w:sz w:val="24"/>
        </w:rPr>
        <w:t> </w:t>
      </w:r>
      <w:r>
        <w:rPr>
          <w:sz w:val="24"/>
        </w:rPr>
        <w:t>Sorologias;</w:t>
      </w:r>
    </w:p>
    <w:p>
      <w:pPr>
        <w:pStyle w:val="BodyText"/>
        <w:spacing w:before="4"/>
        <w:rPr>
          <w:sz w:val="36"/>
        </w:rPr>
      </w:pPr>
    </w:p>
    <w:p>
      <w:pPr>
        <w:pStyle w:val="ListParagraph"/>
        <w:numPr>
          <w:ilvl w:val="0"/>
          <w:numId w:val="21"/>
        </w:numPr>
        <w:tabs>
          <w:tab w:pos="1192" w:val="left" w:leader="none"/>
        </w:tabs>
        <w:spacing w:line="240" w:lineRule="auto" w:before="0" w:after="0"/>
        <w:ind w:left="1191" w:right="0" w:hanging="298"/>
        <w:jc w:val="left"/>
        <w:rPr>
          <w:sz w:val="24"/>
        </w:rPr>
      </w:pPr>
      <w:r>
        <w:rPr>
          <w:sz w:val="24"/>
        </w:rPr>
        <w:t>- Alergias</w:t>
      </w:r>
      <w:r>
        <w:rPr>
          <w:spacing w:val="-2"/>
          <w:sz w:val="24"/>
        </w:rPr>
        <w:t> </w:t>
      </w:r>
      <w:r>
        <w:rPr>
          <w:sz w:val="24"/>
        </w:rPr>
        <w:t>conhecidas;</w:t>
      </w:r>
    </w:p>
    <w:p>
      <w:pPr>
        <w:pStyle w:val="BodyText"/>
        <w:spacing w:before="3"/>
        <w:rPr>
          <w:sz w:val="36"/>
        </w:rPr>
      </w:pPr>
    </w:p>
    <w:p>
      <w:pPr>
        <w:pStyle w:val="ListParagraph"/>
        <w:numPr>
          <w:ilvl w:val="0"/>
          <w:numId w:val="21"/>
        </w:numPr>
        <w:tabs>
          <w:tab w:pos="1206" w:val="left" w:leader="none"/>
        </w:tabs>
        <w:spacing w:line="240" w:lineRule="auto" w:before="0" w:after="0"/>
        <w:ind w:left="1205" w:right="0" w:hanging="312"/>
        <w:jc w:val="left"/>
        <w:rPr>
          <w:sz w:val="24"/>
        </w:rPr>
      </w:pPr>
      <w:r>
        <w:rPr>
          <w:sz w:val="24"/>
        </w:rPr>
        <w:t>- Familiar e profissional de contato em caso de</w:t>
      </w:r>
      <w:r>
        <w:rPr>
          <w:spacing w:val="-5"/>
          <w:sz w:val="24"/>
        </w:rPr>
        <w:t> </w:t>
      </w:r>
      <w:r>
        <w:rPr>
          <w:sz w:val="24"/>
        </w:rPr>
        <w:t>emergência;</w:t>
      </w:r>
    </w:p>
    <w:p>
      <w:pPr>
        <w:pStyle w:val="BodyText"/>
        <w:spacing w:before="4"/>
        <w:rPr>
          <w:sz w:val="36"/>
        </w:rPr>
      </w:pPr>
    </w:p>
    <w:p>
      <w:pPr>
        <w:pStyle w:val="ListParagraph"/>
        <w:numPr>
          <w:ilvl w:val="0"/>
          <w:numId w:val="21"/>
        </w:numPr>
        <w:tabs>
          <w:tab w:pos="1151" w:val="left" w:leader="none"/>
        </w:tabs>
        <w:spacing w:line="360" w:lineRule="auto" w:before="0" w:after="0"/>
        <w:ind w:left="461" w:right="227" w:firstLine="432"/>
        <w:jc w:val="left"/>
        <w:rPr>
          <w:sz w:val="24"/>
        </w:rPr>
      </w:pPr>
      <w:r>
        <w:rPr>
          <w:sz w:val="24"/>
        </w:rPr>
        <w:t>- Outras observações importantes, tais como, não garrotear membro com fístula, uso de anticoagulantes, não utilizar os cateteres de</w:t>
      </w:r>
      <w:r>
        <w:rPr>
          <w:spacing w:val="-3"/>
          <w:sz w:val="24"/>
        </w:rPr>
        <w:t> </w:t>
      </w:r>
      <w:r>
        <w:rPr>
          <w:sz w:val="24"/>
        </w:rPr>
        <w:t>diálise.</w:t>
      </w:r>
    </w:p>
    <w:p>
      <w:pPr>
        <w:pStyle w:val="BodyText"/>
        <w:rPr>
          <w:sz w:val="26"/>
        </w:rPr>
      </w:pPr>
    </w:p>
    <w:p>
      <w:pPr>
        <w:pStyle w:val="Heading1"/>
        <w:numPr>
          <w:ilvl w:val="0"/>
          <w:numId w:val="19"/>
        </w:numPr>
        <w:tabs>
          <w:tab w:pos="1249" w:val="left" w:leader="none"/>
        </w:tabs>
        <w:spacing w:line="240" w:lineRule="auto" w:before="186" w:after="0"/>
        <w:ind w:left="1248" w:right="0" w:hanging="360"/>
        <w:jc w:val="left"/>
      </w:pPr>
      <w:r>
        <w:rPr/>
        <w:drawing>
          <wp:anchor distT="0" distB="0" distL="0" distR="0" allowOverlap="1" layoutInCell="1" locked="0" behindDoc="1" simplePos="0" relativeHeight="268434551">
            <wp:simplePos x="0" y="0"/>
            <wp:positionH relativeFrom="page">
              <wp:posOffset>852688</wp:posOffset>
            </wp:positionH>
            <wp:positionV relativeFrom="paragraph">
              <wp:posOffset>319076</wp:posOffset>
            </wp:positionV>
            <wp:extent cx="5927531" cy="4340352"/>
            <wp:effectExtent l="0" t="0" r="0" b="0"/>
            <wp:wrapTopAndBottom/>
            <wp:docPr id="3" name="image2.jpeg" descr="þÿ"/>
            <wp:cNvGraphicFramePr>
              <a:graphicFrameLocks noChangeAspect="1"/>
            </wp:cNvGraphicFramePr>
            <a:graphic>
              <a:graphicData uri="http://schemas.openxmlformats.org/drawingml/2006/picture">
                <pic:pic>
                  <pic:nvPicPr>
                    <pic:cNvPr id="4" name="image2.jpeg"/>
                    <pic:cNvPicPr/>
                  </pic:nvPicPr>
                  <pic:blipFill>
                    <a:blip r:embed="rId10" cstate="print"/>
                    <a:stretch>
                      <a:fillRect/>
                    </a:stretch>
                  </pic:blipFill>
                  <pic:spPr>
                    <a:xfrm>
                      <a:off x="0" y="0"/>
                      <a:ext cx="5927531" cy="4340352"/>
                    </a:xfrm>
                    <a:prstGeom prst="rect">
                      <a:avLst/>
                    </a:prstGeom>
                  </pic:spPr>
                </pic:pic>
              </a:graphicData>
            </a:graphic>
          </wp:anchor>
        </w:drawing>
      </w:r>
      <w:bookmarkStart w:name="16. FLUXOGRAMA PARA AVALIAÇÃO DA DRC" w:id="62"/>
      <w:bookmarkEnd w:id="62"/>
      <w:r>
        <w:rPr>
          <w:b w:val="0"/>
        </w:rPr>
      </w:r>
      <w:bookmarkStart w:name="_bookmark24" w:id="63"/>
      <w:bookmarkEnd w:id="63"/>
      <w:r>
        <w:rPr>
          <w:b w:val="0"/>
        </w:rPr>
      </w:r>
      <w:bookmarkStart w:name="_bookmark24" w:id="64"/>
      <w:bookmarkEnd w:id="64"/>
      <w:r>
        <w:rPr/>
        <w:t>F</w:t>
      </w:r>
      <w:r>
        <w:rPr/>
        <w:t>LUXOGRAMA PARA AVALIAÇÃO DA</w:t>
      </w:r>
      <w:r>
        <w:rPr>
          <w:spacing w:val="-1"/>
        </w:rPr>
        <w:t> </w:t>
      </w:r>
      <w:r>
        <w:rPr/>
        <w:t>DRC</w:t>
      </w:r>
    </w:p>
    <w:p>
      <w:pPr>
        <w:pStyle w:val="BodyText"/>
        <w:spacing w:before="3"/>
        <w:rPr>
          <w:b/>
          <w:sz w:val="35"/>
        </w:rPr>
      </w:pPr>
    </w:p>
    <w:p>
      <w:pPr>
        <w:pStyle w:val="BodyText"/>
        <w:spacing w:line="360" w:lineRule="auto"/>
        <w:ind w:left="461" w:right="230" w:firstLine="360"/>
        <w:jc w:val="both"/>
      </w:pPr>
      <w:r>
        <w:rPr/>
        <w:t>* Pessoas com diabetes, hipertensão, idosos, IMC &gt; 30, história de DCV (Doença coronariana, acidente vascular cerebral, doença vascular periférica, insuficiência cardíaca), histórico de DRC na família, tabagismo, uso de agentes nefrotóxicos.</w:t>
      </w:r>
    </w:p>
    <w:p>
      <w:pPr>
        <w:pStyle w:val="BodyText"/>
        <w:spacing w:line="360" w:lineRule="auto" w:before="121"/>
        <w:ind w:left="461" w:right="226" w:firstLine="360"/>
        <w:jc w:val="both"/>
      </w:pPr>
      <w:r>
        <w:rPr/>
        <w:t>** Níveis pressóricos mal controlados, níveis glicêmicos mal controlados, níveis de colesterol mal controlados, estágio da DRC, albuminúria, tabagismo, exposição a agentes nefrotóxicos.</w:t>
      </w:r>
    </w:p>
    <w:p>
      <w:pPr>
        <w:spacing w:after="0" w:line="360" w:lineRule="auto"/>
        <w:jc w:val="both"/>
        <w:sectPr>
          <w:pgSz w:w="11910" w:h="16840"/>
          <w:pgMar w:header="0" w:footer="925" w:top="1320" w:bottom="1200" w:left="1240" w:right="620"/>
        </w:sectPr>
      </w:pPr>
    </w:p>
    <w:p>
      <w:pPr>
        <w:pStyle w:val="BodyText"/>
        <w:spacing w:line="360" w:lineRule="auto" w:before="74"/>
        <w:ind w:left="461" w:right="233" w:firstLine="360"/>
        <w:jc w:val="both"/>
      </w:pPr>
      <w:r>
        <w:rPr/>
        <w:t>*** Exame de imagem deve ser feito para indivíduos com história de DRC familiar, infecção urinária de repetição e doenças urológicas.</w:t>
      </w:r>
    </w:p>
    <w:p>
      <w:pPr>
        <w:pStyle w:val="BodyText"/>
        <w:spacing w:line="360" w:lineRule="auto" w:before="120"/>
        <w:ind w:left="461" w:right="227" w:firstLine="360"/>
        <w:jc w:val="both"/>
      </w:pPr>
      <w:r>
        <w:rPr/>
        <w:t># TFG &lt; 60ml/min/1,73m², por pelo menos 3 meses consecutivos , ou TFG ≥ 60ml/mim/1,73m² se associada a pelo menos um marcador de dano renal parenquimatoso ou alteração no exame de imagem</w:t>
      </w:r>
    </w:p>
    <w:p>
      <w:pPr>
        <w:pStyle w:val="BodyText"/>
        <w:rPr>
          <w:sz w:val="26"/>
        </w:rPr>
      </w:pPr>
    </w:p>
    <w:p>
      <w:pPr>
        <w:pStyle w:val="BodyText"/>
        <w:rPr>
          <w:sz w:val="26"/>
        </w:rPr>
      </w:pPr>
    </w:p>
    <w:p>
      <w:pPr>
        <w:pStyle w:val="BodyText"/>
        <w:spacing w:before="7"/>
        <w:rPr>
          <w:sz w:val="36"/>
        </w:rPr>
      </w:pPr>
    </w:p>
    <w:p>
      <w:pPr>
        <w:pStyle w:val="Heading1"/>
        <w:numPr>
          <w:ilvl w:val="0"/>
          <w:numId w:val="19"/>
        </w:numPr>
        <w:tabs>
          <w:tab w:pos="1249" w:val="left" w:leader="none"/>
        </w:tabs>
        <w:spacing w:line="240" w:lineRule="auto" w:before="0" w:after="0"/>
        <w:ind w:left="1248" w:right="0" w:hanging="360"/>
        <w:jc w:val="left"/>
      </w:pPr>
      <w:bookmarkStart w:name="17. REFERÊNCIAS" w:id="65"/>
      <w:bookmarkEnd w:id="65"/>
      <w:r>
        <w:rPr>
          <w:b w:val="0"/>
        </w:rPr>
      </w:r>
      <w:bookmarkStart w:name="_bookmark25" w:id="66"/>
      <w:bookmarkEnd w:id="66"/>
      <w:r>
        <w:rPr>
          <w:b w:val="0"/>
        </w:rPr>
      </w:r>
      <w:bookmarkStart w:name="_bookmark25" w:id="67"/>
      <w:bookmarkEnd w:id="67"/>
      <w:r>
        <w:rPr/>
        <w:t>R</w:t>
      </w:r>
      <w:r>
        <w:rPr/>
        <w:t>EFERÊNCIAS</w:t>
      </w:r>
    </w:p>
    <w:p>
      <w:pPr>
        <w:pStyle w:val="BodyText"/>
        <w:rPr>
          <w:b/>
          <w:sz w:val="26"/>
        </w:rPr>
      </w:pPr>
    </w:p>
    <w:p>
      <w:pPr>
        <w:pStyle w:val="BodyText"/>
        <w:spacing w:before="4"/>
        <w:rPr>
          <w:b/>
          <w:sz w:val="21"/>
        </w:rPr>
      </w:pPr>
    </w:p>
    <w:p>
      <w:pPr>
        <w:pStyle w:val="ListParagraph"/>
        <w:numPr>
          <w:ilvl w:val="0"/>
          <w:numId w:val="22"/>
        </w:numPr>
        <w:tabs>
          <w:tab w:pos="1129" w:val="left" w:leader="none"/>
        </w:tabs>
        <w:spacing w:line="360" w:lineRule="auto" w:before="0" w:after="0"/>
        <w:ind w:left="461" w:right="231" w:firstLine="360"/>
        <w:jc w:val="both"/>
        <w:rPr>
          <w:sz w:val="24"/>
        </w:rPr>
      </w:pPr>
      <w:r>
        <w:rPr>
          <w:sz w:val="24"/>
        </w:rPr>
        <w:t>World Health Organization. 2008-2013 Action Plan for the Global Strategy for the Prevention and Control of Noncommunicable Diseases. WHO Global Report,</w:t>
      </w:r>
      <w:r>
        <w:rPr>
          <w:spacing w:val="-7"/>
          <w:sz w:val="24"/>
        </w:rPr>
        <w:t> </w:t>
      </w:r>
      <w:r>
        <w:rPr>
          <w:sz w:val="24"/>
        </w:rPr>
        <w:t>2005.</w:t>
      </w:r>
    </w:p>
    <w:p>
      <w:pPr>
        <w:pStyle w:val="ListParagraph"/>
        <w:numPr>
          <w:ilvl w:val="0"/>
          <w:numId w:val="22"/>
        </w:numPr>
        <w:tabs>
          <w:tab w:pos="1088" w:val="left" w:leader="none"/>
        </w:tabs>
        <w:spacing w:line="360" w:lineRule="auto" w:before="121" w:after="0"/>
        <w:ind w:left="461" w:right="232" w:firstLine="360"/>
        <w:jc w:val="both"/>
        <w:rPr>
          <w:sz w:val="24"/>
        </w:rPr>
      </w:pPr>
      <w:r>
        <w:rPr>
          <w:sz w:val="24"/>
        </w:rPr>
        <w:t>Vigitel Brasil 2011. Vigilância de fatores de risco e proteção para doenças crônicas por inquérito telefônico. Ministério da Saúde,</w:t>
      </w:r>
      <w:r>
        <w:rPr>
          <w:spacing w:val="-2"/>
          <w:sz w:val="24"/>
        </w:rPr>
        <w:t> </w:t>
      </w:r>
      <w:r>
        <w:rPr>
          <w:sz w:val="24"/>
        </w:rPr>
        <w:t>2012.</w:t>
      </w:r>
    </w:p>
    <w:p>
      <w:pPr>
        <w:pStyle w:val="ListParagraph"/>
        <w:numPr>
          <w:ilvl w:val="0"/>
          <w:numId w:val="22"/>
        </w:numPr>
        <w:tabs>
          <w:tab w:pos="1117" w:val="left" w:leader="none"/>
        </w:tabs>
        <w:spacing w:line="360" w:lineRule="auto" w:before="120" w:after="0"/>
        <w:ind w:left="461" w:right="230" w:firstLine="360"/>
        <w:jc w:val="both"/>
        <w:rPr>
          <w:sz w:val="24"/>
        </w:rPr>
      </w:pPr>
      <w:r>
        <w:rPr>
          <w:sz w:val="24"/>
        </w:rPr>
        <w:t>IBGE. Projeção da população do Brasil por sexo e idade para o período 1980-2050. Revisão 2004. Rio de Janeiro, IBGE, 2004 Malta DC. Panorama atual das doenças crônicas no Brasil. Brasília, SVS/Ministério da Saúde, 2011.</w:t>
      </w:r>
    </w:p>
    <w:p>
      <w:pPr>
        <w:pStyle w:val="ListParagraph"/>
        <w:numPr>
          <w:ilvl w:val="0"/>
          <w:numId w:val="22"/>
        </w:numPr>
        <w:tabs>
          <w:tab w:pos="1103" w:val="left" w:leader="none"/>
        </w:tabs>
        <w:spacing w:line="360" w:lineRule="auto" w:before="119" w:after="0"/>
        <w:ind w:left="461" w:right="232" w:firstLine="360"/>
        <w:jc w:val="both"/>
        <w:rPr>
          <w:sz w:val="24"/>
        </w:rPr>
      </w:pPr>
      <w:r>
        <w:rPr>
          <w:sz w:val="24"/>
        </w:rPr>
        <w:t>Go S et al. Chronic Kidney disease and the risks of death, cardiovascular events, and hospitalizations. N Engl J Med 2004; 351: 1296 –</w:t>
      </w:r>
      <w:r>
        <w:rPr>
          <w:spacing w:val="-3"/>
          <w:sz w:val="24"/>
        </w:rPr>
        <w:t> </w:t>
      </w:r>
      <w:r>
        <w:rPr>
          <w:sz w:val="24"/>
        </w:rPr>
        <w:t>1305.</w:t>
      </w:r>
    </w:p>
    <w:p>
      <w:pPr>
        <w:pStyle w:val="ListParagraph"/>
        <w:numPr>
          <w:ilvl w:val="0"/>
          <w:numId w:val="22"/>
        </w:numPr>
        <w:tabs>
          <w:tab w:pos="1072" w:val="left" w:leader="none"/>
        </w:tabs>
        <w:spacing w:line="360" w:lineRule="auto" w:before="120" w:after="0"/>
        <w:ind w:left="461" w:right="230" w:firstLine="360"/>
        <w:jc w:val="both"/>
        <w:rPr>
          <w:sz w:val="24"/>
        </w:rPr>
      </w:pPr>
      <w:r>
        <w:rPr>
          <w:sz w:val="24"/>
        </w:rPr>
        <w:t>Grassmann A, Giogerge S, Moeller S, Brown G. ESRD patients in 2004: global overview of patient numbers, treatment modalities and associated trends. Nephrol Dial Transplant. 2005; 20(12):</w:t>
      </w:r>
      <w:r>
        <w:rPr>
          <w:spacing w:val="-1"/>
          <w:sz w:val="24"/>
        </w:rPr>
        <w:t> </w:t>
      </w:r>
      <w:r>
        <w:rPr>
          <w:sz w:val="24"/>
        </w:rPr>
        <w:t>2587-93.</w:t>
      </w:r>
    </w:p>
    <w:p>
      <w:pPr>
        <w:pStyle w:val="ListParagraph"/>
        <w:numPr>
          <w:ilvl w:val="0"/>
          <w:numId w:val="22"/>
        </w:numPr>
        <w:tabs>
          <w:tab w:pos="1076" w:val="left" w:leader="none"/>
        </w:tabs>
        <w:spacing w:line="360" w:lineRule="auto" w:before="121" w:after="0"/>
        <w:ind w:left="461" w:right="229" w:firstLine="360"/>
        <w:jc w:val="both"/>
        <w:rPr>
          <w:sz w:val="24"/>
        </w:rPr>
      </w:pPr>
      <w:r>
        <w:rPr>
          <w:sz w:val="24"/>
        </w:rPr>
        <w:t>Keith DS, Nichols GA, Gullion CM et al. Longitudinal follow-up and outcomes among a population with chronic kidney disease in a large managed care organization. Arch Int Med 2004; 164:</w:t>
      </w:r>
      <w:r>
        <w:rPr>
          <w:spacing w:val="-1"/>
          <w:sz w:val="24"/>
        </w:rPr>
        <w:t> </w:t>
      </w:r>
      <w:r>
        <w:rPr>
          <w:sz w:val="24"/>
        </w:rPr>
        <w:t>659-663.</w:t>
      </w:r>
    </w:p>
    <w:p>
      <w:pPr>
        <w:pStyle w:val="ListParagraph"/>
        <w:numPr>
          <w:ilvl w:val="0"/>
          <w:numId w:val="22"/>
        </w:numPr>
        <w:tabs>
          <w:tab w:pos="1105" w:val="left" w:leader="none"/>
        </w:tabs>
        <w:spacing w:line="360" w:lineRule="auto" w:before="119" w:after="0"/>
        <w:ind w:left="461" w:right="225" w:firstLine="360"/>
        <w:jc w:val="both"/>
        <w:rPr>
          <w:sz w:val="24"/>
        </w:rPr>
      </w:pPr>
      <w:r>
        <w:rPr>
          <w:sz w:val="24"/>
        </w:rPr>
        <w:t>Herzog CA, Asinger RW, Berger AK, et al. Cardiovascular disease in chronic kidney disease. A clinical update from Kidney Disease: Improving Global Outcomes (KDIGO). Kidney Int 2011; 80(6):</w:t>
      </w:r>
      <w:r>
        <w:rPr>
          <w:spacing w:val="-1"/>
          <w:sz w:val="24"/>
        </w:rPr>
        <w:t> </w:t>
      </w:r>
      <w:r>
        <w:rPr>
          <w:sz w:val="24"/>
        </w:rPr>
        <w:t>572-586.</w:t>
      </w:r>
    </w:p>
    <w:p>
      <w:pPr>
        <w:pStyle w:val="ListParagraph"/>
        <w:numPr>
          <w:ilvl w:val="0"/>
          <w:numId w:val="22"/>
        </w:numPr>
        <w:tabs>
          <w:tab w:pos="1081" w:val="left" w:leader="none"/>
        </w:tabs>
        <w:spacing w:line="360" w:lineRule="auto" w:before="121" w:after="0"/>
        <w:ind w:left="461" w:right="225" w:firstLine="360"/>
        <w:jc w:val="both"/>
        <w:rPr>
          <w:sz w:val="24"/>
        </w:rPr>
      </w:pPr>
      <w:r>
        <w:rPr>
          <w:sz w:val="24"/>
        </w:rPr>
        <w:t>Snyder JJ, Foley RN, Collins AJ. Prevalence of CKD in the United States: A Sensitivity Analysis Using the National Health and Nutrition Examination Survey (NHANES) 1999-2004. Am J Kidney Dis 2006;</w:t>
      </w:r>
      <w:r>
        <w:rPr>
          <w:spacing w:val="-4"/>
          <w:sz w:val="24"/>
        </w:rPr>
        <w:t> </w:t>
      </w:r>
      <w:r>
        <w:rPr>
          <w:sz w:val="24"/>
        </w:rPr>
        <w:t>53:218-228.</w:t>
      </w:r>
    </w:p>
    <w:p>
      <w:pPr>
        <w:spacing w:after="0" w:line="360" w:lineRule="auto"/>
        <w:jc w:val="both"/>
        <w:rPr>
          <w:sz w:val="24"/>
        </w:rPr>
        <w:sectPr>
          <w:pgSz w:w="11910" w:h="16840"/>
          <w:pgMar w:header="0" w:footer="925" w:top="1320" w:bottom="1200" w:left="1240" w:right="620"/>
        </w:sectPr>
      </w:pPr>
    </w:p>
    <w:p>
      <w:pPr>
        <w:pStyle w:val="ListParagraph"/>
        <w:numPr>
          <w:ilvl w:val="0"/>
          <w:numId w:val="22"/>
        </w:numPr>
        <w:tabs>
          <w:tab w:pos="1189" w:val="left" w:leader="none"/>
        </w:tabs>
        <w:spacing w:line="360" w:lineRule="auto" w:before="74" w:after="0"/>
        <w:ind w:left="461" w:right="230" w:firstLine="360"/>
        <w:jc w:val="both"/>
        <w:rPr>
          <w:sz w:val="24"/>
        </w:rPr>
      </w:pPr>
      <w:r>
        <w:rPr>
          <w:sz w:val="24"/>
        </w:rPr>
        <w:t>Passos VMA, Barreto SM, Lima-Costa MFF. Detection of renal dysfunction based on serum creatinine levels in a Brazilian community. The Bambuí Health and Ageing Study. Braz J Med Biol Res 2003;</w:t>
      </w:r>
      <w:r>
        <w:rPr>
          <w:spacing w:val="-1"/>
          <w:sz w:val="24"/>
        </w:rPr>
        <w:t> </w:t>
      </w:r>
      <w:r>
        <w:rPr>
          <w:sz w:val="24"/>
        </w:rPr>
        <w:t>36:393-401.</w:t>
      </w:r>
    </w:p>
    <w:p>
      <w:pPr>
        <w:pStyle w:val="ListParagraph"/>
        <w:numPr>
          <w:ilvl w:val="0"/>
          <w:numId w:val="22"/>
        </w:numPr>
        <w:tabs>
          <w:tab w:pos="1314" w:val="left" w:leader="none"/>
        </w:tabs>
        <w:spacing w:line="360" w:lineRule="auto" w:before="119" w:after="0"/>
        <w:ind w:left="461" w:right="228" w:firstLine="360"/>
        <w:jc w:val="both"/>
        <w:rPr>
          <w:sz w:val="24"/>
        </w:rPr>
      </w:pPr>
      <w:r>
        <w:rPr>
          <w:sz w:val="24"/>
        </w:rPr>
        <w:t>National Kidney Foundation. K/DOQI clinical practice guidelines for chronic kidney disease: evaluation, classification, and stratification. Am J Kidney Dis 2002;</w:t>
      </w:r>
      <w:r>
        <w:rPr>
          <w:spacing w:val="-10"/>
          <w:sz w:val="24"/>
        </w:rPr>
        <w:t> </w:t>
      </w:r>
      <w:r>
        <w:rPr>
          <w:sz w:val="24"/>
        </w:rPr>
        <w:t>39:S1-S266.</w:t>
      </w:r>
    </w:p>
    <w:p>
      <w:pPr>
        <w:pStyle w:val="ListParagraph"/>
        <w:numPr>
          <w:ilvl w:val="0"/>
          <w:numId w:val="22"/>
        </w:numPr>
        <w:tabs>
          <w:tab w:pos="1199" w:val="left" w:leader="none"/>
        </w:tabs>
        <w:spacing w:line="360" w:lineRule="auto" w:before="120" w:after="0"/>
        <w:ind w:left="461" w:right="229" w:firstLine="360"/>
        <w:jc w:val="both"/>
        <w:rPr>
          <w:sz w:val="24"/>
        </w:rPr>
      </w:pPr>
      <w:r>
        <w:rPr>
          <w:sz w:val="24"/>
        </w:rPr>
        <w:t>Xue JL, Ma JZ, Luis TA, Collins AJ. Forecast of the number of patients with end-stage renal disease in the US to year 2010. J Am Soc Nephrol 2001;</w:t>
      </w:r>
      <w:r>
        <w:rPr>
          <w:spacing w:val="-4"/>
          <w:sz w:val="24"/>
        </w:rPr>
        <w:t> </w:t>
      </w:r>
      <w:r>
        <w:rPr>
          <w:sz w:val="24"/>
        </w:rPr>
        <w:t>12:2753-2758.</w:t>
      </w:r>
    </w:p>
    <w:p>
      <w:pPr>
        <w:pStyle w:val="ListParagraph"/>
        <w:numPr>
          <w:ilvl w:val="0"/>
          <w:numId w:val="22"/>
        </w:numPr>
        <w:tabs>
          <w:tab w:pos="1230" w:val="left" w:leader="none"/>
        </w:tabs>
        <w:spacing w:line="360" w:lineRule="auto" w:before="120" w:after="0"/>
        <w:ind w:left="461" w:right="223" w:firstLine="360"/>
        <w:jc w:val="both"/>
        <w:rPr>
          <w:sz w:val="24"/>
        </w:rPr>
      </w:pPr>
      <w:r>
        <w:rPr>
          <w:sz w:val="24"/>
        </w:rPr>
        <w:t>Hamer RA, EL Nahas AM. The burden of chronic Kidney Disease is rising rapidly worldwide. BMJ, 2006;</w:t>
      </w:r>
      <w:r>
        <w:rPr>
          <w:spacing w:val="-1"/>
          <w:sz w:val="24"/>
        </w:rPr>
        <w:t> </w:t>
      </w:r>
      <w:r>
        <w:rPr>
          <w:sz w:val="24"/>
        </w:rPr>
        <w:t>332:563-564.</w:t>
      </w:r>
    </w:p>
    <w:p>
      <w:pPr>
        <w:pStyle w:val="ListParagraph"/>
        <w:numPr>
          <w:ilvl w:val="0"/>
          <w:numId w:val="22"/>
        </w:numPr>
        <w:tabs>
          <w:tab w:pos="1192" w:val="left" w:leader="none"/>
        </w:tabs>
        <w:spacing w:line="360" w:lineRule="auto" w:before="120" w:after="0"/>
        <w:ind w:left="461" w:right="228" w:firstLine="360"/>
        <w:jc w:val="both"/>
        <w:rPr>
          <w:sz w:val="24"/>
        </w:rPr>
      </w:pPr>
      <w:r>
        <w:rPr>
          <w:sz w:val="24"/>
        </w:rPr>
        <w:t>Nwankwo, Bello, El Nahas M. Chronic Kidney Disease: Stemming the Global Tide. Am J Kidney Dis 2005;</w:t>
      </w:r>
      <w:r>
        <w:rPr>
          <w:spacing w:val="-4"/>
          <w:sz w:val="24"/>
        </w:rPr>
        <w:t> </w:t>
      </w:r>
      <w:r>
        <w:rPr>
          <w:sz w:val="24"/>
        </w:rPr>
        <w:t>45:201-208.</w:t>
      </w:r>
    </w:p>
    <w:p>
      <w:pPr>
        <w:pStyle w:val="BodyText"/>
        <w:spacing w:line="360" w:lineRule="auto" w:before="120"/>
        <w:ind w:left="461" w:right="228" w:firstLine="360"/>
        <w:jc w:val="both"/>
      </w:pPr>
      <w:r>
        <w:rPr/>
        <w:t>14- U.S.Renal Data System. 2010 USRDS Annual Data Report. National Institutes of Health, National Institute of Diabetes and Digestive and Kidney Diseases, Bethesda, MD, 2010.</w:t>
      </w:r>
    </w:p>
    <w:p>
      <w:pPr>
        <w:pStyle w:val="ListParagraph"/>
        <w:numPr>
          <w:ilvl w:val="0"/>
          <w:numId w:val="23"/>
        </w:numPr>
        <w:tabs>
          <w:tab w:pos="1182" w:val="left" w:leader="none"/>
        </w:tabs>
        <w:spacing w:line="240" w:lineRule="auto" w:before="120" w:after="0"/>
        <w:ind w:left="461" w:right="0" w:firstLine="360"/>
        <w:jc w:val="left"/>
        <w:rPr>
          <w:sz w:val="24"/>
        </w:rPr>
      </w:pPr>
      <w:r>
        <w:rPr>
          <w:sz w:val="24"/>
        </w:rPr>
        <w:t>Sesso R. Diálise Crônica no Brasil- Relatório do Censo Brasileiro de Diálise,</w:t>
      </w:r>
      <w:r>
        <w:rPr>
          <w:spacing w:val="-10"/>
          <w:sz w:val="24"/>
        </w:rPr>
        <w:t> </w:t>
      </w:r>
      <w:r>
        <w:rPr>
          <w:sz w:val="24"/>
        </w:rPr>
        <w:t>2011.</w:t>
      </w:r>
    </w:p>
    <w:p>
      <w:pPr>
        <w:pStyle w:val="BodyText"/>
        <w:spacing w:before="6"/>
        <w:rPr>
          <w:sz w:val="22"/>
        </w:rPr>
      </w:pPr>
    </w:p>
    <w:p>
      <w:pPr>
        <w:pStyle w:val="ListParagraph"/>
        <w:numPr>
          <w:ilvl w:val="0"/>
          <w:numId w:val="23"/>
        </w:numPr>
        <w:tabs>
          <w:tab w:pos="1220" w:val="left" w:leader="none"/>
        </w:tabs>
        <w:spacing w:line="360" w:lineRule="auto" w:before="1" w:after="0"/>
        <w:ind w:left="461" w:right="232" w:firstLine="360"/>
        <w:jc w:val="both"/>
        <w:rPr>
          <w:sz w:val="24"/>
        </w:rPr>
      </w:pPr>
      <w:r>
        <w:rPr>
          <w:sz w:val="24"/>
        </w:rPr>
        <w:t>Oliveira MB, Romão Jr JE, Zatz R. End-stage renal disease in Brazil: Epidemiology, prevention, and treatment. Kidney Int Suppl. 2005</w:t>
      </w:r>
      <w:r>
        <w:rPr>
          <w:spacing w:val="-2"/>
          <w:sz w:val="24"/>
        </w:rPr>
        <w:t> </w:t>
      </w:r>
      <w:r>
        <w:rPr>
          <w:sz w:val="24"/>
        </w:rPr>
        <w:t>;(97):82-86.</w:t>
      </w:r>
    </w:p>
    <w:p>
      <w:pPr>
        <w:pStyle w:val="ListParagraph"/>
        <w:numPr>
          <w:ilvl w:val="0"/>
          <w:numId w:val="23"/>
        </w:numPr>
        <w:tabs>
          <w:tab w:pos="1256" w:val="left" w:leader="none"/>
        </w:tabs>
        <w:spacing w:line="360" w:lineRule="auto" w:before="120" w:after="0"/>
        <w:ind w:left="461" w:right="230" w:firstLine="360"/>
        <w:jc w:val="both"/>
        <w:rPr>
          <w:sz w:val="24"/>
        </w:rPr>
      </w:pPr>
      <w:r>
        <w:rPr>
          <w:sz w:val="24"/>
        </w:rPr>
        <w:t>KDIGO 2012. Clinical Practice Guideline for the Evaluation and Management of Chronic Kidney Disease. Kidney International Supplements 2013; 3:</w:t>
      </w:r>
      <w:r>
        <w:rPr>
          <w:spacing w:val="-6"/>
          <w:sz w:val="24"/>
        </w:rPr>
        <w:t> </w:t>
      </w:r>
      <w:r>
        <w:rPr>
          <w:sz w:val="24"/>
        </w:rPr>
        <w:t>5–14</w:t>
      </w:r>
    </w:p>
    <w:p>
      <w:pPr>
        <w:pStyle w:val="ListParagraph"/>
        <w:numPr>
          <w:ilvl w:val="0"/>
          <w:numId w:val="23"/>
        </w:numPr>
        <w:tabs>
          <w:tab w:pos="1232" w:val="left" w:leader="none"/>
        </w:tabs>
        <w:spacing w:line="360" w:lineRule="auto" w:before="120" w:after="0"/>
        <w:ind w:left="461" w:right="229" w:firstLine="360"/>
        <w:jc w:val="both"/>
        <w:rPr>
          <w:sz w:val="24"/>
        </w:rPr>
      </w:pPr>
      <w:r>
        <w:rPr>
          <w:sz w:val="24"/>
        </w:rPr>
        <w:t>Levey AS, Eckardt KU, Tsukamoto Y et al. Definition and classification of chronic kidney disease: a position statement from Kidney Disease: Improving Global Outcomes (KDIGO). Kidney Int 2005; 67:</w:t>
      </w:r>
      <w:r>
        <w:rPr>
          <w:spacing w:val="-1"/>
          <w:sz w:val="24"/>
        </w:rPr>
        <w:t> </w:t>
      </w:r>
      <w:r>
        <w:rPr>
          <w:sz w:val="24"/>
        </w:rPr>
        <w:t>2089–2100.</w:t>
      </w:r>
    </w:p>
    <w:p>
      <w:pPr>
        <w:pStyle w:val="ListParagraph"/>
        <w:numPr>
          <w:ilvl w:val="0"/>
          <w:numId w:val="23"/>
        </w:numPr>
        <w:tabs>
          <w:tab w:pos="1232" w:val="left" w:leader="none"/>
        </w:tabs>
        <w:spacing w:line="360" w:lineRule="auto" w:before="119" w:after="0"/>
        <w:ind w:left="461" w:right="229" w:firstLine="360"/>
        <w:jc w:val="both"/>
        <w:rPr>
          <w:sz w:val="24"/>
        </w:rPr>
      </w:pPr>
      <w:r>
        <w:rPr>
          <w:sz w:val="24"/>
        </w:rPr>
        <w:t>Levey A.S., Bosch J.P., Lewis B., Greene T., Rogers N., Roth N. A more accurate method to estimate glomerular filtration rate from serum creatinine: a new prediction equation. Ann Int Med 1999; 130:</w:t>
      </w:r>
      <w:r>
        <w:rPr>
          <w:spacing w:val="1"/>
          <w:sz w:val="24"/>
        </w:rPr>
        <w:t> </w:t>
      </w:r>
      <w:r>
        <w:rPr>
          <w:sz w:val="24"/>
        </w:rPr>
        <w:t>461-410.</w:t>
      </w:r>
    </w:p>
    <w:p>
      <w:pPr>
        <w:pStyle w:val="ListParagraph"/>
        <w:numPr>
          <w:ilvl w:val="0"/>
          <w:numId w:val="23"/>
        </w:numPr>
        <w:tabs>
          <w:tab w:pos="1216" w:val="left" w:leader="none"/>
        </w:tabs>
        <w:spacing w:line="360" w:lineRule="auto" w:before="118" w:after="0"/>
        <w:ind w:left="461" w:right="232" w:firstLine="360"/>
        <w:jc w:val="both"/>
        <w:rPr>
          <w:sz w:val="24"/>
        </w:rPr>
      </w:pPr>
      <w:r>
        <w:rPr>
          <w:sz w:val="24"/>
        </w:rPr>
        <w:t>Levey A.S., Stevens L.A., Schmid C.H., et al. A new equation to estimate glomerular filtration rate. Ann Intern Med. 2009; 150:</w:t>
      </w:r>
      <w:r>
        <w:rPr>
          <w:spacing w:val="2"/>
          <w:sz w:val="24"/>
        </w:rPr>
        <w:t> </w:t>
      </w:r>
      <w:r>
        <w:rPr>
          <w:sz w:val="24"/>
        </w:rPr>
        <w:t>604–612.</w:t>
      </w:r>
    </w:p>
    <w:p>
      <w:pPr>
        <w:pStyle w:val="ListParagraph"/>
        <w:numPr>
          <w:ilvl w:val="0"/>
          <w:numId w:val="23"/>
        </w:numPr>
        <w:tabs>
          <w:tab w:pos="1189" w:val="left" w:leader="none"/>
        </w:tabs>
        <w:spacing w:line="360" w:lineRule="auto" w:before="121" w:after="0"/>
        <w:ind w:left="461" w:right="233" w:firstLine="360"/>
        <w:jc w:val="both"/>
        <w:rPr>
          <w:sz w:val="24"/>
        </w:rPr>
      </w:pPr>
      <w:r>
        <w:rPr>
          <w:sz w:val="24"/>
        </w:rPr>
        <w:t>Bastos R.M.R., Bastos M.G. Tabela de Cálculo Imediato da Filtração Glomerular. J Bras Nefrol, 2005; 27:</w:t>
      </w:r>
      <w:r>
        <w:rPr>
          <w:spacing w:val="-1"/>
          <w:sz w:val="24"/>
        </w:rPr>
        <w:t> </w:t>
      </w:r>
      <w:r>
        <w:rPr>
          <w:sz w:val="24"/>
        </w:rPr>
        <w:t>40-43.</w:t>
      </w:r>
    </w:p>
    <w:p>
      <w:pPr>
        <w:spacing w:after="0" w:line="360" w:lineRule="auto"/>
        <w:jc w:val="both"/>
        <w:rPr>
          <w:sz w:val="24"/>
        </w:rPr>
        <w:sectPr>
          <w:pgSz w:w="11910" w:h="16840"/>
          <w:pgMar w:header="0" w:footer="925" w:top="1320" w:bottom="1200" w:left="1240" w:right="620"/>
        </w:sectPr>
      </w:pPr>
    </w:p>
    <w:p>
      <w:pPr>
        <w:pStyle w:val="ListParagraph"/>
        <w:numPr>
          <w:ilvl w:val="0"/>
          <w:numId w:val="23"/>
        </w:numPr>
        <w:tabs>
          <w:tab w:pos="1192" w:val="left" w:leader="none"/>
        </w:tabs>
        <w:spacing w:line="360" w:lineRule="auto" w:before="74" w:after="0"/>
        <w:ind w:left="461" w:right="229" w:firstLine="360"/>
        <w:jc w:val="both"/>
        <w:rPr>
          <w:sz w:val="24"/>
        </w:rPr>
      </w:pPr>
      <w:r>
        <w:rPr>
          <w:sz w:val="24"/>
        </w:rPr>
        <w:t>Magacho E.J.C., Pereira A.C., Mansur H.N., Bastos M.G. Nomograma para a Estimação da Taxa de Filtração Glomerular baseado na Fórmula CKD-EPI. J Bras Nefrol 2012; 34: 313- 315.</w:t>
      </w:r>
    </w:p>
    <w:p>
      <w:pPr>
        <w:spacing w:after="0" w:line="360" w:lineRule="auto"/>
        <w:jc w:val="both"/>
        <w:rPr>
          <w:sz w:val="24"/>
        </w:rPr>
        <w:sectPr>
          <w:pgSz w:w="11910" w:h="16840"/>
          <w:pgMar w:header="0" w:footer="925" w:top="1320" w:bottom="1200" w:left="1240" w:right="620"/>
        </w:sectPr>
      </w:pPr>
    </w:p>
    <w:p>
      <w:pPr>
        <w:pStyle w:val="Heading1"/>
        <w:spacing w:before="79"/>
        <w:ind w:left="461"/>
      </w:pPr>
      <w:r>
        <w:rPr/>
        <w:t>ANEXO I</w:t>
      </w:r>
    </w:p>
    <w:p>
      <w:pPr>
        <w:pStyle w:val="BodyText"/>
        <w:spacing w:before="4"/>
        <w:rPr>
          <w:b/>
          <w:sz w:val="22"/>
        </w:rPr>
      </w:pPr>
    </w:p>
    <w:p>
      <w:pPr>
        <w:spacing w:line="295" w:lineRule="auto" w:before="1"/>
        <w:ind w:left="461" w:right="1032" w:firstLine="0"/>
        <w:jc w:val="left"/>
        <w:rPr>
          <w:rFonts w:ascii="Arial" w:hAnsi="Arial"/>
          <w:sz w:val="22"/>
        </w:rPr>
      </w:pPr>
      <w:r>
        <w:rPr>
          <w:rFonts w:ascii="Arial" w:hAnsi="Arial"/>
          <w:w w:val="95"/>
          <w:sz w:val="22"/>
        </w:rPr>
        <w:t>Cuidados</w:t>
      </w:r>
      <w:r>
        <w:rPr>
          <w:rFonts w:ascii="Arial" w:hAnsi="Arial"/>
          <w:spacing w:val="-37"/>
          <w:w w:val="95"/>
          <w:sz w:val="22"/>
        </w:rPr>
        <w:t> </w:t>
      </w:r>
      <w:r>
        <w:rPr>
          <w:rFonts w:ascii="Arial" w:hAnsi="Arial"/>
          <w:w w:val="95"/>
          <w:sz w:val="22"/>
        </w:rPr>
        <w:t>com</w:t>
      </w:r>
      <w:r>
        <w:rPr>
          <w:rFonts w:ascii="Arial" w:hAnsi="Arial"/>
          <w:spacing w:val="-37"/>
          <w:w w:val="95"/>
          <w:sz w:val="22"/>
        </w:rPr>
        <w:t> </w:t>
      </w:r>
      <w:r>
        <w:rPr>
          <w:rFonts w:ascii="Arial" w:hAnsi="Arial"/>
          <w:w w:val="95"/>
          <w:sz w:val="22"/>
        </w:rPr>
        <w:t>o</w:t>
      </w:r>
      <w:r>
        <w:rPr>
          <w:rFonts w:ascii="Arial" w:hAnsi="Arial"/>
          <w:spacing w:val="-36"/>
          <w:w w:val="95"/>
          <w:sz w:val="22"/>
        </w:rPr>
        <w:t> </w:t>
      </w:r>
      <w:r>
        <w:rPr>
          <w:rFonts w:ascii="Arial" w:hAnsi="Arial"/>
          <w:w w:val="95"/>
          <w:sz w:val="22"/>
        </w:rPr>
        <w:t>uso</w:t>
      </w:r>
      <w:r>
        <w:rPr>
          <w:rFonts w:ascii="Arial" w:hAnsi="Arial"/>
          <w:spacing w:val="-37"/>
          <w:w w:val="95"/>
          <w:sz w:val="22"/>
        </w:rPr>
        <w:t> </w:t>
      </w:r>
      <w:r>
        <w:rPr>
          <w:rFonts w:ascii="Arial" w:hAnsi="Arial"/>
          <w:w w:val="95"/>
          <w:sz w:val="22"/>
        </w:rPr>
        <w:t>de</w:t>
      </w:r>
      <w:r>
        <w:rPr>
          <w:rFonts w:ascii="Arial" w:hAnsi="Arial"/>
          <w:spacing w:val="-36"/>
          <w:w w:val="95"/>
          <w:sz w:val="22"/>
        </w:rPr>
        <w:t> </w:t>
      </w:r>
      <w:r>
        <w:rPr>
          <w:rFonts w:ascii="Arial" w:hAnsi="Arial"/>
          <w:w w:val="95"/>
          <w:sz w:val="22"/>
        </w:rPr>
        <w:t>agentes</w:t>
      </w:r>
      <w:r>
        <w:rPr>
          <w:rFonts w:ascii="Arial" w:hAnsi="Arial"/>
          <w:spacing w:val="-36"/>
          <w:w w:val="95"/>
          <w:sz w:val="22"/>
        </w:rPr>
        <w:t> </w:t>
      </w:r>
      <w:r>
        <w:rPr>
          <w:rFonts w:ascii="Arial" w:hAnsi="Arial"/>
          <w:w w:val="95"/>
          <w:sz w:val="22"/>
        </w:rPr>
        <w:t>farmacológicos</w:t>
      </w:r>
      <w:r>
        <w:rPr>
          <w:rFonts w:ascii="Arial" w:hAnsi="Arial"/>
          <w:spacing w:val="-37"/>
          <w:w w:val="95"/>
          <w:sz w:val="22"/>
        </w:rPr>
        <w:t> </w:t>
      </w:r>
      <w:r>
        <w:rPr>
          <w:rFonts w:ascii="Arial" w:hAnsi="Arial"/>
          <w:w w:val="95"/>
          <w:sz w:val="22"/>
        </w:rPr>
        <w:t>em</w:t>
      </w:r>
      <w:r>
        <w:rPr>
          <w:rFonts w:ascii="Arial" w:hAnsi="Arial"/>
          <w:spacing w:val="-36"/>
          <w:w w:val="95"/>
          <w:sz w:val="22"/>
        </w:rPr>
        <w:t> </w:t>
      </w:r>
      <w:r>
        <w:rPr>
          <w:rFonts w:ascii="Arial" w:hAnsi="Arial"/>
          <w:w w:val="95"/>
          <w:sz w:val="22"/>
        </w:rPr>
        <w:t>pacientes</w:t>
      </w:r>
      <w:r>
        <w:rPr>
          <w:rFonts w:ascii="Arial" w:hAnsi="Arial"/>
          <w:spacing w:val="-37"/>
          <w:w w:val="95"/>
          <w:sz w:val="22"/>
        </w:rPr>
        <w:t> </w:t>
      </w:r>
      <w:r>
        <w:rPr>
          <w:rFonts w:ascii="Arial" w:hAnsi="Arial"/>
          <w:w w:val="95"/>
          <w:sz w:val="22"/>
        </w:rPr>
        <w:t>com</w:t>
      </w:r>
      <w:r>
        <w:rPr>
          <w:rFonts w:ascii="Arial" w:hAnsi="Arial"/>
          <w:spacing w:val="-37"/>
          <w:w w:val="95"/>
          <w:sz w:val="22"/>
        </w:rPr>
        <w:t> </w:t>
      </w:r>
      <w:r>
        <w:rPr>
          <w:rFonts w:ascii="Arial" w:hAnsi="Arial"/>
          <w:w w:val="95"/>
          <w:sz w:val="22"/>
        </w:rPr>
        <w:t>DRC</w:t>
      </w:r>
      <w:r>
        <w:rPr>
          <w:rFonts w:ascii="Arial" w:hAnsi="Arial"/>
          <w:spacing w:val="-37"/>
          <w:w w:val="95"/>
          <w:sz w:val="22"/>
        </w:rPr>
        <w:t> </w:t>
      </w:r>
      <w:r>
        <w:rPr>
          <w:rFonts w:ascii="Arial" w:hAnsi="Arial"/>
          <w:w w:val="95"/>
          <w:sz w:val="22"/>
        </w:rPr>
        <w:t>e</w:t>
      </w:r>
      <w:r>
        <w:rPr>
          <w:rFonts w:ascii="Arial" w:hAnsi="Arial"/>
          <w:spacing w:val="-36"/>
          <w:w w:val="95"/>
          <w:sz w:val="22"/>
        </w:rPr>
        <w:t> </w:t>
      </w:r>
      <w:r>
        <w:rPr>
          <w:rFonts w:ascii="Arial" w:hAnsi="Arial"/>
          <w:w w:val="95"/>
          <w:sz w:val="22"/>
        </w:rPr>
        <w:t>agentes</w:t>
      </w:r>
      <w:r>
        <w:rPr>
          <w:rFonts w:ascii="Arial" w:hAnsi="Arial"/>
          <w:spacing w:val="-39"/>
          <w:w w:val="95"/>
          <w:sz w:val="22"/>
        </w:rPr>
        <w:t> </w:t>
      </w:r>
      <w:r>
        <w:rPr>
          <w:rFonts w:ascii="Arial" w:hAnsi="Arial"/>
          <w:w w:val="95"/>
          <w:sz w:val="22"/>
        </w:rPr>
        <w:t>com</w:t>
      </w:r>
      <w:r>
        <w:rPr>
          <w:rFonts w:ascii="Arial" w:hAnsi="Arial"/>
          <w:spacing w:val="-35"/>
          <w:w w:val="95"/>
          <w:sz w:val="22"/>
        </w:rPr>
        <w:t> </w:t>
      </w:r>
      <w:r>
        <w:rPr>
          <w:rFonts w:ascii="Arial" w:hAnsi="Arial"/>
          <w:w w:val="95"/>
          <w:sz w:val="22"/>
        </w:rPr>
        <w:t>potencial </w:t>
      </w:r>
      <w:r>
        <w:rPr>
          <w:rFonts w:ascii="Arial" w:hAnsi="Arial"/>
          <w:sz w:val="22"/>
        </w:rPr>
        <w:t>nefrotoxicidade</w:t>
      </w:r>
      <w:r>
        <w:rPr>
          <w:rFonts w:ascii="Arial" w:hAnsi="Arial"/>
          <w:spacing w:val="-14"/>
          <w:sz w:val="22"/>
        </w:rPr>
        <w:t> </w:t>
      </w:r>
      <w:r>
        <w:rPr>
          <w:rFonts w:ascii="Arial" w:hAnsi="Arial"/>
          <w:sz w:val="22"/>
        </w:rPr>
        <w:t>renal.</w:t>
      </w:r>
    </w:p>
    <w:p>
      <w:pPr>
        <w:pStyle w:val="BodyText"/>
        <w:rPr>
          <w:rFonts w:ascii="Arial"/>
          <w:sz w:val="20"/>
        </w:rPr>
      </w:pPr>
    </w:p>
    <w:p>
      <w:pPr>
        <w:pStyle w:val="BodyText"/>
        <w:rPr>
          <w:rFonts w:ascii="Arial"/>
          <w:sz w:val="20"/>
        </w:rPr>
      </w:pPr>
    </w:p>
    <w:p>
      <w:pPr>
        <w:pStyle w:val="BodyText"/>
        <w:spacing w:before="3"/>
        <w:rPr>
          <w:rFonts w:ascii="Arial"/>
          <w:sz w:val="21"/>
        </w:rPr>
      </w:pPr>
    </w:p>
    <w:tbl>
      <w:tblPr>
        <w:tblW w:w="0" w:type="auto"/>
        <w:jc w:val="left"/>
        <w:tblInd w:w="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786"/>
        <w:gridCol w:w="4786"/>
      </w:tblGrid>
      <w:tr>
        <w:trPr>
          <w:trHeight w:val="508" w:hRule="atLeast"/>
        </w:trPr>
        <w:tc>
          <w:tcPr>
            <w:tcW w:w="4786" w:type="dxa"/>
          </w:tcPr>
          <w:p>
            <w:pPr>
              <w:pStyle w:val="TableParagraph"/>
              <w:spacing w:before="2"/>
              <w:rPr>
                <w:rFonts w:ascii="Trebuchet MS"/>
                <w:b/>
                <w:sz w:val="22"/>
              </w:rPr>
            </w:pPr>
            <w:r>
              <w:rPr>
                <w:rFonts w:ascii="Trebuchet MS"/>
                <w:b/>
                <w:sz w:val="22"/>
              </w:rPr>
              <w:t>Agente</w:t>
            </w:r>
          </w:p>
        </w:tc>
        <w:tc>
          <w:tcPr>
            <w:tcW w:w="4786" w:type="dxa"/>
          </w:tcPr>
          <w:p>
            <w:pPr>
              <w:pStyle w:val="TableParagraph"/>
              <w:spacing w:before="2"/>
              <w:rPr>
                <w:rFonts w:ascii="Trebuchet MS" w:hAnsi="Trebuchet MS"/>
                <w:b/>
                <w:sz w:val="22"/>
              </w:rPr>
            </w:pPr>
            <w:r>
              <w:rPr>
                <w:rFonts w:ascii="Trebuchet MS" w:hAnsi="Trebuchet MS"/>
                <w:b/>
                <w:sz w:val="22"/>
              </w:rPr>
              <w:t>Cuidados Específicos na DRC</w:t>
            </w:r>
          </w:p>
        </w:tc>
      </w:tr>
      <w:tr>
        <w:trPr>
          <w:trHeight w:val="817" w:hRule="atLeast"/>
        </w:trPr>
        <w:tc>
          <w:tcPr>
            <w:tcW w:w="4786" w:type="dxa"/>
            <w:shd w:val="clear" w:color="auto" w:fill="A7A8A7"/>
          </w:tcPr>
          <w:p>
            <w:pPr>
              <w:pStyle w:val="TableParagraph"/>
              <w:spacing w:line="295" w:lineRule="auto"/>
              <w:rPr>
                <w:sz w:val="22"/>
              </w:rPr>
            </w:pPr>
            <w:r>
              <w:rPr>
                <w:w w:val="90"/>
                <w:sz w:val="22"/>
              </w:rPr>
              <w:t>1. Anti-Hipertensivos e medicações para doenças </w:t>
            </w:r>
            <w:r>
              <w:rPr>
                <w:sz w:val="22"/>
              </w:rPr>
              <w:t>cardíacas</w:t>
            </w:r>
          </w:p>
        </w:tc>
        <w:tc>
          <w:tcPr>
            <w:tcW w:w="4786" w:type="dxa"/>
            <w:shd w:val="clear" w:color="auto" w:fill="A7A8A7"/>
          </w:tcPr>
          <w:p>
            <w:pPr>
              <w:pStyle w:val="TableParagraph"/>
              <w:ind w:left="0"/>
              <w:rPr>
                <w:rFonts w:ascii="Times New Roman"/>
                <w:sz w:val="22"/>
              </w:rPr>
            </w:pPr>
          </w:p>
        </w:tc>
      </w:tr>
      <w:tr>
        <w:trPr>
          <w:trHeight w:val="4396" w:hRule="atLeast"/>
        </w:trPr>
        <w:tc>
          <w:tcPr>
            <w:tcW w:w="4786" w:type="dxa"/>
          </w:tcPr>
          <w:p>
            <w:pPr>
              <w:pStyle w:val="TableParagraph"/>
              <w:spacing w:line="295" w:lineRule="auto"/>
              <w:ind w:left="815"/>
              <w:rPr>
                <w:sz w:val="22"/>
              </w:rPr>
            </w:pPr>
            <w:r>
              <w:rPr>
                <w:w w:val="90"/>
                <w:sz w:val="22"/>
              </w:rPr>
              <w:t>IECA / BRA, antagonista da aldosterona, </w:t>
            </w:r>
            <w:r>
              <w:rPr>
                <w:sz w:val="22"/>
              </w:rPr>
              <w:t>inibudores diretos da renina</w:t>
            </w:r>
          </w:p>
        </w:tc>
        <w:tc>
          <w:tcPr>
            <w:tcW w:w="4786" w:type="dxa"/>
          </w:tcPr>
          <w:p>
            <w:pPr>
              <w:pStyle w:val="TableParagraph"/>
              <w:spacing w:line="295" w:lineRule="auto"/>
              <w:ind w:right="270"/>
              <w:rPr>
                <w:sz w:val="22"/>
              </w:rPr>
            </w:pPr>
            <w:r>
              <w:rPr>
                <w:w w:val="95"/>
                <w:sz w:val="22"/>
              </w:rPr>
              <w:t>Evitar</w:t>
            </w:r>
            <w:r>
              <w:rPr>
                <w:spacing w:val="-35"/>
                <w:w w:val="95"/>
                <w:sz w:val="22"/>
              </w:rPr>
              <w:t> </w:t>
            </w:r>
            <w:r>
              <w:rPr>
                <w:w w:val="95"/>
                <w:sz w:val="22"/>
              </w:rPr>
              <w:t>em</w:t>
            </w:r>
            <w:r>
              <w:rPr>
                <w:spacing w:val="-32"/>
                <w:w w:val="95"/>
                <w:sz w:val="22"/>
              </w:rPr>
              <w:t> </w:t>
            </w:r>
            <w:r>
              <w:rPr>
                <w:w w:val="95"/>
                <w:sz w:val="22"/>
              </w:rPr>
              <w:t>pacientes</w:t>
            </w:r>
            <w:r>
              <w:rPr>
                <w:spacing w:val="-35"/>
                <w:w w:val="95"/>
                <w:sz w:val="22"/>
              </w:rPr>
              <w:t> </w:t>
            </w:r>
            <w:r>
              <w:rPr>
                <w:w w:val="95"/>
                <w:sz w:val="22"/>
              </w:rPr>
              <w:t>com</w:t>
            </w:r>
            <w:r>
              <w:rPr>
                <w:spacing w:val="-32"/>
                <w:w w:val="95"/>
                <w:sz w:val="22"/>
              </w:rPr>
              <w:t> </w:t>
            </w:r>
            <w:r>
              <w:rPr>
                <w:w w:val="95"/>
                <w:sz w:val="22"/>
              </w:rPr>
              <w:t>suspeita</w:t>
            </w:r>
            <w:r>
              <w:rPr>
                <w:spacing w:val="-33"/>
                <w:w w:val="95"/>
                <w:sz w:val="22"/>
              </w:rPr>
              <w:t> </w:t>
            </w:r>
            <w:r>
              <w:rPr>
                <w:w w:val="95"/>
                <w:sz w:val="22"/>
              </w:rPr>
              <w:t>de</w:t>
            </w:r>
            <w:r>
              <w:rPr>
                <w:spacing w:val="-34"/>
                <w:w w:val="95"/>
                <w:sz w:val="22"/>
              </w:rPr>
              <w:t> </w:t>
            </w:r>
            <w:r>
              <w:rPr>
                <w:w w:val="95"/>
                <w:sz w:val="22"/>
              </w:rPr>
              <w:t>estenose</w:t>
            </w:r>
            <w:r>
              <w:rPr>
                <w:spacing w:val="-33"/>
                <w:w w:val="95"/>
                <w:sz w:val="22"/>
              </w:rPr>
              <w:t> </w:t>
            </w:r>
            <w:r>
              <w:rPr>
                <w:w w:val="95"/>
                <w:sz w:val="22"/>
              </w:rPr>
              <w:t>da </w:t>
            </w:r>
            <w:r>
              <w:rPr>
                <w:sz w:val="22"/>
              </w:rPr>
              <w:t>artéria</w:t>
            </w:r>
            <w:r>
              <w:rPr>
                <w:spacing w:val="-13"/>
                <w:sz w:val="22"/>
              </w:rPr>
              <w:t> </w:t>
            </w:r>
            <w:r>
              <w:rPr>
                <w:sz w:val="22"/>
              </w:rPr>
              <w:t>renal;</w:t>
            </w:r>
          </w:p>
          <w:p>
            <w:pPr>
              <w:pStyle w:val="TableParagraph"/>
              <w:spacing w:line="295" w:lineRule="auto" w:before="196"/>
              <w:ind w:right="160"/>
              <w:rPr>
                <w:sz w:val="22"/>
              </w:rPr>
            </w:pPr>
            <w:r>
              <w:rPr>
                <w:w w:val="95"/>
                <w:sz w:val="22"/>
              </w:rPr>
              <w:t>Iniciar</w:t>
            </w:r>
            <w:r>
              <w:rPr>
                <w:spacing w:val="-29"/>
                <w:w w:val="95"/>
                <w:sz w:val="22"/>
              </w:rPr>
              <w:t> </w:t>
            </w:r>
            <w:r>
              <w:rPr>
                <w:w w:val="95"/>
                <w:sz w:val="22"/>
              </w:rPr>
              <w:t>com</w:t>
            </w:r>
            <w:r>
              <w:rPr>
                <w:spacing w:val="-27"/>
                <w:w w:val="95"/>
                <w:sz w:val="22"/>
              </w:rPr>
              <w:t> </w:t>
            </w:r>
            <w:r>
              <w:rPr>
                <w:w w:val="95"/>
                <w:sz w:val="22"/>
              </w:rPr>
              <w:t>doses</w:t>
            </w:r>
            <w:r>
              <w:rPr>
                <w:spacing w:val="-30"/>
                <w:w w:val="95"/>
                <w:sz w:val="22"/>
              </w:rPr>
              <w:t> </w:t>
            </w:r>
            <w:r>
              <w:rPr>
                <w:w w:val="95"/>
                <w:sz w:val="22"/>
              </w:rPr>
              <w:t>menores</w:t>
            </w:r>
            <w:r>
              <w:rPr>
                <w:spacing w:val="-29"/>
                <w:w w:val="95"/>
                <w:sz w:val="22"/>
              </w:rPr>
              <w:t> </w:t>
            </w:r>
            <w:r>
              <w:rPr>
                <w:w w:val="95"/>
                <w:sz w:val="22"/>
              </w:rPr>
              <w:t>do</w:t>
            </w:r>
            <w:r>
              <w:rPr>
                <w:spacing w:val="-28"/>
                <w:w w:val="95"/>
                <w:sz w:val="22"/>
              </w:rPr>
              <w:t> </w:t>
            </w:r>
            <w:r>
              <w:rPr>
                <w:w w:val="95"/>
                <w:sz w:val="22"/>
              </w:rPr>
              <w:t>que</w:t>
            </w:r>
            <w:r>
              <w:rPr>
                <w:spacing w:val="-27"/>
                <w:w w:val="95"/>
                <w:sz w:val="22"/>
              </w:rPr>
              <w:t> </w:t>
            </w:r>
            <w:r>
              <w:rPr>
                <w:w w:val="95"/>
                <w:sz w:val="22"/>
              </w:rPr>
              <w:t>as</w:t>
            </w:r>
            <w:r>
              <w:rPr>
                <w:spacing w:val="-30"/>
                <w:w w:val="95"/>
                <w:sz w:val="22"/>
              </w:rPr>
              <w:t> </w:t>
            </w:r>
            <w:r>
              <w:rPr>
                <w:w w:val="95"/>
                <w:sz w:val="22"/>
              </w:rPr>
              <w:t>habituais</w:t>
            </w:r>
            <w:r>
              <w:rPr>
                <w:spacing w:val="-28"/>
                <w:w w:val="95"/>
                <w:sz w:val="22"/>
              </w:rPr>
              <w:t> </w:t>
            </w:r>
            <w:r>
              <w:rPr>
                <w:w w:val="95"/>
                <w:sz w:val="22"/>
              </w:rPr>
              <w:t>em </w:t>
            </w:r>
            <w:r>
              <w:rPr>
                <w:sz w:val="22"/>
              </w:rPr>
              <w:t>pacientes</w:t>
            </w:r>
            <w:r>
              <w:rPr>
                <w:spacing w:val="-21"/>
                <w:sz w:val="22"/>
              </w:rPr>
              <w:t> </w:t>
            </w:r>
            <w:r>
              <w:rPr>
                <w:sz w:val="22"/>
              </w:rPr>
              <w:t>com</w:t>
            </w:r>
            <w:r>
              <w:rPr>
                <w:spacing w:val="-19"/>
                <w:sz w:val="22"/>
              </w:rPr>
              <w:t> </w:t>
            </w:r>
            <w:r>
              <w:rPr>
                <w:sz w:val="22"/>
              </w:rPr>
              <w:t>TFG</w:t>
            </w:r>
            <w:r>
              <w:rPr>
                <w:spacing w:val="-18"/>
                <w:sz w:val="22"/>
              </w:rPr>
              <w:t> </w:t>
            </w:r>
            <w:r>
              <w:rPr>
                <w:sz w:val="22"/>
              </w:rPr>
              <w:t>&lt;</w:t>
            </w:r>
            <w:r>
              <w:rPr>
                <w:spacing w:val="-19"/>
                <w:sz w:val="22"/>
              </w:rPr>
              <w:t> </w:t>
            </w:r>
            <w:r>
              <w:rPr>
                <w:sz w:val="22"/>
              </w:rPr>
              <w:t>45</w:t>
            </w:r>
            <w:r>
              <w:rPr>
                <w:spacing w:val="-20"/>
                <w:sz w:val="22"/>
              </w:rPr>
              <w:t> </w:t>
            </w:r>
            <w:r>
              <w:rPr>
                <w:sz w:val="22"/>
              </w:rPr>
              <w:t>ml/min;</w:t>
            </w:r>
          </w:p>
          <w:p>
            <w:pPr>
              <w:pStyle w:val="TableParagraph"/>
              <w:spacing w:line="292" w:lineRule="auto" w:before="196"/>
              <w:ind w:right="1114"/>
              <w:rPr>
                <w:sz w:val="22"/>
              </w:rPr>
            </w:pPr>
            <w:r>
              <w:rPr>
                <w:w w:val="95"/>
                <w:sz w:val="22"/>
              </w:rPr>
              <w:t>Avaliar</w:t>
            </w:r>
            <w:r>
              <w:rPr>
                <w:spacing w:val="-41"/>
                <w:w w:val="95"/>
                <w:sz w:val="22"/>
              </w:rPr>
              <w:t> </w:t>
            </w:r>
            <w:r>
              <w:rPr>
                <w:w w:val="95"/>
                <w:sz w:val="22"/>
              </w:rPr>
              <w:t>TGF</w:t>
            </w:r>
            <w:r>
              <w:rPr>
                <w:spacing w:val="-42"/>
                <w:w w:val="95"/>
                <w:sz w:val="22"/>
              </w:rPr>
              <w:t> </w:t>
            </w:r>
            <w:r>
              <w:rPr>
                <w:w w:val="95"/>
                <w:sz w:val="22"/>
              </w:rPr>
              <w:t>e</w:t>
            </w:r>
            <w:r>
              <w:rPr>
                <w:spacing w:val="-41"/>
                <w:w w:val="95"/>
                <w:sz w:val="22"/>
              </w:rPr>
              <w:t> </w:t>
            </w:r>
            <w:r>
              <w:rPr>
                <w:w w:val="95"/>
                <w:sz w:val="22"/>
              </w:rPr>
              <w:t>potássio</w:t>
            </w:r>
            <w:r>
              <w:rPr>
                <w:spacing w:val="-41"/>
                <w:w w:val="95"/>
                <w:sz w:val="22"/>
              </w:rPr>
              <w:t> </w:t>
            </w:r>
            <w:r>
              <w:rPr>
                <w:w w:val="95"/>
                <w:sz w:val="22"/>
              </w:rPr>
              <w:t>sérico</w:t>
            </w:r>
            <w:r>
              <w:rPr>
                <w:spacing w:val="-40"/>
                <w:w w:val="95"/>
                <w:sz w:val="22"/>
              </w:rPr>
              <w:t> </w:t>
            </w:r>
            <w:r>
              <w:rPr>
                <w:w w:val="95"/>
                <w:sz w:val="22"/>
              </w:rPr>
              <w:t>após</w:t>
            </w:r>
            <w:r>
              <w:rPr>
                <w:spacing w:val="-41"/>
                <w:w w:val="95"/>
                <w:sz w:val="22"/>
              </w:rPr>
              <w:t> </w:t>
            </w:r>
            <w:r>
              <w:rPr>
                <w:w w:val="95"/>
                <w:sz w:val="22"/>
              </w:rPr>
              <w:t>a</w:t>
            </w:r>
            <w:r>
              <w:rPr>
                <w:spacing w:val="-41"/>
                <w:w w:val="95"/>
                <w:sz w:val="22"/>
              </w:rPr>
              <w:t> </w:t>
            </w:r>
            <w:r>
              <w:rPr>
                <w:w w:val="95"/>
                <w:sz w:val="22"/>
              </w:rPr>
              <w:t>sua </w:t>
            </w:r>
            <w:r>
              <w:rPr>
                <w:sz w:val="22"/>
              </w:rPr>
              <w:t>introdução;</w:t>
            </w:r>
          </w:p>
          <w:p>
            <w:pPr>
              <w:pStyle w:val="TableParagraph"/>
              <w:spacing w:before="2"/>
              <w:ind w:left="0"/>
              <w:rPr>
                <w:sz w:val="17"/>
              </w:rPr>
            </w:pPr>
          </w:p>
          <w:p>
            <w:pPr>
              <w:pStyle w:val="TableParagraph"/>
              <w:spacing w:line="295" w:lineRule="auto" w:before="1"/>
              <w:ind w:right="171"/>
              <w:jc w:val="both"/>
              <w:rPr>
                <w:sz w:val="22"/>
              </w:rPr>
            </w:pPr>
            <w:r>
              <w:rPr>
                <w:w w:val="90"/>
                <w:sz w:val="22"/>
              </w:rPr>
              <w:t>Suspender temporariamente nos casos de exames contrastados, preparo para colonoscopia, grandes </w:t>
            </w:r>
            <w:r>
              <w:rPr>
                <w:sz w:val="22"/>
              </w:rPr>
              <w:t>cirurgias;</w:t>
            </w:r>
          </w:p>
          <w:p>
            <w:pPr>
              <w:pStyle w:val="TableParagraph"/>
              <w:spacing w:line="292" w:lineRule="auto" w:before="194"/>
              <w:ind w:right="718"/>
              <w:rPr>
                <w:sz w:val="22"/>
              </w:rPr>
            </w:pPr>
            <w:r>
              <w:rPr>
                <w:w w:val="95"/>
                <w:sz w:val="22"/>
              </w:rPr>
              <w:t>Não</w:t>
            </w:r>
            <w:r>
              <w:rPr>
                <w:spacing w:val="-37"/>
                <w:w w:val="95"/>
                <w:sz w:val="22"/>
              </w:rPr>
              <w:t> </w:t>
            </w:r>
            <w:r>
              <w:rPr>
                <w:w w:val="95"/>
                <w:sz w:val="22"/>
              </w:rPr>
              <w:t>suspender,</w:t>
            </w:r>
            <w:r>
              <w:rPr>
                <w:spacing w:val="-37"/>
                <w:w w:val="95"/>
                <w:sz w:val="22"/>
              </w:rPr>
              <w:t> </w:t>
            </w:r>
            <w:r>
              <w:rPr>
                <w:w w:val="95"/>
                <w:sz w:val="22"/>
              </w:rPr>
              <w:t>rotineiramente,</w:t>
            </w:r>
            <w:r>
              <w:rPr>
                <w:spacing w:val="-37"/>
                <w:w w:val="95"/>
                <w:sz w:val="22"/>
              </w:rPr>
              <w:t> </w:t>
            </w:r>
            <w:r>
              <w:rPr>
                <w:w w:val="95"/>
                <w:sz w:val="22"/>
              </w:rPr>
              <w:t>se</w:t>
            </w:r>
            <w:r>
              <w:rPr>
                <w:spacing w:val="-36"/>
                <w:w w:val="95"/>
                <w:sz w:val="22"/>
              </w:rPr>
              <w:t> </w:t>
            </w:r>
            <w:r>
              <w:rPr>
                <w:w w:val="95"/>
                <w:sz w:val="22"/>
              </w:rPr>
              <w:t>TFG</w:t>
            </w:r>
            <w:r>
              <w:rPr>
                <w:spacing w:val="-38"/>
                <w:w w:val="95"/>
                <w:sz w:val="22"/>
              </w:rPr>
              <w:t> </w:t>
            </w:r>
            <w:r>
              <w:rPr>
                <w:w w:val="95"/>
                <w:sz w:val="22"/>
              </w:rPr>
              <w:t>&lt;</w:t>
            </w:r>
            <w:r>
              <w:rPr>
                <w:spacing w:val="-38"/>
                <w:w w:val="95"/>
                <w:sz w:val="22"/>
              </w:rPr>
              <w:t> </w:t>
            </w:r>
            <w:r>
              <w:rPr>
                <w:w w:val="95"/>
                <w:sz w:val="22"/>
              </w:rPr>
              <w:t>30 </w:t>
            </w:r>
            <w:r>
              <w:rPr>
                <w:sz w:val="22"/>
              </w:rPr>
              <w:t>ml/min</w:t>
            </w:r>
          </w:p>
        </w:tc>
      </w:tr>
      <w:tr>
        <w:trPr>
          <w:trHeight w:val="817" w:hRule="atLeast"/>
        </w:trPr>
        <w:tc>
          <w:tcPr>
            <w:tcW w:w="4786" w:type="dxa"/>
          </w:tcPr>
          <w:p>
            <w:pPr>
              <w:pStyle w:val="TableParagraph"/>
              <w:spacing w:before="4"/>
              <w:ind w:left="815"/>
              <w:rPr>
                <w:sz w:val="22"/>
              </w:rPr>
            </w:pPr>
            <w:r>
              <w:rPr>
                <w:sz w:val="22"/>
              </w:rPr>
              <w:t>Beta-bloqueadores</w:t>
            </w:r>
          </w:p>
        </w:tc>
        <w:tc>
          <w:tcPr>
            <w:tcW w:w="4786" w:type="dxa"/>
          </w:tcPr>
          <w:p>
            <w:pPr>
              <w:pStyle w:val="TableParagraph"/>
              <w:spacing w:line="292" w:lineRule="auto" w:before="2"/>
              <w:ind w:right="265"/>
              <w:rPr>
                <w:sz w:val="22"/>
              </w:rPr>
            </w:pPr>
            <w:r>
              <w:rPr>
                <w:w w:val="95"/>
                <w:sz w:val="22"/>
              </w:rPr>
              <w:t>Reduzir</w:t>
            </w:r>
            <w:r>
              <w:rPr>
                <w:spacing w:val="-36"/>
                <w:w w:val="95"/>
                <w:sz w:val="22"/>
              </w:rPr>
              <w:t> </w:t>
            </w:r>
            <w:r>
              <w:rPr>
                <w:w w:val="95"/>
                <w:sz w:val="22"/>
              </w:rPr>
              <w:t>a</w:t>
            </w:r>
            <w:r>
              <w:rPr>
                <w:spacing w:val="-36"/>
                <w:w w:val="95"/>
                <w:sz w:val="22"/>
              </w:rPr>
              <w:t> </w:t>
            </w:r>
            <w:r>
              <w:rPr>
                <w:w w:val="95"/>
                <w:sz w:val="22"/>
              </w:rPr>
              <w:t>dose</w:t>
            </w:r>
            <w:r>
              <w:rPr>
                <w:spacing w:val="-36"/>
                <w:w w:val="95"/>
                <w:sz w:val="22"/>
              </w:rPr>
              <w:t> </w:t>
            </w:r>
            <w:r>
              <w:rPr>
                <w:w w:val="95"/>
                <w:sz w:val="22"/>
              </w:rPr>
              <w:t>em</w:t>
            </w:r>
            <w:r>
              <w:rPr>
                <w:spacing w:val="-14"/>
                <w:w w:val="95"/>
                <w:sz w:val="22"/>
              </w:rPr>
              <w:t> </w:t>
            </w:r>
            <w:r>
              <w:rPr>
                <w:w w:val="95"/>
                <w:sz w:val="22"/>
              </w:rPr>
              <w:t>50%</w:t>
            </w:r>
            <w:r>
              <w:rPr>
                <w:spacing w:val="-37"/>
                <w:w w:val="95"/>
                <w:sz w:val="22"/>
              </w:rPr>
              <w:t> </w:t>
            </w:r>
            <w:r>
              <w:rPr>
                <w:w w:val="95"/>
                <w:sz w:val="22"/>
              </w:rPr>
              <w:t>nos</w:t>
            </w:r>
            <w:r>
              <w:rPr>
                <w:spacing w:val="-36"/>
                <w:w w:val="95"/>
                <w:sz w:val="22"/>
              </w:rPr>
              <w:t> </w:t>
            </w:r>
            <w:r>
              <w:rPr>
                <w:w w:val="95"/>
                <w:sz w:val="22"/>
              </w:rPr>
              <w:t>pacientes</w:t>
            </w:r>
            <w:r>
              <w:rPr>
                <w:spacing w:val="-36"/>
                <w:w w:val="95"/>
                <w:sz w:val="22"/>
              </w:rPr>
              <w:t> </w:t>
            </w:r>
            <w:r>
              <w:rPr>
                <w:w w:val="95"/>
                <w:sz w:val="22"/>
              </w:rPr>
              <w:t>com</w:t>
            </w:r>
            <w:r>
              <w:rPr>
                <w:spacing w:val="-35"/>
                <w:w w:val="95"/>
                <w:sz w:val="22"/>
              </w:rPr>
              <w:t> </w:t>
            </w:r>
            <w:r>
              <w:rPr>
                <w:w w:val="95"/>
                <w:sz w:val="22"/>
              </w:rPr>
              <w:t>TFG</w:t>
            </w:r>
            <w:r>
              <w:rPr>
                <w:spacing w:val="-38"/>
                <w:w w:val="95"/>
                <w:sz w:val="22"/>
              </w:rPr>
              <w:t> </w:t>
            </w:r>
            <w:r>
              <w:rPr>
                <w:w w:val="95"/>
                <w:sz w:val="22"/>
              </w:rPr>
              <w:t>&lt; </w:t>
            </w:r>
            <w:r>
              <w:rPr>
                <w:sz w:val="22"/>
              </w:rPr>
              <w:t>30</w:t>
            </w:r>
            <w:r>
              <w:rPr>
                <w:spacing w:val="-14"/>
                <w:sz w:val="22"/>
              </w:rPr>
              <w:t> </w:t>
            </w:r>
            <w:r>
              <w:rPr>
                <w:sz w:val="22"/>
              </w:rPr>
              <w:t>ml/min</w:t>
            </w:r>
          </w:p>
        </w:tc>
      </w:tr>
      <w:tr>
        <w:trPr>
          <w:trHeight w:val="508" w:hRule="atLeast"/>
        </w:trPr>
        <w:tc>
          <w:tcPr>
            <w:tcW w:w="4786" w:type="dxa"/>
          </w:tcPr>
          <w:p>
            <w:pPr>
              <w:pStyle w:val="TableParagraph"/>
              <w:spacing w:before="2"/>
              <w:ind w:left="815"/>
              <w:rPr>
                <w:sz w:val="22"/>
              </w:rPr>
            </w:pPr>
            <w:r>
              <w:rPr>
                <w:sz w:val="22"/>
              </w:rPr>
              <w:t>Digoxina</w:t>
            </w:r>
          </w:p>
        </w:tc>
        <w:tc>
          <w:tcPr>
            <w:tcW w:w="4786" w:type="dxa"/>
          </w:tcPr>
          <w:p>
            <w:pPr>
              <w:pStyle w:val="TableParagraph"/>
              <w:spacing w:before="2"/>
              <w:rPr>
                <w:sz w:val="22"/>
              </w:rPr>
            </w:pPr>
            <w:r>
              <w:rPr>
                <w:sz w:val="22"/>
              </w:rPr>
              <w:t>Reduzir a dose baseada em nível sérico</w:t>
            </w:r>
          </w:p>
        </w:tc>
      </w:tr>
      <w:tr>
        <w:trPr>
          <w:trHeight w:val="510" w:hRule="atLeast"/>
        </w:trPr>
        <w:tc>
          <w:tcPr>
            <w:tcW w:w="4786" w:type="dxa"/>
            <w:shd w:val="clear" w:color="auto" w:fill="A7A8A7"/>
          </w:tcPr>
          <w:p>
            <w:pPr>
              <w:pStyle w:val="TableParagraph"/>
              <w:spacing w:before="4"/>
              <w:rPr>
                <w:sz w:val="22"/>
              </w:rPr>
            </w:pPr>
            <w:r>
              <w:rPr>
                <w:sz w:val="22"/>
              </w:rPr>
              <w:t>2. Anagésicos</w:t>
            </w:r>
          </w:p>
        </w:tc>
        <w:tc>
          <w:tcPr>
            <w:tcW w:w="4786" w:type="dxa"/>
            <w:shd w:val="clear" w:color="auto" w:fill="A7A8A7"/>
          </w:tcPr>
          <w:p>
            <w:pPr>
              <w:pStyle w:val="TableParagraph"/>
              <w:ind w:left="0"/>
              <w:rPr>
                <w:rFonts w:ascii="Times New Roman"/>
                <w:sz w:val="22"/>
              </w:rPr>
            </w:pPr>
          </w:p>
        </w:tc>
      </w:tr>
      <w:tr>
        <w:trPr>
          <w:trHeight w:val="2651" w:hRule="atLeast"/>
        </w:trPr>
        <w:tc>
          <w:tcPr>
            <w:tcW w:w="4786" w:type="dxa"/>
          </w:tcPr>
          <w:p>
            <w:pPr>
              <w:pStyle w:val="TableParagraph"/>
              <w:spacing w:before="2"/>
              <w:ind w:left="815"/>
              <w:rPr>
                <w:sz w:val="22"/>
              </w:rPr>
            </w:pPr>
            <w:r>
              <w:rPr>
                <w:sz w:val="22"/>
              </w:rPr>
              <w:t>Anti-inflamatórios não hormonais</w:t>
            </w:r>
          </w:p>
        </w:tc>
        <w:tc>
          <w:tcPr>
            <w:tcW w:w="4786" w:type="dxa"/>
          </w:tcPr>
          <w:p>
            <w:pPr>
              <w:pStyle w:val="TableParagraph"/>
              <w:spacing w:before="2"/>
              <w:rPr>
                <w:sz w:val="22"/>
              </w:rPr>
            </w:pPr>
            <w:r>
              <w:rPr>
                <w:sz w:val="22"/>
              </w:rPr>
              <w:t>Evitar em pacientes com TFG &lt; 30 ml/min;</w:t>
            </w:r>
          </w:p>
          <w:p>
            <w:pPr>
              <w:pStyle w:val="TableParagraph"/>
              <w:ind w:left="0"/>
              <w:rPr>
                <w:sz w:val="22"/>
              </w:rPr>
            </w:pPr>
          </w:p>
          <w:p>
            <w:pPr>
              <w:pStyle w:val="TableParagraph"/>
              <w:spacing w:line="295" w:lineRule="auto"/>
              <w:ind w:right="746"/>
              <w:rPr>
                <w:sz w:val="22"/>
              </w:rPr>
            </w:pPr>
            <w:r>
              <w:rPr>
                <w:w w:val="95"/>
                <w:sz w:val="22"/>
              </w:rPr>
              <w:t>Terapia</w:t>
            </w:r>
            <w:r>
              <w:rPr>
                <w:spacing w:val="-36"/>
                <w:w w:val="95"/>
                <w:sz w:val="22"/>
              </w:rPr>
              <w:t> </w:t>
            </w:r>
            <w:r>
              <w:rPr>
                <w:w w:val="95"/>
                <w:sz w:val="22"/>
              </w:rPr>
              <w:t>prolongada</w:t>
            </w:r>
            <w:r>
              <w:rPr>
                <w:spacing w:val="-34"/>
                <w:w w:val="95"/>
                <w:sz w:val="22"/>
              </w:rPr>
              <w:t> </w:t>
            </w:r>
            <w:r>
              <w:rPr>
                <w:w w:val="95"/>
                <w:sz w:val="22"/>
              </w:rPr>
              <w:t>não</w:t>
            </w:r>
            <w:r>
              <w:rPr>
                <w:spacing w:val="-34"/>
                <w:w w:val="95"/>
                <w:sz w:val="22"/>
              </w:rPr>
              <w:t> </w:t>
            </w:r>
            <w:r>
              <w:rPr>
                <w:w w:val="95"/>
                <w:sz w:val="22"/>
              </w:rPr>
              <w:t>é</w:t>
            </w:r>
            <w:r>
              <w:rPr>
                <w:spacing w:val="-36"/>
                <w:w w:val="95"/>
                <w:sz w:val="22"/>
              </w:rPr>
              <w:t> </w:t>
            </w:r>
            <w:r>
              <w:rPr>
                <w:w w:val="95"/>
                <w:sz w:val="22"/>
              </w:rPr>
              <w:t>recomendada</w:t>
            </w:r>
            <w:r>
              <w:rPr>
                <w:spacing w:val="-36"/>
                <w:w w:val="95"/>
                <w:sz w:val="22"/>
              </w:rPr>
              <w:t> </w:t>
            </w:r>
            <w:r>
              <w:rPr>
                <w:w w:val="95"/>
                <w:sz w:val="22"/>
              </w:rPr>
              <w:t>em </w:t>
            </w:r>
            <w:r>
              <w:rPr>
                <w:sz w:val="22"/>
              </w:rPr>
              <w:t>pacientes</w:t>
            </w:r>
            <w:r>
              <w:rPr>
                <w:spacing w:val="-24"/>
                <w:sz w:val="22"/>
              </w:rPr>
              <w:t> </w:t>
            </w:r>
            <w:r>
              <w:rPr>
                <w:sz w:val="22"/>
              </w:rPr>
              <w:t>com</w:t>
            </w:r>
            <w:r>
              <w:rPr>
                <w:spacing w:val="-22"/>
                <w:sz w:val="22"/>
              </w:rPr>
              <w:t> </w:t>
            </w:r>
            <w:r>
              <w:rPr>
                <w:sz w:val="22"/>
              </w:rPr>
              <w:t>TFG</w:t>
            </w:r>
            <w:r>
              <w:rPr>
                <w:spacing w:val="-21"/>
                <w:sz w:val="22"/>
              </w:rPr>
              <w:t> </w:t>
            </w:r>
            <w:r>
              <w:rPr>
                <w:sz w:val="22"/>
              </w:rPr>
              <w:t>&lt;</w:t>
            </w:r>
            <w:r>
              <w:rPr>
                <w:spacing w:val="-22"/>
                <w:sz w:val="22"/>
              </w:rPr>
              <w:t> </w:t>
            </w:r>
            <w:r>
              <w:rPr>
                <w:sz w:val="22"/>
              </w:rPr>
              <w:t>60</w:t>
            </w:r>
            <w:r>
              <w:rPr>
                <w:spacing w:val="-22"/>
                <w:sz w:val="22"/>
              </w:rPr>
              <w:t> </w:t>
            </w:r>
            <w:r>
              <w:rPr>
                <w:sz w:val="22"/>
              </w:rPr>
              <w:t>ml/min;</w:t>
            </w:r>
          </w:p>
          <w:p>
            <w:pPr>
              <w:pStyle w:val="TableParagraph"/>
              <w:spacing w:line="292" w:lineRule="auto" w:before="196"/>
              <w:ind w:right="474"/>
              <w:rPr>
                <w:sz w:val="22"/>
              </w:rPr>
            </w:pPr>
            <w:r>
              <w:rPr>
                <w:w w:val="95"/>
                <w:sz w:val="22"/>
              </w:rPr>
              <w:t>Não</w:t>
            </w:r>
            <w:r>
              <w:rPr>
                <w:spacing w:val="-36"/>
                <w:w w:val="95"/>
                <w:sz w:val="22"/>
              </w:rPr>
              <w:t> </w:t>
            </w:r>
            <w:r>
              <w:rPr>
                <w:w w:val="95"/>
                <w:sz w:val="22"/>
              </w:rPr>
              <w:t>devem</w:t>
            </w:r>
            <w:r>
              <w:rPr>
                <w:spacing w:val="-35"/>
                <w:w w:val="95"/>
                <w:sz w:val="22"/>
              </w:rPr>
              <w:t> </w:t>
            </w:r>
            <w:r>
              <w:rPr>
                <w:w w:val="95"/>
                <w:sz w:val="22"/>
              </w:rPr>
              <w:t>ser</w:t>
            </w:r>
            <w:r>
              <w:rPr>
                <w:spacing w:val="-36"/>
                <w:w w:val="95"/>
                <w:sz w:val="22"/>
              </w:rPr>
              <w:t> </w:t>
            </w:r>
            <w:r>
              <w:rPr>
                <w:w w:val="95"/>
                <w:sz w:val="22"/>
              </w:rPr>
              <w:t>usadas</w:t>
            </w:r>
            <w:r>
              <w:rPr>
                <w:spacing w:val="-37"/>
                <w:w w:val="95"/>
                <w:sz w:val="22"/>
              </w:rPr>
              <w:t> </w:t>
            </w:r>
            <w:r>
              <w:rPr>
                <w:w w:val="95"/>
                <w:sz w:val="22"/>
              </w:rPr>
              <w:t>em</w:t>
            </w:r>
            <w:r>
              <w:rPr>
                <w:spacing w:val="-37"/>
                <w:w w:val="95"/>
                <w:sz w:val="22"/>
              </w:rPr>
              <w:t> </w:t>
            </w:r>
            <w:r>
              <w:rPr>
                <w:w w:val="95"/>
                <w:sz w:val="22"/>
              </w:rPr>
              <w:t>pacientes</w:t>
            </w:r>
            <w:r>
              <w:rPr>
                <w:spacing w:val="-36"/>
                <w:w w:val="95"/>
                <w:sz w:val="22"/>
              </w:rPr>
              <w:t> </w:t>
            </w:r>
            <w:r>
              <w:rPr>
                <w:w w:val="95"/>
                <w:sz w:val="22"/>
              </w:rPr>
              <w:t>utilizando </w:t>
            </w:r>
            <w:r>
              <w:rPr>
                <w:sz w:val="22"/>
              </w:rPr>
              <w:t>Litium;</w:t>
            </w:r>
          </w:p>
          <w:p>
            <w:pPr>
              <w:pStyle w:val="TableParagraph"/>
              <w:spacing w:before="6"/>
              <w:ind w:left="0"/>
              <w:rPr>
                <w:sz w:val="17"/>
              </w:rPr>
            </w:pPr>
          </w:p>
          <w:p>
            <w:pPr>
              <w:pStyle w:val="TableParagraph"/>
              <w:rPr>
                <w:sz w:val="22"/>
              </w:rPr>
            </w:pPr>
            <w:r>
              <w:rPr>
                <w:sz w:val="22"/>
              </w:rPr>
              <w:t>Evitar em pacientes usando IECA </w:t>
            </w:r>
            <w:r>
              <w:rPr>
                <w:w w:val="110"/>
                <w:sz w:val="22"/>
              </w:rPr>
              <w:t>/ </w:t>
            </w:r>
            <w:r>
              <w:rPr>
                <w:sz w:val="22"/>
              </w:rPr>
              <w:t>BRA.</w:t>
            </w:r>
          </w:p>
        </w:tc>
      </w:tr>
      <w:tr>
        <w:trPr>
          <w:trHeight w:val="1017" w:hRule="atLeast"/>
        </w:trPr>
        <w:tc>
          <w:tcPr>
            <w:tcW w:w="4786" w:type="dxa"/>
          </w:tcPr>
          <w:p>
            <w:pPr>
              <w:pStyle w:val="TableParagraph"/>
              <w:spacing w:before="2"/>
              <w:ind w:left="815"/>
              <w:rPr>
                <w:sz w:val="22"/>
              </w:rPr>
            </w:pPr>
            <w:r>
              <w:rPr>
                <w:sz w:val="22"/>
              </w:rPr>
              <w:t>Opióides</w:t>
            </w:r>
          </w:p>
        </w:tc>
        <w:tc>
          <w:tcPr>
            <w:tcW w:w="4786" w:type="dxa"/>
          </w:tcPr>
          <w:p>
            <w:pPr>
              <w:pStyle w:val="TableParagraph"/>
              <w:spacing w:before="2"/>
              <w:rPr>
                <w:sz w:val="22"/>
              </w:rPr>
            </w:pPr>
            <w:r>
              <w:rPr>
                <w:sz w:val="22"/>
              </w:rPr>
              <w:t>Reduzir a dose se TFG &lt; 60 ml/min;</w:t>
            </w:r>
          </w:p>
          <w:p>
            <w:pPr>
              <w:pStyle w:val="TableParagraph"/>
              <w:spacing w:before="3"/>
              <w:ind w:left="0"/>
              <w:rPr>
                <w:sz w:val="22"/>
              </w:rPr>
            </w:pPr>
          </w:p>
          <w:p>
            <w:pPr>
              <w:pStyle w:val="TableParagraph"/>
              <w:rPr>
                <w:sz w:val="22"/>
              </w:rPr>
            </w:pPr>
            <w:r>
              <w:rPr>
                <w:sz w:val="22"/>
              </w:rPr>
              <w:t>Uso com cautela se TFG &lt; 15 ml/min.</w:t>
            </w:r>
          </w:p>
        </w:tc>
      </w:tr>
      <w:tr>
        <w:trPr>
          <w:trHeight w:val="510" w:hRule="atLeast"/>
        </w:trPr>
        <w:tc>
          <w:tcPr>
            <w:tcW w:w="4786" w:type="dxa"/>
            <w:shd w:val="clear" w:color="auto" w:fill="A7A8A7"/>
          </w:tcPr>
          <w:p>
            <w:pPr>
              <w:pStyle w:val="TableParagraph"/>
              <w:spacing w:before="4"/>
              <w:rPr>
                <w:sz w:val="22"/>
              </w:rPr>
            </w:pPr>
            <w:r>
              <w:rPr>
                <w:sz w:val="22"/>
              </w:rPr>
              <w:t>3. Antibióticos</w:t>
            </w:r>
          </w:p>
        </w:tc>
        <w:tc>
          <w:tcPr>
            <w:tcW w:w="4786" w:type="dxa"/>
            <w:shd w:val="clear" w:color="auto" w:fill="A7A8A7"/>
          </w:tcPr>
          <w:p>
            <w:pPr>
              <w:pStyle w:val="TableParagraph"/>
              <w:ind w:left="0"/>
              <w:rPr>
                <w:rFonts w:ascii="Times New Roman"/>
                <w:sz w:val="22"/>
              </w:rPr>
            </w:pPr>
          </w:p>
        </w:tc>
      </w:tr>
    </w:tbl>
    <w:p>
      <w:pPr>
        <w:spacing w:after="0"/>
        <w:rPr>
          <w:rFonts w:ascii="Times New Roman"/>
          <w:sz w:val="22"/>
        </w:rPr>
        <w:sectPr>
          <w:pgSz w:w="11910" w:h="16840"/>
          <w:pgMar w:header="0" w:footer="925" w:top="1320" w:bottom="1200" w:left="1240" w:right="620"/>
        </w:sectPr>
      </w:pPr>
    </w:p>
    <w:tbl>
      <w:tblPr>
        <w:tblW w:w="0" w:type="auto"/>
        <w:jc w:val="left"/>
        <w:tblInd w:w="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786"/>
        <w:gridCol w:w="4786"/>
      </w:tblGrid>
      <w:tr>
        <w:trPr>
          <w:trHeight w:val="1634" w:hRule="atLeast"/>
        </w:trPr>
        <w:tc>
          <w:tcPr>
            <w:tcW w:w="4786" w:type="dxa"/>
          </w:tcPr>
          <w:p>
            <w:pPr>
              <w:pStyle w:val="TableParagraph"/>
              <w:spacing w:before="2"/>
              <w:ind w:left="815"/>
              <w:rPr>
                <w:sz w:val="22"/>
              </w:rPr>
            </w:pPr>
            <w:r>
              <w:rPr>
                <w:sz w:val="22"/>
              </w:rPr>
              <w:t>Penicilina</w:t>
            </w:r>
          </w:p>
        </w:tc>
        <w:tc>
          <w:tcPr>
            <w:tcW w:w="4786" w:type="dxa"/>
          </w:tcPr>
          <w:p>
            <w:pPr>
              <w:pStyle w:val="TableParagraph"/>
              <w:spacing w:line="295" w:lineRule="auto"/>
              <w:ind w:right="437"/>
              <w:rPr>
                <w:sz w:val="22"/>
              </w:rPr>
            </w:pPr>
            <w:r>
              <w:rPr>
                <w:w w:val="95"/>
                <w:sz w:val="22"/>
              </w:rPr>
              <w:t>Risco</w:t>
            </w:r>
            <w:r>
              <w:rPr>
                <w:spacing w:val="-38"/>
                <w:w w:val="95"/>
                <w:sz w:val="22"/>
              </w:rPr>
              <w:t> </w:t>
            </w:r>
            <w:r>
              <w:rPr>
                <w:w w:val="95"/>
                <w:sz w:val="22"/>
              </w:rPr>
              <w:t>de</w:t>
            </w:r>
            <w:r>
              <w:rPr>
                <w:spacing w:val="-39"/>
                <w:w w:val="95"/>
                <w:sz w:val="22"/>
              </w:rPr>
              <w:t> </w:t>
            </w:r>
            <w:r>
              <w:rPr>
                <w:w w:val="95"/>
                <w:sz w:val="22"/>
              </w:rPr>
              <w:t>cristalúria</w:t>
            </w:r>
            <w:r>
              <w:rPr>
                <w:spacing w:val="-38"/>
                <w:w w:val="95"/>
                <w:sz w:val="22"/>
              </w:rPr>
              <w:t> </w:t>
            </w:r>
            <w:r>
              <w:rPr>
                <w:w w:val="95"/>
                <w:sz w:val="22"/>
              </w:rPr>
              <w:t>com</w:t>
            </w:r>
            <w:r>
              <w:rPr>
                <w:spacing w:val="-38"/>
                <w:w w:val="95"/>
                <w:sz w:val="22"/>
              </w:rPr>
              <w:t> </w:t>
            </w:r>
            <w:r>
              <w:rPr>
                <w:w w:val="95"/>
                <w:sz w:val="22"/>
              </w:rPr>
              <w:t>altas</w:t>
            </w:r>
            <w:r>
              <w:rPr>
                <w:spacing w:val="-39"/>
                <w:w w:val="95"/>
                <w:sz w:val="22"/>
              </w:rPr>
              <w:t> </w:t>
            </w:r>
            <w:r>
              <w:rPr>
                <w:w w:val="95"/>
                <w:sz w:val="22"/>
              </w:rPr>
              <w:t>doses</w:t>
            </w:r>
            <w:r>
              <w:rPr>
                <w:spacing w:val="-38"/>
                <w:w w:val="95"/>
                <w:sz w:val="22"/>
              </w:rPr>
              <w:t> </w:t>
            </w:r>
            <w:r>
              <w:rPr>
                <w:w w:val="95"/>
                <w:sz w:val="22"/>
              </w:rPr>
              <w:t>se</w:t>
            </w:r>
            <w:r>
              <w:rPr>
                <w:spacing w:val="-39"/>
                <w:w w:val="95"/>
                <w:sz w:val="22"/>
              </w:rPr>
              <w:t> </w:t>
            </w:r>
            <w:r>
              <w:rPr>
                <w:w w:val="95"/>
                <w:sz w:val="22"/>
              </w:rPr>
              <w:t>TFG</w:t>
            </w:r>
            <w:r>
              <w:rPr>
                <w:spacing w:val="-40"/>
                <w:w w:val="95"/>
                <w:sz w:val="22"/>
              </w:rPr>
              <w:t> </w:t>
            </w:r>
            <w:r>
              <w:rPr>
                <w:w w:val="95"/>
                <w:sz w:val="22"/>
              </w:rPr>
              <w:t>&lt;</w:t>
            </w:r>
            <w:r>
              <w:rPr>
                <w:spacing w:val="-39"/>
                <w:w w:val="95"/>
                <w:sz w:val="22"/>
              </w:rPr>
              <w:t> </w:t>
            </w:r>
            <w:r>
              <w:rPr>
                <w:w w:val="95"/>
                <w:sz w:val="22"/>
              </w:rPr>
              <w:t>15 </w:t>
            </w:r>
            <w:r>
              <w:rPr>
                <w:sz w:val="22"/>
              </w:rPr>
              <w:t>ml/min;</w:t>
            </w:r>
          </w:p>
          <w:p>
            <w:pPr>
              <w:pStyle w:val="TableParagraph"/>
              <w:spacing w:line="292" w:lineRule="auto" w:before="196"/>
              <w:ind w:right="662"/>
              <w:rPr>
                <w:sz w:val="22"/>
              </w:rPr>
            </w:pPr>
            <w:r>
              <w:rPr>
                <w:w w:val="95"/>
                <w:sz w:val="22"/>
              </w:rPr>
              <w:t>Risco</w:t>
            </w:r>
            <w:r>
              <w:rPr>
                <w:spacing w:val="-36"/>
                <w:w w:val="95"/>
                <w:sz w:val="22"/>
              </w:rPr>
              <w:t> </w:t>
            </w:r>
            <w:r>
              <w:rPr>
                <w:w w:val="95"/>
                <w:sz w:val="22"/>
              </w:rPr>
              <w:t>de</w:t>
            </w:r>
            <w:r>
              <w:rPr>
                <w:spacing w:val="-36"/>
                <w:w w:val="95"/>
                <w:sz w:val="22"/>
              </w:rPr>
              <w:t> </w:t>
            </w:r>
            <w:r>
              <w:rPr>
                <w:w w:val="95"/>
                <w:sz w:val="22"/>
              </w:rPr>
              <w:t>neurotoxicidade</w:t>
            </w:r>
            <w:r>
              <w:rPr>
                <w:spacing w:val="-37"/>
                <w:w w:val="95"/>
                <w:sz w:val="22"/>
              </w:rPr>
              <w:t> </w:t>
            </w:r>
            <w:r>
              <w:rPr>
                <w:w w:val="95"/>
                <w:sz w:val="22"/>
              </w:rPr>
              <w:t>com</w:t>
            </w:r>
            <w:r>
              <w:rPr>
                <w:spacing w:val="-37"/>
                <w:w w:val="95"/>
                <w:sz w:val="22"/>
              </w:rPr>
              <w:t> </w:t>
            </w:r>
            <w:r>
              <w:rPr>
                <w:w w:val="95"/>
                <w:sz w:val="22"/>
              </w:rPr>
              <w:t>altas</w:t>
            </w:r>
            <w:r>
              <w:rPr>
                <w:spacing w:val="-37"/>
                <w:w w:val="95"/>
                <w:sz w:val="22"/>
              </w:rPr>
              <w:t> </w:t>
            </w:r>
            <w:r>
              <w:rPr>
                <w:w w:val="95"/>
                <w:sz w:val="22"/>
              </w:rPr>
              <w:t>doses</w:t>
            </w:r>
            <w:r>
              <w:rPr>
                <w:spacing w:val="-36"/>
                <w:w w:val="95"/>
                <w:sz w:val="22"/>
              </w:rPr>
              <w:t> </w:t>
            </w:r>
            <w:r>
              <w:rPr>
                <w:w w:val="95"/>
                <w:sz w:val="22"/>
              </w:rPr>
              <w:t>de </w:t>
            </w:r>
            <w:r>
              <w:rPr>
                <w:sz w:val="22"/>
              </w:rPr>
              <w:t>Benzilpenicilina</w:t>
            </w:r>
            <w:r>
              <w:rPr>
                <w:spacing w:val="-26"/>
                <w:sz w:val="22"/>
              </w:rPr>
              <w:t> </w:t>
            </w:r>
            <w:r>
              <w:rPr>
                <w:sz w:val="22"/>
              </w:rPr>
              <w:t>se</w:t>
            </w:r>
            <w:r>
              <w:rPr>
                <w:spacing w:val="-28"/>
                <w:sz w:val="22"/>
              </w:rPr>
              <w:t> </w:t>
            </w:r>
            <w:r>
              <w:rPr>
                <w:sz w:val="22"/>
              </w:rPr>
              <w:t>TFG</w:t>
            </w:r>
            <w:r>
              <w:rPr>
                <w:spacing w:val="-26"/>
                <w:sz w:val="22"/>
              </w:rPr>
              <w:t> </w:t>
            </w:r>
            <w:r>
              <w:rPr>
                <w:sz w:val="22"/>
              </w:rPr>
              <w:t>&lt;</w:t>
            </w:r>
            <w:r>
              <w:rPr>
                <w:spacing w:val="-27"/>
                <w:sz w:val="22"/>
              </w:rPr>
              <w:t> </w:t>
            </w:r>
            <w:r>
              <w:rPr>
                <w:sz w:val="22"/>
              </w:rPr>
              <w:t>15</w:t>
            </w:r>
            <w:r>
              <w:rPr>
                <w:spacing w:val="-27"/>
                <w:sz w:val="22"/>
              </w:rPr>
              <w:t> </w:t>
            </w:r>
            <w:r>
              <w:rPr>
                <w:sz w:val="22"/>
              </w:rPr>
              <w:t>ml/min.</w:t>
            </w:r>
          </w:p>
        </w:tc>
      </w:tr>
      <w:tr>
        <w:trPr>
          <w:trHeight w:val="1835" w:hRule="atLeast"/>
        </w:trPr>
        <w:tc>
          <w:tcPr>
            <w:tcW w:w="4786" w:type="dxa"/>
          </w:tcPr>
          <w:p>
            <w:pPr>
              <w:pStyle w:val="TableParagraph"/>
              <w:spacing w:before="4"/>
              <w:ind w:left="815"/>
              <w:rPr>
                <w:sz w:val="22"/>
              </w:rPr>
            </w:pPr>
            <w:r>
              <w:rPr>
                <w:sz w:val="22"/>
              </w:rPr>
              <w:t>Aminoglicosídeos</w:t>
            </w:r>
          </w:p>
        </w:tc>
        <w:tc>
          <w:tcPr>
            <w:tcW w:w="4786" w:type="dxa"/>
          </w:tcPr>
          <w:p>
            <w:pPr>
              <w:pStyle w:val="TableParagraph"/>
              <w:spacing w:line="292" w:lineRule="auto" w:before="2"/>
              <w:ind w:right="151"/>
              <w:rPr>
                <w:sz w:val="22"/>
              </w:rPr>
            </w:pPr>
            <w:r>
              <w:rPr>
                <w:w w:val="95"/>
                <w:sz w:val="22"/>
              </w:rPr>
              <w:t>Reduzir</w:t>
            </w:r>
            <w:r>
              <w:rPr>
                <w:spacing w:val="-34"/>
                <w:w w:val="95"/>
                <w:sz w:val="22"/>
              </w:rPr>
              <w:t> </w:t>
            </w:r>
            <w:r>
              <w:rPr>
                <w:w w:val="95"/>
                <w:sz w:val="22"/>
              </w:rPr>
              <w:t>a</w:t>
            </w:r>
            <w:r>
              <w:rPr>
                <w:spacing w:val="-34"/>
                <w:w w:val="95"/>
                <w:sz w:val="22"/>
              </w:rPr>
              <w:t> </w:t>
            </w:r>
            <w:r>
              <w:rPr>
                <w:w w:val="95"/>
                <w:sz w:val="22"/>
              </w:rPr>
              <w:t>dose</w:t>
            </w:r>
            <w:r>
              <w:rPr>
                <w:spacing w:val="-34"/>
                <w:w w:val="95"/>
                <w:sz w:val="22"/>
              </w:rPr>
              <w:t> </w:t>
            </w:r>
            <w:r>
              <w:rPr>
                <w:w w:val="95"/>
                <w:sz w:val="22"/>
              </w:rPr>
              <w:t>ou</w:t>
            </w:r>
            <w:r>
              <w:rPr>
                <w:spacing w:val="-34"/>
                <w:w w:val="95"/>
                <w:sz w:val="22"/>
              </w:rPr>
              <w:t> </w:t>
            </w:r>
            <w:r>
              <w:rPr>
                <w:w w:val="95"/>
                <w:sz w:val="22"/>
              </w:rPr>
              <w:t>aumentar</w:t>
            </w:r>
            <w:r>
              <w:rPr>
                <w:spacing w:val="-34"/>
                <w:w w:val="95"/>
                <w:sz w:val="22"/>
              </w:rPr>
              <w:t> </w:t>
            </w:r>
            <w:r>
              <w:rPr>
                <w:w w:val="95"/>
                <w:sz w:val="22"/>
              </w:rPr>
              <w:t>os</w:t>
            </w:r>
            <w:r>
              <w:rPr>
                <w:spacing w:val="-33"/>
                <w:w w:val="95"/>
                <w:sz w:val="22"/>
              </w:rPr>
              <w:t> </w:t>
            </w:r>
            <w:r>
              <w:rPr>
                <w:w w:val="95"/>
                <w:sz w:val="22"/>
              </w:rPr>
              <w:t>intervalos</w:t>
            </w:r>
            <w:r>
              <w:rPr>
                <w:spacing w:val="-35"/>
                <w:w w:val="95"/>
                <w:sz w:val="22"/>
              </w:rPr>
              <w:t> </w:t>
            </w:r>
            <w:r>
              <w:rPr>
                <w:w w:val="95"/>
                <w:sz w:val="22"/>
              </w:rPr>
              <w:t>se</w:t>
            </w:r>
            <w:r>
              <w:rPr>
                <w:spacing w:val="-35"/>
                <w:w w:val="95"/>
                <w:sz w:val="22"/>
              </w:rPr>
              <w:t> </w:t>
            </w:r>
            <w:r>
              <w:rPr>
                <w:w w:val="95"/>
                <w:sz w:val="22"/>
              </w:rPr>
              <w:t>TFG</w:t>
            </w:r>
            <w:r>
              <w:rPr>
                <w:spacing w:val="-33"/>
                <w:w w:val="95"/>
                <w:sz w:val="22"/>
              </w:rPr>
              <w:t> </w:t>
            </w:r>
            <w:r>
              <w:rPr>
                <w:w w:val="95"/>
                <w:sz w:val="22"/>
              </w:rPr>
              <w:t>&lt; </w:t>
            </w:r>
            <w:r>
              <w:rPr>
                <w:sz w:val="22"/>
              </w:rPr>
              <w:t>60</w:t>
            </w:r>
            <w:r>
              <w:rPr>
                <w:spacing w:val="-14"/>
                <w:sz w:val="22"/>
              </w:rPr>
              <w:t> </w:t>
            </w:r>
            <w:r>
              <w:rPr>
                <w:sz w:val="22"/>
              </w:rPr>
              <w:t>ml/min;</w:t>
            </w:r>
          </w:p>
          <w:p>
            <w:pPr>
              <w:pStyle w:val="TableParagraph"/>
              <w:spacing w:line="508" w:lineRule="exact" w:before="1"/>
              <w:ind w:right="894"/>
              <w:rPr>
                <w:sz w:val="22"/>
              </w:rPr>
            </w:pPr>
            <w:r>
              <w:rPr>
                <w:sz w:val="22"/>
              </w:rPr>
              <w:t>Nesses</w:t>
            </w:r>
            <w:r>
              <w:rPr>
                <w:spacing w:val="-43"/>
                <w:sz w:val="22"/>
              </w:rPr>
              <w:t> </w:t>
            </w:r>
            <w:r>
              <w:rPr>
                <w:sz w:val="22"/>
              </w:rPr>
              <w:t>casos,</w:t>
            </w:r>
            <w:r>
              <w:rPr>
                <w:spacing w:val="-42"/>
                <w:sz w:val="22"/>
              </w:rPr>
              <w:t> </w:t>
            </w:r>
            <w:r>
              <w:rPr>
                <w:sz w:val="22"/>
              </w:rPr>
              <w:t>monitorar</w:t>
            </w:r>
            <w:r>
              <w:rPr>
                <w:spacing w:val="-42"/>
                <w:sz w:val="22"/>
              </w:rPr>
              <w:t> </w:t>
            </w:r>
            <w:r>
              <w:rPr>
                <w:sz w:val="22"/>
              </w:rPr>
              <w:t>o</w:t>
            </w:r>
            <w:r>
              <w:rPr>
                <w:spacing w:val="-43"/>
                <w:sz w:val="22"/>
              </w:rPr>
              <w:t> </w:t>
            </w:r>
            <w:r>
              <w:rPr>
                <w:sz w:val="22"/>
              </w:rPr>
              <w:t>nível</w:t>
            </w:r>
            <w:r>
              <w:rPr>
                <w:spacing w:val="-41"/>
                <w:sz w:val="22"/>
              </w:rPr>
              <w:t> </w:t>
            </w:r>
            <w:r>
              <w:rPr>
                <w:sz w:val="22"/>
              </w:rPr>
              <w:t>sérico; </w:t>
            </w:r>
            <w:r>
              <w:rPr>
                <w:w w:val="95"/>
                <w:sz w:val="22"/>
              </w:rPr>
              <w:t>Evitar</w:t>
            </w:r>
            <w:r>
              <w:rPr>
                <w:spacing w:val="-37"/>
                <w:w w:val="95"/>
                <w:sz w:val="22"/>
              </w:rPr>
              <w:t> </w:t>
            </w:r>
            <w:r>
              <w:rPr>
                <w:w w:val="95"/>
                <w:sz w:val="22"/>
              </w:rPr>
              <w:t>uso</w:t>
            </w:r>
            <w:r>
              <w:rPr>
                <w:spacing w:val="-38"/>
                <w:w w:val="95"/>
                <w:sz w:val="22"/>
              </w:rPr>
              <w:t> </w:t>
            </w:r>
            <w:r>
              <w:rPr>
                <w:w w:val="95"/>
                <w:sz w:val="22"/>
              </w:rPr>
              <w:t>concomitante</w:t>
            </w:r>
            <w:r>
              <w:rPr>
                <w:spacing w:val="-36"/>
                <w:w w:val="95"/>
                <w:sz w:val="22"/>
              </w:rPr>
              <w:t> </w:t>
            </w:r>
            <w:r>
              <w:rPr>
                <w:w w:val="95"/>
                <w:sz w:val="22"/>
              </w:rPr>
              <w:t>com</w:t>
            </w:r>
            <w:r>
              <w:rPr>
                <w:spacing w:val="-37"/>
                <w:w w:val="95"/>
                <w:sz w:val="22"/>
              </w:rPr>
              <w:t> </w:t>
            </w:r>
            <w:r>
              <w:rPr>
                <w:w w:val="95"/>
                <w:sz w:val="22"/>
              </w:rPr>
              <w:t>Furosemida.</w:t>
            </w:r>
          </w:p>
        </w:tc>
      </w:tr>
      <w:tr>
        <w:trPr>
          <w:trHeight w:val="508" w:hRule="atLeast"/>
        </w:trPr>
        <w:tc>
          <w:tcPr>
            <w:tcW w:w="4786" w:type="dxa"/>
          </w:tcPr>
          <w:p>
            <w:pPr>
              <w:pStyle w:val="TableParagraph"/>
              <w:spacing w:before="2"/>
              <w:ind w:left="815"/>
              <w:rPr>
                <w:sz w:val="22"/>
              </w:rPr>
            </w:pPr>
            <w:r>
              <w:rPr>
                <w:sz w:val="22"/>
              </w:rPr>
              <w:t>Macrolídeo</w:t>
            </w:r>
          </w:p>
        </w:tc>
        <w:tc>
          <w:tcPr>
            <w:tcW w:w="4786" w:type="dxa"/>
          </w:tcPr>
          <w:p>
            <w:pPr>
              <w:pStyle w:val="TableParagraph"/>
              <w:spacing w:before="2"/>
              <w:rPr>
                <w:sz w:val="22"/>
              </w:rPr>
            </w:pPr>
            <w:r>
              <w:rPr>
                <w:sz w:val="22"/>
              </w:rPr>
              <w:t>Reduzir a dose em 50% se TFG &lt; 30 ml/min</w:t>
            </w:r>
          </w:p>
        </w:tc>
      </w:tr>
      <w:tr>
        <w:trPr>
          <w:trHeight w:val="510" w:hRule="atLeast"/>
        </w:trPr>
        <w:tc>
          <w:tcPr>
            <w:tcW w:w="4786" w:type="dxa"/>
          </w:tcPr>
          <w:p>
            <w:pPr>
              <w:pStyle w:val="TableParagraph"/>
              <w:spacing w:before="4"/>
              <w:ind w:left="815"/>
              <w:rPr>
                <w:sz w:val="22"/>
              </w:rPr>
            </w:pPr>
            <w:r>
              <w:rPr>
                <w:sz w:val="22"/>
              </w:rPr>
              <w:t>Fluorquinolona</w:t>
            </w:r>
          </w:p>
        </w:tc>
        <w:tc>
          <w:tcPr>
            <w:tcW w:w="4786" w:type="dxa"/>
          </w:tcPr>
          <w:p>
            <w:pPr>
              <w:pStyle w:val="TableParagraph"/>
              <w:spacing w:before="4"/>
              <w:rPr>
                <w:sz w:val="22"/>
              </w:rPr>
            </w:pPr>
            <w:r>
              <w:rPr>
                <w:sz w:val="22"/>
              </w:rPr>
              <w:t>Reduzir a dose em 50% se TFG &lt; 15 ml/min</w:t>
            </w:r>
          </w:p>
        </w:tc>
      </w:tr>
      <w:tr>
        <w:trPr>
          <w:trHeight w:val="508" w:hRule="atLeast"/>
        </w:trPr>
        <w:tc>
          <w:tcPr>
            <w:tcW w:w="4786" w:type="dxa"/>
          </w:tcPr>
          <w:p>
            <w:pPr>
              <w:pStyle w:val="TableParagraph"/>
              <w:spacing w:before="2"/>
              <w:ind w:left="815"/>
              <w:rPr>
                <w:sz w:val="22"/>
              </w:rPr>
            </w:pPr>
            <w:r>
              <w:rPr>
                <w:sz w:val="22"/>
              </w:rPr>
              <w:t>Tetraciclinas</w:t>
            </w:r>
          </w:p>
        </w:tc>
        <w:tc>
          <w:tcPr>
            <w:tcW w:w="4786" w:type="dxa"/>
          </w:tcPr>
          <w:p>
            <w:pPr>
              <w:pStyle w:val="TableParagraph"/>
              <w:spacing w:before="2"/>
              <w:rPr>
                <w:sz w:val="22"/>
              </w:rPr>
            </w:pPr>
            <w:r>
              <w:rPr>
                <w:sz w:val="22"/>
              </w:rPr>
              <w:t>Reduzir a dose quando TFG &lt; 45 ml/min</w:t>
            </w:r>
          </w:p>
        </w:tc>
      </w:tr>
      <w:tr>
        <w:trPr>
          <w:trHeight w:val="1634" w:hRule="atLeast"/>
        </w:trPr>
        <w:tc>
          <w:tcPr>
            <w:tcW w:w="4786" w:type="dxa"/>
          </w:tcPr>
          <w:p>
            <w:pPr>
              <w:pStyle w:val="TableParagraph"/>
              <w:spacing w:before="2"/>
              <w:ind w:left="815"/>
              <w:rPr>
                <w:sz w:val="22"/>
              </w:rPr>
            </w:pPr>
            <w:r>
              <w:rPr>
                <w:sz w:val="22"/>
              </w:rPr>
              <w:t>Antifúngicos</w:t>
            </w:r>
          </w:p>
        </w:tc>
        <w:tc>
          <w:tcPr>
            <w:tcW w:w="4786" w:type="dxa"/>
          </w:tcPr>
          <w:p>
            <w:pPr>
              <w:pStyle w:val="TableParagraph"/>
              <w:spacing w:line="295" w:lineRule="auto"/>
              <w:ind w:right="412"/>
              <w:rPr>
                <w:sz w:val="22"/>
              </w:rPr>
            </w:pPr>
            <w:r>
              <w:rPr>
                <w:w w:val="95"/>
                <w:sz w:val="22"/>
              </w:rPr>
              <w:t>Evitar</w:t>
            </w:r>
            <w:r>
              <w:rPr>
                <w:spacing w:val="-24"/>
                <w:w w:val="95"/>
                <w:sz w:val="22"/>
              </w:rPr>
              <w:t> </w:t>
            </w:r>
            <w:r>
              <w:rPr>
                <w:w w:val="95"/>
                <w:sz w:val="22"/>
              </w:rPr>
              <w:t>anfotericina,</w:t>
            </w:r>
            <w:r>
              <w:rPr>
                <w:spacing w:val="-21"/>
                <w:w w:val="95"/>
                <w:sz w:val="22"/>
              </w:rPr>
              <w:t> </w:t>
            </w:r>
            <w:r>
              <w:rPr>
                <w:w w:val="95"/>
                <w:sz w:val="22"/>
              </w:rPr>
              <w:t>a</w:t>
            </w:r>
            <w:r>
              <w:rPr>
                <w:spacing w:val="-23"/>
                <w:w w:val="95"/>
                <w:sz w:val="22"/>
              </w:rPr>
              <w:t> </w:t>
            </w:r>
            <w:r>
              <w:rPr>
                <w:w w:val="95"/>
                <w:sz w:val="22"/>
              </w:rPr>
              <w:t>menos</w:t>
            </w:r>
            <w:r>
              <w:rPr>
                <w:spacing w:val="-21"/>
                <w:w w:val="95"/>
                <w:sz w:val="22"/>
              </w:rPr>
              <w:t> </w:t>
            </w:r>
            <w:r>
              <w:rPr>
                <w:w w:val="95"/>
                <w:sz w:val="22"/>
              </w:rPr>
              <w:t>que</w:t>
            </w:r>
            <w:r>
              <w:rPr>
                <w:spacing w:val="-21"/>
                <w:w w:val="95"/>
                <w:sz w:val="22"/>
              </w:rPr>
              <w:t> </w:t>
            </w:r>
            <w:r>
              <w:rPr>
                <w:w w:val="95"/>
                <w:sz w:val="22"/>
              </w:rPr>
              <w:t>não</w:t>
            </w:r>
            <w:r>
              <w:rPr>
                <w:spacing w:val="-22"/>
                <w:w w:val="95"/>
                <w:sz w:val="22"/>
              </w:rPr>
              <w:t> </w:t>
            </w:r>
            <w:r>
              <w:rPr>
                <w:w w:val="95"/>
                <w:sz w:val="22"/>
              </w:rPr>
              <w:t>haja</w:t>
            </w:r>
            <w:r>
              <w:rPr>
                <w:spacing w:val="-23"/>
                <w:w w:val="95"/>
                <w:sz w:val="22"/>
              </w:rPr>
              <w:t> </w:t>
            </w:r>
            <w:r>
              <w:rPr>
                <w:w w:val="95"/>
                <w:sz w:val="22"/>
              </w:rPr>
              <w:t>outra </w:t>
            </w:r>
            <w:r>
              <w:rPr>
                <w:sz w:val="22"/>
              </w:rPr>
              <w:t>opção,</w:t>
            </w:r>
            <w:r>
              <w:rPr>
                <w:spacing w:val="-19"/>
                <w:sz w:val="22"/>
              </w:rPr>
              <w:t> </w:t>
            </w:r>
            <w:r>
              <w:rPr>
                <w:sz w:val="22"/>
              </w:rPr>
              <w:t>quando</w:t>
            </w:r>
            <w:r>
              <w:rPr>
                <w:spacing w:val="-20"/>
                <w:sz w:val="22"/>
              </w:rPr>
              <w:t> </w:t>
            </w:r>
            <w:r>
              <w:rPr>
                <w:sz w:val="22"/>
              </w:rPr>
              <w:t>TFG</w:t>
            </w:r>
            <w:r>
              <w:rPr>
                <w:spacing w:val="-19"/>
                <w:sz w:val="22"/>
              </w:rPr>
              <w:t> </w:t>
            </w:r>
            <w:r>
              <w:rPr>
                <w:sz w:val="22"/>
              </w:rPr>
              <w:t>&lt;</w:t>
            </w:r>
            <w:r>
              <w:rPr>
                <w:spacing w:val="-20"/>
                <w:sz w:val="22"/>
              </w:rPr>
              <w:t> </w:t>
            </w:r>
            <w:r>
              <w:rPr>
                <w:sz w:val="22"/>
              </w:rPr>
              <w:t>60</w:t>
            </w:r>
            <w:r>
              <w:rPr>
                <w:spacing w:val="-21"/>
                <w:sz w:val="22"/>
              </w:rPr>
              <w:t> </w:t>
            </w:r>
            <w:r>
              <w:rPr>
                <w:sz w:val="22"/>
              </w:rPr>
              <w:t>ml/min;</w:t>
            </w:r>
          </w:p>
          <w:p>
            <w:pPr>
              <w:pStyle w:val="TableParagraph"/>
              <w:spacing w:line="292" w:lineRule="auto" w:before="196"/>
              <w:ind w:right="130"/>
              <w:rPr>
                <w:sz w:val="22"/>
              </w:rPr>
            </w:pPr>
            <w:r>
              <w:rPr>
                <w:w w:val="95"/>
                <w:sz w:val="22"/>
              </w:rPr>
              <w:t>Reduzir</w:t>
            </w:r>
            <w:r>
              <w:rPr>
                <w:spacing w:val="-40"/>
                <w:w w:val="95"/>
                <w:sz w:val="22"/>
              </w:rPr>
              <w:t> </w:t>
            </w:r>
            <w:r>
              <w:rPr>
                <w:w w:val="95"/>
                <w:sz w:val="22"/>
              </w:rPr>
              <w:t>dose</w:t>
            </w:r>
            <w:r>
              <w:rPr>
                <w:spacing w:val="-40"/>
                <w:w w:val="95"/>
                <w:sz w:val="22"/>
              </w:rPr>
              <w:t> </w:t>
            </w:r>
            <w:r>
              <w:rPr>
                <w:w w:val="95"/>
                <w:sz w:val="22"/>
              </w:rPr>
              <w:t>de</w:t>
            </w:r>
            <w:r>
              <w:rPr>
                <w:spacing w:val="-40"/>
                <w:w w:val="95"/>
                <w:sz w:val="22"/>
              </w:rPr>
              <w:t> </w:t>
            </w:r>
            <w:r>
              <w:rPr>
                <w:w w:val="95"/>
                <w:sz w:val="22"/>
              </w:rPr>
              <w:t>manutenção</w:t>
            </w:r>
            <w:r>
              <w:rPr>
                <w:spacing w:val="-39"/>
                <w:w w:val="95"/>
                <w:sz w:val="22"/>
              </w:rPr>
              <w:t> </w:t>
            </w:r>
            <w:r>
              <w:rPr>
                <w:w w:val="95"/>
                <w:sz w:val="22"/>
              </w:rPr>
              <w:t>de</w:t>
            </w:r>
            <w:r>
              <w:rPr>
                <w:spacing w:val="-40"/>
                <w:w w:val="95"/>
                <w:sz w:val="22"/>
              </w:rPr>
              <w:t> </w:t>
            </w:r>
            <w:r>
              <w:rPr>
                <w:w w:val="95"/>
                <w:sz w:val="22"/>
              </w:rPr>
              <w:t>Fluconazol</w:t>
            </w:r>
            <w:r>
              <w:rPr>
                <w:spacing w:val="-41"/>
                <w:w w:val="95"/>
                <w:sz w:val="22"/>
              </w:rPr>
              <w:t> </w:t>
            </w:r>
            <w:r>
              <w:rPr>
                <w:w w:val="95"/>
                <w:sz w:val="22"/>
              </w:rPr>
              <w:t>e,</w:t>
            </w:r>
            <w:r>
              <w:rPr>
                <w:spacing w:val="-40"/>
                <w:w w:val="95"/>
                <w:sz w:val="22"/>
              </w:rPr>
              <w:t> </w:t>
            </w:r>
            <w:r>
              <w:rPr>
                <w:w w:val="95"/>
                <w:sz w:val="22"/>
              </w:rPr>
              <w:t>50% </w:t>
            </w:r>
            <w:r>
              <w:rPr>
                <w:sz w:val="22"/>
              </w:rPr>
              <w:t>se</w:t>
            </w:r>
            <w:r>
              <w:rPr>
                <w:spacing w:val="-14"/>
                <w:sz w:val="22"/>
              </w:rPr>
              <w:t> </w:t>
            </w:r>
            <w:r>
              <w:rPr>
                <w:sz w:val="22"/>
              </w:rPr>
              <w:t>TFG</w:t>
            </w:r>
            <w:r>
              <w:rPr>
                <w:spacing w:val="-17"/>
                <w:sz w:val="22"/>
              </w:rPr>
              <w:t> </w:t>
            </w:r>
            <w:r>
              <w:rPr>
                <w:sz w:val="22"/>
              </w:rPr>
              <w:t>&lt;</w:t>
            </w:r>
            <w:r>
              <w:rPr>
                <w:spacing w:val="-16"/>
                <w:sz w:val="22"/>
              </w:rPr>
              <w:t> </w:t>
            </w:r>
            <w:r>
              <w:rPr>
                <w:sz w:val="22"/>
              </w:rPr>
              <w:t>50</w:t>
            </w:r>
            <w:r>
              <w:rPr>
                <w:spacing w:val="-16"/>
                <w:sz w:val="22"/>
              </w:rPr>
              <w:t> </w:t>
            </w:r>
            <w:r>
              <w:rPr>
                <w:sz w:val="22"/>
              </w:rPr>
              <w:t>ml/min.</w:t>
            </w:r>
          </w:p>
        </w:tc>
      </w:tr>
      <w:tr>
        <w:trPr>
          <w:trHeight w:val="510" w:hRule="atLeast"/>
        </w:trPr>
        <w:tc>
          <w:tcPr>
            <w:tcW w:w="4786" w:type="dxa"/>
            <w:shd w:val="clear" w:color="auto" w:fill="A7A8A7"/>
          </w:tcPr>
          <w:p>
            <w:pPr>
              <w:pStyle w:val="TableParagraph"/>
              <w:spacing w:before="4"/>
              <w:rPr>
                <w:sz w:val="22"/>
              </w:rPr>
            </w:pPr>
            <w:r>
              <w:rPr>
                <w:sz w:val="22"/>
              </w:rPr>
              <w:t>4. Agentes para tratamento de Diabetes</w:t>
            </w:r>
          </w:p>
        </w:tc>
        <w:tc>
          <w:tcPr>
            <w:tcW w:w="4786" w:type="dxa"/>
            <w:shd w:val="clear" w:color="auto" w:fill="A7A8A7"/>
          </w:tcPr>
          <w:p>
            <w:pPr>
              <w:pStyle w:val="TableParagraph"/>
              <w:ind w:left="0"/>
              <w:rPr>
                <w:rFonts w:ascii="Times New Roman"/>
                <w:sz w:val="22"/>
              </w:rPr>
            </w:pPr>
          </w:p>
        </w:tc>
      </w:tr>
      <w:tr>
        <w:trPr>
          <w:trHeight w:val="1324" w:hRule="atLeast"/>
        </w:trPr>
        <w:tc>
          <w:tcPr>
            <w:tcW w:w="4786" w:type="dxa"/>
          </w:tcPr>
          <w:p>
            <w:pPr>
              <w:pStyle w:val="TableParagraph"/>
              <w:spacing w:before="2"/>
              <w:ind w:left="815"/>
              <w:rPr>
                <w:sz w:val="22"/>
              </w:rPr>
            </w:pPr>
            <w:r>
              <w:rPr>
                <w:sz w:val="22"/>
              </w:rPr>
              <w:t>Sulfoniluréias</w:t>
            </w:r>
          </w:p>
        </w:tc>
        <w:tc>
          <w:tcPr>
            <w:tcW w:w="4786" w:type="dxa"/>
          </w:tcPr>
          <w:p>
            <w:pPr>
              <w:pStyle w:val="TableParagraph"/>
              <w:spacing w:before="2"/>
              <w:rPr>
                <w:sz w:val="22"/>
              </w:rPr>
            </w:pPr>
            <w:r>
              <w:rPr>
                <w:sz w:val="22"/>
              </w:rPr>
              <w:t>Evitar glibenclamida se TFG &lt; 30ml/min;</w:t>
            </w:r>
          </w:p>
          <w:p>
            <w:pPr>
              <w:pStyle w:val="TableParagraph"/>
              <w:ind w:left="0"/>
              <w:rPr>
                <w:sz w:val="22"/>
              </w:rPr>
            </w:pPr>
          </w:p>
          <w:p>
            <w:pPr>
              <w:pStyle w:val="TableParagraph"/>
              <w:spacing w:line="292" w:lineRule="auto"/>
              <w:ind w:right="425"/>
              <w:rPr>
                <w:sz w:val="22"/>
              </w:rPr>
            </w:pPr>
            <w:r>
              <w:rPr>
                <w:w w:val="95"/>
                <w:sz w:val="22"/>
              </w:rPr>
              <w:t>Reduzir</w:t>
            </w:r>
            <w:r>
              <w:rPr>
                <w:spacing w:val="-40"/>
                <w:w w:val="95"/>
                <w:sz w:val="22"/>
              </w:rPr>
              <w:t> </w:t>
            </w:r>
            <w:r>
              <w:rPr>
                <w:w w:val="95"/>
                <w:sz w:val="22"/>
              </w:rPr>
              <w:t>a</w:t>
            </w:r>
            <w:r>
              <w:rPr>
                <w:spacing w:val="-39"/>
                <w:w w:val="95"/>
                <w:sz w:val="22"/>
              </w:rPr>
              <w:t> </w:t>
            </w:r>
            <w:r>
              <w:rPr>
                <w:w w:val="95"/>
                <w:sz w:val="22"/>
              </w:rPr>
              <w:t>dose</w:t>
            </w:r>
            <w:r>
              <w:rPr>
                <w:spacing w:val="-39"/>
                <w:w w:val="95"/>
                <w:sz w:val="22"/>
              </w:rPr>
              <w:t> </w:t>
            </w:r>
            <w:r>
              <w:rPr>
                <w:w w:val="95"/>
                <w:sz w:val="22"/>
              </w:rPr>
              <w:t>em</w:t>
            </w:r>
            <w:r>
              <w:rPr>
                <w:spacing w:val="-40"/>
                <w:w w:val="95"/>
                <w:sz w:val="22"/>
              </w:rPr>
              <w:t> </w:t>
            </w:r>
            <w:r>
              <w:rPr>
                <w:w w:val="95"/>
                <w:sz w:val="22"/>
              </w:rPr>
              <w:t>50%</w:t>
            </w:r>
            <w:r>
              <w:rPr>
                <w:spacing w:val="-38"/>
                <w:w w:val="95"/>
                <w:sz w:val="22"/>
              </w:rPr>
              <w:t> </w:t>
            </w:r>
            <w:r>
              <w:rPr>
                <w:w w:val="95"/>
                <w:sz w:val="22"/>
              </w:rPr>
              <w:t>da</w:t>
            </w:r>
            <w:r>
              <w:rPr>
                <w:spacing w:val="-41"/>
                <w:w w:val="95"/>
                <w:sz w:val="22"/>
              </w:rPr>
              <w:t> </w:t>
            </w:r>
            <w:r>
              <w:rPr>
                <w:w w:val="95"/>
                <w:sz w:val="22"/>
              </w:rPr>
              <w:t>glicazida</w:t>
            </w:r>
            <w:r>
              <w:rPr>
                <w:spacing w:val="-39"/>
                <w:w w:val="95"/>
                <w:sz w:val="22"/>
              </w:rPr>
              <w:t> </w:t>
            </w:r>
            <w:r>
              <w:rPr>
                <w:w w:val="95"/>
                <w:sz w:val="22"/>
              </w:rPr>
              <w:t>se</w:t>
            </w:r>
            <w:r>
              <w:rPr>
                <w:spacing w:val="-39"/>
                <w:w w:val="95"/>
                <w:sz w:val="22"/>
              </w:rPr>
              <w:t> </w:t>
            </w:r>
            <w:r>
              <w:rPr>
                <w:w w:val="95"/>
                <w:sz w:val="22"/>
              </w:rPr>
              <w:t>TFG</w:t>
            </w:r>
            <w:r>
              <w:rPr>
                <w:spacing w:val="-40"/>
                <w:w w:val="95"/>
                <w:sz w:val="22"/>
              </w:rPr>
              <w:t> </w:t>
            </w:r>
            <w:r>
              <w:rPr>
                <w:w w:val="95"/>
                <w:sz w:val="22"/>
              </w:rPr>
              <w:t>&lt;</w:t>
            </w:r>
            <w:r>
              <w:rPr>
                <w:spacing w:val="-39"/>
                <w:w w:val="95"/>
                <w:sz w:val="22"/>
              </w:rPr>
              <w:t> </w:t>
            </w:r>
            <w:r>
              <w:rPr>
                <w:w w:val="95"/>
                <w:sz w:val="22"/>
              </w:rPr>
              <w:t>30 </w:t>
            </w:r>
            <w:r>
              <w:rPr>
                <w:sz w:val="22"/>
              </w:rPr>
              <w:t>ml/min;</w:t>
            </w:r>
          </w:p>
        </w:tc>
      </w:tr>
      <w:tr>
        <w:trPr>
          <w:trHeight w:val="817" w:hRule="atLeast"/>
        </w:trPr>
        <w:tc>
          <w:tcPr>
            <w:tcW w:w="4786" w:type="dxa"/>
          </w:tcPr>
          <w:p>
            <w:pPr>
              <w:pStyle w:val="TableParagraph"/>
              <w:spacing w:before="4"/>
              <w:ind w:left="815"/>
              <w:rPr>
                <w:sz w:val="22"/>
              </w:rPr>
            </w:pPr>
            <w:r>
              <w:rPr>
                <w:sz w:val="22"/>
              </w:rPr>
              <w:t>Insulinas</w:t>
            </w:r>
          </w:p>
        </w:tc>
        <w:tc>
          <w:tcPr>
            <w:tcW w:w="4786" w:type="dxa"/>
          </w:tcPr>
          <w:p>
            <w:pPr>
              <w:pStyle w:val="TableParagraph"/>
              <w:spacing w:line="292" w:lineRule="auto" w:before="2"/>
              <w:ind w:right="146"/>
              <w:rPr>
                <w:sz w:val="22"/>
              </w:rPr>
            </w:pPr>
            <w:r>
              <w:rPr>
                <w:w w:val="95"/>
                <w:sz w:val="22"/>
              </w:rPr>
              <w:t>Pode</w:t>
            </w:r>
            <w:r>
              <w:rPr>
                <w:spacing w:val="-39"/>
                <w:w w:val="95"/>
                <w:sz w:val="22"/>
              </w:rPr>
              <w:t> </w:t>
            </w:r>
            <w:r>
              <w:rPr>
                <w:w w:val="95"/>
                <w:sz w:val="22"/>
              </w:rPr>
              <w:t>necessitar</w:t>
            </w:r>
            <w:r>
              <w:rPr>
                <w:spacing w:val="-40"/>
                <w:w w:val="95"/>
                <w:sz w:val="22"/>
              </w:rPr>
              <w:t> </w:t>
            </w:r>
            <w:r>
              <w:rPr>
                <w:w w:val="95"/>
                <w:sz w:val="22"/>
              </w:rPr>
              <w:t>de</w:t>
            </w:r>
            <w:r>
              <w:rPr>
                <w:spacing w:val="-39"/>
                <w:w w:val="95"/>
                <w:sz w:val="22"/>
              </w:rPr>
              <w:t> </w:t>
            </w:r>
            <w:r>
              <w:rPr>
                <w:w w:val="95"/>
                <w:sz w:val="22"/>
              </w:rPr>
              <w:t>redução</w:t>
            </w:r>
            <w:r>
              <w:rPr>
                <w:spacing w:val="-38"/>
                <w:w w:val="95"/>
                <w:sz w:val="22"/>
              </w:rPr>
              <w:t> </w:t>
            </w:r>
            <w:r>
              <w:rPr>
                <w:w w:val="95"/>
                <w:sz w:val="22"/>
              </w:rPr>
              <w:t>de</w:t>
            </w:r>
            <w:r>
              <w:rPr>
                <w:spacing w:val="-39"/>
                <w:w w:val="95"/>
                <w:sz w:val="22"/>
              </w:rPr>
              <w:t> </w:t>
            </w:r>
            <w:r>
              <w:rPr>
                <w:w w:val="95"/>
                <w:sz w:val="22"/>
              </w:rPr>
              <w:t>dose</w:t>
            </w:r>
            <w:r>
              <w:rPr>
                <w:spacing w:val="-40"/>
                <w:w w:val="95"/>
                <w:sz w:val="22"/>
              </w:rPr>
              <w:t> </w:t>
            </w:r>
            <w:r>
              <w:rPr>
                <w:w w:val="95"/>
                <w:sz w:val="22"/>
              </w:rPr>
              <w:t>quando</w:t>
            </w:r>
            <w:r>
              <w:rPr>
                <w:spacing w:val="-38"/>
                <w:w w:val="95"/>
                <w:sz w:val="22"/>
              </w:rPr>
              <w:t> </w:t>
            </w:r>
            <w:r>
              <w:rPr>
                <w:w w:val="95"/>
                <w:sz w:val="22"/>
              </w:rPr>
              <w:t>TFG</w:t>
            </w:r>
            <w:r>
              <w:rPr>
                <w:spacing w:val="-40"/>
                <w:w w:val="95"/>
                <w:sz w:val="22"/>
              </w:rPr>
              <w:t> </w:t>
            </w:r>
            <w:r>
              <w:rPr>
                <w:w w:val="95"/>
                <w:sz w:val="22"/>
              </w:rPr>
              <w:t>&lt; </w:t>
            </w:r>
            <w:r>
              <w:rPr>
                <w:sz w:val="22"/>
              </w:rPr>
              <w:t>30</w:t>
            </w:r>
            <w:r>
              <w:rPr>
                <w:spacing w:val="-14"/>
                <w:sz w:val="22"/>
              </w:rPr>
              <w:t> </w:t>
            </w:r>
            <w:r>
              <w:rPr>
                <w:sz w:val="22"/>
              </w:rPr>
              <w:t>ml/min</w:t>
            </w:r>
          </w:p>
        </w:tc>
      </w:tr>
      <w:tr>
        <w:trPr>
          <w:trHeight w:val="1019" w:hRule="atLeast"/>
        </w:trPr>
        <w:tc>
          <w:tcPr>
            <w:tcW w:w="4786" w:type="dxa"/>
          </w:tcPr>
          <w:p>
            <w:pPr>
              <w:pStyle w:val="TableParagraph"/>
              <w:spacing w:before="2"/>
              <w:ind w:left="815"/>
              <w:rPr>
                <w:sz w:val="22"/>
              </w:rPr>
            </w:pPr>
            <w:r>
              <w:rPr>
                <w:sz w:val="22"/>
              </w:rPr>
              <w:t>Metformina</w:t>
            </w:r>
          </w:p>
        </w:tc>
        <w:tc>
          <w:tcPr>
            <w:tcW w:w="4786" w:type="dxa"/>
          </w:tcPr>
          <w:p>
            <w:pPr>
              <w:pStyle w:val="TableParagraph"/>
              <w:spacing w:before="2"/>
              <w:rPr>
                <w:sz w:val="22"/>
              </w:rPr>
            </w:pPr>
            <w:r>
              <w:rPr>
                <w:sz w:val="22"/>
              </w:rPr>
              <w:t>Evitar quando TFG &lt; 30 ml/min;</w:t>
            </w:r>
          </w:p>
          <w:p>
            <w:pPr>
              <w:pStyle w:val="TableParagraph"/>
              <w:spacing w:before="5"/>
              <w:ind w:left="0"/>
              <w:rPr>
                <w:sz w:val="22"/>
              </w:rPr>
            </w:pPr>
          </w:p>
          <w:p>
            <w:pPr>
              <w:pStyle w:val="TableParagraph"/>
              <w:rPr>
                <w:sz w:val="22"/>
              </w:rPr>
            </w:pPr>
            <w:r>
              <w:rPr>
                <w:sz w:val="22"/>
              </w:rPr>
              <w:t>Rever o uso quando TFG &lt; 45 ml/min.</w:t>
            </w:r>
          </w:p>
        </w:tc>
      </w:tr>
      <w:tr>
        <w:trPr>
          <w:trHeight w:val="508" w:hRule="atLeast"/>
        </w:trPr>
        <w:tc>
          <w:tcPr>
            <w:tcW w:w="4786" w:type="dxa"/>
            <w:shd w:val="clear" w:color="auto" w:fill="A7A8A7"/>
          </w:tcPr>
          <w:p>
            <w:pPr>
              <w:pStyle w:val="TableParagraph"/>
              <w:spacing w:before="2"/>
              <w:rPr>
                <w:sz w:val="22"/>
              </w:rPr>
            </w:pPr>
            <w:r>
              <w:rPr>
                <w:sz w:val="22"/>
              </w:rPr>
              <w:t>5. Redutores de Colesterol</w:t>
            </w:r>
          </w:p>
        </w:tc>
        <w:tc>
          <w:tcPr>
            <w:tcW w:w="4786" w:type="dxa"/>
            <w:shd w:val="clear" w:color="auto" w:fill="A7A8A7"/>
          </w:tcPr>
          <w:p>
            <w:pPr>
              <w:pStyle w:val="TableParagraph"/>
              <w:ind w:left="0"/>
              <w:rPr>
                <w:rFonts w:ascii="Times New Roman"/>
                <w:sz w:val="22"/>
              </w:rPr>
            </w:pPr>
          </w:p>
        </w:tc>
      </w:tr>
      <w:tr>
        <w:trPr>
          <w:trHeight w:val="508" w:hRule="atLeast"/>
        </w:trPr>
        <w:tc>
          <w:tcPr>
            <w:tcW w:w="4786" w:type="dxa"/>
          </w:tcPr>
          <w:p>
            <w:pPr>
              <w:pStyle w:val="TableParagraph"/>
              <w:spacing w:before="2"/>
              <w:ind w:left="815"/>
              <w:rPr>
                <w:sz w:val="22"/>
              </w:rPr>
            </w:pPr>
            <w:r>
              <w:rPr>
                <w:sz w:val="22"/>
              </w:rPr>
              <w:t>Estatinas</w:t>
            </w:r>
          </w:p>
        </w:tc>
        <w:tc>
          <w:tcPr>
            <w:tcW w:w="4786" w:type="dxa"/>
          </w:tcPr>
          <w:p>
            <w:pPr>
              <w:pStyle w:val="TableParagraph"/>
              <w:spacing w:before="2"/>
              <w:rPr>
                <w:sz w:val="22"/>
              </w:rPr>
            </w:pPr>
            <w:r>
              <w:rPr>
                <w:sz w:val="22"/>
              </w:rPr>
              <w:t>Não há recomendação de ajuste de dose</w:t>
            </w:r>
          </w:p>
        </w:tc>
      </w:tr>
      <w:tr>
        <w:trPr>
          <w:trHeight w:val="1125" w:hRule="atLeast"/>
        </w:trPr>
        <w:tc>
          <w:tcPr>
            <w:tcW w:w="4786" w:type="dxa"/>
          </w:tcPr>
          <w:p>
            <w:pPr>
              <w:pStyle w:val="TableParagraph"/>
              <w:spacing w:before="2"/>
              <w:ind w:left="815"/>
              <w:rPr>
                <w:sz w:val="22"/>
              </w:rPr>
            </w:pPr>
            <w:r>
              <w:rPr>
                <w:sz w:val="22"/>
              </w:rPr>
              <w:t>Fenofibrato</w:t>
            </w:r>
          </w:p>
        </w:tc>
        <w:tc>
          <w:tcPr>
            <w:tcW w:w="4786" w:type="dxa"/>
          </w:tcPr>
          <w:p>
            <w:pPr>
              <w:pStyle w:val="TableParagraph"/>
              <w:spacing w:line="292" w:lineRule="auto"/>
              <w:ind w:right="179"/>
              <w:jc w:val="both"/>
              <w:rPr>
                <w:sz w:val="22"/>
              </w:rPr>
            </w:pPr>
            <w:r>
              <w:rPr>
                <w:w w:val="95"/>
                <w:sz w:val="22"/>
              </w:rPr>
              <w:t>Pode</w:t>
            </w:r>
            <w:r>
              <w:rPr>
                <w:spacing w:val="-26"/>
                <w:w w:val="95"/>
                <w:sz w:val="22"/>
              </w:rPr>
              <w:t> </w:t>
            </w:r>
            <w:r>
              <w:rPr>
                <w:w w:val="95"/>
                <w:sz w:val="22"/>
              </w:rPr>
              <w:t>aumentar</w:t>
            </w:r>
            <w:r>
              <w:rPr>
                <w:spacing w:val="-27"/>
                <w:w w:val="95"/>
                <w:sz w:val="22"/>
              </w:rPr>
              <w:t> </w:t>
            </w:r>
            <w:r>
              <w:rPr>
                <w:w w:val="95"/>
                <w:sz w:val="22"/>
              </w:rPr>
              <w:t>o</w:t>
            </w:r>
            <w:r>
              <w:rPr>
                <w:spacing w:val="-25"/>
                <w:w w:val="95"/>
                <w:sz w:val="22"/>
              </w:rPr>
              <w:t> </w:t>
            </w:r>
            <w:r>
              <w:rPr>
                <w:w w:val="95"/>
                <w:sz w:val="22"/>
              </w:rPr>
              <w:t>nível</w:t>
            </w:r>
            <w:r>
              <w:rPr>
                <w:spacing w:val="-26"/>
                <w:w w:val="95"/>
                <w:sz w:val="22"/>
              </w:rPr>
              <w:t> </w:t>
            </w:r>
            <w:r>
              <w:rPr>
                <w:w w:val="95"/>
                <w:sz w:val="22"/>
              </w:rPr>
              <w:t>de</w:t>
            </w:r>
            <w:r>
              <w:rPr>
                <w:spacing w:val="-25"/>
                <w:w w:val="95"/>
                <w:sz w:val="22"/>
              </w:rPr>
              <w:t> </w:t>
            </w:r>
            <w:r>
              <w:rPr>
                <w:w w:val="95"/>
                <w:sz w:val="22"/>
              </w:rPr>
              <w:t>creatinina</w:t>
            </w:r>
            <w:r>
              <w:rPr>
                <w:spacing w:val="-26"/>
                <w:w w:val="95"/>
                <w:sz w:val="22"/>
              </w:rPr>
              <w:t> </w:t>
            </w:r>
            <w:r>
              <w:rPr>
                <w:w w:val="95"/>
                <w:sz w:val="22"/>
              </w:rPr>
              <w:t>sérica</w:t>
            </w:r>
            <w:r>
              <w:rPr>
                <w:spacing w:val="-25"/>
                <w:w w:val="95"/>
                <w:sz w:val="22"/>
              </w:rPr>
              <w:t> </w:t>
            </w:r>
            <w:r>
              <w:rPr>
                <w:w w:val="95"/>
                <w:sz w:val="22"/>
              </w:rPr>
              <w:t>após</w:t>
            </w:r>
            <w:r>
              <w:rPr>
                <w:spacing w:val="-28"/>
                <w:w w:val="95"/>
                <w:sz w:val="22"/>
              </w:rPr>
              <w:t> </w:t>
            </w:r>
            <w:r>
              <w:rPr>
                <w:w w:val="95"/>
                <w:sz w:val="22"/>
              </w:rPr>
              <w:t>o seu</w:t>
            </w:r>
            <w:r>
              <w:rPr>
                <w:spacing w:val="-29"/>
                <w:w w:val="95"/>
                <w:sz w:val="22"/>
              </w:rPr>
              <w:t> </w:t>
            </w:r>
            <w:r>
              <w:rPr>
                <w:w w:val="95"/>
                <w:sz w:val="22"/>
              </w:rPr>
              <w:t>início.</w:t>
            </w:r>
            <w:r>
              <w:rPr>
                <w:spacing w:val="-30"/>
                <w:w w:val="95"/>
                <w:sz w:val="22"/>
              </w:rPr>
              <w:t> </w:t>
            </w:r>
            <w:r>
              <w:rPr>
                <w:w w:val="95"/>
                <w:sz w:val="22"/>
              </w:rPr>
              <w:t>Deve-se</w:t>
            </w:r>
            <w:r>
              <w:rPr>
                <w:spacing w:val="-28"/>
                <w:w w:val="95"/>
                <w:sz w:val="22"/>
              </w:rPr>
              <w:t> </w:t>
            </w:r>
            <w:r>
              <w:rPr>
                <w:w w:val="95"/>
                <w:sz w:val="22"/>
              </w:rPr>
              <w:t>ter</w:t>
            </w:r>
            <w:r>
              <w:rPr>
                <w:spacing w:val="-29"/>
                <w:w w:val="95"/>
                <w:sz w:val="22"/>
              </w:rPr>
              <w:t> </w:t>
            </w:r>
            <w:r>
              <w:rPr>
                <w:w w:val="95"/>
                <w:sz w:val="22"/>
              </w:rPr>
              <w:t>cautela</w:t>
            </w:r>
            <w:r>
              <w:rPr>
                <w:spacing w:val="-28"/>
                <w:w w:val="95"/>
                <w:sz w:val="22"/>
              </w:rPr>
              <w:t> </w:t>
            </w:r>
            <w:r>
              <w:rPr>
                <w:w w:val="95"/>
                <w:sz w:val="22"/>
              </w:rPr>
              <w:t>quando</w:t>
            </w:r>
            <w:r>
              <w:rPr>
                <w:spacing w:val="-27"/>
                <w:w w:val="95"/>
                <w:sz w:val="22"/>
              </w:rPr>
              <w:t> </w:t>
            </w:r>
            <w:r>
              <w:rPr>
                <w:w w:val="95"/>
                <w:sz w:val="22"/>
              </w:rPr>
              <w:t>introduzido </w:t>
            </w:r>
            <w:r>
              <w:rPr>
                <w:sz w:val="22"/>
              </w:rPr>
              <w:t>em</w:t>
            </w:r>
            <w:r>
              <w:rPr>
                <w:spacing w:val="-19"/>
                <w:sz w:val="22"/>
              </w:rPr>
              <w:t> </w:t>
            </w:r>
            <w:r>
              <w:rPr>
                <w:sz w:val="22"/>
              </w:rPr>
              <w:t>pacientes</w:t>
            </w:r>
            <w:r>
              <w:rPr>
                <w:spacing w:val="-20"/>
                <w:sz w:val="22"/>
              </w:rPr>
              <w:t> </w:t>
            </w:r>
            <w:r>
              <w:rPr>
                <w:sz w:val="22"/>
              </w:rPr>
              <w:t>com</w:t>
            </w:r>
            <w:r>
              <w:rPr>
                <w:spacing w:val="-19"/>
                <w:sz w:val="22"/>
              </w:rPr>
              <w:t> </w:t>
            </w:r>
            <w:r>
              <w:rPr>
                <w:sz w:val="22"/>
              </w:rPr>
              <w:t>TFG</w:t>
            </w:r>
            <w:r>
              <w:rPr>
                <w:spacing w:val="-22"/>
                <w:sz w:val="22"/>
              </w:rPr>
              <w:t> </w:t>
            </w:r>
            <w:r>
              <w:rPr>
                <w:sz w:val="22"/>
              </w:rPr>
              <w:t>&lt;</w:t>
            </w:r>
            <w:r>
              <w:rPr>
                <w:spacing w:val="-22"/>
                <w:sz w:val="22"/>
              </w:rPr>
              <w:t> </w:t>
            </w:r>
            <w:r>
              <w:rPr>
                <w:sz w:val="22"/>
              </w:rPr>
              <w:t>30</w:t>
            </w:r>
            <w:r>
              <w:rPr>
                <w:spacing w:val="-21"/>
                <w:sz w:val="22"/>
              </w:rPr>
              <w:t> </w:t>
            </w:r>
            <w:r>
              <w:rPr>
                <w:sz w:val="22"/>
              </w:rPr>
              <w:t>ml/min.</w:t>
            </w:r>
          </w:p>
        </w:tc>
      </w:tr>
      <w:tr>
        <w:trPr>
          <w:trHeight w:val="510" w:hRule="atLeast"/>
        </w:trPr>
        <w:tc>
          <w:tcPr>
            <w:tcW w:w="4786" w:type="dxa"/>
            <w:shd w:val="clear" w:color="auto" w:fill="A7A8A7"/>
          </w:tcPr>
          <w:p>
            <w:pPr>
              <w:pStyle w:val="TableParagraph"/>
              <w:spacing w:before="4"/>
              <w:rPr>
                <w:sz w:val="22"/>
              </w:rPr>
            </w:pPr>
            <w:r>
              <w:rPr>
                <w:sz w:val="22"/>
              </w:rPr>
              <w:t>6. Quimioterápicos</w:t>
            </w:r>
          </w:p>
        </w:tc>
        <w:tc>
          <w:tcPr>
            <w:tcW w:w="4786" w:type="dxa"/>
            <w:shd w:val="clear" w:color="auto" w:fill="A7A8A7"/>
          </w:tcPr>
          <w:p>
            <w:pPr>
              <w:pStyle w:val="TableParagraph"/>
              <w:ind w:left="0"/>
              <w:rPr>
                <w:rFonts w:ascii="Times New Roman"/>
                <w:sz w:val="22"/>
              </w:rPr>
            </w:pPr>
          </w:p>
        </w:tc>
      </w:tr>
      <w:tr>
        <w:trPr>
          <w:trHeight w:val="508" w:hRule="atLeast"/>
        </w:trPr>
        <w:tc>
          <w:tcPr>
            <w:tcW w:w="4786" w:type="dxa"/>
          </w:tcPr>
          <w:p>
            <w:pPr>
              <w:pStyle w:val="TableParagraph"/>
              <w:spacing w:before="2"/>
              <w:ind w:left="815"/>
              <w:rPr>
                <w:sz w:val="22"/>
              </w:rPr>
            </w:pPr>
            <w:r>
              <w:rPr>
                <w:sz w:val="22"/>
              </w:rPr>
              <w:t>Cisplatina</w:t>
            </w:r>
          </w:p>
        </w:tc>
        <w:tc>
          <w:tcPr>
            <w:tcW w:w="4786" w:type="dxa"/>
          </w:tcPr>
          <w:p>
            <w:pPr>
              <w:pStyle w:val="TableParagraph"/>
              <w:spacing w:before="2"/>
              <w:rPr>
                <w:sz w:val="22"/>
              </w:rPr>
            </w:pPr>
            <w:r>
              <w:rPr>
                <w:sz w:val="22"/>
              </w:rPr>
              <w:t>Reduzir a dose quando TFG &lt; 60 ml/min;</w:t>
            </w:r>
          </w:p>
        </w:tc>
      </w:tr>
    </w:tbl>
    <w:p>
      <w:pPr>
        <w:spacing w:after="0"/>
        <w:rPr>
          <w:sz w:val="22"/>
        </w:rPr>
        <w:sectPr>
          <w:pgSz w:w="11910" w:h="16840"/>
          <w:pgMar w:header="0" w:footer="925" w:top="1400" w:bottom="1120" w:left="1240" w:right="620"/>
        </w:sectPr>
      </w:pPr>
    </w:p>
    <w:tbl>
      <w:tblPr>
        <w:tblW w:w="0" w:type="auto"/>
        <w:jc w:val="left"/>
        <w:tblInd w:w="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786"/>
        <w:gridCol w:w="4786"/>
      </w:tblGrid>
      <w:tr>
        <w:trPr>
          <w:trHeight w:val="508" w:hRule="atLeast"/>
        </w:trPr>
        <w:tc>
          <w:tcPr>
            <w:tcW w:w="4786" w:type="dxa"/>
          </w:tcPr>
          <w:p>
            <w:pPr>
              <w:pStyle w:val="TableParagraph"/>
              <w:ind w:left="0"/>
              <w:rPr>
                <w:rFonts w:ascii="Times New Roman"/>
                <w:sz w:val="22"/>
              </w:rPr>
            </w:pPr>
          </w:p>
        </w:tc>
        <w:tc>
          <w:tcPr>
            <w:tcW w:w="4786" w:type="dxa"/>
          </w:tcPr>
          <w:p>
            <w:pPr>
              <w:pStyle w:val="TableParagraph"/>
              <w:spacing w:before="2"/>
              <w:rPr>
                <w:sz w:val="22"/>
              </w:rPr>
            </w:pPr>
            <w:r>
              <w:rPr>
                <w:sz w:val="22"/>
              </w:rPr>
              <w:t>Evitar se TFG &lt; 30ml/min</w:t>
            </w:r>
          </w:p>
        </w:tc>
      </w:tr>
      <w:tr>
        <w:trPr>
          <w:trHeight w:val="508" w:hRule="atLeast"/>
        </w:trPr>
        <w:tc>
          <w:tcPr>
            <w:tcW w:w="4786" w:type="dxa"/>
          </w:tcPr>
          <w:p>
            <w:pPr>
              <w:pStyle w:val="TableParagraph"/>
              <w:spacing w:before="2"/>
              <w:ind w:left="815"/>
              <w:rPr>
                <w:sz w:val="22"/>
              </w:rPr>
            </w:pPr>
            <w:r>
              <w:rPr>
                <w:sz w:val="22"/>
              </w:rPr>
              <w:t>Melfalan</w:t>
            </w:r>
          </w:p>
        </w:tc>
        <w:tc>
          <w:tcPr>
            <w:tcW w:w="4786" w:type="dxa"/>
          </w:tcPr>
          <w:p>
            <w:pPr>
              <w:pStyle w:val="TableParagraph"/>
              <w:spacing w:before="2"/>
              <w:rPr>
                <w:sz w:val="22"/>
              </w:rPr>
            </w:pPr>
            <w:r>
              <w:rPr>
                <w:sz w:val="22"/>
              </w:rPr>
              <w:t>Reduzir a dose se TFG &lt; 60 ml/min</w:t>
            </w:r>
          </w:p>
        </w:tc>
      </w:tr>
      <w:tr>
        <w:trPr>
          <w:trHeight w:val="1017" w:hRule="atLeast"/>
        </w:trPr>
        <w:tc>
          <w:tcPr>
            <w:tcW w:w="4786" w:type="dxa"/>
          </w:tcPr>
          <w:p>
            <w:pPr>
              <w:pStyle w:val="TableParagraph"/>
              <w:spacing w:before="2"/>
              <w:ind w:left="815"/>
              <w:rPr>
                <w:sz w:val="22"/>
              </w:rPr>
            </w:pPr>
            <w:r>
              <w:rPr>
                <w:sz w:val="22"/>
              </w:rPr>
              <w:t>Metotrexate</w:t>
            </w:r>
          </w:p>
        </w:tc>
        <w:tc>
          <w:tcPr>
            <w:tcW w:w="4786" w:type="dxa"/>
          </w:tcPr>
          <w:p>
            <w:pPr>
              <w:pStyle w:val="TableParagraph"/>
              <w:spacing w:before="2"/>
              <w:rPr>
                <w:sz w:val="22"/>
              </w:rPr>
            </w:pPr>
            <w:r>
              <w:rPr>
                <w:sz w:val="22"/>
              </w:rPr>
              <w:t>Reduzir a dose se TFG &lt; 60 ml/min;</w:t>
            </w:r>
          </w:p>
          <w:p>
            <w:pPr>
              <w:pStyle w:val="TableParagraph"/>
              <w:spacing w:before="3"/>
              <w:ind w:left="0"/>
              <w:rPr>
                <w:sz w:val="22"/>
              </w:rPr>
            </w:pPr>
          </w:p>
          <w:p>
            <w:pPr>
              <w:pStyle w:val="TableParagraph"/>
              <w:rPr>
                <w:sz w:val="22"/>
              </w:rPr>
            </w:pPr>
            <w:r>
              <w:rPr>
                <w:sz w:val="22"/>
              </w:rPr>
              <w:t>Evitar, se possível, se TFG &lt; 15 ml/min</w:t>
            </w:r>
          </w:p>
        </w:tc>
      </w:tr>
      <w:tr>
        <w:trPr>
          <w:trHeight w:val="510" w:hRule="atLeast"/>
        </w:trPr>
        <w:tc>
          <w:tcPr>
            <w:tcW w:w="4786" w:type="dxa"/>
            <w:shd w:val="clear" w:color="auto" w:fill="A7A8A7"/>
          </w:tcPr>
          <w:p>
            <w:pPr>
              <w:pStyle w:val="TableParagraph"/>
              <w:spacing w:before="4"/>
              <w:rPr>
                <w:sz w:val="22"/>
              </w:rPr>
            </w:pPr>
            <w:r>
              <w:rPr>
                <w:sz w:val="22"/>
              </w:rPr>
              <w:t>7. Anticoagulantes</w:t>
            </w:r>
          </w:p>
        </w:tc>
        <w:tc>
          <w:tcPr>
            <w:tcW w:w="4786" w:type="dxa"/>
            <w:shd w:val="clear" w:color="auto" w:fill="A7A8A7"/>
          </w:tcPr>
          <w:p>
            <w:pPr>
              <w:pStyle w:val="TableParagraph"/>
              <w:ind w:left="0"/>
              <w:rPr>
                <w:rFonts w:ascii="Times New Roman"/>
                <w:sz w:val="22"/>
              </w:rPr>
            </w:pPr>
          </w:p>
        </w:tc>
      </w:tr>
      <w:tr>
        <w:trPr>
          <w:trHeight w:val="815" w:hRule="atLeast"/>
        </w:trPr>
        <w:tc>
          <w:tcPr>
            <w:tcW w:w="4786" w:type="dxa"/>
          </w:tcPr>
          <w:p>
            <w:pPr>
              <w:pStyle w:val="TableParagraph"/>
              <w:spacing w:before="2"/>
              <w:ind w:left="815"/>
              <w:rPr>
                <w:sz w:val="22"/>
              </w:rPr>
            </w:pPr>
            <w:r>
              <w:rPr>
                <w:sz w:val="22"/>
              </w:rPr>
              <w:t>Heparina de baixo peso molecular</w:t>
            </w:r>
          </w:p>
        </w:tc>
        <w:tc>
          <w:tcPr>
            <w:tcW w:w="4786" w:type="dxa"/>
          </w:tcPr>
          <w:p>
            <w:pPr>
              <w:pStyle w:val="TableParagraph"/>
              <w:spacing w:line="292" w:lineRule="auto"/>
              <w:rPr>
                <w:sz w:val="22"/>
              </w:rPr>
            </w:pPr>
            <w:r>
              <w:rPr>
                <w:w w:val="90"/>
                <w:sz w:val="22"/>
              </w:rPr>
              <w:t>Considerar heparina convencional (não fracionada) </w:t>
            </w:r>
            <w:r>
              <w:rPr>
                <w:sz w:val="22"/>
              </w:rPr>
              <w:t>se TFG &lt; 30 ml/min</w:t>
            </w:r>
          </w:p>
        </w:tc>
      </w:tr>
      <w:tr>
        <w:trPr>
          <w:trHeight w:val="1636" w:hRule="atLeast"/>
        </w:trPr>
        <w:tc>
          <w:tcPr>
            <w:tcW w:w="4786" w:type="dxa"/>
          </w:tcPr>
          <w:p>
            <w:pPr>
              <w:pStyle w:val="TableParagraph"/>
              <w:spacing w:before="4"/>
              <w:ind w:left="815"/>
              <w:rPr>
                <w:sz w:val="22"/>
              </w:rPr>
            </w:pPr>
            <w:r>
              <w:rPr>
                <w:sz w:val="22"/>
              </w:rPr>
              <w:t>Warfarina</w:t>
            </w:r>
          </w:p>
        </w:tc>
        <w:tc>
          <w:tcPr>
            <w:tcW w:w="4786" w:type="dxa"/>
          </w:tcPr>
          <w:p>
            <w:pPr>
              <w:pStyle w:val="TableParagraph"/>
              <w:spacing w:line="292" w:lineRule="auto" w:before="2"/>
              <w:ind w:right="610"/>
              <w:rPr>
                <w:sz w:val="22"/>
              </w:rPr>
            </w:pPr>
            <w:r>
              <w:rPr>
                <w:w w:val="95"/>
                <w:sz w:val="22"/>
              </w:rPr>
              <w:t>Aumenta</w:t>
            </w:r>
            <w:r>
              <w:rPr>
                <w:spacing w:val="-35"/>
                <w:w w:val="95"/>
                <w:sz w:val="22"/>
              </w:rPr>
              <w:t> </w:t>
            </w:r>
            <w:r>
              <w:rPr>
                <w:w w:val="95"/>
                <w:sz w:val="22"/>
              </w:rPr>
              <w:t>o</w:t>
            </w:r>
            <w:r>
              <w:rPr>
                <w:spacing w:val="-32"/>
                <w:w w:val="95"/>
                <w:sz w:val="22"/>
              </w:rPr>
              <w:t> </w:t>
            </w:r>
            <w:r>
              <w:rPr>
                <w:w w:val="95"/>
                <w:sz w:val="22"/>
              </w:rPr>
              <w:t>risco</w:t>
            </w:r>
            <w:r>
              <w:rPr>
                <w:spacing w:val="-33"/>
                <w:w w:val="95"/>
                <w:sz w:val="22"/>
              </w:rPr>
              <w:t> </w:t>
            </w:r>
            <w:r>
              <w:rPr>
                <w:w w:val="95"/>
                <w:sz w:val="22"/>
              </w:rPr>
              <w:t>de</w:t>
            </w:r>
            <w:r>
              <w:rPr>
                <w:spacing w:val="-33"/>
                <w:w w:val="95"/>
                <w:sz w:val="22"/>
              </w:rPr>
              <w:t> </w:t>
            </w:r>
            <w:r>
              <w:rPr>
                <w:w w:val="95"/>
                <w:sz w:val="22"/>
              </w:rPr>
              <w:t>sangramento</w:t>
            </w:r>
            <w:r>
              <w:rPr>
                <w:spacing w:val="-32"/>
                <w:w w:val="95"/>
                <w:sz w:val="22"/>
              </w:rPr>
              <w:t> </w:t>
            </w:r>
            <w:r>
              <w:rPr>
                <w:w w:val="95"/>
                <w:sz w:val="22"/>
              </w:rPr>
              <w:t>se</w:t>
            </w:r>
            <w:r>
              <w:rPr>
                <w:spacing w:val="-33"/>
                <w:w w:val="95"/>
                <w:sz w:val="22"/>
              </w:rPr>
              <w:t> </w:t>
            </w:r>
            <w:r>
              <w:rPr>
                <w:w w:val="95"/>
                <w:sz w:val="22"/>
              </w:rPr>
              <w:t>TFG</w:t>
            </w:r>
            <w:r>
              <w:rPr>
                <w:spacing w:val="-34"/>
                <w:w w:val="95"/>
                <w:sz w:val="22"/>
              </w:rPr>
              <w:t> </w:t>
            </w:r>
            <w:r>
              <w:rPr>
                <w:w w:val="95"/>
                <w:sz w:val="22"/>
              </w:rPr>
              <w:t>&lt;</w:t>
            </w:r>
            <w:r>
              <w:rPr>
                <w:spacing w:val="-34"/>
                <w:w w:val="95"/>
                <w:sz w:val="22"/>
              </w:rPr>
              <w:t> </w:t>
            </w:r>
            <w:r>
              <w:rPr>
                <w:w w:val="95"/>
                <w:sz w:val="22"/>
              </w:rPr>
              <w:t>30 </w:t>
            </w:r>
            <w:r>
              <w:rPr>
                <w:sz w:val="22"/>
              </w:rPr>
              <w:t>ml/min;</w:t>
            </w:r>
          </w:p>
          <w:p>
            <w:pPr>
              <w:pStyle w:val="TableParagraph"/>
              <w:spacing w:before="3"/>
              <w:ind w:left="0"/>
              <w:rPr>
                <w:sz w:val="17"/>
              </w:rPr>
            </w:pPr>
          </w:p>
          <w:p>
            <w:pPr>
              <w:pStyle w:val="TableParagraph"/>
              <w:spacing w:line="295" w:lineRule="auto"/>
              <w:ind w:right="1131"/>
              <w:rPr>
                <w:sz w:val="22"/>
              </w:rPr>
            </w:pPr>
            <w:r>
              <w:rPr>
                <w:w w:val="95"/>
                <w:sz w:val="22"/>
              </w:rPr>
              <w:t>Utilizar</w:t>
            </w:r>
            <w:r>
              <w:rPr>
                <w:spacing w:val="-32"/>
                <w:w w:val="95"/>
                <w:sz w:val="22"/>
              </w:rPr>
              <w:t> </w:t>
            </w:r>
            <w:r>
              <w:rPr>
                <w:w w:val="95"/>
                <w:sz w:val="22"/>
              </w:rPr>
              <w:t>baixas</w:t>
            </w:r>
            <w:r>
              <w:rPr>
                <w:spacing w:val="-32"/>
                <w:w w:val="95"/>
                <w:sz w:val="22"/>
              </w:rPr>
              <w:t> </w:t>
            </w:r>
            <w:r>
              <w:rPr>
                <w:w w:val="95"/>
                <w:sz w:val="22"/>
              </w:rPr>
              <w:t>doses</w:t>
            </w:r>
            <w:r>
              <w:rPr>
                <w:spacing w:val="-34"/>
                <w:w w:val="95"/>
                <w:sz w:val="22"/>
              </w:rPr>
              <w:t> </w:t>
            </w:r>
            <w:r>
              <w:rPr>
                <w:w w:val="95"/>
                <w:sz w:val="22"/>
              </w:rPr>
              <w:t>e</w:t>
            </w:r>
            <w:r>
              <w:rPr>
                <w:spacing w:val="-33"/>
                <w:w w:val="95"/>
                <w:sz w:val="22"/>
              </w:rPr>
              <w:t> </w:t>
            </w:r>
            <w:r>
              <w:rPr>
                <w:w w:val="95"/>
                <w:sz w:val="22"/>
              </w:rPr>
              <w:t>monitorizar</w:t>
            </w:r>
            <w:r>
              <w:rPr>
                <w:spacing w:val="-33"/>
                <w:w w:val="95"/>
                <w:sz w:val="22"/>
              </w:rPr>
              <w:t> </w:t>
            </w:r>
            <w:r>
              <w:rPr>
                <w:w w:val="95"/>
                <w:sz w:val="22"/>
              </w:rPr>
              <w:t>mais </w:t>
            </w:r>
            <w:r>
              <w:rPr>
                <w:sz w:val="22"/>
              </w:rPr>
              <w:t>frequentemente</w:t>
            </w:r>
            <w:r>
              <w:rPr>
                <w:spacing w:val="-34"/>
                <w:sz w:val="22"/>
              </w:rPr>
              <w:t> </w:t>
            </w:r>
            <w:r>
              <w:rPr>
                <w:sz w:val="22"/>
              </w:rPr>
              <w:t>se</w:t>
            </w:r>
            <w:r>
              <w:rPr>
                <w:spacing w:val="-33"/>
                <w:sz w:val="22"/>
              </w:rPr>
              <w:t> </w:t>
            </w:r>
            <w:r>
              <w:rPr>
                <w:sz w:val="22"/>
              </w:rPr>
              <w:t>TFG</w:t>
            </w:r>
            <w:r>
              <w:rPr>
                <w:spacing w:val="-35"/>
                <w:sz w:val="22"/>
              </w:rPr>
              <w:t> </w:t>
            </w:r>
            <w:r>
              <w:rPr>
                <w:sz w:val="22"/>
              </w:rPr>
              <w:t>&lt;</w:t>
            </w:r>
            <w:r>
              <w:rPr>
                <w:spacing w:val="-34"/>
                <w:sz w:val="22"/>
              </w:rPr>
              <w:t> </w:t>
            </w:r>
            <w:r>
              <w:rPr>
                <w:sz w:val="22"/>
              </w:rPr>
              <w:t>30</w:t>
            </w:r>
            <w:r>
              <w:rPr>
                <w:spacing w:val="-34"/>
                <w:sz w:val="22"/>
              </w:rPr>
              <w:t> </w:t>
            </w:r>
            <w:r>
              <w:rPr>
                <w:sz w:val="22"/>
              </w:rPr>
              <w:t>ml/min</w:t>
            </w:r>
          </w:p>
        </w:tc>
      </w:tr>
      <w:tr>
        <w:trPr>
          <w:trHeight w:val="508" w:hRule="atLeast"/>
        </w:trPr>
        <w:tc>
          <w:tcPr>
            <w:tcW w:w="4786" w:type="dxa"/>
            <w:shd w:val="clear" w:color="auto" w:fill="A7A8A7"/>
          </w:tcPr>
          <w:p>
            <w:pPr>
              <w:pStyle w:val="TableParagraph"/>
              <w:spacing w:before="2"/>
              <w:rPr>
                <w:sz w:val="22"/>
              </w:rPr>
            </w:pPr>
            <w:r>
              <w:rPr>
                <w:sz w:val="22"/>
              </w:rPr>
              <w:t>8. Radiocontraste</w:t>
            </w:r>
          </w:p>
        </w:tc>
        <w:tc>
          <w:tcPr>
            <w:tcW w:w="4786" w:type="dxa"/>
            <w:shd w:val="clear" w:color="auto" w:fill="A7A8A7"/>
          </w:tcPr>
          <w:p>
            <w:pPr>
              <w:pStyle w:val="TableParagraph"/>
              <w:ind w:left="0"/>
              <w:rPr>
                <w:rFonts w:ascii="Times New Roman"/>
                <w:sz w:val="22"/>
              </w:rPr>
            </w:pPr>
          </w:p>
        </w:tc>
      </w:tr>
      <w:tr>
        <w:trPr>
          <w:trHeight w:val="3671" w:hRule="atLeast"/>
        </w:trPr>
        <w:tc>
          <w:tcPr>
            <w:tcW w:w="4786" w:type="dxa"/>
          </w:tcPr>
          <w:p>
            <w:pPr>
              <w:pStyle w:val="TableParagraph"/>
              <w:ind w:left="0"/>
              <w:rPr>
                <w:rFonts w:ascii="Times New Roman"/>
                <w:sz w:val="22"/>
              </w:rPr>
            </w:pPr>
          </w:p>
        </w:tc>
        <w:tc>
          <w:tcPr>
            <w:tcW w:w="4786" w:type="dxa"/>
          </w:tcPr>
          <w:p>
            <w:pPr>
              <w:pStyle w:val="TableParagraph"/>
              <w:spacing w:line="482" w:lineRule="auto" w:before="2"/>
              <w:ind w:right="1113"/>
              <w:rPr>
                <w:sz w:val="22"/>
              </w:rPr>
            </w:pPr>
            <w:r>
              <w:rPr>
                <w:w w:val="95"/>
                <w:sz w:val="22"/>
              </w:rPr>
              <w:t>Pacientes</w:t>
            </w:r>
            <w:r>
              <w:rPr>
                <w:spacing w:val="-33"/>
                <w:w w:val="95"/>
                <w:sz w:val="22"/>
              </w:rPr>
              <w:t> </w:t>
            </w:r>
            <w:r>
              <w:rPr>
                <w:w w:val="95"/>
                <w:sz w:val="22"/>
              </w:rPr>
              <w:t>com</w:t>
            </w:r>
            <w:r>
              <w:rPr>
                <w:spacing w:val="-34"/>
                <w:w w:val="95"/>
                <w:sz w:val="22"/>
              </w:rPr>
              <w:t> </w:t>
            </w:r>
            <w:r>
              <w:rPr>
                <w:w w:val="95"/>
                <w:sz w:val="22"/>
              </w:rPr>
              <w:t>TFG</w:t>
            </w:r>
            <w:r>
              <w:rPr>
                <w:spacing w:val="-32"/>
                <w:w w:val="95"/>
                <w:sz w:val="22"/>
              </w:rPr>
              <w:t> </w:t>
            </w:r>
            <w:r>
              <w:rPr>
                <w:w w:val="95"/>
                <w:sz w:val="22"/>
              </w:rPr>
              <w:t>&lt;</w:t>
            </w:r>
            <w:r>
              <w:rPr>
                <w:spacing w:val="-34"/>
                <w:w w:val="95"/>
                <w:sz w:val="22"/>
              </w:rPr>
              <w:t> </w:t>
            </w:r>
            <w:r>
              <w:rPr>
                <w:w w:val="95"/>
                <w:sz w:val="22"/>
              </w:rPr>
              <w:t>60</w:t>
            </w:r>
            <w:r>
              <w:rPr>
                <w:spacing w:val="-33"/>
                <w:w w:val="95"/>
                <w:sz w:val="22"/>
              </w:rPr>
              <w:t> </w:t>
            </w:r>
            <w:r>
              <w:rPr>
                <w:w w:val="95"/>
                <w:sz w:val="22"/>
              </w:rPr>
              <w:t>ml/min</w:t>
            </w:r>
            <w:r>
              <w:rPr>
                <w:spacing w:val="-33"/>
                <w:w w:val="95"/>
                <w:sz w:val="22"/>
              </w:rPr>
              <w:t> </w:t>
            </w:r>
            <w:r>
              <w:rPr>
                <w:w w:val="95"/>
                <w:sz w:val="22"/>
              </w:rPr>
              <w:t>devem: Evitar</w:t>
            </w:r>
            <w:r>
              <w:rPr>
                <w:spacing w:val="-27"/>
                <w:w w:val="95"/>
                <w:sz w:val="22"/>
              </w:rPr>
              <w:t> </w:t>
            </w:r>
            <w:r>
              <w:rPr>
                <w:w w:val="95"/>
                <w:sz w:val="22"/>
              </w:rPr>
              <w:t>agentes</w:t>
            </w:r>
            <w:r>
              <w:rPr>
                <w:spacing w:val="-27"/>
                <w:w w:val="95"/>
                <w:sz w:val="22"/>
              </w:rPr>
              <w:t> </w:t>
            </w:r>
            <w:r>
              <w:rPr>
                <w:w w:val="95"/>
                <w:sz w:val="22"/>
              </w:rPr>
              <w:t>com</w:t>
            </w:r>
            <w:r>
              <w:rPr>
                <w:spacing w:val="-26"/>
                <w:w w:val="95"/>
                <w:sz w:val="22"/>
              </w:rPr>
              <w:t> </w:t>
            </w:r>
            <w:r>
              <w:rPr>
                <w:w w:val="95"/>
                <w:sz w:val="22"/>
              </w:rPr>
              <w:t>alta</w:t>
            </w:r>
            <w:r>
              <w:rPr>
                <w:spacing w:val="-26"/>
                <w:w w:val="95"/>
                <w:sz w:val="22"/>
              </w:rPr>
              <w:t> </w:t>
            </w:r>
            <w:r>
              <w:rPr>
                <w:w w:val="95"/>
                <w:sz w:val="22"/>
              </w:rPr>
              <w:t>osmolaridade; </w:t>
            </w:r>
            <w:r>
              <w:rPr>
                <w:sz w:val="22"/>
              </w:rPr>
              <w:t>Usar</w:t>
            </w:r>
            <w:r>
              <w:rPr>
                <w:spacing w:val="-29"/>
                <w:sz w:val="22"/>
              </w:rPr>
              <w:t> </w:t>
            </w:r>
            <w:r>
              <w:rPr>
                <w:sz w:val="22"/>
              </w:rPr>
              <w:t>baixas</w:t>
            </w:r>
            <w:r>
              <w:rPr>
                <w:spacing w:val="-28"/>
                <w:sz w:val="22"/>
              </w:rPr>
              <w:t> </w:t>
            </w:r>
            <w:r>
              <w:rPr>
                <w:sz w:val="22"/>
              </w:rPr>
              <w:t>doses,</w:t>
            </w:r>
            <w:r>
              <w:rPr>
                <w:spacing w:val="-28"/>
                <w:sz w:val="22"/>
              </w:rPr>
              <w:t> </w:t>
            </w:r>
            <w:r>
              <w:rPr>
                <w:sz w:val="22"/>
              </w:rPr>
              <w:t>se</w:t>
            </w:r>
            <w:r>
              <w:rPr>
                <w:spacing w:val="-28"/>
                <w:sz w:val="22"/>
              </w:rPr>
              <w:t> </w:t>
            </w:r>
            <w:r>
              <w:rPr>
                <w:sz w:val="22"/>
              </w:rPr>
              <w:t>possível;</w:t>
            </w:r>
          </w:p>
          <w:p>
            <w:pPr>
              <w:pStyle w:val="TableParagraph"/>
              <w:spacing w:line="295" w:lineRule="auto"/>
              <w:ind w:right="90"/>
              <w:rPr>
                <w:sz w:val="22"/>
              </w:rPr>
            </w:pPr>
            <w:r>
              <w:rPr>
                <w:w w:val="95"/>
                <w:sz w:val="22"/>
              </w:rPr>
              <w:t>Descontinuar</w:t>
            </w:r>
            <w:r>
              <w:rPr>
                <w:spacing w:val="-33"/>
                <w:w w:val="95"/>
                <w:sz w:val="22"/>
              </w:rPr>
              <w:t> </w:t>
            </w:r>
            <w:r>
              <w:rPr>
                <w:w w:val="95"/>
                <w:sz w:val="22"/>
              </w:rPr>
              <w:t>outros</w:t>
            </w:r>
            <w:r>
              <w:rPr>
                <w:spacing w:val="-32"/>
                <w:w w:val="95"/>
                <w:sz w:val="22"/>
              </w:rPr>
              <w:t> </w:t>
            </w:r>
            <w:r>
              <w:rPr>
                <w:w w:val="95"/>
                <w:sz w:val="22"/>
              </w:rPr>
              <w:t>agentes</w:t>
            </w:r>
            <w:r>
              <w:rPr>
                <w:spacing w:val="-31"/>
                <w:w w:val="95"/>
                <w:sz w:val="22"/>
              </w:rPr>
              <w:t> </w:t>
            </w:r>
            <w:r>
              <w:rPr>
                <w:w w:val="95"/>
                <w:sz w:val="22"/>
              </w:rPr>
              <w:t>nefrotóxicos</w:t>
            </w:r>
            <w:r>
              <w:rPr>
                <w:spacing w:val="-31"/>
                <w:w w:val="95"/>
                <w:sz w:val="22"/>
              </w:rPr>
              <w:t> </w:t>
            </w:r>
            <w:r>
              <w:rPr>
                <w:w w:val="95"/>
                <w:sz w:val="22"/>
              </w:rPr>
              <w:t>antes</w:t>
            </w:r>
            <w:r>
              <w:rPr>
                <w:spacing w:val="-31"/>
                <w:w w:val="95"/>
                <w:sz w:val="22"/>
              </w:rPr>
              <w:t> </w:t>
            </w:r>
            <w:r>
              <w:rPr>
                <w:w w:val="95"/>
                <w:sz w:val="22"/>
              </w:rPr>
              <w:t>do </w:t>
            </w:r>
            <w:r>
              <w:rPr>
                <w:sz w:val="22"/>
              </w:rPr>
              <w:t>exame</w:t>
            </w:r>
            <w:r>
              <w:rPr>
                <w:spacing w:val="-19"/>
                <w:sz w:val="22"/>
              </w:rPr>
              <w:t> </w:t>
            </w:r>
            <w:r>
              <w:rPr>
                <w:sz w:val="22"/>
              </w:rPr>
              <w:t>contrastado,</w:t>
            </w:r>
            <w:r>
              <w:rPr>
                <w:spacing w:val="-21"/>
                <w:sz w:val="22"/>
              </w:rPr>
              <w:t> </w:t>
            </w:r>
            <w:r>
              <w:rPr>
                <w:sz w:val="22"/>
              </w:rPr>
              <w:t>se</w:t>
            </w:r>
            <w:r>
              <w:rPr>
                <w:spacing w:val="-21"/>
                <w:sz w:val="22"/>
              </w:rPr>
              <w:t> </w:t>
            </w:r>
            <w:r>
              <w:rPr>
                <w:sz w:val="22"/>
              </w:rPr>
              <w:t>possível;</w:t>
            </w:r>
          </w:p>
          <w:p>
            <w:pPr>
              <w:pStyle w:val="TableParagraph"/>
              <w:spacing w:line="295" w:lineRule="auto" w:before="195"/>
              <w:ind w:right="348"/>
              <w:rPr>
                <w:sz w:val="22"/>
              </w:rPr>
            </w:pPr>
            <w:r>
              <w:rPr>
                <w:w w:val="95"/>
                <w:sz w:val="22"/>
              </w:rPr>
              <w:t>Adequar</w:t>
            </w:r>
            <w:r>
              <w:rPr>
                <w:spacing w:val="-34"/>
                <w:w w:val="95"/>
                <w:sz w:val="22"/>
              </w:rPr>
              <w:t> </w:t>
            </w:r>
            <w:r>
              <w:rPr>
                <w:w w:val="95"/>
                <w:sz w:val="22"/>
              </w:rPr>
              <w:t>hidratação</w:t>
            </w:r>
            <w:r>
              <w:rPr>
                <w:spacing w:val="-35"/>
                <w:w w:val="95"/>
                <w:sz w:val="22"/>
              </w:rPr>
              <w:t> </w:t>
            </w:r>
            <w:r>
              <w:rPr>
                <w:w w:val="95"/>
                <w:sz w:val="22"/>
              </w:rPr>
              <w:t>antes</w:t>
            </w:r>
            <w:r>
              <w:rPr>
                <w:spacing w:val="-36"/>
                <w:w w:val="95"/>
                <w:sz w:val="22"/>
              </w:rPr>
              <w:t> </w:t>
            </w:r>
            <w:r>
              <w:rPr>
                <w:w w:val="95"/>
                <w:sz w:val="22"/>
              </w:rPr>
              <w:t>e</w:t>
            </w:r>
            <w:r>
              <w:rPr>
                <w:spacing w:val="-34"/>
                <w:w w:val="95"/>
                <w:sz w:val="22"/>
              </w:rPr>
              <w:t> </w:t>
            </w:r>
            <w:r>
              <w:rPr>
                <w:w w:val="95"/>
                <w:sz w:val="22"/>
              </w:rPr>
              <w:t>após</w:t>
            </w:r>
            <w:r>
              <w:rPr>
                <w:spacing w:val="-36"/>
                <w:w w:val="95"/>
                <w:sz w:val="22"/>
              </w:rPr>
              <w:t> </w:t>
            </w:r>
            <w:r>
              <w:rPr>
                <w:w w:val="95"/>
                <w:sz w:val="22"/>
              </w:rPr>
              <w:t>a</w:t>
            </w:r>
            <w:r>
              <w:rPr>
                <w:spacing w:val="-33"/>
                <w:w w:val="95"/>
                <w:sz w:val="22"/>
              </w:rPr>
              <w:t> </w:t>
            </w:r>
            <w:r>
              <w:rPr>
                <w:w w:val="95"/>
                <w:sz w:val="22"/>
              </w:rPr>
              <w:t>exposição</w:t>
            </w:r>
            <w:r>
              <w:rPr>
                <w:spacing w:val="-35"/>
                <w:w w:val="95"/>
                <w:sz w:val="22"/>
              </w:rPr>
              <w:t> </w:t>
            </w:r>
            <w:r>
              <w:rPr>
                <w:w w:val="95"/>
                <w:sz w:val="22"/>
              </w:rPr>
              <w:t>ao </w:t>
            </w:r>
            <w:r>
              <w:rPr>
                <w:sz w:val="22"/>
              </w:rPr>
              <w:t>contraste;</w:t>
            </w:r>
          </w:p>
          <w:p>
            <w:pPr>
              <w:pStyle w:val="TableParagraph"/>
              <w:spacing w:before="2"/>
              <w:ind w:left="0"/>
              <w:rPr>
                <w:sz w:val="17"/>
              </w:rPr>
            </w:pPr>
          </w:p>
          <w:p>
            <w:pPr>
              <w:pStyle w:val="TableParagraph"/>
              <w:rPr>
                <w:sz w:val="22"/>
              </w:rPr>
            </w:pPr>
            <w:r>
              <w:rPr>
                <w:sz w:val="22"/>
              </w:rPr>
              <w:t>Medir a TFG após o contraste.</w:t>
            </w:r>
          </w:p>
        </w:tc>
      </w:tr>
    </w:tbl>
    <w:p>
      <w:pPr>
        <w:spacing w:before="2"/>
        <w:ind w:left="461" w:right="0" w:firstLine="0"/>
        <w:jc w:val="left"/>
        <w:rPr>
          <w:rFonts w:ascii="Arial" w:hAnsi="Arial"/>
          <w:sz w:val="22"/>
        </w:rPr>
      </w:pPr>
      <w:r>
        <w:rPr>
          <w:rFonts w:ascii="Arial" w:hAnsi="Arial"/>
          <w:sz w:val="22"/>
        </w:rPr>
        <w:t>Adaptado da Referência 17</w:t>
      </w:r>
    </w:p>
    <w:p>
      <w:pPr>
        <w:spacing w:after="0"/>
        <w:jc w:val="left"/>
        <w:rPr>
          <w:rFonts w:ascii="Arial" w:hAnsi="Arial"/>
          <w:sz w:val="22"/>
        </w:rPr>
        <w:sectPr>
          <w:pgSz w:w="11910" w:h="16840"/>
          <w:pgMar w:header="0" w:footer="925" w:top="1400" w:bottom="1120" w:left="1240" w:right="620"/>
        </w:sectPr>
      </w:pPr>
    </w:p>
    <w:p>
      <w:pPr>
        <w:pStyle w:val="Heading1"/>
        <w:spacing w:before="79"/>
        <w:ind w:left="461"/>
      </w:pPr>
      <w:r>
        <w:rPr/>
        <w:t>ANEXO II</w:t>
      </w:r>
    </w:p>
    <w:p>
      <w:pPr>
        <w:pStyle w:val="BodyText"/>
        <w:spacing w:before="10"/>
        <w:rPr>
          <w:b/>
          <w:sz w:val="21"/>
        </w:rPr>
      </w:pPr>
    </w:p>
    <w:p>
      <w:pPr>
        <w:pStyle w:val="BodyText"/>
        <w:ind w:left="461"/>
      </w:pPr>
      <w:r>
        <w:rPr/>
        <w:t>Tabela Validada para Identificação de TFG Através da Fórmula MDRD para Homens (21)</w:t>
      </w:r>
    </w:p>
    <w:p>
      <w:pPr>
        <w:pStyle w:val="BodyText"/>
        <w:spacing w:before="10"/>
        <w:rPr>
          <w:sz w:val="19"/>
        </w:rPr>
      </w:pPr>
      <w:r>
        <w:rPr/>
        <w:drawing>
          <wp:anchor distT="0" distB="0" distL="0" distR="0" allowOverlap="1" layoutInCell="1" locked="0" behindDoc="1" simplePos="0" relativeHeight="268434575">
            <wp:simplePos x="0" y="0"/>
            <wp:positionH relativeFrom="page">
              <wp:posOffset>1083259</wp:posOffset>
            </wp:positionH>
            <wp:positionV relativeFrom="paragraph">
              <wp:posOffset>169917</wp:posOffset>
            </wp:positionV>
            <wp:extent cx="5713304" cy="7110888"/>
            <wp:effectExtent l="0" t="0" r="0" b="0"/>
            <wp:wrapTopAndBottom/>
            <wp:docPr id="5" name="image3.jpeg" descr="þÿ"/>
            <wp:cNvGraphicFramePr>
              <a:graphicFrameLocks noChangeAspect="1"/>
            </wp:cNvGraphicFramePr>
            <a:graphic>
              <a:graphicData uri="http://schemas.openxmlformats.org/drawingml/2006/picture">
                <pic:pic>
                  <pic:nvPicPr>
                    <pic:cNvPr id="6" name="image3.jpeg"/>
                    <pic:cNvPicPr/>
                  </pic:nvPicPr>
                  <pic:blipFill>
                    <a:blip r:embed="rId11" cstate="print"/>
                    <a:stretch>
                      <a:fillRect/>
                    </a:stretch>
                  </pic:blipFill>
                  <pic:spPr>
                    <a:xfrm>
                      <a:off x="0" y="0"/>
                      <a:ext cx="5713304" cy="7110888"/>
                    </a:xfrm>
                    <a:prstGeom prst="rect">
                      <a:avLst/>
                    </a:prstGeom>
                  </pic:spPr>
                </pic:pic>
              </a:graphicData>
            </a:graphic>
          </wp:anchor>
        </w:drawing>
      </w:r>
    </w:p>
    <w:p>
      <w:pPr>
        <w:spacing w:after="0"/>
        <w:rPr>
          <w:sz w:val="19"/>
        </w:rPr>
        <w:sectPr>
          <w:pgSz w:w="11910" w:h="16840"/>
          <w:pgMar w:header="0" w:footer="925" w:top="1320" w:bottom="1200" w:left="1240" w:right="620"/>
        </w:sectPr>
      </w:pPr>
    </w:p>
    <w:p>
      <w:pPr>
        <w:pStyle w:val="BodyText"/>
        <w:spacing w:before="74"/>
        <w:ind w:left="461"/>
      </w:pPr>
      <w:r>
        <w:rPr/>
        <w:t>Tabela Validada para Identificação de TFG Através da Fórmula MDRD para Mulheres (21)</w:t>
      </w:r>
    </w:p>
    <w:p>
      <w:pPr>
        <w:pStyle w:val="BodyText"/>
        <w:spacing w:before="7"/>
        <w:rPr>
          <w:sz w:val="19"/>
        </w:rPr>
      </w:pPr>
      <w:r>
        <w:rPr/>
        <w:drawing>
          <wp:anchor distT="0" distB="0" distL="0" distR="0" allowOverlap="1" layoutInCell="1" locked="0" behindDoc="1" simplePos="0" relativeHeight="268434599">
            <wp:simplePos x="0" y="0"/>
            <wp:positionH relativeFrom="page">
              <wp:posOffset>1179769</wp:posOffset>
            </wp:positionH>
            <wp:positionV relativeFrom="paragraph">
              <wp:posOffset>168302</wp:posOffset>
            </wp:positionV>
            <wp:extent cx="5711678" cy="7110888"/>
            <wp:effectExtent l="0" t="0" r="0" b="0"/>
            <wp:wrapTopAndBottom/>
            <wp:docPr id="7" name="image4.jpeg" descr="þÿ"/>
            <wp:cNvGraphicFramePr>
              <a:graphicFrameLocks noChangeAspect="1"/>
            </wp:cNvGraphicFramePr>
            <a:graphic>
              <a:graphicData uri="http://schemas.openxmlformats.org/drawingml/2006/picture">
                <pic:pic>
                  <pic:nvPicPr>
                    <pic:cNvPr id="8" name="image4.jpeg"/>
                    <pic:cNvPicPr/>
                  </pic:nvPicPr>
                  <pic:blipFill>
                    <a:blip r:embed="rId12" cstate="print"/>
                    <a:stretch>
                      <a:fillRect/>
                    </a:stretch>
                  </pic:blipFill>
                  <pic:spPr>
                    <a:xfrm>
                      <a:off x="0" y="0"/>
                      <a:ext cx="5711678" cy="7110888"/>
                    </a:xfrm>
                    <a:prstGeom prst="rect">
                      <a:avLst/>
                    </a:prstGeom>
                  </pic:spPr>
                </pic:pic>
              </a:graphicData>
            </a:graphic>
          </wp:anchor>
        </w:drawing>
      </w:r>
    </w:p>
    <w:p>
      <w:pPr>
        <w:spacing w:after="0"/>
        <w:rPr>
          <w:sz w:val="19"/>
        </w:rPr>
        <w:sectPr>
          <w:pgSz w:w="11910" w:h="16840"/>
          <w:pgMar w:header="0" w:footer="925" w:top="1320" w:bottom="1200" w:left="1240" w:right="620"/>
        </w:sectPr>
      </w:pPr>
    </w:p>
    <w:p>
      <w:pPr>
        <w:pStyle w:val="Heading1"/>
        <w:spacing w:before="79"/>
        <w:ind w:left="461"/>
      </w:pPr>
      <w:r>
        <w:rPr/>
        <w:t>ANEXO III</w:t>
      </w:r>
    </w:p>
    <w:p>
      <w:pPr>
        <w:pStyle w:val="BodyText"/>
        <w:spacing w:before="10"/>
        <w:rPr>
          <w:b/>
          <w:sz w:val="21"/>
        </w:rPr>
      </w:pPr>
    </w:p>
    <w:p>
      <w:pPr>
        <w:pStyle w:val="BodyText"/>
        <w:ind w:left="461"/>
      </w:pPr>
      <w:r>
        <w:rPr/>
        <w:t>Tabela Validada para Identificação de TFG Através da Fórmula CKD-EPI para Homens (22)</w:t>
      </w:r>
    </w:p>
    <w:p>
      <w:pPr>
        <w:pStyle w:val="BodyText"/>
        <w:rPr>
          <w:sz w:val="20"/>
        </w:rPr>
      </w:pPr>
    </w:p>
    <w:p>
      <w:pPr>
        <w:pStyle w:val="BodyText"/>
        <w:rPr>
          <w:sz w:val="20"/>
        </w:rPr>
      </w:pPr>
    </w:p>
    <w:p>
      <w:pPr>
        <w:pStyle w:val="BodyText"/>
        <w:spacing w:before="2"/>
        <w:rPr>
          <w:sz w:val="26"/>
        </w:rPr>
      </w:pPr>
      <w:r>
        <w:rPr/>
        <w:drawing>
          <wp:anchor distT="0" distB="0" distL="0" distR="0" allowOverlap="1" layoutInCell="1" locked="0" behindDoc="1" simplePos="0" relativeHeight="268434623">
            <wp:simplePos x="0" y="0"/>
            <wp:positionH relativeFrom="page">
              <wp:posOffset>1106742</wp:posOffset>
            </wp:positionH>
            <wp:positionV relativeFrom="paragraph">
              <wp:posOffset>216374</wp:posOffset>
            </wp:positionV>
            <wp:extent cx="5823353" cy="4920615"/>
            <wp:effectExtent l="0" t="0" r="0" b="0"/>
            <wp:wrapTopAndBottom/>
            <wp:docPr id="9" name="image5.jpeg" descr="þÿ"/>
            <wp:cNvGraphicFramePr>
              <a:graphicFrameLocks noChangeAspect="1"/>
            </wp:cNvGraphicFramePr>
            <a:graphic>
              <a:graphicData uri="http://schemas.openxmlformats.org/drawingml/2006/picture">
                <pic:pic>
                  <pic:nvPicPr>
                    <pic:cNvPr id="10" name="image5.jpeg"/>
                    <pic:cNvPicPr/>
                  </pic:nvPicPr>
                  <pic:blipFill>
                    <a:blip r:embed="rId13" cstate="print"/>
                    <a:stretch>
                      <a:fillRect/>
                    </a:stretch>
                  </pic:blipFill>
                  <pic:spPr>
                    <a:xfrm>
                      <a:off x="0" y="0"/>
                      <a:ext cx="5823353" cy="4920615"/>
                    </a:xfrm>
                    <a:prstGeom prst="rect">
                      <a:avLst/>
                    </a:prstGeom>
                  </pic:spPr>
                </pic:pic>
              </a:graphicData>
            </a:graphic>
          </wp:anchor>
        </w:drawing>
      </w:r>
    </w:p>
    <w:p>
      <w:pPr>
        <w:spacing w:after="0"/>
        <w:rPr>
          <w:sz w:val="26"/>
        </w:rPr>
        <w:sectPr>
          <w:pgSz w:w="11910" w:h="16840"/>
          <w:pgMar w:header="0" w:footer="925" w:top="1320" w:bottom="1200" w:left="1240" w:right="620"/>
        </w:sectPr>
      </w:pPr>
    </w:p>
    <w:p>
      <w:pPr>
        <w:pStyle w:val="BodyText"/>
        <w:spacing w:before="74"/>
        <w:ind w:left="461"/>
      </w:pPr>
      <w:r>
        <w:rPr/>
        <w:t>Tabela Validada para Identificação de TFG Através da Fórmula CKD-EPI para Mulheres (22).</w:t>
      </w:r>
    </w:p>
    <w:p>
      <w:pPr>
        <w:pStyle w:val="BodyText"/>
        <w:spacing w:before="7"/>
        <w:rPr>
          <w:sz w:val="19"/>
        </w:rPr>
      </w:pPr>
      <w:r>
        <w:rPr/>
        <w:drawing>
          <wp:anchor distT="0" distB="0" distL="0" distR="0" allowOverlap="1" layoutInCell="1" locked="0" behindDoc="1" simplePos="0" relativeHeight="268434647">
            <wp:simplePos x="0" y="0"/>
            <wp:positionH relativeFrom="page">
              <wp:posOffset>1082390</wp:posOffset>
            </wp:positionH>
            <wp:positionV relativeFrom="paragraph">
              <wp:posOffset>168391</wp:posOffset>
            </wp:positionV>
            <wp:extent cx="5847039" cy="4998624"/>
            <wp:effectExtent l="0" t="0" r="0" b="0"/>
            <wp:wrapTopAndBottom/>
            <wp:docPr id="11" name="image6.jpeg" descr="þÿ"/>
            <wp:cNvGraphicFramePr>
              <a:graphicFrameLocks noChangeAspect="1"/>
            </wp:cNvGraphicFramePr>
            <a:graphic>
              <a:graphicData uri="http://schemas.openxmlformats.org/drawingml/2006/picture">
                <pic:pic>
                  <pic:nvPicPr>
                    <pic:cNvPr id="12" name="image6.jpeg"/>
                    <pic:cNvPicPr/>
                  </pic:nvPicPr>
                  <pic:blipFill>
                    <a:blip r:embed="rId14" cstate="print"/>
                    <a:stretch>
                      <a:fillRect/>
                    </a:stretch>
                  </pic:blipFill>
                  <pic:spPr>
                    <a:xfrm>
                      <a:off x="0" y="0"/>
                      <a:ext cx="5847039" cy="4998624"/>
                    </a:xfrm>
                    <a:prstGeom prst="rect">
                      <a:avLst/>
                    </a:prstGeom>
                  </pic:spPr>
                </pic:pic>
              </a:graphicData>
            </a:graphic>
          </wp:anchor>
        </w:drawing>
      </w:r>
    </w:p>
    <w:sectPr>
      <w:pgSz w:w="11910" w:h="16840"/>
      <w:pgMar w:header="0" w:footer="925" w:top="1320" w:bottom="1200" w:left="1240" w:right="6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Trebuchet MS">
    <w:altName w:val="Trebuchet MS"/>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4"/>
      </w:rPr>
    </w:pPr>
    <w:r>
      <w:rPr/>
      <w:pict>
        <v:shapetype id="_x0000_t202" o:spt="202" coordsize="21600,21600" path="m,l,21600r21600,l21600,xe">
          <v:stroke joinstyle="miter"/>
          <v:path gradientshapeok="t" o:connecttype="rect"/>
        </v:shapetype>
        <v:shape style="position:absolute;margin-left:539.559998pt;margin-top:780.679993pt;width:15.3pt;height:13.05pt;mso-position-horizontal-relative:page;mso-position-vertical-relative:page;z-index:-27184" type="#_x0000_t202" filled="false" stroked="false">
          <v:textbox inset="0,0,0,0">
            <w:txbxContent>
              <w:p>
                <w:pPr>
                  <w:spacing w:line="232" w:lineRule="exact" w:before="0"/>
                  <w:ind w:left="40" w:right="0" w:firstLine="0"/>
                  <w:jc w:val="left"/>
                  <w:rPr>
                    <w:rFonts w:ascii="Arial"/>
                    <w:sz w:val="22"/>
                  </w:rPr>
                </w:pPr>
                <w:r>
                  <w:rPr/>
                  <w:fldChar w:fldCharType="begin"/>
                </w:r>
                <w:r>
                  <w:rPr>
                    <w:rFonts w:ascii="Arial"/>
                    <w:sz w:val="22"/>
                  </w:rPr>
                  <w:instrText> PAGE </w:instrText>
                </w:r>
                <w:r>
                  <w:rPr/>
                  <w:fldChar w:fldCharType="separate"/>
                </w:r>
                <w:r>
                  <w:rPr/>
                  <w:t>32</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1"/>
      <w:numFmt w:val="lowerRoman"/>
      <w:lvlText w:val="%1."/>
      <w:lvlJc w:val="left"/>
      <w:pPr>
        <w:ind w:left="2237" w:hanging="488"/>
        <w:jc w:val="right"/>
      </w:pPr>
      <w:rPr>
        <w:rFonts w:hint="default" w:ascii="Times New Roman" w:hAnsi="Times New Roman" w:eastAsia="Times New Roman" w:cs="Times New Roman"/>
        <w:spacing w:val="-2"/>
        <w:w w:val="99"/>
        <w:sz w:val="24"/>
        <w:szCs w:val="24"/>
      </w:rPr>
    </w:lvl>
    <w:lvl w:ilvl="1">
      <w:start w:val="0"/>
      <w:numFmt w:val="bullet"/>
      <w:lvlText w:val="•"/>
      <w:lvlJc w:val="left"/>
      <w:pPr>
        <w:ind w:left="3020" w:hanging="488"/>
      </w:pPr>
      <w:rPr>
        <w:rFonts w:hint="default"/>
      </w:rPr>
    </w:lvl>
    <w:lvl w:ilvl="2">
      <w:start w:val="0"/>
      <w:numFmt w:val="bullet"/>
      <w:lvlText w:val="•"/>
      <w:lvlJc w:val="left"/>
      <w:pPr>
        <w:ind w:left="3801" w:hanging="488"/>
      </w:pPr>
      <w:rPr>
        <w:rFonts w:hint="default"/>
      </w:rPr>
    </w:lvl>
    <w:lvl w:ilvl="3">
      <w:start w:val="0"/>
      <w:numFmt w:val="bullet"/>
      <w:lvlText w:val="•"/>
      <w:lvlJc w:val="left"/>
      <w:pPr>
        <w:ind w:left="4581" w:hanging="488"/>
      </w:pPr>
      <w:rPr>
        <w:rFonts w:hint="default"/>
      </w:rPr>
    </w:lvl>
    <w:lvl w:ilvl="4">
      <w:start w:val="0"/>
      <w:numFmt w:val="bullet"/>
      <w:lvlText w:val="•"/>
      <w:lvlJc w:val="left"/>
      <w:pPr>
        <w:ind w:left="5362" w:hanging="488"/>
      </w:pPr>
      <w:rPr>
        <w:rFonts w:hint="default"/>
      </w:rPr>
    </w:lvl>
    <w:lvl w:ilvl="5">
      <w:start w:val="0"/>
      <w:numFmt w:val="bullet"/>
      <w:lvlText w:val="•"/>
      <w:lvlJc w:val="left"/>
      <w:pPr>
        <w:ind w:left="6143" w:hanging="488"/>
      </w:pPr>
      <w:rPr>
        <w:rFonts w:hint="default"/>
      </w:rPr>
    </w:lvl>
    <w:lvl w:ilvl="6">
      <w:start w:val="0"/>
      <w:numFmt w:val="bullet"/>
      <w:lvlText w:val="•"/>
      <w:lvlJc w:val="left"/>
      <w:pPr>
        <w:ind w:left="6923" w:hanging="488"/>
      </w:pPr>
      <w:rPr>
        <w:rFonts w:hint="default"/>
      </w:rPr>
    </w:lvl>
    <w:lvl w:ilvl="7">
      <w:start w:val="0"/>
      <w:numFmt w:val="bullet"/>
      <w:lvlText w:val="•"/>
      <w:lvlJc w:val="left"/>
      <w:pPr>
        <w:ind w:left="7704" w:hanging="488"/>
      </w:pPr>
      <w:rPr>
        <w:rFonts w:hint="default"/>
      </w:rPr>
    </w:lvl>
    <w:lvl w:ilvl="8">
      <w:start w:val="0"/>
      <w:numFmt w:val="bullet"/>
      <w:lvlText w:val="•"/>
      <w:lvlJc w:val="left"/>
      <w:pPr>
        <w:ind w:left="8485" w:hanging="488"/>
      </w:pPr>
      <w:rPr>
        <w:rFonts w:hint="default"/>
      </w:rPr>
    </w:lvl>
  </w:abstractNum>
  <w:abstractNum w:abstractNumId="22">
    <w:multiLevelType w:val="hybridMultilevel"/>
    <w:lvl w:ilvl="0">
      <w:start w:val="15"/>
      <w:numFmt w:val="decimal"/>
      <w:lvlText w:val="%1."/>
      <w:lvlJc w:val="left"/>
      <w:pPr>
        <w:ind w:left="461" w:hanging="360"/>
        <w:jc w:val="left"/>
      </w:pPr>
      <w:rPr>
        <w:rFonts w:hint="default" w:ascii="Times New Roman" w:hAnsi="Times New Roman" w:eastAsia="Times New Roman" w:cs="Times New Roman"/>
        <w:spacing w:val="-2"/>
        <w:w w:val="99"/>
        <w:sz w:val="24"/>
        <w:szCs w:val="24"/>
      </w:rPr>
    </w:lvl>
    <w:lvl w:ilvl="1">
      <w:start w:val="0"/>
      <w:numFmt w:val="bullet"/>
      <w:lvlText w:val="•"/>
      <w:lvlJc w:val="left"/>
      <w:pPr>
        <w:ind w:left="1418" w:hanging="360"/>
      </w:pPr>
      <w:rPr>
        <w:rFonts w:hint="default"/>
      </w:rPr>
    </w:lvl>
    <w:lvl w:ilvl="2">
      <w:start w:val="0"/>
      <w:numFmt w:val="bullet"/>
      <w:lvlText w:val="•"/>
      <w:lvlJc w:val="left"/>
      <w:pPr>
        <w:ind w:left="2377" w:hanging="360"/>
      </w:pPr>
      <w:rPr>
        <w:rFonts w:hint="default"/>
      </w:rPr>
    </w:lvl>
    <w:lvl w:ilvl="3">
      <w:start w:val="0"/>
      <w:numFmt w:val="bullet"/>
      <w:lvlText w:val="•"/>
      <w:lvlJc w:val="left"/>
      <w:pPr>
        <w:ind w:left="3335" w:hanging="360"/>
      </w:pPr>
      <w:rPr>
        <w:rFonts w:hint="default"/>
      </w:rPr>
    </w:lvl>
    <w:lvl w:ilvl="4">
      <w:start w:val="0"/>
      <w:numFmt w:val="bullet"/>
      <w:lvlText w:val="•"/>
      <w:lvlJc w:val="left"/>
      <w:pPr>
        <w:ind w:left="4294" w:hanging="360"/>
      </w:pPr>
      <w:rPr>
        <w:rFonts w:hint="default"/>
      </w:rPr>
    </w:lvl>
    <w:lvl w:ilvl="5">
      <w:start w:val="0"/>
      <w:numFmt w:val="bullet"/>
      <w:lvlText w:val="•"/>
      <w:lvlJc w:val="left"/>
      <w:pPr>
        <w:ind w:left="5253" w:hanging="360"/>
      </w:pPr>
      <w:rPr>
        <w:rFonts w:hint="default"/>
      </w:rPr>
    </w:lvl>
    <w:lvl w:ilvl="6">
      <w:start w:val="0"/>
      <w:numFmt w:val="bullet"/>
      <w:lvlText w:val="•"/>
      <w:lvlJc w:val="left"/>
      <w:pPr>
        <w:ind w:left="6211" w:hanging="360"/>
      </w:pPr>
      <w:rPr>
        <w:rFonts w:hint="default"/>
      </w:rPr>
    </w:lvl>
    <w:lvl w:ilvl="7">
      <w:start w:val="0"/>
      <w:numFmt w:val="bullet"/>
      <w:lvlText w:val="•"/>
      <w:lvlJc w:val="left"/>
      <w:pPr>
        <w:ind w:left="7170" w:hanging="360"/>
      </w:pPr>
      <w:rPr>
        <w:rFonts w:hint="default"/>
      </w:rPr>
    </w:lvl>
    <w:lvl w:ilvl="8">
      <w:start w:val="0"/>
      <w:numFmt w:val="bullet"/>
      <w:lvlText w:val="•"/>
      <w:lvlJc w:val="left"/>
      <w:pPr>
        <w:ind w:left="8129" w:hanging="360"/>
      </w:pPr>
      <w:rPr>
        <w:rFonts w:hint="default"/>
      </w:rPr>
    </w:lvl>
  </w:abstractNum>
  <w:abstractNum w:abstractNumId="21">
    <w:multiLevelType w:val="hybridMultilevel"/>
    <w:lvl w:ilvl="0">
      <w:start w:val="1"/>
      <w:numFmt w:val="decimal"/>
      <w:lvlText w:val="%1."/>
      <w:lvlJc w:val="left"/>
      <w:pPr>
        <w:ind w:left="461" w:hanging="308"/>
        <w:jc w:val="left"/>
      </w:pPr>
      <w:rPr>
        <w:rFonts w:hint="default" w:ascii="Times New Roman" w:hAnsi="Times New Roman" w:eastAsia="Times New Roman" w:cs="Times New Roman"/>
        <w:spacing w:val="-3"/>
        <w:w w:val="99"/>
        <w:sz w:val="24"/>
        <w:szCs w:val="24"/>
      </w:rPr>
    </w:lvl>
    <w:lvl w:ilvl="1">
      <w:start w:val="0"/>
      <w:numFmt w:val="bullet"/>
      <w:lvlText w:val="•"/>
      <w:lvlJc w:val="left"/>
      <w:pPr>
        <w:ind w:left="1418" w:hanging="308"/>
      </w:pPr>
      <w:rPr>
        <w:rFonts w:hint="default"/>
      </w:rPr>
    </w:lvl>
    <w:lvl w:ilvl="2">
      <w:start w:val="0"/>
      <w:numFmt w:val="bullet"/>
      <w:lvlText w:val="•"/>
      <w:lvlJc w:val="left"/>
      <w:pPr>
        <w:ind w:left="2377" w:hanging="308"/>
      </w:pPr>
      <w:rPr>
        <w:rFonts w:hint="default"/>
      </w:rPr>
    </w:lvl>
    <w:lvl w:ilvl="3">
      <w:start w:val="0"/>
      <w:numFmt w:val="bullet"/>
      <w:lvlText w:val="•"/>
      <w:lvlJc w:val="left"/>
      <w:pPr>
        <w:ind w:left="3335" w:hanging="308"/>
      </w:pPr>
      <w:rPr>
        <w:rFonts w:hint="default"/>
      </w:rPr>
    </w:lvl>
    <w:lvl w:ilvl="4">
      <w:start w:val="0"/>
      <w:numFmt w:val="bullet"/>
      <w:lvlText w:val="•"/>
      <w:lvlJc w:val="left"/>
      <w:pPr>
        <w:ind w:left="4294" w:hanging="308"/>
      </w:pPr>
      <w:rPr>
        <w:rFonts w:hint="default"/>
      </w:rPr>
    </w:lvl>
    <w:lvl w:ilvl="5">
      <w:start w:val="0"/>
      <w:numFmt w:val="bullet"/>
      <w:lvlText w:val="•"/>
      <w:lvlJc w:val="left"/>
      <w:pPr>
        <w:ind w:left="5253" w:hanging="308"/>
      </w:pPr>
      <w:rPr>
        <w:rFonts w:hint="default"/>
      </w:rPr>
    </w:lvl>
    <w:lvl w:ilvl="6">
      <w:start w:val="0"/>
      <w:numFmt w:val="bullet"/>
      <w:lvlText w:val="•"/>
      <w:lvlJc w:val="left"/>
      <w:pPr>
        <w:ind w:left="6211" w:hanging="308"/>
      </w:pPr>
      <w:rPr>
        <w:rFonts w:hint="default"/>
      </w:rPr>
    </w:lvl>
    <w:lvl w:ilvl="7">
      <w:start w:val="0"/>
      <w:numFmt w:val="bullet"/>
      <w:lvlText w:val="•"/>
      <w:lvlJc w:val="left"/>
      <w:pPr>
        <w:ind w:left="7170" w:hanging="308"/>
      </w:pPr>
      <w:rPr>
        <w:rFonts w:hint="default"/>
      </w:rPr>
    </w:lvl>
    <w:lvl w:ilvl="8">
      <w:start w:val="0"/>
      <w:numFmt w:val="bullet"/>
      <w:lvlText w:val="•"/>
      <w:lvlJc w:val="left"/>
      <w:pPr>
        <w:ind w:left="8129" w:hanging="308"/>
      </w:pPr>
      <w:rPr>
        <w:rFonts w:hint="default"/>
      </w:rPr>
    </w:lvl>
  </w:abstractNum>
  <w:abstractNum w:abstractNumId="20">
    <w:multiLevelType w:val="hybridMultilevel"/>
    <w:lvl w:ilvl="0">
      <w:start w:val="1"/>
      <w:numFmt w:val="upperRoman"/>
      <w:lvlText w:val="%1"/>
      <w:lvlJc w:val="left"/>
      <w:pPr>
        <w:ind w:left="461" w:hanging="140"/>
        <w:jc w:val="left"/>
      </w:pPr>
      <w:rPr>
        <w:rFonts w:hint="default" w:ascii="Times New Roman" w:hAnsi="Times New Roman" w:eastAsia="Times New Roman" w:cs="Times New Roman"/>
        <w:w w:val="99"/>
        <w:sz w:val="24"/>
        <w:szCs w:val="24"/>
      </w:rPr>
    </w:lvl>
    <w:lvl w:ilvl="1">
      <w:start w:val="0"/>
      <w:numFmt w:val="bullet"/>
      <w:lvlText w:val="•"/>
      <w:lvlJc w:val="left"/>
      <w:pPr>
        <w:ind w:left="1418" w:hanging="140"/>
      </w:pPr>
      <w:rPr>
        <w:rFonts w:hint="default"/>
      </w:rPr>
    </w:lvl>
    <w:lvl w:ilvl="2">
      <w:start w:val="0"/>
      <w:numFmt w:val="bullet"/>
      <w:lvlText w:val="•"/>
      <w:lvlJc w:val="left"/>
      <w:pPr>
        <w:ind w:left="2377" w:hanging="140"/>
      </w:pPr>
      <w:rPr>
        <w:rFonts w:hint="default"/>
      </w:rPr>
    </w:lvl>
    <w:lvl w:ilvl="3">
      <w:start w:val="0"/>
      <w:numFmt w:val="bullet"/>
      <w:lvlText w:val="•"/>
      <w:lvlJc w:val="left"/>
      <w:pPr>
        <w:ind w:left="3335" w:hanging="140"/>
      </w:pPr>
      <w:rPr>
        <w:rFonts w:hint="default"/>
      </w:rPr>
    </w:lvl>
    <w:lvl w:ilvl="4">
      <w:start w:val="0"/>
      <w:numFmt w:val="bullet"/>
      <w:lvlText w:val="•"/>
      <w:lvlJc w:val="left"/>
      <w:pPr>
        <w:ind w:left="4294" w:hanging="140"/>
      </w:pPr>
      <w:rPr>
        <w:rFonts w:hint="default"/>
      </w:rPr>
    </w:lvl>
    <w:lvl w:ilvl="5">
      <w:start w:val="0"/>
      <w:numFmt w:val="bullet"/>
      <w:lvlText w:val="•"/>
      <w:lvlJc w:val="left"/>
      <w:pPr>
        <w:ind w:left="5253" w:hanging="140"/>
      </w:pPr>
      <w:rPr>
        <w:rFonts w:hint="default"/>
      </w:rPr>
    </w:lvl>
    <w:lvl w:ilvl="6">
      <w:start w:val="0"/>
      <w:numFmt w:val="bullet"/>
      <w:lvlText w:val="•"/>
      <w:lvlJc w:val="left"/>
      <w:pPr>
        <w:ind w:left="6211" w:hanging="140"/>
      </w:pPr>
      <w:rPr>
        <w:rFonts w:hint="default"/>
      </w:rPr>
    </w:lvl>
    <w:lvl w:ilvl="7">
      <w:start w:val="0"/>
      <w:numFmt w:val="bullet"/>
      <w:lvlText w:val="•"/>
      <w:lvlJc w:val="left"/>
      <w:pPr>
        <w:ind w:left="7170" w:hanging="140"/>
      </w:pPr>
      <w:rPr>
        <w:rFonts w:hint="default"/>
      </w:rPr>
    </w:lvl>
    <w:lvl w:ilvl="8">
      <w:start w:val="0"/>
      <w:numFmt w:val="bullet"/>
      <w:lvlText w:val="•"/>
      <w:lvlJc w:val="left"/>
      <w:pPr>
        <w:ind w:left="8129" w:hanging="140"/>
      </w:pPr>
      <w:rPr>
        <w:rFonts w:hint="default"/>
      </w:rPr>
    </w:lvl>
  </w:abstractNum>
  <w:abstractNum w:abstractNumId="19">
    <w:multiLevelType w:val="hybridMultilevel"/>
    <w:lvl w:ilvl="0">
      <w:start w:val="1"/>
      <w:numFmt w:val="upperRoman"/>
      <w:lvlText w:val="%1"/>
      <w:lvlJc w:val="left"/>
      <w:pPr>
        <w:ind w:left="461" w:hanging="152"/>
        <w:jc w:val="left"/>
      </w:pPr>
      <w:rPr>
        <w:rFonts w:hint="default" w:ascii="Times New Roman" w:hAnsi="Times New Roman" w:eastAsia="Times New Roman" w:cs="Times New Roman"/>
        <w:w w:val="99"/>
        <w:sz w:val="24"/>
        <w:szCs w:val="24"/>
      </w:rPr>
    </w:lvl>
    <w:lvl w:ilvl="1">
      <w:start w:val="0"/>
      <w:numFmt w:val="bullet"/>
      <w:lvlText w:val="•"/>
      <w:lvlJc w:val="left"/>
      <w:pPr>
        <w:ind w:left="1418" w:hanging="152"/>
      </w:pPr>
      <w:rPr>
        <w:rFonts w:hint="default"/>
      </w:rPr>
    </w:lvl>
    <w:lvl w:ilvl="2">
      <w:start w:val="0"/>
      <w:numFmt w:val="bullet"/>
      <w:lvlText w:val="•"/>
      <w:lvlJc w:val="left"/>
      <w:pPr>
        <w:ind w:left="2377" w:hanging="152"/>
      </w:pPr>
      <w:rPr>
        <w:rFonts w:hint="default"/>
      </w:rPr>
    </w:lvl>
    <w:lvl w:ilvl="3">
      <w:start w:val="0"/>
      <w:numFmt w:val="bullet"/>
      <w:lvlText w:val="•"/>
      <w:lvlJc w:val="left"/>
      <w:pPr>
        <w:ind w:left="3335" w:hanging="152"/>
      </w:pPr>
      <w:rPr>
        <w:rFonts w:hint="default"/>
      </w:rPr>
    </w:lvl>
    <w:lvl w:ilvl="4">
      <w:start w:val="0"/>
      <w:numFmt w:val="bullet"/>
      <w:lvlText w:val="•"/>
      <w:lvlJc w:val="left"/>
      <w:pPr>
        <w:ind w:left="4294" w:hanging="152"/>
      </w:pPr>
      <w:rPr>
        <w:rFonts w:hint="default"/>
      </w:rPr>
    </w:lvl>
    <w:lvl w:ilvl="5">
      <w:start w:val="0"/>
      <w:numFmt w:val="bullet"/>
      <w:lvlText w:val="•"/>
      <w:lvlJc w:val="left"/>
      <w:pPr>
        <w:ind w:left="5253" w:hanging="152"/>
      </w:pPr>
      <w:rPr>
        <w:rFonts w:hint="default"/>
      </w:rPr>
    </w:lvl>
    <w:lvl w:ilvl="6">
      <w:start w:val="0"/>
      <w:numFmt w:val="bullet"/>
      <w:lvlText w:val="•"/>
      <w:lvlJc w:val="left"/>
      <w:pPr>
        <w:ind w:left="6211" w:hanging="152"/>
      </w:pPr>
      <w:rPr>
        <w:rFonts w:hint="default"/>
      </w:rPr>
    </w:lvl>
    <w:lvl w:ilvl="7">
      <w:start w:val="0"/>
      <w:numFmt w:val="bullet"/>
      <w:lvlText w:val="•"/>
      <w:lvlJc w:val="left"/>
      <w:pPr>
        <w:ind w:left="7170" w:hanging="152"/>
      </w:pPr>
      <w:rPr>
        <w:rFonts w:hint="default"/>
      </w:rPr>
    </w:lvl>
    <w:lvl w:ilvl="8">
      <w:start w:val="0"/>
      <w:numFmt w:val="bullet"/>
      <w:lvlText w:val="•"/>
      <w:lvlJc w:val="left"/>
      <w:pPr>
        <w:ind w:left="8129" w:hanging="152"/>
      </w:pPr>
      <w:rPr>
        <w:rFonts w:hint="default"/>
      </w:rPr>
    </w:lvl>
  </w:abstractNum>
  <w:abstractNum w:abstractNumId="18">
    <w:multiLevelType w:val="hybridMultilevel"/>
    <w:lvl w:ilvl="0">
      <w:start w:val="11"/>
      <w:numFmt w:val="decimal"/>
      <w:lvlText w:val="%1."/>
      <w:lvlJc w:val="left"/>
      <w:pPr>
        <w:ind w:left="1248" w:hanging="360"/>
        <w:jc w:val="right"/>
      </w:pPr>
      <w:rPr>
        <w:rFonts w:hint="default"/>
        <w:b/>
        <w:bCs/>
        <w:spacing w:val="-3"/>
        <w:w w:val="99"/>
      </w:rPr>
    </w:lvl>
    <w:lvl w:ilvl="1">
      <w:start w:val="1"/>
      <w:numFmt w:val="lowerLetter"/>
      <w:lvlText w:val="%2."/>
      <w:lvlJc w:val="left"/>
      <w:pPr>
        <w:ind w:left="1877" w:hanging="564"/>
        <w:jc w:val="left"/>
      </w:pPr>
      <w:rPr>
        <w:rFonts w:hint="default" w:ascii="Times New Roman" w:hAnsi="Times New Roman" w:eastAsia="Times New Roman" w:cs="Times New Roman"/>
        <w:spacing w:val="-1"/>
        <w:w w:val="99"/>
        <w:sz w:val="24"/>
        <w:szCs w:val="24"/>
      </w:rPr>
    </w:lvl>
    <w:lvl w:ilvl="2">
      <w:start w:val="0"/>
      <w:numFmt w:val="bullet"/>
      <w:lvlText w:val="•"/>
      <w:lvlJc w:val="left"/>
      <w:pPr>
        <w:ind w:left="2787" w:hanging="564"/>
      </w:pPr>
      <w:rPr>
        <w:rFonts w:hint="default"/>
      </w:rPr>
    </w:lvl>
    <w:lvl w:ilvl="3">
      <w:start w:val="0"/>
      <w:numFmt w:val="bullet"/>
      <w:lvlText w:val="•"/>
      <w:lvlJc w:val="left"/>
      <w:pPr>
        <w:ind w:left="3694" w:hanging="564"/>
      </w:pPr>
      <w:rPr>
        <w:rFonts w:hint="default"/>
      </w:rPr>
    </w:lvl>
    <w:lvl w:ilvl="4">
      <w:start w:val="0"/>
      <w:numFmt w:val="bullet"/>
      <w:lvlText w:val="•"/>
      <w:lvlJc w:val="left"/>
      <w:pPr>
        <w:ind w:left="4602" w:hanging="564"/>
      </w:pPr>
      <w:rPr>
        <w:rFonts w:hint="default"/>
      </w:rPr>
    </w:lvl>
    <w:lvl w:ilvl="5">
      <w:start w:val="0"/>
      <w:numFmt w:val="bullet"/>
      <w:lvlText w:val="•"/>
      <w:lvlJc w:val="left"/>
      <w:pPr>
        <w:ind w:left="5509" w:hanging="564"/>
      </w:pPr>
      <w:rPr>
        <w:rFonts w:hint="default"/>
      </w:rPr>
    </w:lvl>
    <w:lvl w:ilvl="6">
      <w:start w:val="0"/>
      <w:numFmt w:val="bullet"/>
      <w:lvlText w:val="•"/>
      <w:lvlJc w:val="left"/>
      <w:pPr>
        <w:ind w:left="6416" w:hanging="564"/>
      </w:pPr>
      <w:rPr>
        <w:rFonts w:hint="default"/>
      </w:rPr>
    </w:lvl>
    <w:lvl w:ilvl="7">
      <w:start w:val="0"/>
      <w:numFmt w:val="bullet"/>
      <w:lvlText w:val="•"/>
      <w:lvlJc w:val="left"/>
      <w:pPr>
        <w:ind w:left="7324" w:hanging="564"/>
      </w:pPr>
      <w:rPr>
        <w:rFonts w:hint="default"/>
      </w:rPr>
    </w:lvl>
    <w:lvl w:ilvl="8">
      <w:start w:val="0"/>
      <w:numFmt w:val="bullet"/>
      <w:lvlText w:val="•"/>
      <w:lvlJc w:val="left"/>
      <w:pPr>
        <w:ind w:left="8231" w:hanging="564"/>
      </w:pPr>
      <w:rPr>
        <w:rFonts w:hint="default"/>
      </w:rPr>
    </w:lvl>
  </w:abstractNum>
  <w:abstractNum w:abstractNumId="17">
    <w:multiLevelType w:val="hybridMultilevel"/>
    <w:lvl w:ilvl="0">
      <w:start w:val="1"/>
      <w:numFmt w:val="lowerLetter"/>
      <w:lvlText w:val="%1)"/>
      <w:lvlJc w:val="left"/>
      <w:pPr>
        <w:ind w:left="1181" w:hanging="634"/>
        <w:jc w:val="left"/>
      </w:pPr>
      <w:rPr>
        <w:rFonts w:hint="default" w:ascii="Times New Roman" w:hAnsi="Times New Roman" w:eastAsia="Times New Roman" w:cs="Times New Roman"/>
        <w:spacing w:val="-3"/>
        <w:w w:val="99"/>
        <w:sz w:val="24"/>
        <w:szCs w:val="24"/>
      </w:rPr>
    </w:lvl>
    <w:lvl w:ilvl="1">
      <w:start w:val="0"/>
      <w:numFmt w:val="bullet"/>
      <w:lvlText w:val="•"/>
      <w:lvlJc w:val="left"/>
      <w:pPr>
        <w:ind w:left="2066" w:hanging="634"/>
      </w:pPr>
      <w:rPr>
        <w:rFonts w:hint="default"/>
      </w:rPr>
    </w:lvl>
    <w:lvl w:ilvl="2">
      <w:start w:val="0"/>
      <w:numFmt w:val="bullet"/>
      <w:lvlText w:val="•"/>
      <w:lvlJc w:val="left"/>
      <w:pPr>
        <w:ind w:left="2953" w:hanging="634"/>
      </w:pPr>
      <w:rPr>
        <w:rFonts w:hint="default"/>
      </w:rPr>
    </w:lvl>
    <w:lvl w:ilvl="3">
      <w:start w:val="0"/>
      <w:numFmt w:val="bullet"/>
      <w:lvlText w:val="•"/>
      <w:lvlJc w:val="left"/>
      <w:pPr>
        <w:ind w:left="3839" w:hanging="634"/>
      </w:pPr>
      <w:rPr>
        <w:rFonts w:hint="default"/>
      </w:rPr>
    </w:lvl>
    <w:lvl w:ilvl="4">
      <w:start w:val="0"/>
      <w:numFmt w:val="bullet"/>
      <w:lvlText w:val="•"/>
      <w:lvlJc w:val="left"/>
      <w:pPr>
        <w:ind w:left="4726" w:hanging="634"/>
      </w:pPr>
      <w:rPr>
        <w:rFonts w:hint="default"/>
      </w:rPr>
    </w:lvl>
    <w:lvl w:ilvl="5">
      <w:start w:val="0"/>
      <w:numFmt w:val="bullet"/>
      <w:lvlText w:val="•"/>
      <w:lvlJc w:val="left"/>
      <w:pPr>
        <w:ind w:left="5613" w:hanging="634"/>
      </w:pPr>
      <w:rPr>
        <w:rFonts w:hint="default"/>
      </w:rPr>
    </w:lvl>
    <w:lvl w:ilvl="6">
      <w:start w:val="0"/>
      <w:numFmt w:val="bullet"/>
      <w:lvlText w:val="•"/>
      <w:lvlJc w:val="left"/>
      <w:pPr>
        <w:ind w:left="6499" w:hanging="634"/>
      </w:pPr>
      <w:rPr>
        <w:rFonts w:hint="default"/>
      </w:rPr>
    </w:lvl>
    <w:lvl w:ilvl="7">
      <w:start w:val="0"/>
      <w:numFmt w:val="bullet"/>
      <w:lvlText w:val="•"/>
      <w:lvlJc w:val="left"/>
      <w:pPr>
        <w:ind w:left="7386" w:hanging="634"/>
      </w:pPr>
      <w:rPr>
        <w:rFonts w:hint="default"/>
      </w:rPr>
    </w:lvl>
    <w:lvl w:ilvl="8">
      <w:start w:val="0"/>
      <w:numFmt w:val="bullet"/>
      <w:lvlText w:val="•"/>
      <w:lvlJc w:val="left"/>
      <w:pPr>
        <w:ind w:left="8273" w:hanging="634"/>
      </w:pPr>
      <w:rPr>
        <w:rFonts w:hint="default"/>
      </w:rPr>
    </w:lvl>
  </w:abstractNum>
  <w:abstractNum w:abstractNumId="16">
    <w:multiLevelType w:val="hybridMultilevel"/>
    <w:lvl w:ilvl="0">
      <w:start w:val="1"/>
      <w:numFmt w:val="lowerLetter"/>
      <w:lvlText w:val="%1)"/>
      <w:lvlJc w:val="left"/>
      <w:pPr>
        <w:ind w:left="1181" w:hanging="348"/>
        <w:jc w:val="left"/>
      </w:pPr>
      <w:rPr>
        <w:rFonts w:hint="default" w:ascii="Times New Roman" w:hAnsi="Times New Roman" w:eastAsia="Times New Roman" w:cs="Times New Roman"/>
        <w:spacing w:val="-18"/>
        <w:w w:val="99"/>
        <w:sz w:val="24"/>
        <w:szCs w:val="24"/>
      </w:rPr>
    </w:lvl>
    <w:lvl w:ilvl="1">
      <w:start w:val="1"/>
      <w:numFmt w:val="lowerRoman"/>
      <w:lvlText w:val="%2."/>
      <w:lvlJc w:val="left"/>
      <w:pPr>
        <w:ind w:left="1901" w:hanging="233"/>
        <w:jc w:val="right"/>
      </w:pPr>
      <w:rPr>
        <w:rFonts w:hint="default" w:ascii="Times New Roman" w:hAnsi="Times New Roman" w:eastAsia="Times New Roman" w:cs="Times New Roman"/>
        <w:spacing w:val="-29"/>
        <w:w w:val="99"/>
        <w:sz w:val="24"/>
        <w:szCs w:val="24"/>
      </w:rPr>
    </w:lvl>
    <w:lvl w:ilvl="2">
      <w:start w:val="0"/>
      <w:numFmt w:val="bullet"/>
      <w:lvlText w:val="•"/>
      <w:lvlJc w:val="left"/>
      <w:pPr>
        <w:ind w:left="2805" w:hanging="233"/>
      </w:pPr>
      <w:rPr>
        <w:rFonts w:hint="default"/>
      </w:rPr>
    </w:lvl>
    <w:lvl w:ilvl="3">
      <w:start w:val="0"/>
      <w:numFmt w:val="bullet"/>
      <w:lvlText w:val="•"/>
      <w:lvlJc w:val="left"/>
      <w:pPr>
        <w:ind w:left="3710" w:hanging="233"/>
      </w:pPr>
      <w:rPr>
        <w:rFonts w:hint="default"/>
      </w:rPr>
    </w:lvl>
    <w:lvl w:ilvl="4">
      <w:start w:val="0"/>
      <w:numFmt w:val="bullet"/>
      <w:lvlText w:val="•"/>
      <w:lvlJc w:val="left"/>
      <w:pPr>
        <w:ind w:left="4615" w:hanging="233"/>
      </w:pPr>
      <w:rPr>
        <w:rFonts w:hint="default"/>
      </w:rPr>
    </w:lvl>
    <w:lvl w:ilvl="5">
      <w:start w:val="0"/>
      <w:numFmt w:val="bullet"/>
      <w:lvlText w:val="•"/>
      <w:lvlJc w:val="left"/>
      <w:pPr>
        <w:ind w:left="5520" w:hanging="233"/>
      </w:pPr>
      <w:rPr>
        <w:rFonts w:hint="default"/>
      </w:rPr>
    </w:lvl>
    <w:lvl w:ilvl="6">
      <w:start w:val="0"/>
      <w:numFmt w:val="bullet"/>
      <w:lvlText w:val="•"/>
      <w:lvlJc w:val="left"/>
      <w:pPr>
        <w:ind w:left="6425" w:hanging="233"/>
      </w:pPr>
      <w:rPr>
        <w:rFonts w:hint="default"/>
      </w:rPr>
    </w:lvl>
    <w:lvl w:ilvl="7">
      <w:start w:val="0"/>
      <w:numFmt w:val="bullet"/>
      <w:lvlText w:val="•"/>
      <w:lvlJc w:val="left"/>
      <w:pPr>
        <w:ind w:left="7330" w:hanging="233"/>
      </w:pPr>
      <w:rPr>
        <w:rFonts w:hint="default"/>
      </w:rPr>
    </w:lvl>
    <w:lvl w:ilvl="8">
      <w:start w:val="0"/>
      <w:numFmt w:val="bullet"/>
      <w:lvlText w:val="•"/>
      <w:lvlJc w:val="left"/>
      <w:pPr>
        <w:ind w:left="8236" w:hanging="233"/>
      </w:pPr>
      <w:rPr>
        <w:rFonts w:hint="default"/>
      </w:rPr>
    </w:lvl>
  </w:abstractNum>
  <w:abstractNum w:abstractNumId="15">
    <w:multiLevelType w:val="hybridMultilevel"/>
    <w:lvl w:ilvl="0">
      <w:start w:val="1"/>
      <w:numFmt w:val="decimal"/>
      <w:lvlText w:val="%1."/>
      <w:lvlJc w:val="left"/>
      <w:pPr>
        <w:ind w:left="1169" w:hanging="260"/>
        <w:jc w:val="left"/>
      </w:pPr>
      <w:rPr>
        <w:rFonts w:hint="default" w:ascii="Times New Roman" w:hAnsi="Times New Roman" w:eastAsia="Times New Roman" w:cs="Times New Roman"/>
        <w:w w:val="100"/>
        <w:sz w:val="24"/>
        <w:szCs w:val="24"/>
      </w:rPr>
    </w:lvl>
    <w:lvl w:ilvl="1">
      <w:start w:val="0"/>
      <w:numFmt w:val="bullet"/>
      <w:lvlText w:val="•"/>
      <w:lvlJc w:val="left"/>
      <w:pPr>
        <w:ind w:left="2048" w:hanging="260"/>
      </w:pPr>
      <w:rPr>
        <w:rFonts w:hint="default"/>
      </w:rPr>
    </w:lvl>
    <w:lvl w:ilvl="2">
      <w:start w:val="0"/>
      <w:numFmt w:val="bullet"/>
      <w:lvlText w:val="•"/>
      <w:lvlJc w:val="left"/>
      <w:pPr>
        <w:ind w:left="2937" w:hanging="260"/>
      </w:pPr>
      <w:rPr>
        <w:rFonts w:hint="default"/>
      </w:rPr>
    </w:lvl>
    <w:lvl w:ilvl="3">
      <w:start w:val="0"/>
      <w:numFmt w:val="bullet"/>
      <w:lvlText w:val="•"/>
      <w:lvlJc w:val="left"/>
      <w:pPr>
        <w:ind w:left="3825" w:hanging="260"/>
      </w:pPr>
      <w:rPr>
        <w:rFonts w:hint="default"/>
      </w:rPr>
    </w:lvl>
    <w:lvl w:ilvl="4">
      <w:start w:val="0"/>
      <w:numFmt w:val="bullet"/>
      <w:lvlText w:val="•"/>
      <w:lvlJc w:val="left"/>
      <w:pPr>
        <w:ind w:left="4714" w:hanging="260"/>
      </w:pPr>
      <w:rPr>
        <w:rFonts w:hint="default"/>
      </w:rPr>
    </w:lvl>
    <w:lvl w:ilvl="5">
      <w:start w:val="0"/>
      <w:numFmt w:val="bullet"/>
      <w:lvlText w:val="•"/>
      <w:lvlJc w:val="left"/>
      <w:pPr>
        <w:ind w:left="5603" w:hanging="260"/>
      </w:pPr>
      <w:rPr>
        <w:rFonts w:hint="default"/>
      </w:rPr>
    </w:lvl>
    <w:lvl w:ilvl="6">
      <w:start w:val="0"/>
      <w:numFmt w:val="bullet"/>
      <w:lvlText w:val="•"/>
      <w:lvlJc w:val="left"/>
      <w:pPr>
        <w:ind w:left="6491" w:hanging="260"/>
      </w:pPr>
      <w:rPr>
        <w:rFonts w:hint="default"/>
      </w:rPr>
    </w:lvl>
    <w:lvl w:ilvl="7">
      <w:start w:val="0"/>
      <w:numFmt w:val="bullet"/>
      <w:lvlText w:val="•"/>
      <w:lvlJc w:val="left"/>
      <w:pPr>
        <w:ind w:left="7380" w:hanging="260"/>
      </w:pPr>
      <w:rPr>
        <w:rFonts w:hint="default"/>
      </w:rPr>
    </w:lvl>
    <w:lvl w:ilvl="8">
      <w:start w:val="0"/>
      <w:numFmt w:val="bullet"/>
      <w:lvlText w:val="•"/>
      <w:lvlJc w:val="left"/>
      <w:pPr>
        <w:ind w:left="8269" w:hanging="260"/>
      </w:pPr>
      <w:rPr>
        <w:rFonts w:hint="default"/>
      </w:rPr>
    </w:lvl>
  </w:abstractNum>
  <w:abstractNum w:abstractNumId="14">
    <w:multiLevelType w:val="hybridMultilevel"/>
    <w:lvl w:ilvl="0">
      <w:start w:val="1"/>
      <w:numFmt w:val="lowerRoman"/>
      <w:lvlText w:val="%1."/>
      <w:lvlJc w:val="left"/>
      <w:pPr>
        <w:ind w:left="1529" w:hanging="488"/>
        <w:jc w:val="right"/>
      </w:pPr>
      <w:rPr>
        <w:rFonts w:hint="default" w:ascii="Times New Roman" w:hAnsi="Times New Roman" w:eastAsia="Times New Roman" w:cs="Times New Roman"/>
        <w:spacing w:val="-1"/>
        <w:w w:val="99"/>
        <w:sz w:val="24"/>
        <w:szCs w:val="24"/>
      </w:rPr>
    </w:lvl>
    <w:lvl w:ilvl="1">
      <w:start w:val="0"/>
      <w:numFmt w:val="bullet"/>
      <w:lvlText w:val="•"/>
      <w:lvlJc w:val="left"/>
      <w:pPr>
        <w:ind w:left="2372" w:hanging="488"/>
      </w:pPr>
      <w:rPr>
        <w:rFonts w:hint="default"/>
      </w:rPr>
    </w:lvl>
    <w:lvl w:ilvl="2">
      <w:start w:val="0"/>
      <w:numFmt w:val="bullet"/>
      <w:lvlText w:val="•"/>
      <w:lvlJc w:val="left"/>
      <w:pPr>
        <w:ind w:left="3225" w:hanging="488"/>
      </w:pPr>
      <w:rPr>
        <w:rFonts w:hint="default"/>
      </w:rPr>
    </w:lvl>
    <w:lvl w:ilvl="3">
      <w:start w:val="0"/>
      <w:numFmt w:val="bullet"/>
      <w:lvlText w:val="•"/>
      <w:lvlJc w:val="left"/>
      <w:pPr>
        <w:ind w:left="4077" w:hanging="488"/>
      </w:pPr>
      <w:rPr>
        <w:rFonts w:hint="default"/>
      </w:rPr>
    </w:lvl>
    <w:lvl w:ilvl="4">
      <w:start w:val="0"/>
      <w:numFmt w:val="bullet"/>
      <w:lvlText w:val="•"/>
      <w:lvlJc w:val="left"/>
      <w:pPr>
        <w:ind w:left="4930" w:hanging="488"/>
      </w:pPr>
      <w:rPr>
        <w:rFonts w:hint="default"/>
      </w:rPr>
    </w:lvl>
    <w:lvl w:ilvl="5">
      <w:start w:val="0"/>
      <w:numFmt w:val="bullet"/>
      <w:lvlText w:val="•"/>
      <w:lvlJc w:val="left"/>
      <w:pPr>
        <w:ind w:left="5783" w:hanging="488"/>
      </w:pPr>
      <w:rPr>
        <w:rFonts w:hint="default"/>
      </w:rPr>
    </w:lvl>
    <w:lvl w:ilvl="6">
      <w:start w:val="0"/>
      <w:numFmt w:val="bullet"/>
      <w:lvlText w:val="•"/>
      <w:lvlJc w:val="left"/>
      <w:pPr>
        <w:ind w:left="6635" w:hanging="488"/>
      </w:pPr>
      <w:rPr>
        <w:rFonts w:hint="default"/>
      </w:rPr>
    </w:lvl>
    <w:lvl w:ilvl="7">
      <w:start w:val="0"/>
      <w:numFmt w:val="bullet"/>
      <w:lvlText w:val="•"/>
      <w:lvlJc w:val="left"/>
      <w:pPr>
        <w:ind w:left="7488" w:hanging="488"/>
      </w:pPr>
      <w:rPr>
        <w:rFonts w:hint="default"/>
      </w:rPr>
    </w:lvl>
    <w:lvl w:ilvl="8">
      <w:start w:val="0"/>
      <w:numFmt w:val="bullet"/>
      <w:lvlText w:val="•"/>
      <w:lvlJc w:val="left"/>
      <w:pPr>
        <w:ind w:left="8341" w:hanging="488"/>
      </w:pPr>
      <w:rPr>
        <w:rFonts w:hint="default"/>
      </w:rPr>
    </w:lvl>
  </w:abstractNum>
  <w:abstractNum w:abstractNumId="13">
    <w:multiLevelType w:val="hybridMultilevel"/>
    <w:lvl w:ilvl="0">
      <w:start w:val="1"/>
      <w:numFmt w:val="lowerLetter"/>
      <w:lvlText w:val="%1)"/>
      <w:lvlJc w:val="left"/>
      <w:pPr>
        <w:ind w:left="1181" w:hanging="348"/>
        <w:jc w:val="left"/>
      </w:pPr>
      <w:rPr>
        <w:rFonts w:hint="default" w:ascii="Times New Roman" w:hAnsi="Times New Roman" w:eastAsia="Times New Roman" w:cs="Times New Roman"/>
        <w:spacing w:val="-18"/>
        <w:w w:val="99"/>
        <w:sz w:val="24"/>
        <w:szCs w:val="24"/>
      </w:rPr>
    </w:lvl>
    <w:lvl w:ilvl="1">
      <w:start w:val="1"/>
      <w:numFmt w:val="decimal"/>
      <w:lvlText w:val="%2."/>
      <w:lvlJc w:val="left"/>
      <w:pPr>
        <w:ind w:left="1181" w:hanging="260"/>
        <w:jc w:val="left"/>
      </w:pPr>
      <w:rPr>
        <w:rFonts w:hint="default" w:ascii="Times New Roman" w:hAnsi="Times New Roman" w:eastAsia="Times New Roman" w:cs="Times New Roman"/>
        <w:w w:val="100"/>
        <w:sz w:val="24"/>
        <w:szCs w:val="24"/>
      </w:rPr>
    </w:lvl>
    <w:lvl w:ilvl="2">
      <w:start w:val="0"/>
      <w:numFmt w:val="bullet"/>
      <w:lvlText w:val="•"/>
      <w:lvlJc w:val="left"/>
      <w:pPr>
        <w:ind w:left="2953" w:hanging="260"/>
      </w:pPr>
      <w:rPr>
        <w:rFonts w:hint="default"/>
      </w:rPr>
    </w:lvl>
    <w:lvl w:ilvl="3">
      <w:start w:val="0"/>
      <w:numFmt w:val="bullet"/>
      <w:lvlText w:val="•"/>
      <w:lvlJc w:val="left"/>
      <w:pPr>
        <w:ind w:left="3839" w:hanging="260"/>
      </w:pPr>
      <w:rPr>
        <w:rFonts w:hint="default"/>
      </w:rPr>
    </w:lvl>
    <w:lvl w:ilvl="4">
      <w:start w:val="0"/>
      <w:numFmt w:val="bullet"/>
      <w:lvlText w:val="•"/>
      <w:lvlJc w:val="left"/>
      <w:pPr>
        <w:ind w:left="4726" w:hanging="260"/>
      </w:pPr>
      <w:rPr>
        <w:rFonts w:hint="default"/>
      </w:rPr>
    </w:lvl>
    <w:lvl w:ilvl="5">
      <w:start w:val="0"/>
      <w:numFmt w:val="bullet"/>
      <w:lvlText w:val="•"/>
      <w:lvlJc w:val="left"/>
      <w:pPr>
        <w:ind w:left="5613" w:hanging="260"/>
      </w:pPr>
      <w:rPr>
        <w:rFonts w:hint="default"/>
      </w:rPr>
    </w:lvl>
    <w:lvl w:ilvl="6">
      <w:start w:val="0"/>
      <w:numFmt w:val="bullet"/>
      <w:lvlText w:val="•"/>
      <w:lvlJc w:val="left"/>
      <w:pPr>
        <w:ind w:left="6499" w:hanging="260"/>
      </w:pPr>
      <w:rPr>
        <w:rFonts w:hint="default"/>
      </w:rPr>
    </w:lvl>
    <w:lvl w:ilvl="7">
      <w:start w:val="0"/>
      <w:numFmt w:val="bullet"/>
      <w:lvlText w:val="•"/>
      <w:lvlJc w:val="left"/>
      <w:pPr>
        <w:ind w:left="7386" w:hanging="260"/>
      </w:pPr>
      <w:rPr>
        <w:rFonts w:hint="default"/>
      </w:rPr>
    </w:lvl>
    <w:lvl w:ilvl="8">
      <w:start w:val="0"/>
      <w:numFmt w:val="bullet"/>
      <w:lvlText w:val="•"/>
      <w:lvlJc w:val="left"/>
      <w:pPr>
        <w:ind w:left="8273" w:hanging="260"/>
      </w:pPr>
      <w:rPr>
        <w:rFonts w:hint="default"/>
      </w:rPr>
    </w:lvl>
  </w:abstractNum>
  <w:abstractNum w:abstractNumId="12">
    <w:multiLevelType w:val="hybridMultilevel"/>
    <w:lvl w:ilvl="0">
      <w:start w:val="1"/>
      <w:numFmt w:val="lowerLetter"/>
      <w:lvlText w:val="%1)"/>
      <w:lvlJc w:val="left"/>
      <w:pPr>
        <w:ind w:left="1181" w:hanging="348"/>
        <w:jc w:val="left"/>
      </w:pPr>
      <w:rPr>
        <w:rFonts w:hint="default" w:ascii="Times New Roman" w:hAnsi="Times New Roman" w:eastAsia="Times New Roman" w:cs="Times New Roman"/>
        <w:spacing w:val="-18"/>
        <w:w w:val="99"/>
        <w:sz w:val="24"/>
        <w:szCs w:val="24"/>
      </w:rPr>
    </w:lvl>
    <w:lvl w:ilvl="1">
      <w:start w:val="1"/>
      <w:numFmt w:val="decimal"/>
      <w:lvlText w:val="%2."/>
      <w:lvlJc w:val="left"/>
      <w:pPr>
        <w:ind w:left="1527" w:hanging="360"/>
        <w:jc w:val="left"/>
      </w:pPr>
      <w:rPr>
        <w:rFonts w:hint="default" w:ascii="Times New Roman" w:hAnsi="Times New Roman" w:eastAsia="Times New Roman" w:cs="Times New Roman"/>
        <w:spacing w:val="-3"/>
        <w:w w:val="99"/>
        <w:sz w:val="24"/>
        <w:szCs w:val="24"/>
      </w:rPr>
    </w:lvl>
    <w:lvl w:ilvl="2">
      <w:start w:val="1"/>
      <w:numFmt w:val="lowerRoman"/>
      <w:lvlText w:val="%3."/>
      <w:lvlJc w:val="left"/>
      <w:pPr>
        <w:ind w:left="1167" w:hanging="464"/>
        <w:jc w:val="right"/>
      </w:pPr>
      <w:rPr>
        <w:rFonts w:hint="default" w:ascii="Times New Roman" w:hAnsi="Times New Roman" w:eastAsia="Times New Roman" w:cs="Times New Roman"/>
        <w:spacing w:val="-1"/>
        <w:w w:val="99"/>
        <w:sz w:val="24"/>
        <w:szCs w:val="24"/>
      </w:rPr>
    </w:lvl>
    <w:lvl w:ilvl="3">
      <w:start w:val="0"/>
      <w:numFmt w:val="bullet"/>
      <w:lvlText w:val="•"/>
      <w:lvlJc w:val="left"/>
      <w:pPr>
        <w:ind w:left="2585" w:hanging="464"/>
      </w:pPr>
      <w:rPr>
        <w:rFonts w:hint="default"/>
      </w:rPr>
    </w:lvl>
    <w:lvl w:ilvl="4">
      <w:start w:val="0"/>
      <w:numFmt w:val="bullet"/>
      <w:lvlText w:val="•"/>
      <w:lvlJc w:val="left"/>
      <w:pPr>
        <w:ind w:left="3651" w:hanging="464"/>
      </w:pPr>
      <w:rPr>
        <w:rFonts w:hint="default"/>
      </w:rPr>
    </w:lvl>
    <w:lvl w:ilvl="5">
      <w:start w:val="0"/>
      <w:numFmt w:val="bullet"/>
      <w:lvlText w:val="•"/>
      <w:lvlJc w:val="left"/>
      <w:pPr>
        <w:ind w:left="4717" w:hanging="464"/>
      </w:pPr>
      <w:rPr>
        <w:rFonts w:hint="default"/>
      </w:rPr>
    </w:lvl>
    <w:lvl w:ilvl="6">
      <w:start w:val="0"/>
      <w:numFmt w:val="bullet"/>
      <w:lvlText w:val="•"/>
      <w:lvlJc w:val="left"/>
      <w:pPr>
        <w:ind w:left="5783" w:hanging="464"/>
      </w:pPr>
      <w:rPr>
        <w:rFonts w:hint="default"/>
      </w:rPr>
    </w:lvl>
    <w:lvl w:ilvl="7">
      <w:start w:val="0"/>
      <w:numFmt w:val="bullet"/>
      <w:lvlText w:val="•"/>
      <w:lvlJc w:val="left"/>
      <w:pPr>
        <w:ind w:left="6849" w:hanging="464"/>
      </w:pPr>
      <w:rPr>
        <w:rFonts w:hint="default"/>
      </w:rPr>
    </w:lvl>
    <w:lvl w:ilvl="8">
      <w:start w:val="0"/>
      <w:numFmt w:val="bullet"/>
      <w:lvlText w:val="•"/>
      <w:lvlJc w:val="left"/>
      <w:pPr>
        <w:ind w:left="7914" w:hanging="464"/>
      </w:pPr>
      <w:rPr>
        <w:rFonts w:hint="default"/>
      </w:rPr>
    </w:lvl>
  </w:abstractNum>
  <w:abstractNum w:abstractNumId="11">
    <w:multiLevelType w:val="hybridMultilevel"/>
    <w:lvl w:ilvl="0">
      <w:start w:val="1"/>
      <w:numFmt w:val="lowerRoman"/>
      <w:lvlText w:val="%1."/>
      <w:lvlJc w:val="left"/>
      <w:pPr>
        <w:ind w:left="1167" w:hanging="476"/>
        <w:jc w:val="right"/>
      </w:pPr>
      <w:rPr>
        <w:rFonts w:hint="default" w:ascii="Times New Roman" w:hAnsi="Times New Roman" w:eastAsia="Times New Roman" w:cs="Times New Roman"/>
        <w:spacing w:val="-1"/>
        <w:w w:val="99"/>
        <w:sz w:val="24"/>
        <w:szCs w:val="24"/>
      </w:rPr>
    </w:lvl>
    <w:lvl w:ilvl="1">
      <w:start w:val="0"/>
      <w:numFmt w:val="bullet"/>
      <w:lvlText w:val="•"/>
      <w:lvlJc w:val="left"/>
      <w:pPr>
        <w:ind w:left="2048" w:hanging="476"/>
      </w:pPr>
      <w:rPr>
        <w:rFonts w:hint="default"/>
      </w:rPr>
    </w:lvl>
    <w:lvl w:ilvl="2">
      <w:start w:val="0"/>
      <w:numFmt w:val="bullet"/>
      <w:lvlText w:val="•"/>
      <w:lvlJc w:val="left"/>
      <w:pPr>
        <w:ind w:left="2937" w:hanging="476"/>
      </w:pPr>
      <w:rPr>
        <w:rFonts w:hint="default"/>
      </w:rPr>
    </w:lvl>
    <w:lvl w:ilvl="3">
      <w:start w:val="0"/>
      <w:numFmt w:val="bullet"/>
      <w:lvlText w:val="•"/>
      <w:lvlJc w:val="left"/>
      <w:pPr>
        <w:ind w:left="3825" w:hanging="476"/>
      </w:pPr>
      <w:rPr>
        <w:rFonts w:hint="default"/>
      </w:rPr>
    </w:lvl>
    <w:lvl w:ilvl="4">
      <w:start w:val="0"/>
      <w:numFmt w:val="bullet"/>
      <w:lvlText w:val="•"/>
      <w:lvlJc w:val="left"/>
      <w:pPr>
        <w:ind w:left="4714" w:hanging="476"/>
      </w:pPr>
      <w:rPr>
        <w:rFonts w:hint="default"/>
      </w:rPr>
    </w:lvl>
    <w:lvl w:ilvl="5">
      <w:start w:val="0"/>
      <w:numFmt w:val="bullet"/>
      <w:lvlText w:val="•"/>
      <w:lvlJc w:val="left"/>
      <w:pPr>
        <w:ind w:left="5603" w:hanging="476"/>
      </w:pPr>
      <w:rPr>
        <w:rFonts w:hint="default"/>
      </w:rPr>
    </w:lvl>
    <w:lvl w:ilvl="6">
      <w:start w:val="0"/>
      <w:numFmt w:val="bullet"/>
      <w:lvlText w:val="•"/>
      <w:lvlJc w:val="left"/>
      <w:pPr>
        <w:ind w:left="6491" w:hanging="476"/>
      </w:pPr>
      <w:rPr>
        <w:rFonts w:hint="default"/>
      </w:rPr>
    </w:lvl>
    <w:lvl w:ilvl="7">
      <w:start w:val="0"/>
      <w:numFmt w:val="bullet"/>
      <w:lvlText w:val="•"/>
      <w:lvlJc w:val="left"/>
      <w:pPr>
        <w:ind w:left="7380" w:hanging="476"/>
      </w:pPr>
      <w:rPr>
        <w:rFonts w:hint="default"/>
      </w:rPr>
    </w:lvl>
    <w:lvl w:ilvl="8">
      <w:start w:val="0"/>
      <w:numFmt w:val="bullet"/>
      <w:lvlText w:val="•"/>
      <w:lvlJc w:val="left"/>
      <w:pPr>
        <w:ind w:left="8269" w:hanging="476"/>
      </w:pPr>
      <w:rPr>
        <w:rFonts w:hint="default"/>
      </w:rPr>
    </w:lvl>
  </w:abstractNum>
  <w:abstractNum w:abstractNumId="10">
    <w:multiLevelType w:val="hybridMultilevel"/>
    <w:lvl w:ilvl="0">
      <w:start w:val="1"/>
      <w:numFmt w:val="lowerRoman"/>
      <w:lvlText w:val="%1."/>
      <w:lvlJc w:val="left"/>
      <w:pPr>
        <w:ind w:left="1167" w:hanging="476"/>
        <w:jc w:val="right"/>
      </w:pPr>
      <w:rPr>
        <w:rFonts w:hint="default" w:ascii="Times New Roman" w:hAnsi="Times New Roman" w:eastAsia="Times New Roman" w:cs="Times New Roman"/>
        <w:spacing w:val="-1"/>
        <w:w w:val="99"/>
        <w:sz w:val="24"/>
        <w:szCs w:val="24"/>
      </w:rPr>
    </w:lvl>
    <w:lvl w:ilvl="1">
      <w:start w:val="0"/>
      <w:numFmt w:val="bullet"/>
      <w:lvlText w:val="•"/>
      <w:lvlJc w:val="left"/>
      <w:pPr>
        <w:ind w:left="2048" w:hanging="476"/>
      </w:pPr>
      <w:rPr>
        <w:rFonts w:hint="default"/>
      </w:rPr>
    </w:lvl>
    <w:lvl w:ilvl="2">
      <w:start w:val="0"/>
      <w:numFmt w:val="bullet"/>
      <w:lvlText w:val="•"/>
      <w:lvlJc w:val="left"/>
      <w:pPr>
        <w:ind w:left="2937" w:hanging="476"/>
      </w:pPr>
      <w:rPr>
        <w:rFonts w:hint="default"/>
      </w:rPr>
    </w:lvl>
    <w:lvl w:ilvl="3">
      <w:start w:val="0"/>
      <w:numFmt w:val="bullet"/>
      <w:lvlText w:val="•"/>
      <w:lvlJc w:val="left"/>
      <w:pPr>
        <w:ind w:left="3825" w:hanging="476"/>
      </w:pPr>
      <w:rPr>
        <w:rFonts w:hint="default"/>
      </w:rPr>
    </w:lvl>
    <w:lvl w:ilvl="4">
      <w:start w:val="0"/>
      <w:numFmt w:val="bullet"/>
      <w:lvlText w:val="•"/>
      <w:lvlJc w:val="left"/>
      <w:pPr>
        <w:ind w:left="4714" w:hanging="476"/>
      </w:pPr>
      <w:rPr>
        <w:rFonts w:hint="default"/>
      </w:rPr>
    </w:lvl>
    <w:lvl w:ilvl="5">
      <w:start w:val="0"/>
      <w:numFmt w:val="bullet"/>
      <w:lvlText w:val="•"/>
      <w:lvlJc w:val="left"/>
      <w:pPr>
        <w:ind w:left="5603" w:hanging="476"/>
      </w:pPr>
      <w:rPr>
        <w:rFonts w:hint="default"/>
      </w:rPr>
    </w:lvl>
    <w:lvl w:ilvl="6">
      <w:start w:val="0"/>
      <w:numFmt w:val="bullet"/>
      <w:lvlText w:val="•"/>
      <w:lvlJc w:val="left"/>
      <w:pPr>
        <w:ind w:left="6491" w:hanging="476"/>
      </w:pPr>
      <w:rPr>
        <w:rFonts w:hint="default"/>
      </w:rPr>
    </w:lvl>
    <w:lvl w:ilvl="7">
      <w:start w:val="0"/>
      <w:numFmt w:val="bullet"/>
      <w:lvlText w:val="•"/>
      <w:lvlJc w:val="left"/>
      <w:pPr>
        <w:ind w:left="7380" w:hanging="476"/>
      </w:pPr>
      <w:rPr>
        <w:rFonts w:hint="default"/>
      </w:rPr>
    </w:lvl>
    <w:lvl w:ilvl="8">
      <w:start w:val="0"/>
      <w:numFmt w:val="bullet"/>
      <w:lvlText w:val="•"/>
      <w:lvlJc w:val="left"/>
      <w:pPr>
        <w:ind w:left="8269" w:hanging="476"/>
      </w:pPr>
      <w:rPr>
        <w:rFonts w:hint="default"/>
      </w:rPr>
    </w:lvl>
  </w:abstractNum>
  <w:abstractNum w:abstractNumId="9">
    <w:multiLevelType w:val="hybridMultilevel"/>
    <w:lvl w:ilvl="0">
      <w:start w:val="1"/>
      <w:numFmt w:val="lowerRoman"/>
      <w:lvlText w:val="%1."/>
      <w:lvlJc w:val="left"/>
      <w:pPr>
        <w:ind w:left="1167" w:hanging="476"/>
        <w:jc w:val="right"/>
      </w:pPr>
      <w:rPr>
        <w:rFonts w:hint="default" w:ascii="Times New Roman" w:hAnsi="Times New Roman" w:eastAsia="Times New Roman" w:cs="Times New Roman"/>
        <w:spacing w:val="-1"/>
        <w:w w:val="99"/>
        <w:sz w:val="24"/>
        <w:szCs w:val="24"/>
      </w:rPr>
    </w:lvl>
    <w:lvl w:ilvl="1">
      <w:start w:val="0"/>
      <w:numFmt w:val="bullet"/>
      <w:lvlText w:val="•"/>
      <w:lvlJc w:val="left"/>
      <w:pPr>
        <w:ind w:left="2048" w:hanging="476"/>
      </w:pPr>
      <w:rPr>
        <w:rFonts w:hint="default"/>
      </w:rPr>
    </w:lvl>
    <w:lvl w:ilvl="2">
      <w:start w:val="0"/>
      <w:numFmt w:val="bullet"/>
      <w:lvlText w:val="•"/>
      <w:lvlJc w:val="left"/>
      <w:pPr>
        <w:ind w:left="2937" w:hanging="476"/>
      </w:pPr>
      <w:rPr>
        <w:rFonts w:hint="default"/>
      </w:rPr>
    </w:lvl>
    <w:lvl w:ilvl="3">
      <w:start w:val="0"/>
      <w:numFmt w:val="bullet"/>
      <w:lvlText w:val="•"/>
      <w:lvlJc w:val="left"/>
      <w:pPr>
        <w:ind w:left="3825" w:hanging="476"/>
      </w:pPr>
      <w:rPr>
        <w:rFonts w:hint="default"/>
      </w:rPr>
    </w:lvl>
    <w:lvl w:ilvl="4">
      <w:start w:val="0"/>
      <w:numFmt w:val="bullet"/>
      <w:lvlText w:val="•"/>
      <w:lvlJc w:val="left"/>
      <w:pPr>
        <w:ind w:left="4714" w:hanging="476"/>
      </w:pPr>
      <w:rPr>
        <w:rFonts w:hint="default"/>
      </w:rPr>
    </w:lvl>
    <w:lvl w:ilvl="5">
      <w:start w:val="0"/>
      <w:numFmt w:val="bullet"/>
      <w:lvlText w:val="•"/>
      <w:lvlJc w:val="left"/>
      <w:pPr>
        <w:ind w:left="5603" w:hanging="476"/>
      </w:pPr>
      <w:rPr>
        <w:rFonts w:hint="default"/>
      </w:rPr>
    </w:lvl>
    <w:lvl w:ilvl="6">
      <w:start w:val="0"/>
      <w:numFmt w:val="bullet"/>
      <w:lvlText w:val="•"/>
      <w:lvlJc w:val="left"/>
      <w:pPr>
        <w:ind w:left="6491" w:hanging="476"/>
      </w:pPr>
      <w:rPr>
        <w:rFonts w:hint="default"/>
      </w:rPr>
    </w:lvl>
    <w:lvl w:ilvl="7">
      <w:start w:val="0"/>
      <w:numFmt w:val="bullet"/>
      <w:lvlText w:val="•"/>
      <w:lvlJc w:val="left"/>
      <w:pPr>
        <w:ind w:left="7380" w:hanging="476"/>
      </w:pPr>
      <w:rPr>
        <w:rFonts w:hint="default"/>
      </w:rPr>
    </w:lvl>
    <w:lvl w:ilvl="8">
      <w:start w:val="0"/>
      <w:numFmt w:val="bullet"/>
      <w:lvlText w:val="•"/>
      <w:lvlJc w:val="left"/>
      <w:pPr>
        <w:ind w:left="8269" w:hanging="476"/>
      </w:pPr>
      <w:rPr>
        <w:rFonts w:hint="default"/>
      </w:rPr>
    </w:lvl>
  </w:abstractNum>
  <w:abstractNum w:abstractNumId="8">
    <w:multiLevelType w:val="hybridMultilevel"/>
    <w:lvl w:ilvl="0">
      <w:start w:val="1"/>
      <w:numFmt w:val="lowerRoman"/>
      <w:lvlText w:val="%1."/>
      <w:lvlJc w:val="left"/>
      <w:pPr>
        <w:ind w:left="1167" w:hanging="476"/>
        <w:jc w:val="right"/>
      </w:pPr>
      <w:rPr>
        <w:rFonts w:hint="default" w:ascii="Times New Roman" w:hAnsi="Times New Roman" w:eastAsia="Times New Roman" w:cs="Times New Roman"/>
        <w:spacing w:val="-1"/>
        <w:w w:val="99"/>
        <w:sz w:val="24"/>
        <w:szCs w:val="24"/>
      </w:rPr>
    </w:lvl>
    <w:lvl w:ilvl="1">
      <w:start w:val="0"/>
      <w:numFmt w:val="bullet"/>
      <w:lvlText w:val="•"/>
      <w:lvlJc w:val="left"/>
      <w:pPr>
        <w:ind w:left="2048" w:hanging="476"/>
      </w:pPr>
      <w:rPr>
        <w:rFonts w:hint="default"/>
      </w:rPr>
    </w:lvl>
    <w:lvl w:ilvl="2">
      <w:start w:val="0"/>
      <w:numFmt w:val="bullet"/>
      <w:lvlText w:val="•"/>
      <w:lvlJc w:val="left"/>
      <w:pPr>
        <w:ind w:left="2937" w:hanging="476"/>
      </w:pPr>
      <w:rPr>
        <w:rFonts w:hint="default"/>
      </w:rPr>
    </w:lvl>
    <w:lvl w:ilvl="3">
      <w:start w:val="0"/>
      <w:numFmt w:val="bullet"/>
      <w:lvlText w:val="•"/>
      <w:lvlJc w:val="left"/>
      <w:pPr>
        <w:ind w:left="3825" w:hanging="476"/>
      </w:pPr>
      <w:rPr>
        <w:rFonts w:hint="default"/>
      </w:rPr>
    </w:lvl>
    <w:lvl w:ilvl="4">
      <w:start w:val="0"/>
      <w:numFmt w:val="bullet"/>
      <w:lvlText w:val="•"/>
      <w:lvlJc w:val="left"/>
      <w:pPr>
        <w:ind w:left="4714" w:hanging="476"/>
      </w:pPr>
      <w:rPr>
        <w:rFonts w:hint="default"/>
      </w:rPr>
    </w:lvl>
    <w:lvl w:ilvl="5">
      <w:start w:val="0"/>
      <w:numFmt w:val="bullet"/>
      <w:lvlText w:val="•"/>
      <w:lvlJc w:val="left"/>
      <w:pPr>
        <w:ind w:left="5603" w:hanging="476"/>
      </w:pPr>
      <w:rPr>
        <w:rFonts w:hint="default"/>
      </w:rPr>
    </w:lvl>
    <w:lvl w:ilvl="6">
      <w:start w:val="0"/>
      <w:numFmt w:val="bullet"/>
      <w:lvlText w:val="•"/>
      <w:lvlJc w:val="left"/>
      <w:pPr>
        <w:ind w:left="6491" w:hanging="476"/>
      </w:pPr>
      <w:rPr>
        <w:rFonts w:hint="default"/>
      </w:rPr>
    </w:lvl>
    <w:lvl w:ilvl="7">
      <w:start w:val="0"/>
      <w:numFmt w:val="bullet"/>
      <w:lvlText w:val="•"/>
      <w:lvlJc w:val="left"/>
      <w:pPr>
        <w:ind w:left="7380" w:hanging="476"/>
      </w:pPr>
      <w:rPr>
        <w:rFonts w:hint="default"/>
      </w:rPr>
    </w:lvl>
    <w:lvl w:ilvl="8">
      <w:start w:val="0"/>
      <w:numFmt w:val="bullet"/>
      <w:lvlText w:val="•"/>
      <w:lvlJc w:val="left"/>
      <w:pPr>
        <w:ind w:left="8269" w:hanging="476"/>
      </w:pPr>
      <w:rPr>
        <w:rFonts w:hint="default"/>
      </w:rPr>
    </w:lvl>
  </w:abstractNum>
  <w:abstractNum w:abstractNumId="7">
    <w:multiLevelType w:val="hybridMultilevel"/>
    <w:lvl w:ilvl="0">
      <w:start w:val="1"/>
      <w:numFmt w:val="upperLetter"/>
      <w:lvlText w:val="%1."/>
      <w:lvlJc w:val="left"/>
      <w:pPr>
        <w:ind w:left="461" w:hanging="344"/>
        <w:jc w:val="left"/>
      </w:pPr>
      <w:rPr>
        <w:rFonts w:hint="default" w:ascii="Times New Roman" w:hAnsi="Times New Roman" w:eastAsia="Times New Roman" w:cs="Times New Roman"/>
        <w:b/>
        <w:bCs/>
        <w:spacing w:val="-1"/>
        <w:w w:val="99"/>
        <w:sz w:val="24"/>
        <w:szCs w:val="24"/>
      </w:rPr>
    </w:lvl>
    <w:lvl w:ilvl="1">
      <w:start w:val="1"/>
      <w:numFmt w:val="decimal"/>
      <w:lvlText w:val="%2."/>
      <w:lvlJc w:val="left"/>
      <w:pPr>
        <w:ind w:left="1889" w:hanging="348"/>
        <w:jc w:val="left"/>
      </w:pPr>
      <w:rPr>
        <w:rFonts w:hint="default" w:ascii="Times New Roman" w:hAnsi="Times New Roman" w:eastAsia="Times New Roman" w:cs="Times New Roman"/>
        <w:spacing w:val="-12"/>
        <w:w w:val="99"/>
        <w:sz w:val="24"/>
        <w:szCs w:val="24"/>
      </w:rPr>
    </w:lvl>
    <w:lvl w:ilvl="2">
      <w:start w:val="0"/>
      <w:numFmt w:val="bullet"/>
      <w:lvlText w:val="•"/>
      <w:lvlJc w:val="left"/>
      <w:pPr>
        <w:ind w:left="1900" w:hanging="348"/>
      </w:pPr>
      <w:rPr>
        <w:rFonts w:hint="default"/>
      </w:rPr>
    </w:lvl>
    <w:lvl w:ilvl="3">
      <w:start w:val="0"/>
      <w:numFmt w:val="bullet"/>
      <w:lvlText w:val="•"/>
      <w:lvlJc w:val="left"/>
      <w:pPr>
        <w:ind w:left="2918" w:hanging="348"/>
      </w:pPr>
      <w:rPr>
        <w:rFonts w:hint="default"/>
      </w:rPr>
    </w:lvl>
    <w:lvl w:ilvl="4">
      <w:start w:val="0"/>
      <w:numFmt w:val="bullet"/>
      <w:lvlText w:val="•"/>
      <w:lvlJc w:val="left"/>
      <w:pPr>
        <w:ind w:left="3936" w:hanging="348"/>
      </w:pPr>
      <w:rPr>
        <w:rFonts w:hint="default"/>
      </w:rPr>
    </w:lvl>
    <w:lvl w:ilvl="5">
      <w:start w:val="0"/>
      <w:numFmt w:val="bullet"/>
      <w:lvlText w:val="•"/>
      <w:lvlJc w:val="left"/>
      <w:pPr>
        <w:ind w:left="4954" w:hanging="348"/>
      </w:pPr>
      <w:rPr>
        <w:rFonts w:hint="default"/>
      </w:rPr>
    </w:lvl>
    <w:lvl w:ilvl="6">
      <w:start w:val="0"/>
      <w:numFmt w:val="bullet"/>
      <w:lvlText w:val="•"/>
      <w:lvlJc w:val="left"/>
      <w:pPr>
        <w:ind w:left="5973" w:hanging="348"/>
      </w:pPr>
      <w:rPr>
        <w:rFonts w:hint="default"/>
      </w:rPr>
    </w:lvl>
    <w:lvl w:ilvl="7">
      <w:start w:val="0"/>
      <w:numFmt w:val="bullet"/>
      <w:lvlText w:val="•"/>
      <w:lvlJc w:val="left"/>
      <w:pPr>
        <w:ind w:left="6991" w:hanging="348"/>
      </w:pPr>
      <w:rPr>
        <w:rFonts w:hint="default"/>
      </w:rPr>
    </w:lvl>
    <w:lvl w:ilvl="8">
      <w:start w:val="0"/>
      <w:numFmt w:val="bullet"/>
      <w:lvlText w:val="•"/>
      <w:lvlJc w:val="left"/>
      <w:pPr>
        <w:ind w:left="8009" w:hanging="348"/>
      </w:pPr>
      <w:rPr>
        <w:rFonts w:hint="default"/>
      </w:rPr>
    </w:lvl>
  </w:abstractNum>
  <w:abstractNum w:abstractNumId="6">
    <w:multiLevelType w:val="hybridMultilevel"/>
    <w:lvl w:ilvl="0">
      <w:start w:val="1"/>
      <w:numFmt w:val="decimal"/>
      <w:lvlText w:val="%1."/>
      <w:lvlJc w:val="left"/>
      <w:pPr>
        <w:ind w:left="1527" w:hanging="360"/>
        <w:jc w:val="left"/>
      </w:pPr>
      <w:rPr>
        <w:rFonts w:hint="default" w:ascii="Times New Roman" w:hAnsi="Times New Roman" w:eastAsia="Times New Roman" w:cs="Times New Roman"/>
        <w:spacing w:val="-30"/>
        <w:w w:val="99"/>
        <w:sz w:val="24"/>
        <w:szCs w:val="24"/>
      </w:rPr>
    </w:lvl>
    <w:lvl w:ilvl="1">
      <w:start w:val="0"/>
      <w:numFmt w:val="bullet"/>
      <w:lvlText w:val="•"/>
      <w:lvlJc w:val="left"/>
      <w:pPr>
        <w:ind w:left="2372" w:hanging="360"/>
      </w:pPr>
      <w:rPr>
        <w:rFonts w:hint="default"/>
      </w:rPr>
    </w:lvl>
    <w:lvl w:ilvl="2">
      <w:start w:val="0"/>
      <w:numFmt w:val="bullet"/>
      <w:lvlText w:val="•"/>
      <w:lvlJc w:val="left"/>
      <w:pPr>
        <w:ind w:left="3225" w:hanging="360"/>
      </w:pPr>
      <w:rPr>
        <w:rFonts w:hint="default"/>
      </w:rPr>
    </w:lvl>
    <w:lvl w:ilvl="3">
      <w:start w:val="0"/>
      <w:numFmt w:val="bullet"/>
      <w:lvlText w:val="•"/>
      <w:lvlJc w:val="left"/>
      <w:pPr>
        <w:ind w:left="4077" w:hanging="360"/>
      </w:pPr>
      <w:rPr>
        <w:rFonts w:hint="default"/>
      </w:rPr>
    </w:lvl>
    <w:lvl w:ilvl="4">
      <w:start w:val="0"/>
      <w:numFmt w:val="bullet"/>
      <w:lvlText w:val="•"/>
      <w:lvlJc w:val="left"/>
      <w:pPr>
        <w:ind w:left="4930" w:hanging="360"/>
      </w:pPr>
      <w:rPr>
        <w:rFonts w:hint="default"/>
      </w:rPr>
    </w:lvl>
    <w:lvl w:ilvl="5">
      <w:start w:val="0"/>
      <w:numFmt w:val="bullet"/>
      <w:lvlText w:val="•"/>
      <w:lvlJc w:val="left"/>
      <w:pPr>
        <w:ind w:left="5783" w:hanging="360"/>
      </w:pPr>
      <w:rPr>
        <w:rFonts w:hint="default"/>
      </w:rPr>
    </w:lvl>
    <w:lvl w:ilvl="6">
      <w:start w:val="0"/>
      <w:numFmt w:val="bullet"/>
      <w:lvlText w:val="•"/>
      <w:lvlJc w:val="left"/>
      <w:pPr>
        <w:ind w:left="6635" w:hanging="360"/>
      </w:pPr>
      <w:rPr>
        <w:rFonts w:hint="default"/>
      </w:rPr>
    </w:lvl>
    <w:lvl w:ilvl="7">
      <w:start w:val="0"/>
      <w:numFmt w:val="bullet"/>
      <w:lvlText w:val="•"/>
      <w:lvlJc w:val="left"/>
      <w:pPr>
        <w:ind w:left="7488" w:hanging="360"/>
      </w:pPr>
      <w:rPr>
        <w:rFonts w:hint="default"/>
      </w:rPr>
    </w:lvl>
    <w:lvl w:ilvl="8">
      <w:start w:val="0"/>
      <w:numFmt w:val="bullet"/>
      <w:lvlText w:val="•"/>
      <w:lvlJc w:val="left"/>
      <w:pPr>
        <w:ind w:left="8341" w:hanging="360"/>
      </w:pPr>
      <w:rPr>
        <w:rFonts w:hint="default"/>
      </w:rPr>
    </w:lvl>
  </w:abstractNum>
  <w:abstractNum w:abstractNumId="5">
    <w:multiLevelType w:val="hybridMultilevel"/>
    <w:lvl w:ilvl="0">
      <w:start w:val="1"/>
      <w:numFmt w:val="lowerLetter"/>
      <w:lvlText w:val="%1)"/>
      <w:lvlJc w:val="left"/>
      <w:pPr>
        <w:ind w:left="1877" w:hanging="348"/>
        <w:jc w:val="left"/>
      </w:pPr>
      <w:rPr>
        <w:rFonts w:hint="default" w:ascii="Times New Roman" w:hAnsi="Times New Roman" w:eastAsia="Times New Roman" w:cs="Times New Roman"/>
        <w:spacing w:val="-18"/>
        <w:w w:val="99"/>
        <w:sz w:val="24"/>
        <w:szCs w:val="24"/>
      </w:rPr>
    </w:lvl>
    <w:lvl w:ilvl="1">
      <w:start w:val="0"/>
      <w:numFmt w:val="bullet"/>
      <w:lvlText w:val="•"/>
      <w:lvlJc w:val="left"/>
      <w:pPr>
        <w:ind w:left="2696" w:hanging="348"/>
      </w:pPr>
      <w:rPr>
        <w:rFonts w:hint="default"/>
      </w:rPr>
    </w:lvl>
    <w:lvl w:ilvl="2">
      <w:start w:val="0"/>
      <w:numFmt w:val="bullet"/>
      <w:lvlText w:val="•"/>
      <w:lvlJc w:val="left"/>
      <w:pPr>
        <w:ind w:left="3513" w:hanging="348"/>
      </w:pPr>
      <w:rPr>
        <w:rFonts w:hint="default"/>
      </w:rPr>
    </w:lvl>
    <w:lvl w:ilvl="3">
      <w:start w:val="0"/>
      <w:numFmt w:val="bullet"/>
      <w:lvlText w:val="•"/>
      <w:lvlJc w:val="left"/>
      <w:pPr>
        <w:ind w:left="4329" w:hanging="348"/>
      </w:pPr>
      <w:rPr>
        <w:rFonts w:hint="default"/>
      </w:rPr>
    </w:lvl>
    <w:lvl w:ilvl="4">
      <w:start w:val="0"/>
      <w:numFmt w:val="bullet"/>
      <w:lvlText w:val="•"/>
      <w:lvlJc w:val="left"/>
      <w:pPr>
        <w:ind w:left="5146" w:hanging="348"/>
      </w:pPr>
      <w:rPr>
        <w:rFonts w:hint="default"/>
      </w:rPr>
    </w:lvl>
    <w:lvl w:ilvl="5">
      <w:start w:val="0"/>
      <w:numFmt w:val="bullet"/>
      <w:lvlText w:val="•"/>
      <w:lvlJc w:val="left"/>
      <w:pPr>
        <w:ind w:left="5963" w:hanging="348"/>
      </w:pPr>
      <w:rPr>
        <w:rFonts w:hint="default"/>
      </w:rPr>
    </w:lvl>
    <w:lvl w:ilvl="6">
      <w:start w:val="0"/>
      <w:numFmt w:val="bullet"/>
      <w:lvlText w:val="•"/>
      <w:lvlJc w:val="left"/>
      <w:pPr>
        <w:ind w:left="6779" w:hanging="348"/>
      </w:pPr>
      <w:rPr>
        <w:rFonts w:hint="default"/>
      </w:rPr>
    </w:lvl>
    <w:lvl w:ilvl="7">
      <w:start w:val="0"/>
      <w:numFmt w:val="bullet"/>
      <w:lvlText w:val="•"/>
      <w:lvlJc w:val="left"/>
      <w:pPr>
        <w:ind w:left="7596" w:hanging="348"/>
      </w:pPr>
      <w:rPr>
        <w:rFonts w:hint="default"/>
      </w:rPr>
    </w:lvl>
    <w:lvl w:ilvl="8">
      <w:start w:val="0"/>
      <w:numFmt w:val="bullet"/>
      <w:lvlText w:val="•"/>
      <w:lvlJc w:val="left"/>
      <w:pPr>
        <w:ind w:left="8413" w:hanging="348"/>
      </w:pPr>
      <w:rPr>
        <w:rFonts w:hint="default"/>
      </w:rPr>
    </w:lvl>
  </w:abstractNum>
  <w:abstractNum w:abstractNumId="4">
    <w:multiLevelType w:val="hybridMultilevel"/>
    <w:lvl w:ilvl="0">
      <w:start w:val="1"/>
      <w:numFmt w:val="lowerLetter"/>
      <w:lvlText w:val="%1)"/>
      <w:lvlJc w:val="left"/>
      <w:pPr>
        <w:ind w:left="1889" w:hanging="348"/>
        <w:jc w:val="left"/>
      </w:pPr>
      <w:rPr>
        <w:rFonts w:hint="default" w:ascii="Times New Roman" w:hAnsi="Times New Roman" w:eastAsia="Times New Roman" w:cs="Times New Roman"/>
        <w:spacing w:val="-18"/>
        <w:w w:val="99"/>
        <w:sz w:val="24"/>
        <w:szCs w:val="24"/>
      </w:rPr>
    </w:lvl>
    <w:lvl w:ilvl="1">
      <w:start w:val="0"/>
      <w:numFmt w:val="bullet"/>
      <w:lvlText w:val="•"/>
      <w:lvlJc w:val="left"/>
      <w:pPr>
        <w:ind w:left="2696" w:hanging="348"/>
      </w:pPr>
      <w:rPr>
        <w:rFonts w:hint="default"/>
      </w:rPr>
    </w:lvl>
    <w:lvl w:ilvl="2">
      <w:start w:val="0"/>
      <w:numFmt w:val="bullet"/>
      <w:lvlText w:val="•"/>
      <w:lvlJc w:val="left"/>
      <w:pPr>
        <w:ind w:left="3513" w:hanging="348"/>
      </w:pPr>
      <w:rPr>
        <w:rFonts w:hint="default"/>
      </w:rPr>
    </w:lvl>
    <w:lvl w:ilvl="3">
      <w:start w:val="0"/>
      <w:numFmt w:val="bullet"/>
      <w:lvlText w:val="•"/>
      <w:lvlJc w:val="left"/>
      <w:pPr>
        <w:ind w:left="4329" w:hanging="348"/>
      </w:pPr>
      <w:rPr>
        <w:rFonts w:hint="default"/>
      </w:rPr>
    </w:lvl>
    <w:lvl w:ilvl="4">
      <w:start w:val="0"/>
      <w:numFmt w:val="bullet"/>
      <w:lvlText w:val="•"/>
      <w:lvlJc w:val="left"/>
      <w:pPr>
        <w:ind w:left="5146" w:hanging="348"/>
      </w:pPr>
      <w:rPr>
        <w:rFonts w:hint="default"/>
      </w:rPr>
    </w:lvl>
    <w:lvl w:ilvl="5">
      <w:start w:val="0"/>
      <w:numFmt w:val="bullet"/>
      <w:lvlText w:val="•"/>
      <w:lvlJc w:val="left"/>
      <w:pPr>
        <w:ind w:left="5963" w:hanging="348"/>
      </w:pPr>
      <w:rPr>
        <w:rFonts w:hint="default"/>
      </w:rPr>
    </w:lvl>
    <w:lvl w:ilvl="6">
      <w:start w:val="0"/>
      <w:numFmt w:val="bullet"/>
      <w:lvlText w:val="•"/>
      <w:lvlJc w:val="left"/>
      <w:pPr>
        <w:ind w:left="6779" w:hanging="348"/>
      </w:pPr>
      <w:rPr>
        <w:rFonts w:hint="default"/>
      </w:rPr>
    </w:lvl>
    <w:lvl w:ilvl="7">
      <w:start w:val="0"/>
      <w:numFmt w:val="bullet"/>
      <w:lvlText w:val="•"/>
      <w:lvlJc w:val="left"/>
      <w:pPr>
        <w:ind w:left="7596" w:hanging="348"/>
      </w:pPr>
      <w:rPr>
        <w:rFonts w:hint="default"/>
      </w:rPr>
    </w:lvl>
    <w:lvl w:ilvl="8">
      <w:start w:val="0"/>
      <w:numFmt w:val="bullet"/>
      <w:lvlText w:val="•"/>
      <w:lvlJc w:val="left"/>
      <w:pPr>
        <w:ind w:left="8413" w:hanging="348"/>
      </w:pPr>
      <w:rPr>
        <w:rFonts w:hint="default"/>
      </w:rPr>
    </w:lvl>
  </w:abstractNum>
  <w:abstractNum w:abstractNumId="2">
    <w:multiLevelType w:val="hybridMultilevel"/>
    <w:lvl w:ilvl="0">
      <w:start w:val="1"/>
      <w:numFmt w:val="lowerLetter"/>
      <w:lvlText w:val="%1)"/>
      <w:lvlJc w:val="left"/>
      <w:pPr>
        <w:ind w:left="1889" w:hanging="348"/>
        <w:jc w:val="left"/>
      </w:pPr>
      <w:rPr>
        <w:rFonts w:hint="default" w:ascii="Times New Roman" w:hAnsi="Times New Roman" w:eastAsia="Times New Roman" w:cs="Times New Roman"/>
        <w:spacing w:val="-18"/>
        <w:w w:val="99"/>
        <w:sz w:val="24"/>
        <w:szCs w:val="24"/>
      </w:rPr>
    </w:lvl>
    <w:lvl w:ilvl="1">
      <w:start w:val="0"/>
      <w:numFmt w:val="bullet"/>
      <w:lvlText w:val="•"/>
      <w:lvlJc w:val="left"/>
      <w:pPr>
        <w:ind w:left="2696" w:hanging="348"/>
      </w:pPr>
      <w:rPr>
        <w:rFonts w:hint="default"/>
      </w:rPr>
    </w:lvl>
    <w:lvl w:ilvl="2">
      <w:start w:val="0"/>
      <w:numFmt w:val="bullet"/>
      <w:lvlText w:val="•"/>
      <w:lvlJc w:val="left"/>
      <w:pPr>
        <w:ind w:left="3513" w:hanging="348"/>
      </w:pPr>
      <w:rPr>
        <w:rFonts w:hint="default"/>
      </w:rPr>
    </w:lvl>
    <w:lvl w:ilvl="3">
      <w:start w:val="0"/>
      <w:numFmt w:val="bullet"/>
      <w:lvlText w:val="•"/>
      <w:lvlJc w:val="left"/>
      <w:pPr>
        <w:ind w:left="4329" w:hanging="348"/>
      </w:pPr>
      <w:rPr>
        <w:rFonts w:hint="default"/>
      </w:rPr>
    </w:lvl>
    <w:lvl w:ilvl="4">
      <w:start w:val="0"/>
      <w:numFmt w:val="bullet"/>
      <w:lvlText w:val="•"/>
      <w:lvlJc w:val="left"/>
      <w:pPr>
        <w:ind w:left="5146" w:hanging="348"/>
      </w:pPr>
      <w:rPr>
        <w:rFonts w:hint="default"/>
      </w:rPr>
    </w:lvl>
    <w:lvl w:ilvl="5">
      <w:start w:val="0"/>
      <w:numFmt w:val="bullet"/>
      <w:lvlText w:val="•"/>
      <w:lvlJc w:val="left"/>
      <w:pPr>
        <w:ind w:left="5963" w:hanging="348"/>
      </w:pPr>
      <w:rPr>
        <w:rFonts w:hint="default"/>
      </w:rPr>
    </w:lvl>
    <w:lvl w:ilvl="6">
      <w:start w:val="0"/>
      <w:numFmt w:val="bullet"/>
      <w:lvlText w:val="•"/>
      <w:lvlJc w:val="left"/>
      <w:pPr>
        <w:ind w:left="6779" w:hanging="348"/>
      </w:pPr>
      <w:rPr>
        <w:rFonts w:hint="default"/>
      </w:rPr>
    </w:lvl>
    <w:lvl w:ilvl="7">
      <w:start w:val="0"/>
      <w:numFmt w:val="bullet"/>
      <w:lvlText w:val="•"/>
      <w:lvlJc w:val="left"/>
      <w:pPr>
        <w:ind w:left="7596" w:hanging="348"/>
      </w:pPr>
      <w:rPr>
        <w:rFonts w:hint="default"/>
      </w:rPr>
    </w:lvl>
    <w:lvl w:ilvl="8">
      <w:start w:val="0"/>
      <w:numFmt w:val="bullet"/>
      <w:lvlText w:val="•"/>
      <w:lvlJc w:val="left"/>
      <w:pPr>
        <w:ind w:left="8413" w:hanging="348"/>
      </w:pPr>
      <w:rPr>
        <w:rFonts w:hint="default"/>
      </w:rPr>
    </w:lvl>
  </w:abstractNum>
  <w:abstractNum w:abstractNumId="1">
    <w:multiLevelType w:val="hybridMultilevel"/>
    <w:lvl w:ilvl="0">
      <w:start w:val="16"/>
      <w:numFmt w:val="decimal"/>
      <w:lvlText w:val="%1."/>
      <w:lvlJc w:val="left"/>
      <w:pPr>
        <w:ind w:left="900" w:hanging="440"/>
        <w:jc w:val="left"/>
      </w:pPr>
      <w:rPr>
        <w:rFonts w:hint="default" w:ascii="Times New Roman" w:hAnsi="Times New Roman" w:eastAsia="Times New Roman" w:cs="Times New Roman"/>
        <w:w w:val="100"/>
        <w:sz w:val="22"/>
        <w:szCs w:val="22"/>
      </w:rPr>
    </w:lvl>
    <w:lvl w:ilvl="1">
      <w:start w:val="1"/>
      <w:numFmt w:val="decimal"/>
      <w:lvlText w:val="%2."/>
      <w:lvlJc w:val="left"/>
      <w:pPr>
        <w:ind w:left="1244" w:hanging="281"/>
        <w:jc w:val="left"/>
      </w:pPr>
      <w:rPr>
        <w:rFonts w:hint="default" w:ascii="Times New Roman" w:hAnsi="Times New Roman" w:eastAsia="Times New Roman" w:cs="Times New Roman"/>
        <w:b/>
        <w:bCs/>
        <w:spacing w:val="-20"/>
        <w:w w:val="99"/>
        <w:sz w:val="24"/>
        <w:szCs w:val="24"/>
      </w:rPr>
    </w:lvl>
    <w:lvl w:ilvl="2">
      <w:start w:val="1"/>
      <w:numFmt w:val="lowerLetter"/>
      <w:lvlText w:val="%3)"/>
      <w:lvlJc w:val="left"/>
      <w:pPr>
        <w:ind w:left="1889" w:hanging="348"/>
        <w:jc w:val="left"/>
      </w:pPr>
      <w:rPr>
        <w:rFonts w:hint="default" w:ascii="Times New Roman" w:hAnsi="Times New Roman" w:eastAsia="Times New Roman" w:cs="Times New Roman"/>
        <w:spacing w:val="-25"/>
        <w:w w:val="99"/>
        <w:sz w:val="24"/>
        <w:szCs w:val="24"/>
      </w:rPr>
    </w:lvl>
    <w:lvl w:ilvl="3">
      <w:start w:val="0"/>
      <w:numFmt w:val="bullet"/>
      <w:lvlText w:val="•"/>
      <w:lvlJc w:val="left"/>
      <w:pPr>
        <w:ind w:left="2900" w:hanging="348"/>
      </w:pPr>
      <w:rPr>
        <w:rFonts w:hint="default"/>
      </w:rPr>
    </w:lvl>
    <w:lvl w:ilvl="4">
      <w:start w:val="0"/>
      <w:numFmt w:val="bullet"/>
      <w:lvlText w:val="•"/>
      <w:lvlJc w:val="left"/>
      <w:pPr>
        <w:ind w:left="3921" w:hanging="348"/>
      </w:pPr>
      <w:rPr>
        <w:rFonts w:hint="default"/>
      </w:rPr>
    </w:lvl>
    <w:lvl w:ilvl="5">
      <w:start w:val="0"/>
      <w:numFmt w:val="bullet"/>
      <w:lvlText w:val="•"/>
      <w:lvlJc w:val="left"/>
      <w:pPr>
        <w:ind w:left="4942" w:hanging="348"/>
      </w:pPr>
      <w:rPr>
        <w:rFonts w:hint="default"/>
      </w:rPr>
    </w:lvl>
    <w:lvl w:ilvl="6">
      <w:start w:val="0"/>
      <w:numFmt w:val="bullet"/>
      <w:lvlText w:val="•"/>
      <w:lvlJc w:val="left"/>
      <w:pPr>
        <w:ind w:left="5963" w:hanging="348"/>
      </w:pPr>
      <w:rPr>
        <w:rFonts w:hint="default"/>
      </w:rPr>
    </w:lvl>
    <w:lvl w:ilvl="7">
      <w:start w:val="0"/>
      <w:numFmt w:val="bullet"/>
      <w:lvlText w:val="•"/>
      <w:lvlJc w:val="left"/>
      <w:pPr>
        <w:ind w:left="6984" w:hanging="348"/>
      </w:pPr>
      <w:rPr>
        <w:rFonts w:hint="default"/>
      </w:rPr>
    </w:lvl>
    <w:lvl w:ilvl="8">
      <w:start w:val="0"/>
      <w:numFmt w:val="bullet"/>
      <w:lvlText w:val="•"/>
      <w:lvlJc w:val="left"/>
      <w:pPr>
        <w:ind w:left="8004" w:hanging="348"/>
      </w:pPr>
      <w:rPr>
        <w:rFonts w:hint="default"/>
      </w:rPr>
    </w:lvl>
  </w:abstractNum>
  <w:abstractNum w:abstractNumId="0">
    <w:multiLevelType w:val="hybridMultilevel"/>
    <w:lvl w:ilvl="0">
      <w:start w:val="1"/>
      <w:numFmt w:val="decimal"/>
      <w:lvlText w:val="%1."/>
      <w:lvlJc w:val="left"/>
      <w:pPr>
        <w:ind w:left="462" w:hanging="440"/>
        <w:jc w:val="left"/>
      </w:pPr>
      <w:rPr>
        <w:rFonts w:hint="default" w:ascii="Times New Roman" w:hAnsi="Times New Roman" w:eastAsia="Times New Roman" w:cs="Times New Roman"/>
        <w:w w:val="100"/>
        <w:sz w:val="22"/>
        <w:szCs w:val="22"/>
      </w:rPr>
    </w:lvl>
    <w:lvl w:ilvl="1">
      <w:start w:val="1"/>
      <w:numFmt w:val="upperLetter"/>
      <w:lvlText w:val="%2."/>
      <w:lvlJc w:val="left"/>
      <w:pPr>
        <w:ind w:left="951" w:hanging="269"/>
        <w:jc w:val="left"/>
      </w:pPr>
      <w:rPr>
        <w:rFonts w:hint="default" w:ascii="Times New Roman" w:hAnsi="Times New Roman" w:eastAsia="Times New Roman" w:cs="Times New Roman"/>
        <w:spacing w:val="-2"/>
        <w:w w:val="100"/>
        <w:sz w:val="22"/>
        <w:szCs w:val="22"/>
      </w:rPr>
    </w:lvl>
    <w:lvl w:ilvl="2">
      <w:start w:val="0"/>
      <w:numFmt w:val="bullet"/>
      <w:lvlText w:val="•"/>
      <w:lvlJc w:val="left"/>
      <w:pPr>
        <w:ind w:left="1969" w:hanging="269"/>
      </w:pPr>
      <w:rPr>
        <w:rFonts w:hint="default"/>
      </w:rPr>
    </w:lvl>
    <w:lvl w:ilvl="3">
      <w:start w:val="0"/>
      <w:numFmt w:val="bullet"/>
      <w:lvlText w:val="•"/>
      <w:lvlJc w:val="left"/>
      <w:pPr>
        <w:ind w:left="2979" w:hanging="269"/>
      </w:pPr>
      <w:rPr>
        <w:rFonts w:hint="default"/>
      </w:rPr>
    </w:lvl>
    <w:lvl w:ilvl="4">
      <w:start w:val="0"/>
      <w:numFmt w:val="bullet"/>
      <w:lvlText w:val="•"/>
      <w:lvlJc w:val="left"/>
      <w:pPr>
        <w:ind w:left="3988" w:hanging="269"/>
      </w:pPr>
      <w:rPr>
        <w:rFonts w:hint="default"/>
      </w:rPr>
    </w:lvl>
    <w:lvl w:ilvl="5">
      <w:start w:val="0"/>
      <w:numFmt w:val="bullet"/>
      <w:lvlText w:val="•"/>
      <w:lvlJc w:val="left"/>
      <w:pPr>
        <w:ind w:left="4998" w:hanging="269"/>
      </w:pPr>
      <w:rPr>
        <w:rFonts w:hint="default"/>
      </w:rPr>
    </w:lvl>
    <w:lvl w:ilvl="6">
      <w:start w:val="0"/>
      <w:numFmt w:val="bullet"/>
      <w:lvlText w:val="•"/>
      <w:lvlJc w:val="left"/>
      <w:pPr>
        <w:ind w:left="6008" w:hanging="269"/>
      </w:pPr>
      <w:rPr>
        <w:rFonts w:hint="default"/>
      </w:rPr>
    </w:lvl>
    <w:lvl w:ilvl="7">
      <w:start w:val="0"/>
      <w:numFmt w:val="bullet"/>
      <w:lvlText w:val="•"/>
      <w:lvlJc w:val="left"/>
      <w:pPr>
        <w:ind w:left="7017" w:hanging="269"/>
      </w:pPr>
      <w:rPr>
        <w:rFonts w:hint="default"/>
      </w:rPr>
    </w:lvl>
    <w:lvl w:ilvl="8">
      <w:start w:val="0"/>
      <w:numFmt w:val="bullet"/>
      <w:lvlText w:val="•"/>
      <w:lvlJc w:val="left"/>
      <w:pPr>
        <w:ind w:left="8027" w:hanging="269"/>
      </w:pPr>
      <w:rPr>
        <w:rFonts w:hint="default"/>
      </w:rPr>
    </w:lvl>
  </w:abstractNum>
  <w:num w:numId="4">
    <w:abstractNumId w:val="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296"/>
      <w:ind w:left="901" w:hanging="439"/>
    </w:pPr>
    <w:rPr>
      <w:rFonts w:ascii="Times New Roman" w:hAnsi="Times New Roman" w:eastAsia="Times New Roman" w:cs="Times New Roman"/>
      <w:sz w:val="22"/>
      <w:szCs w:val="22"/>
    </w:rPr>
  </w:style>
  <w:style w:styleId="TOC2" w:type="paragraph">
    <w:name w:val="TOC 2"/>
    <w:basedOn w:val="Normal"/>
    <w:uiPriority w:val="1"/>
    <w:qFormat/>
    <w:pPr>
      <w:spacing w:before="255"/>
      <w:ind w:left="940" w:hanging="269"/>
    </w:pPr>
    <w:rPr>
      <w:rFonts w:ascii="Times New Roman" w:hAnsi="Times New Roman" w:eastAsia="Times New Roman" w:cs="Times New Roman"/>
      <w:sz w:val="22"/>
      <w:szCs w:val="22"/>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ind w:left="1244"/>
      <w:outlineLvl w:val="1"/>
    </w:pPr>
    <w:rPr>
      <w:rFonts w:ascii="Times New Roman" w:hAnsi="Times New Roman" w:eastAsia="Times New Roman" w:cs="Times New Roman"/>
      <w:b/>
      <w:bCs/>
      <w:sz w:val="24"/>
      <w:szCs w:val="24"/>
    </w:rPr>
  </w:style>
  <w:style w:styleId="ListParagraph" w:type="paragraph">
    <w:name w:val="List Paragraph"/>
    <w:basedOn w:val="Normal"/>
    <w:uiPriority w:val="1"/>
    <w:qFormat/>
    <w:pPr>
      <w:ind w:left="461" w:hanging="360"/>
    </w:pPr>
    <w:rPr>
      <w:rFonts w:ascii="Times New Roman" w:hAnsi="Times New Roman" w:eastAsia="Times New Roman" w:cs="Times New Roman"/>
    </w:rPr>
  </w:style>
  <w:style w:styleId="TableParagraph" w:type="paragraph">
    <w:name w:val="Table Paragraph"/>
    <w:basedOn w:val="Normal"/>
    <w:uiPriority w:val="1"/>
    <w:qFormat/>
    <w:pPr>
      <w:ind w:left="107"/>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hyperlink" Target="http://www.saude.gov.br/bvs" TargetMode="External"/><Relationship Id="rId7" Type="http://schemas.openxmlformats.org/officeDocument/2006/relationships/hyperlink" Target="mailto:altacomplexidade@saude.gov.br" TargetMode="External"/><Relationship Id="rId8" Type="http://schemas.openxmlformats.org/officeDocument/2006/relationships/hyperlink" Target="http://www.saude.gov.br/sas" TargetMode="External"/><Relationship Id="rId9" Type="http://schemas.openxmlformats.org/officeDocument/2006/relationships/image" Target="media/image1.jpeg"/><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datasus</dc:creator>
  <dcterms:created xsi:type="dcterms:W3CDTF">2019-07-19T13:29:43Z</dcterms:created>
  <dcterms:modified xsi:type="dcterms:W3CDTF">2019-07-19T13:29:43Z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2014-03-24T00:00:00Z</vt:filetime>
  </property>
  <property fmtid="{D5CDD505-2E9C-101B-9397-08002B2CF9AE}" pid="3" name="Creator">
    <vt:lpwstr>Acrobat PDFMaker 10.1 for Word</vt:lpwstr>
  </property>
  <property fmtid="{D5CDD505-2E9C-101B-9397-08002B2CF9AE}" pid="4" name="LastSaved">
    <vt:filetime>2019-07-19T00:00:00Z</vt:filetime>
  </property>
</Properties>
</file>