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69" w:rsidRDefault="00DC0F69" w:rsidP="00DC0F69">
      <w:pPr>
        <w:pStyle w:val="Corpodetexto"/>
        <w:spacing w:before="82"/>
        <w:ind w:right="3875"/>
      </w:pPr>
      <w:bookmarkStart w:id="0" w:name="_GoBack"/>
      <w:bookmarkEnd w:id="0"/>
      <w:r>
        <w:rPr>
          <w:noProof/>
          <w:lang w:bidi="ar-SA"/>
        </w:rPr>
        <w:drawing>
          <wp:inline distT="0" distB="0" distL="0" distR="0" wp14:anchorId="10EA9717" wp14:editId="12B2FA9E">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A94DA2" w:rsidRDefault="00DC0F69">
      <w:pPr>
        <w:pStyle w:val="Corpodetexto"/>
        <w:spacing w:before="82"/>
        <w:ind w:left="3857" w:right="3875"/>
        <w:jc w:val="center"/>
      </w:pPr>
      <w:r>
        <w:t>A</w:t>
      </w:r>
      <w:r>
        <w:t>NEXO</w:t>
      </w:r>
    </w:p>
    <w:p w:rsidR="00A94DA2" w:rsidRDefault="00A94DA2">
      <w:pPr>
        <w:pStyle w:val="Corpodetexto"/>
        <w:spacing w:before="2"/>
        <w:ind w:left="0"/>
        <w:jc w:val="left"/>
      </w:pPr>
    </w:p>
    <w:p w:rsidR="00A94DA2" w:rsidRDefault="00DC0F69">
      <w:pPr>
        <w:spacing w:line="183" w:lineRule="exact"/>
        <w:ind w:left="3859" w:right="3875"/>
        <w:jc w:val="center"/>
        <w:rPr>
          <w:sz w:val="13"/>
        </w:rPr>
      </w:pPr>
      <w:r>
        <w:rPr>
          <w:sz w:val="16"/>
        </w:rPr>
        <w:t>P</w:t>
      </w:r>
      <w:r>
        <w:rPr>
          <w:sz w:val="13"/>
        </w:rPr>
        <w:t>ROTOCOLO CLÍNICO E DIRETRIZES TERAPÊUTICAS</w:t>
      </w:r>
    </w:p>
    <w:p w:rsidR="00A94DA2" w:rsidRDefault="00DC0F69">
      <w:pPr>
        <w:spacing w:line="183" w:lineRule="exact"/>
        <w:ind w:left="3860" w:right="3875"/>
        <w:jc w:val="center"/>
        <w:rPr>
          <w:sz w:val="13"/>
        </w:rPr>
      </w:pPr>
      <w:r>
        <w:rPr>
          <w:sz w:val="16"/>
        </w:rPr>
        <w:t>I</w:t>
      </w:r>
      <w:r>
        <w:rPr>
          <w:sz w:val="13"/>
        </w:rPr>
        <w:t>MUNOSSUPRESSÃO NO TRANSPLANTE RENAL</w:t>
      </w:r>
    </w:p>
    <w:p w:rsidR="00A94DA2" w:rsidRDefault="00A94DA2">
      <w:pPr>
        <w:pStyle w:val="Corpodetexto"/>
        <w:spacing w:before="2"/>
        <w:ind w:left="0"/>
        <w:jc w:val="left"/>
      </w:pPr>
    </w:p>
    <w:p w:rsidR="00A94DA2" w:rsidRDefault="00DC0F69">
      <w:pPr>
        <w:pStyle w:val="PargrafodaLista"/>
        <w:numPr>
          <w:ilvl w:val="0"/>
          <w:numId w:val="9"/>
        </w:numPr>
        <w:tabs>
          <w:tab w:val="left" w:pos="253"/>
        </w:tabs>
        <w:spacing w:line="183" w:lineRule="exact"/>
        <w:ind w:hanging="146"/>
        <w:jc w:val="both"/>
        <w:rPr>
          <w:sz w:val="13"/>
        </w:rPr>
      </w:pPr>
      <w:r>
        <w:rPr>
          <w:sz w:val="16"/>
        </w:rPr>
        <w:t>M</w:t>
      </w:r>
      <w:r>
        <w:rPr>
          <w:sz w:val="13"/>
        </w:rPr>
        <w:t>ETODOLOGIA DE BUSCA E AVALIAÇÃO DA</w:t>
      </w:r>
      <w:r>
        <w:rPr>
          <w:spacing w:val="-2"/>
          <w:sz w:val="13"/>
        </w:rPr>
        <w:t xml:space="preserve"> </w:t>
      </w:r>
      <w:r>
        <w:rPr>
          <w:sz w:val="13"/>
        </w:rPr>
        <w:t>LITERATURA</w:t>
      </w:r>
    </w:p>
    <w:p w:rsidR="00A94DA2" w:rsidRDefault="00DC0F69">
      <w:pPr>
        <w:pStyle w:val="Corpodetexto"/>
        <w:spacing w:line="183" w:lineRule="exact"/>
      </w:pPr>
      <w:r>
        <w:t>Em 22 de março de 2012 foram efetuadas buscas nas bases de dados Medline/Pubmed, Embase e Cochrane.</w:t>
      </w:r>
    </w:p>
    <w:p w:rsidR="00A94DA2" w:rsidRDefault="00DC0F69">
      <w:pPr>
        <w:pStyle w:val="Corpodetexto"/>
        <w:spacing w:before="1"/>
        <w:ind w:right="121"/>
      </w:pPr>
      <w:r>
        <w:t xml:space="preserve">Na base de dados Medline/Pubmed, foram utilizados os termos “Kidney Transplantation”[Mesh] AND “Immunosuppression”[Mesh]. A busca, não restrita </w:t>
      </w:r>
      <w:r>
        <w:t>para data, foi limitada para estudos em humanos e para ensaios clínicos randomizados e meta-análises, resultando em 212 artigos.</w:t>
      </w:r>
    </w:p>
    <w:p w:rsidR="00A94DA2" w:rsidRDefault="00DC0F69">
      <w:pPr>
        <w:pStyle w:val="Corpodetexto"/>
        <w:ind w:right="119"/>
      </w:pPr>
      <w:r>
        <w:t>Na</w:t>
      </w:r>
      <w:r>
        <w:t xml:space="preserve"> </w:t>
      </w:r>
      <w:r>
        <w:t>base</w:t>
      </w:r>
      <w:r>
        <w:t xml:space="preserve"> </w:t>
      </w:r>
      <w:r>
        <w:t>de</w:t>
      </w:r>
      <w:r>
        <w:t xml:space="preserve"> </w:t>
      </w:r>
      <w:r>
        <w:t>dados</w:t>
      </w:r>
      <w:r>
        <w:t xml:space="preserve"> </w:t>
      </w:r>
      <w:r>
        <w:t>Embase,</w:t>
      </w:r>
      <w:r>
        <w:t xml:space="preserve"> </w:t>
      </w:r>
      <w:r>
        <w:t>utilizando-se</w:t>
      </w:r>
      <w:r>
        <w:t xml:space="preserve"> </w:t>
      </w:r>
      <w:r>
        <w:t>os</w:t>
      </w:r>
      <w:r>
        <w:t xml:space="preserve"> </w:t>
      </w:r>
      <w:r>
        <w:t>termos</w:t>
      </w:r>
      <w:r>
        <w:t xml:space="preserve"> </w:t>
      </w:r>
      <w:r>
        <w:rPr>
          <w:w w:val="75"/>
        </w:rPr>
        <w:t>„</w:t>
      </w:r>
      <w:r>
        <w:t>kidney</w:t>
      </w:r>
      <w:r>
        <w:t xml:space="preserve"> </w:t>
      </w:r>
      <w:r>
        <w:t>transplantation</w:t>
      </w:r>
      <w:r>
        <w:rPr>
          <w:w w:val="43"/>
        </w:rPr>
        <w:t>‟</w:t>
      </w:r>
      <w:r>
        <w:t>/exp</w:t>
      </w:r>
      <w:r>
        <w:t xml:space="preserve"> </w:t>
      </w:r>
      <w:r>
        <w:t>AND</w:t>
      </w:r>
      <w:r>
        <w:t xml:space="preserve"> </w:t>
      </w:r>
      <w:r>
        <w:rPr>
          <w:w w:val="75"/>
        </w:rPr>
        <w:t>„</w:t>
      </w:r>
      <w:r>
        <w:t>immunosuppressive</w:t>
      </w:r>
      <w:r>
        <w:t xml:space="preserve"> </w:t>
      </w:r>
      <w:r>
        <w:t>treatment</w:t>
      </w:r>
      <w:r>
        <w:rPr>
          <w:w w:val="43"/>
        </w:rPr>
        <w:t>‟</w:t>
      </w:r>
      <w:r>
        <w:t>/exp,</w:t>
      </w:r>
      <w:r>
        <w:t xml:space="preserve"> </w:t>
      </w:r>
      <w:r>
        <w:t>a</w:t>
      </w:r>
      <w:r>
        <w:t xml:space="preserve"> </w:t>
      </w:r>
      <w:r>
        <w:t>busca,</w:t>
      </w:r>
      <w:r>
        <w:t xml:space="preserve"> </w:t>
      </w:r>
      <w:r>
        <w:t>n</w:t>
      </w:r>
      <w:r>
        <w:t>ão</w:t>
      </w:r>
      <w:r>
        <w:t xml:space="preserve"> </w:t>
      </w:r>
      <w:r>
        <w:t>restrita</w:t>
      </w:r>
      <w:r>
        <w:t xml:space="preserve"> </w:t>
      </w:r>
      <w:r>
        <w:t>para</w:t>
      </w:r>
      <w:r>
        <w:t xml:space="preserve"> </w:t>
      </w:r>
      <w:r>
        <w:t>data</w:t>
      </w:r>
      <w:r>
        <w:t xml:space="preserve"> </w:t>
      </w:r>
      <w:r>
        <w:t>e</w:t>
      </w:r>
      <w:r>
        <w:t xml:space="preserve"> </w:t>
      </w:r>
      <w:r>
        <w:t>limitada</w:t>
      </w:r>
      <w:r>
        <w:t xml:space="preserve"> </w:t>
      </w:r>
      <w:r>
        <w:t xml:space="preserve">para </w:t>
      </w:r>
      <w:r>
        <w:t>ensaios clínicos randomizados em humanos e meta-análises, identificou 178 artigos.</w:t>
      </w:r>
    </w:p>
    <w:p w:rsidR="00A94DA2" w:rsidRDefault="00DC0F69">
      <w:pPr>
        <w:pStyle w:val="Corpodetexto"/>
        <w:spacing w:before="1"/>
        <w:ind w:right="120"/>
      </w:pPr>
      <w:r>
        <w:t>Os artigos provenientes destas buscas foram revisados individualmente, tendo sido incluídos neste Protocolo os com desfechos clínicos r</w:t>
      </w:r>
      <w:r>
        <w:t>elevantes (taxas de rejeição aguda e crônica e de sobrevida do paciente ou do</w:t>
      </w:r>
      <w:r>
        <w:rPr>
          <w:spacing w:val="-14"/>
        </w:rPr>
        <w:t xml:space="preserve"> </w:t>
      </w:r>
      <w:r>
        <w:t>enxerto).</w:t>
      </w:r>
    </w:p>
    <w:p w:rsidR="00A94DA2" w:rsidRDefault="00DC0F69">
      <w:pPr>
        <w:pStyle w:val="Corpodetexto"/>
        <w:ind w:right="121"/>
      </w:pPr>
      <w:r>
        <w:rPr>
          <w:spacing w:val="-1"/>
        </w:rPr>
        <w:t>N</w:t>
      </w:r>
      <w:r>
        <w:t>a</w:t>
      </w:r>
      <w:r>
        <w:t xml:space="preserve">  </w:t>
      </w:r>
      <w:r>
        <w:t>b</w:t>
      </w:r>
      <w:r>
        <w:rPr>
          <w:spacing w:val="-2"/>
        </w:rPr>
        <w:t>a</w:t>
      </w:r>
      <w:r>
        <w:rPr>
          <w:spacing w:val="-1"/>
        </w:rPr>
        <w:t>s</w:t>
      </w:r>
      <w:r>
        <w:t>e</w:t>
      </w:r>
      <w:r>
        <w:t xml:space="preserve">  </w:t>
      </w:r>
      <w:r>
        <w:t>de</w:t>
      </w:r>
      <w:r>
        <w:t xml:space="preserve">  </w:t>
      </w:r>
      <w:r>
        <w:t>d</w:t>
      </w:r>
      <w:r>
        <w:rPr>
          <w:spacing w:val="-2"/>
        </w:rPr>
        <w:t>a</w:t>
      </w:r>
      <w:r>
        <w:t>d</w:t>
      </w:r>
      <w:r>
        <w:rPr>
          <w:spacing w:val="-2"/>
        </w:rPr>
        <w:t>o</w:t>
      </w:r>
      <w:r>
        <w:t>s</w:t>
      </w:r>
      <w:r>
        <w:t xml:space="preserve">  </w:t>
      </w:r>
      <w:r>
        <w:t>C</w:t>
      </w:r>
      <w:r>
        <w:rPr>
          <w:spacing w:val="-4"/>
        </w:rPr>
        <w:t>o</w:t>
      </w:r>
      <w:r>
        <w:t>ch</w:t>
      </w:r>
      <w:r>
        <w:rPr>
          <w:spacing w:val="-1"/>
        </w:rPr>
        <w:t>r</w:t>
      </w:r>
      <w:r>
        <w:rPr>
          <w:spacing w:val="-2"/>
        </w:rPr>
        <w:t>a</w:t>
      </w:r>
      <w:r>
        <w:t>n</w:t>
      </w:r>
      <w:r>
        <w:rPr>
          <w:spacing w:val="-2"/>
        </w:rPr>
        <w:t>e</w:t>
      </w:r>
      <w:r>
        <w:t>,</w:t>
      </w:r>
      <w:r>
        <w:t xml:space="preserve">  </w:t>
      </w:r>
      <w:r>
        <w:t>f</w:t>
      </w:r>
      <w:r>
        <w:rPr>
          <w:spacing w:val="-2"/>
        </w:rPr>
        <w:t>o</w:t>
      </w:r>
      <w:r>
        <w:t>i</w:t>
      </w:r>
      <w:r>
        <w:t xml:space="preserve">  </w:t>
      </w:r>
      <w:r>
        <w:t>r</w:t>
      </w:r>
      <w:r>
        <w:rPr>
          <w:spacing w:val="-2"/>
        </w:rPr>
        <w:t>e</w:t>
      </w:r>
      <w:r>
        <w:t>a</w:t>
      </w:r>
      <w:r>
        <w:rPr>
          <w:spacing w:val="-2"/>
        </w:rPr>
        <w:t>l</w:t>
      </w:r>
      <w:r>
        <w:t>i</w:t>
      </w:r>
      <w:r>
        <w:rPr>
          <w:spacing w:val="-2"/>
        </w:rPr>
        <w:t>z</w:t>
      </w:r>
      <w:r>
        <w:t>ada</w:t>
      </w:r>
      <w:r>
        <w:t xml:space="preserve">  </w:t>
      </w:r>
      <w:r>
        <w:rPr>
          <w:spacing w:val="-2"/>
        </w:rPr>
        <w:t>b</w:t>
      </w:r>
      <w:r>
        <w:t>u</w:t>
      </w:r>
      <w:r>
        <w:rPr>
          <w:spacing w:val="-1"/>
        </w:rPr>
        <w:t>s</w:t>
      </w:r>
      <w:r>
        <w:rPr>
          <w:spacing w:val="-2"/>
        </w:rPr>
        <w:t>c</w:t>
      </w:r>
      <w:r>
        <w:t>a</w:t>
      </w:r>
      <w:r>
        <w:t xml:space="preserve">  </w:t>
      </w:r>
      <w:r>
        <w:t>c</w:t>
      </w:r>
      <w:r>
        <w:rPr>
          <w:spacing w:val="-2"/>
        </w:rPr>
        <w:t>o</w:t>
      </w:r>
      <w:r>
        <w:t>m</w:t>
      </w:r>
      <w:r>
        <w:t xml:space="preserve">  </w:t>
      </w:r>
      <w:r>
        <w:t>o</w:t>
      </w:r>
      <w:r>
        <w:t xml:space="preserve">  </w:t>
      </w:r>
      <w:r>
        <w:t>t</w:t>
      </w:r>
      <w:r>
        <w:rPr>
          <w:spacing w:val="-2"/>
        </w:rPr>
        <w:t>e</w:t>
      </w:r>
      <w:r>
        <w:rPr>
          <w:spacing w:val="-1"/>
        </w:rPr>
        <w:t>r</w:t>
      </w:r>
      <w:r>
        <w:t>mo</w:t>
      </w:r>
      <w:r>
        <w:t xml:space="preserve">  </w:t>
      </w:r>
      <w:r>
        <w:rPr>
          <w:spacing w:val="-1"/>
          <w:w w:val="75"/>
        </w:rPr>
        <w:t>„</w:t>
      </w:r>
      <w:r>
        <w:rPr>
          <w:spacing w:val="-2"/>
        </w:rPr>
        <w:t>k</w:t>
      </w:r>
      <w:r>
        <w:t>i</w:t>
      </w:r>
      <w:r>
        <w:rPr>
          <w:spacing w:val="-2"/>
        </w:rPr>
        <w:t>d</w:t>
      </w:r>
      <w:r>
        <w:t>n</w:t>
      </w:r>
      <w:r>
        <w:rPr>
          <w:spacing w:val="-2"/>
        </w:rPr>
        <w:t>e</w:t>
      </w:r>
      <w:r>
        <w:t>y</w:t>
      </w:r>
      <w:r>
        <w:t xml:space="preserve">  </w:t>
      </w:r>
      <w:r>
        <w:t>t</w:t>
      </w:r>
      <w:r>
        <w:rPr>
          <w:spacing w:val="-1"/>
        </w:rPr>
        <w:t>r</w:t>
      </w:r>
      <w:r>
        <w:rPr>
          <w:spacing w:val="-2"/>
        </w:rPr>
        <w:t>a</w:t>
      </w:r>
      <w:r>
        <w:t>n</w:t>
      </w:r>
      <w:r>
        <w:rPr>
          <w:spacing w:val="-1"/>
        </w:rPr>
        <w:t>s</w:t>
      </w:r>
      <w:r>
        <w:t>p</w:t>
      </w:r>
      <w:r>
        <w:rPr>
          <w:spacing w:val="-2"/>
        </w:rPr>
        <w:t>la</w:t>
      </w:r>
      <w:r>
        <w:t>n</w:t>
      </w:r>
      <w:r>
        <w:rPr>
          <w:spacing w:val="-2"/>
        </w:rPr>
        <w:t>t</w:t>
      </w:r>
      <w:r>
        <w:t>a</w:t>
      </w:r>
      <w:r>
        <w:rPr>
          <w:spacing w:val="-2"/>
        </w:rPr>
        <w:t>t</w:t>
      </w:r>
      <w:r>
        <w:t>i</w:t>
      </w:r>
      <w:r>
        <w:rPr>
          <w:spacing w:val="-2"/>
        </w:rPr>
        <w:t>o</w:t>
      </w:r>
      <w:r>
        <w:t>n</w:t>
      </w:r>
      <w:r>
        <w:rPr>
          <w:spacing w:val="-1"/>
          <w:w w:val="43"/>
        </w:rPr>
        <w:t>‟</w:t>
      </w:r>
      <w:r>
        <w:t>,</w:t>
      </w:r>
      <w:r>
        <w:t xml:space="preserve">  </w:t>
      </w:r>
      <w:r>
        <w:t>r</w:t>
      </w:r>
      <w:r>
        <w:rPr>
          <w:spacing w:val="-2"/>
        </w:rPr>
        <w:t>e</w:t>
      </w:r>
      <w:r>
        <w:rPr>
          <w:spacing w:val="-1"/>
        </w:rPr>
        <w:t>s</w:t>
      </w:r>
      <w:r>
        <w:t>u</w:t>
      </w:r>
      <w:r>
        <w:rPr>
          <w:spacing w:val="-2"/>
        </w:rPr>
        <w:t>lt</w:t>
      </w:r>
      <w:r>
        <w:t>a</w:t>
      </w:r>
      <w:r>
        <w:rPr>
          <w:spacing w:val="-2"/>
        </w:rPr>
        <w:t>n</w:t>
      </w:r>
      <w:r>
        <w:t>do</w:t>
      </w:r>
      <w:r>
        <w:t xml:space="preserve">  </w:t>
      </w:r>
      <w:r>
        <w:rPr>
          <w:spacing w:val="-2"/>
        </w:rPr>
        <w:t>e</w:t>
      </w:r>
      <w:r>
        <w:t>m</w:t>
      </w:r>
      <w:r>
        <w:t xml:space="preserve">  </w:t>
      </w:r>
      <w:r>
        <w:t>120</w:t>
      </w:r>
      <w:r>
        <w:t xml:space="preserve">  </w:t>
      </w:r>
      <w:r>
        <w:rPr>
          <w:spacing w:val="-1"/>
        </w:rPr>
        <w:t>r</w:t>
      </w:r>
      <w:r>
        <w:rPr>
          <w:spacing w:val="-2"/>
        </w:rPr>
        <w:t>ev</w:t>
      </w:r>
      <w:r>
        <w:t>i</w:t>
      </w:r>
      <w:r>
        <w:rPr>
          <w:spacing w:val="-1"/>
        </w:rPr>
        <w:t>s</w:t>
      </w:r>
      <w:r>
        <w:rPr>
          <w:spacing w:val="-2"/>
        </w:rPr>
        <w:t>õe</w:t>
      </w:r>
      <w:r>
        <w:t>s</w:t>
      </w:r>
      <w:r>
        <w:t xml:space="preserve">  </w:t>
      </w:r>
      <w:r>
        <w:rPr>
          <w:spacing w:val="-1"/>
        </w:rPr>
        <w:t>s</w:t>
      </w:r>
      <w:r>
        <w:t>i</w:t>
      </w:r>
      <w:r>
        <w:rPr>
          <w:spacing w:val="-1"/>
        </w:rPr>
        <w:t>s</w:t>
      </w:r>
      <w:r>
        <w:t>t</w:t>
      </w:r>
      <w:r>
        <w:rPr>
          <w:spacing w:val="-2"/>
        </w:rPr>
        <w:t>e</w:t>
      </w:r>
      <w:r>
        <w:t>má</w:t>
      </w:r>
      <w:r>
        <w:rPr>
          <w:spacing w:val="1"/>
        </w:rPr>
        <w:t>t</w:t>
      </w:r>
      <w:r>
        <w:rPr>
          <w:spacing w:val="-2"/>
        </w:rPr>
        <w:t>i</w:t>
      </w:r>
      <w:r>
        <w:t>ca</w:t>
      </w:r>
      <w:r>
        <w:rPr>
          <w:spacing w:val="-3"/>
        </w:rPr>
        <w:t>s</w:t>
      </w:r>
      <w:r>
        <w:t>.</w:t>
      </w:r>
      <w:r>
        <w:t xml:space="preserve">  </w:t>
      </w:r>
      <w:r>
        <w:rPr>
          <w:spacing w:val="-4"/>
        </w:rPr>
        <w:t>A</w:t>
      </w:r>
      <w:r>
        <w:t>p</w:t>
      </w:r>
      <w:r>
        <w:rPr>
          <w:spacing w:val="-2"/>
        </w:rPr>
        <w:t>e</w:t>
      </w:r>
      <w:r>
        <w:t>nas</w:t>
      </w:r>
      <w:r>
        <w:t xml:space="preserve">  </w:t>
      </w:r>
      <w:r>
        <w:t>3</w:t>
      </w:r>
      <w:r>
        <w:t xml:space="preserve">  </w:t>
      </w:r>
      <w:r>
        <w:rPr>
          <w:spacing w:val="-2"/>
        </w:rPr>
        <w:t>del</w:t>
      </w:r>
      <w:r>
        <w:t>as</w:t>
      </w:r>
      <w:r>
        <w:t xml:space="preserve">  </w:t>
      </w:r>
      <w:r>
        <w:t>se</w:t>
      </w:r>
      <w:r>
        <w:t xml:space="preserve">  </w:t>
      </w:r>
      <w:r>
        <w:rPr>
          <w:spacing w:val="1"/>
        </w:rPr>
        <w:t>r</w:t>
      </w:r>
      <w:r>
        <w:rPr>
          <w:spacing w:val="-2"/>
        </w:rPr>
        <w:t>e</w:t>
      </w:r>
      <w:r>
        <w:rPr>
          <w:spacing w:val="-1"/>
        </w:rPr>
        <w:t>f</w:t>
      </w:r>
      <w:r>
        <w:t>e</w:t>
      </w:r>
      <w:r>
        <w:rPr>
          <w:spacing w:val="-1"/>
        </w:rPr>
        <w:t>r</w:t>
      </w:r>
      <w:r>
        <w:t>iam</w:t>
      </w:r>
      <w:r>
        <w:t xml:space="preserve">  </w:t>
      </w:r>
      <w:r>
        <w:t xml:space="preserve">à </w:t>
      </w:r>
      <w:r>
        <w:t>imunossupressão no transplante renal, tendo sido incluídas neste Protocolo.</w:t>
      </w:r>
    </w:p>
    <w:p w:rsidR="00A94DA2" w:rsidRDefault="00DC0F69">
      <w:pPr>
        <w:pStyle w:val="Corpodetexto"/>
        <w:ind w:right="118"/>
      </w:pPr>
      <w:r>
        <w:t>Em 6/05/2014 foi feita atualização da busca a partir de 22/03/2012, data da revisão bibliográfica da última versão do protocolo publicado em portaria final, com os mesmos</w:t>
      </w:r>
      <w:r>
        <w:t xml:space="preserve"> termos e limites. Na base de dados Medline/Pubmed identificou-se 8 artigos, no Embase 101 artigos e na Cochrane 47 revisões sistemáticas com qualidade avaliada. Nenhum novo artigo foi incluído neste protocolo, por não possuírem desfechos clínicos relevant</w:t>
      </w:r>
      <w:r>
        <w:t>es.</w:t>
      </w:r>
    </w:p>
    <w:p w:rsidR="00A94DA2" w:rsidRDefault="00DC0F69">
      <w:pPr>
        <w:pStyle w:val="Corpodetexto"/>
        <w:ind w:right="122"/>
      </w:pPr>
      <w:r>
        <w:t>Além disso, também foram utilizados para elaboração do protocolo o UpToDate, versão 20.2, e artigos não indexados. Outras referências bibliográficas também foram revisadas, e as identificadas como sendo de interesse na elaboração deste Protocolo, inclu</w:t>
      </w:r>
      <w:r>
        <w:t>ídas.</w:t>
      </w:r>
    </w:p>
    <w:p w:rsidR="00A94DA2" w:rsidRDefault="00A94DA2">
      <w:pPr>
        <w:pStyle w:val="Corpodetexto"/>
        <w:spacing w:before="10"/>
        <w:ind w:left="0"/>
        <w:jc w:val="left"/>
        <w:rPr>
          <w:sz w:val="15"/>
        </w:rPr>
      </w:pPr>
    </w:p>
    <w:p w:rsidR="00A94DA2" w:rsidRDefault="00DC0F69">
      <w:pPr>
        <w:pStyle w:val="PargrafodaLista"/>
        <w:numPr>
          <w:ilvl w:val="0"/>
          <w:numId w:val="9"/>
        </w:numPr>
        <w:tabs>
          <w:tab w:val="left" w:pos="256"/>
        </w:tabs>
        <w:ind w:left="255" w:hanging="149"/>
        <w:jc w:val="both"/>
        <w:rPr>
          <w:sz w:val="13"/>
        </w:rPr>
      </w:pPr>
      <w:r>
        <w:rPr>
          <w:sz w:val="16"/>
        </w:rPr>
        <w:t>I</w:t>
      </w:r>
      <w:r>
        <w:rPr>
          <w:sz w:val="13"/>
        </w:rPr>
        <w:t>NTRODUÇÃO</w:t>
      </w:r>
    </w:p>
    <w:p w:rsidR="00A94DA2" w:rsidRDefault="00DC0F69">
      <w:pPr>
        <w:pStyle w:val="Corpodetexto"/>
        <w:spacing w:before="1"/>
        <w:ind w:right="117"/>
      </w:pPr>
      <w:r>
        <w:t>Transplante é a transferência de células, tecidos ou órgãos vivos de um doador a um receptor com a intenção de manter a integridade funcional do material transplantado no receptor. Seu grande limitador é a rejeição, a qual pode ser mediada por reação celul</w:t>
      </w:r>
      <w:r>
        <w:t>ar ou humoral. O transplante renal é a terapia de substituição renal mais custo- efetiva, como evidencia estudo realizado em nosso país (1).</w:t>
      </w:r>
    </w:p>
    <w:p w:rsidR="00A94DA2" w:rsidRDefault="00DC0F69">
      <w:pPr>
        <w:pStyle w:val="Corpodetexto"/>
        <w:ind w:right="117"/>
      </w:pPr>
      <w:r>
        <w:t>Segundo o DATASUS, foram realizados pelo SUS 3.851 transplantes renais em 2010 e 4.430 em 2011, sem considerar os t</w:t>
      </w:r>
      <w:r>
        <w:t>ransplantes duplos de pâncreas e rim, respectivamente 77 e 123 (2). Pelos dados do Sistema Nacional de Transplantes, em 2013 foram realizados 5.288 de rim e 121 de rim e pâncreas. A partir de dados epidemiológicos internacionais, estima-se que há no Brasil</w:t>
      </w:r>
      <w:r>
        <w:t xml:space="preserve"> um grande contingente de pacientes sensibilizados com anticorpos anti-HLA (antígenos leucocitários humanos). Cerca de 30% dos que aguardam na fila de transplantes são sensibilizados. Do ponto de vista prático, esses pacientes permanecem mais tempo em diál</w:t>
      </w:r>
      <w:r>
        <w:t>ise em virtude das dificuldades de se encontrar um órgão compatível (3).</w:t>
      </w:r>
    </w:p>
    <w:p w:rsidR="00A94DA2" w:rsidRDefault="00DC0F69">
      <w:pPr>
        <w:pStyle w:val="Corpodetexto"/>
        <w:ind w:right="120"/>
      </w:pPr>
      <w:r>
        <w:t>O diagnóstico da doença renal é estabelecido por parâmetros clínicos e laboratoriais. Uma vez firmado o diagnóstico, tornam-se obrigatórias a pesquisa da causa da nefropatia, independ</w:t>
      </w:r>
      <w:r>
        <w:t>entemente da faixa etária do paciente, e a avaliação do grau de comprometimento funcional. Os métodos mais comumente utilizados para estimar a função renal incluem a determinação do nível da creatinina sérica, da depuração da creatinina e da ureia e equaçõ</w:t>
      </w:r>
      <w:r>
        <w:t>es que estimam a função renal baseadas na concentração sérica e urinária da creatinina e da ureia, respectivamente (3, 4).</w:t>
      </w:r>
    </w:p>
    <w:p w:rsidR="00A94DA2" w:rsidRDefault="00DC0F69">
      <w:pPr>
        <w:pStyle w:val="Corpodetexto"/>
        <w:ind w:right="121"/>
      </w:pPr>
      <w:r>
        <w:t xml:space="preserve">A determinação da depuração da creatinina é a mais utilizada. A equação de Cockcroft-Gault permite a estimativa da taxa de filtração </w:t>
      </w:r>
      <w:r>
        <w:t>glomerular (eTFG). A fórmula utilizada (5, 6) é a da depuração de creatinina = [(140-idade) x peso (kg)]/[creatinina sérica (mg/dl) x 72]. Para mulheres, recomenda-se multiplicar o resultado por 0,85 em virtude da menor massa muscular. Além disso, é também</w:t>
      </w:r>
      <w:r>
        <w:t xml:space="preserve"> recomendável ajustar os dados obtidos pela superfície corporal.</w:t>
      </w:r>
    </w:p>
    <w:p w:rsidR="00A94DA2" w:rsidRDefault="00DC0F69">
      <w:pPr>
        <w:pStyle w:val="Corpodetexto"/>
        <w:ind w:right="118"/>
      </w:pPr>
      <w:r>
        <w:t>A indicação de diálise ou transplante geralmente se faz quando a eTFG estiver abaixo de 18 ml/minuto (7). A sociedade canadense de transplante sugere que o transplante não deva ser feito a me</w:t>
      </w:r>
      <w:r>
        <w:t>nos que a filtração glomerular seja menor que 20 ml/m e com sinais de declínio funcional nos últimos 6 a 12 meses (8). O protocolo da sociedade canadense recomenda que o transplante “preemptivo” (pré-dialítico) é o preferido e deve ser encorajado, não deve</w:t>
      </w:r>
      <w:r>
        <w:t>ndo também ser realizado com filtração glomeurular maior que 20 ml/m.</w:t>
      </w:r>
    </w:p>
    <w:p w:rsidR="00A94DA2" w:rsidRDefault="00DC0F69">
      <w:pPr>
        <w:pStyle w:val="Corpodetexto"/>
        <w:ind w:right="121"/>
      </w:pPr>
      <w:r>
        <w:t>O objetivo geral da imunossupressão é evitar a rejeição do órgão ou tecido transplantado, com aumento da sobrevida do enxerto e do paciente. Constituem os objetivos específicos estabelec</w:t>
      </w:r>
      <w:r>
        <w:t>er o estado de imunossupressão, referindo-se ao tratamento utilizado no momento do transplante, manter o estado de imunossupressão, prevenir o desenvolvimento e tratar os episódios de rejeição aguda e crônica.</w:t>
      </w:r>
    </w:p>
    <w:p w:rsidR="00A94DA2" w:rsidRDefault="00DC0F69">
      <w:pPr>
        <w:pStyle w:val="Corpodetexto"/>
        <w:ind w:right="119"/>
      </w:pPr>
      <w:r>
        <w:t>A expressão terapia de indução ou inicial refe</w:t>
      </w:r>
      <w:r>
        <w:t>re-se ao tratamento imunossupressor utilizado no período transoperatório e que pode se estender por 07 a 10 dias em âmbito hospitalar. Já a terapia de manutenção refere-se ao esquema imunossupressor utilizado posteriormente a este período.</w:t>
      </w:r>
    </w:p>
    <w:p w:rsidR="00A94DA2" w:rsidRDefault="00DC0F69">
      <w:pPr>
        <w:pStyle w:val="Corpodetexto"/>
        <w:spacing w:before="1"/>
        <w:ind w:right="120"/>
      </w:pPr>
      <w:r>
        <w:t>Mas vale salient</w:t>
      </w:r>
      <w:r>
        <w:t>ar que a identificação e o controle dos fatores de risco da insuficiência renal e do seu diagnóstico em estágio inicial, bem como o encaminhamento ágil e adequado para o atendimento especializado dão à Atenção Básica um caráter essencial para um melhor res</w:t>
      </w:r>
      <w:r>
        <w:t>ultado terapêutico e prognóstico dos casos, inclusive quanto aos transplantados.</w:t>
      </w:r>
    </w:p>
    <w:p w:rsidR="00A94DA2" w:rsidRDefault="00A94DA2">
      <w:pPr>
        <w:pStyle w:val="Corpodetexto"/>
        <w:spacing w:before="10"/>
        <w:ind w:left="0"/>
        <w:jc w:val="left"/>
        <w:rPr>
          <w:sz w:val="15"/>
        </w:rPr>
      </w:pPr>
    </w:p>
    <w:p w:rsidR="00A94DA2" w:rsidRDefault="00DC0F69">
      <w:pPr>
        <w:pStyle w:val="PargrafodaLista"/>
        <w:numPr>
          <w:ilvl w:val="0"/>
          <w:numId w:val="9"/>
        </w:numPr>
        <w:tabs>
          <w:tab w:val="left" w:pos="253"/>
        </w:tabs>
        <w:ind w:hanging="146"/>
        <w:jc w:val="both"/>
        <w:rPr>
          <w:sz w:val="16"/>
        </w:rPr>
      </w:pPr>
      <w:r>
        <w:rPr>
          <w:sz w:val="16"/>
        </w:rPr>
        <w:t>C</w:t>
      </w:r>
      <w:r>
        <w:rPr>
          <w:sz w:val="13"/>
        </w:rPr>
        <w:t>LASSIFICAÇÃO ESTATÍSTICA INTERNACIONAL DE DOENÇAS E PROBLEMAS RELACIONADOS À SAÚDE</w:t>
      </w:r>
      <w:r>
        <w:rPr>
          <w:spacing w:val="-5"/>
          <w:sz w:val="13"/>
        </w:rPr>
        <w:t xml:space="preserve"> </w:t>
      </w:r>
      <w:r>
        <w:rPr>
          <w:sz w:val="16"/>
        </w:rPr>
        <w:t>(CID-10)</w:t>
      </w:r>
    </w:p>
    <w:p w:rsidR="00A94DA2" w:rsidRDefault="00DC0F69">
      <w:pPr>
        <w:pStyle w:val="PargrafodaLista"/>
        <w:numPr>
          <w:ilvl w:val="0"/>
          <w:numId w:val="8"/>
        </w:numPr>
        <w:tabs>
          <w:tab w:val="left" w:pos="200"/>
        </w:tabs>
        <w:spacing w:before="1"/>
        <w:ind w:firstLine="0"/>
        <w:jc w:val="both"/>
        <w:rPr>
          <w:sz w:val="16"/>
        </w:rPr>
      </w:pPr>
      <w:r>
        <w:rPr>
          <w:sz w:val="16"/>
        </w:rPr>
        <w:t>Z94.0 Rim</w:t>
      </w:r>
      <w:r>
        <w:rPr>
          <w:spacing w:val="-5"/>
          <w:sz w:val="16"/>
        </w:rPr>
        <w:t xml:space="preserve"> </w:t>
      </w:r>
      <w:r>
        <w:rPr>
          <w:sz w:val="16"/>
        </w:rPr>
        <w:t>transplantado</w:t>
      </w:r>
    </w:p>
    <w:p w:rsidR="00A94DA2" w:rsidRDefault="00DC0F69">
      <w:pPr>
        <w:pStyle w:val="PargrafodaLista"/>
        <w:numPr>
          <w:ilvl w:val="0"/>
          <w:numId w:val="8"/>
        </w:numPr>
        <w:tabs>
          <w:tab w:val="left" w:pos="200"/>
        </w:tabs>
        <w:spacing w:before="1" w:line="480" w:lineRule="auto"/>
        <w:ind w:right="7854" w:firstLine="0"/>
        <w:rPr>
          <w:sz w:val="13"/>
        </w:rPr>
      </w:pPr>
      <w:r>
        <w:rPr>
          <w:sz w:val="16"/>
        </w:rPr>
        <w:t>T86.1 Falência ou rejeição de transplante de rim 4</w:t>
      </w:r>
      <w:r>
        <w:rPr>
          <w:spacing w:val="25"/>
          <w:sz w:val="16"/>
        </w:rPr>
        <w:t xml:space="preserve"> </w:t>
      </w:r>
      <w:r>
        <w:rPr>
          <w:sz w:val="16"/>
        </w:rPr>
        <w:t>D</w:t>
      </w:r>
      <w:r>
        <w:rPr>
          <w:sz w:val="13"/>
        </w:rPr>
        <w:t>IAGNÓ</w:t>
      </w:r>
      <w:r>
        <w:rPr>
          <w:sz w:val="13"/>
        </w:rPr>
        <w:t>STICO</w:t>
      </w:r>
    </w:p>
    <w:p w:rsidR="00A94DA2" w:rsidRDefault="00DC0F69">
      <w:pPr>
        <w:pStyle w:val="Corpodetexto"/>
        <w:spacing w:line="182" w:lineRule="exact"/>
      </w:pPr>
      <w:r>
        <w:rPr>
          <w:u w:val="single"/>
        </w:rPr>
        <w:t>Diagnóstico de rejeição aguda</w:t>
      </w:r>
    </w:p>
    <w:p w:rsidR="00A94DA2" w:rsidRDefault="00DC0F69">
      <w:pPr>
        <w:pStyle w:val="Corpodetexto"/>
        <w:ind w:right="126"/>
      </w:pPr>
      <w:r>
        <w:t>A rejeição aguda de enxerto renal é, em geral, definida como uma deterioração aguda da função do enxerto associada às alterações histopatológicas definidas de acordo com a Classificação Internacional de Banff (9).</w:t>
      </w:r>
    </w:p>
    <w:p w:rsidR="00A94DA2" w:rsidRDefault="00DC0F69">
      <w:pPr>
        <w:pStyle w:val="Corpodetexto"/>
        <w:ind w:right="125"/>
      </w:pPr>
      <w:r>
        <w:t>É importante salientar que, diferentemente do que se considerava no passado, quando se valorizavam apenas variações da creatinina sérica acima de 20% ou 30%, em relação ao valor basal do paciente, atualmente a elevação persistente acima de 10% já é suficie</w:t>
      </w:r>
      <w:r>
        <w:t>nte para se considerar a hipótese de rejeição.</w:t>
      </w:r>
    </w:p>
    <w:p w:rsidR="00A94DA2" w:rsidRDefault="00DC0F69">
      <w:pPr>
        <w:pStyle w:val="Corpodetexto"/>
        <w:spacing w:before="2"/>
        <w:ind w:right="125"/>
      </w:pPr>
      <w:r>
        <w:t>Nessas situações, recomenda-se a repetição da dosagem da creatinina sérica a cada sete dias para confirmação ou não da variação observada. Se confirmada, todos os esforços devem ser feitos para impedir a progr</w:t>
      </w:r>
      <w:r>
        <w:t>essão do quadro.</w:t>
      </w:r>
    </w:p>
    <w:p w:rsidR="00A94DA2" w:rsidRDefault="00DC0F69">
      <w:pPr>
        <w:pStyle w:val="Corpodetexto"/>
        <w:ind w:right="127"/>
      </w:pPr>
      <w:r>
        <w:t>Como a perda funcional pode ser secundária a outras causas, como nefrotoxicidade por inibidores da calcineurina, anormalidades urológicas ou vasculares e uso de diuréticos, caberá ao nefrologista ponderar sobre a necessidade de biópsia ren</w:t>
      </w:r>
      <w:r>
        <w:t>al.</w:t>
      </w:r>
    </w:p>
    <w:p w:rsidR="00A94DA2" w:rsidRDefault="00DC0F69">
      <w:pPr>
        <w:pStyle w:val="Corpodetexto"/>
        <w:ind w:right="119"/>
      </w:pPr>
      <w:r>
        <w:t>Rejeição humoral, atualmente chamada de rejeição mediada por anticorpos (RMA), ocorre quando anticorpos atacam antígenos endoteliais, desencadeando reação em cadeia do sistema do complemento e culminando com lesão capilar. Os principais aloanticorpos s</w:t>
      </w:r>
      <w:r>
        <w:t>ão os que se dirigem contra moléculas do complexo maior de histocompatibilidade, também chamadas de antígenos leucocitários humanos (HLA). Recentemente, o desenvolvimento imunopatológico de coloração para a fração C4d do complemento, um marcador resultante</w:t>
      </w:r>
      <w:r>
        <w:t xml:space="preserve"> da agressão anticórpica, possibilitou melhores condições para o diagnóstico da RMA. A incidência de RMA varia de 1,8% a 3,2%, mas pode resultar em 27% a 40% de perda de enxertos em um ano (10).</w:t>
      </w:r>
    </w:p>
    <w:p w:rsidR="00A94DA2" w:rsidRDefault="00DC0F69">
      <w:pPr>
        <w:pStyle w:val="Corpodetexto"/>
        <w:spacing w:line="183" w:lineRule="exact"/>
      </w:pPr>
      <w:r>
        <w:t>A Classificação Internacional de Banff (9) apresenta as segui</w:t>
      </w:r>
      <w:r>
        <w:t>ntes categorias:</w:t>
      </w:r>
    </w:p>
    <w:p w:rsidR="00A94DA2" w:rsidRDefault="00DC0F69">
      <w:pPr>
        <w:pStyle w:val="PargrafodaLista"/>
        <w:numPr>
          <w:ilvl w:val="0"/>
          <w:numId w:val="7"/>
        </w:numPr>
        <w:tabs>
          <w:tab w:val="left" w:pos="282"/>
        </w:tabs>
        <w:ind w:firstLine="0"/>
        <w:jc w:val="both"/>
        <w:rPr>
          <w:sz w:val="16"/>
        </w:rPr>
      </w:pPr>
      <w:r>
        <w:rPr>
          <w:sz w:val="16"/>
        </w:rPr>
        <w:t>Normal - A histologia é</w:t>
      </w:r>
      <w:r>
        <w:rPr>
          <w:spacing w:val="-7"/>
          <w:sz w:val="16"/>
        </w:rPr>
        <w:t xml:space="preserve"> </w:t>
      </w:r>
      <w:r>
        <w:rPr>
          <w:sz w:val="16"/>
        </w:rPr>
        <w:t>normal.</w:t>
      </w:r>
    </w:p>
    <w:p w:rsidR="00A94DA2" w:rsidRDefault="00DC0F69">
      <w:pPr>
        <w:pStyle w:val="PargrafodaLista"/>
        <w:numPr>
          <w:ilvl w:val="0"/>
          <w:numId w:val="7"/>
        </w:numPr>
        <w:tabs>
          <w:tab w:val="left" w:pos="301"/>
        </w:tabs>
        <w:ind w:right="119" w:firstLine="0"/>
        <w:jc w:val="both"/>
        <w:rPr>
          <w:sz w:val="16"/>
        </w:rPr>
      </w:pPr>
      <w:r>
        <w:rPr>
          <w:sz w:val="16"/>
        </w:rPr>
        <w:t>Alterações mediadas por anticorpos - Caracterizam-se pela presença de C4d ou alterações histológicas sugestivas e de anticorpos específicos anti-HLA (DSA). O depósito de C4d sem evidências histológicas de re</w:t>
      </w:r>
      <w:r>
        <w:rPr>
          <w:sz w:val="16"/>
        </w:rPr>
        <w:t>jeição aguda e a presença de anticorpos circulantes anti-HLA do doador podem significar rejeição mediada por anticorpos em fase inicial. Algumas vezes, as alterações histológicas são muito discretas, como necrose tubular aguda (NTA) focal, e devem ser enca</w:t>
      </w:r>
      <w:r>
        <w:rPr>
          <w:sz w:val="16"/>
        </w:rPr>
        <w:t>radas como rejeição humoral</w:t>
      </w:r>
      <w:r>
        <w:rPr>
          <w:spacing w:val="-3"/>
          <w:sz w:val="16"/>
        </w:rPr>
        <w:t xml:space="preserve"> </w:t>
      </w:r>
      <w:r>
        <w:rPr>
          <w:sz w:val="16"/>
        </w:rPr>
        <w:t>se</w:t>
      </w:r>
      <w:r>
        <w:rPr>
          <w:spacing w:val="-3"/>
          <w:sz w:val="16"/>
        </w:rPr>
        <w:t xml:space="preserve"> </w:t>
      </w:r>
      <w:r>
        <w:rPr>
          <w:sz w:val="16"/>
        </w:rPr>
        <w:t>associadas</w:t>
      </w:r>
      <w:r>
        <w:rPr>
          <w:spacing w:val="-1"/>
          <w:sz w:val="16"/>
        </w:rPr>
        <w:t xml:space="preserve"> </w:t>
      </w:r>
      <w:r>
        <w:rPr>
          <w:sz w:val="16"/>
        </w:rPr>
        <w:t>a</w:t>
      </w:r>
      <w:r>
        <w:rPr>
          <w:spacing w:val="-3"/>
          <w:sz w:val="16"/>
        </w:rPr>
        <w:t xml:space="preserve"> </w:t>
      </w:r>
      <w:r>
        <w:rPr>
          <w:sz w:val="16"/>
        </w:rPr>
        <w:t>C4d</w:t>
      </w:r>
      <w:r>
        <w:rPr>
          <w:spacing w:val="-2"/>
          <w:sz w:val="16"/>
        </w:rPr>
        <w:t xml:space="preserve"> </w:t>
      </w:r>
      <w:r>
        <w:rPr>
          <w:sz w:val="16"/>
        </w:rPr>
        <w:t>e</w:t>
      </w:r>
      <w:r>
        <w:rPr>
          <w:spacing w:val="-3"/>
          <w:sz w:val="16"/>
        </w:rPr>
        <w:t xml:space="preserve"> </w:t>
      </w:r>
      <w:r>
        <w:rPr>
          <w:sz w:val="16"/>
        </w:rPr>
        <w:t>a</w:t>
      </w:r>
      <w:r>
        <w:rPr>
          <w:spacing w:val="-4"/>
          <w:sz w:val="16"/>
        </w:rPr>
        <w:t xml:space="preserve"> </w:t>
      </w:r>
      <w:r>
        <w:rPr>
          <w:sz w:val="16"/>
        </w:rPr>
        <w:t>anticorpos</w:t>
      </w:r>
      <w:r>
        <w:rPr>
          <w:spacing w:val="-1"/>
          <w:sz w:val="16"/>
        </w:rPr>
        <w:t xml:space="preserve"> </w:t>
      </w:r>
      <w:r>
        <w:rPr>
          <w:sz w:val="16"/>
        </w:rPr>
        <w:t>específicos</w:t>
      </w:r>
      <w:r>
        <w:rPr>
          <w:spacing w:val="-3"/>
          <w:sz w:val="16"/>
        </w:rPr>
        <w:t xml:space="preserve"> </w:t>
      </w:r>
      <w:r>
        <w:rPr>
          <w:sz w:val="16"/>
        </w:rPr>
        <w:t>anti-HLA</w:t>
      </w:r>
      <w:r>
        <w:rPr>
          <w:spacing w:val="-4"/>
          <w:sz w:val="16"/>
        </w:rPr>
        <w:t xml:space="preserve"> </w:t>
      </w:r>
      <w:r>
        <w:rPr>
          <w:sz w:val="16"/>
        </w:rPr>
        <w:t>do</w:t>
      </w:r>
      <w:r>
        <w:rPr>
          <w:spacing w:val="-3"/>
          <w:sz w:val="16"/>
        </w:rPr>
        <w:t xml:space="preserve"> </w:t>
      </w:r>
      <w:r>
        <w:rPr>
          <w:sz w:val="16"/>
        </w:rPr>
        <w:t>doador. Na rejeição</w:t>
      </w:r>
      <w:r>
        <w:rPr>
          <w:spacing w:val="-3"/>
          <w:sz w:val="16"/>
        </w:rPr>
        <w:t xml:space="preserve"> </w:t>
      </w:r>
      <w:r>
        <w:rPr>
          <w:sz w:val="16"/>
        </w:rPr>
        <w:t>aguda</w:t>
      </w:r>
      <w:r>
        <w:rPr>
          <w:spacing w:val="-3"/>
          <w:sz w:val="16"/>
        </w:rPr>
        <w:t xml:space="preserve"> </w:t>
      </w:r>
      <w:r>
        <w:rPr>
          <w:sz w:val="16"/>
        </w:rPr>
        <w:t>mediada</w:t>
      </w:r>
      <w:r>
        <w:rPr>
          <w:spacing w:val="-3"/>
          <w:sz w:val="16"/>
        </w:rPr>
        <w:t xml:space="preserve"> </w:t>
      </w:r>
      <w:r>
        <w:rPr>
          <w:sz w:val="16"/>
        </w:rPr>
        <w:t>por</w:t>
      </w:r>
      <w:r>
        <w:rPr>
          <w:spacing w:val="-2"/>
          <w:sz w:val="16"/>
        </w:rPr>
        <w:t xml:space="preserve"> </w:t>
      </w:r>
      <w:r>
        <w:rPr>
          <w:sz w:val="16"/>
        </w:rPr>
        <w:t>anticorpos,</w:t>
      </w:r>
      <w:r>
        <w:rPr>
          <w:spacing w:val="-1"/>
          <w:sz w:val="16"/>
        </w:rPr>
        <w:t xml:space="preserve"> </w:t>
      </w:r>
      <w:r>
        <w:rPr>
          <w:sz w:val="16"/>
        </w:rPr>
        <w:t>os</w:t>
      </w:r>
      <w:r>
        <w:rPr>
          <w:spacing w:val="-1"/>
          <w:sz w:val="16"/>
        </w:rPr>
        <w:t xml:space="preserve"> </w:t>
      </w:r>
      <w:r>
        <w:rPr>
          <w:sz w:val="16"/>
        </w:rPr>
        <w:t>tipos</w:t>
      </w:r>
      <w:r>
        <w:rPr>
          <w:spacing w:val="-3"/>
          <w:sz w:val="16"/>
        </w:rPr>
        <w:t xml:space="preserve"> </w:t>
      </w:r>
      <w:r>
        <w:rPr>
          <w:sz w:val="16"/>
        </w:rPr>
        <w:t>histológicos</w:t>
      </w:r>
      <w:r>
        <w:rPr>
          <w:spacing w:val="-2"/>
          <w:sz w:val="16"/>
        </w:rPr>
        <w:t xml:space="preserve"> </w:t>
      </w:r>
      <w:r>
        <w:rPr>
          <w:sz w:val="16"/>
        </w:rPr>
        <w:t>subdividem-se</w:t>
      </w:r>
      <w:r>
        <w:rPr>
          <w:spacing w:val="-3"/>
          <w:sz w:val="16"/>
        </w:rPr>
        <w:t xml:space="preserve"> </w:t>
      </w:r>
      <w:r>
        <w:rPr>
          <w:sz w:val="16"/>
        </w:rPr>
        <w:t>em:</w:t>
      </w:r>
    </w:p>
    <w:p w:rsidR="00A94DA2" w:rsidRDefault="00DC0F69">
      <w:pPr>
        <w:pStyle w:val="Corpodetexto"/>
        <w:ind w:right="6686"/>
        <w:jc w:val="left"/>
      </w:pPr>
      <w:r>
        <w:t>Tipo 1: achado de NTA, com C4d positivo e mínima inflamação. Tipo 2: glomerulit</w:t>
      </w:r>
      <w:r>
        <w:t>e, com marginação ou tromboses, e C4d positivo.</w:t>
      </w:r>
    </w:p>
    <w:p w:rsidR="00A94DA2" w:rsidRDefault="00DC0F69">
      <w:pPr>
        <w:pStyle w:val="Corpodetexto"/>
        <w:spacing w:line="183" w:lineRule="exact"/>
      </w:pPr>
      <w:r>
        <w:t>Tipo 3: inflamação arterial transmural, alterações fibrinoides e C4d positivo.</w:t>
      </w:r>
    </w:p>
    <w:p w:rsidR="00A94DA2" w:rsidRDefault="00DC0F69">
      <w:pPr>
        <w:pStyle w:val="Corpodetexto"/>
        <w:ind w:right="122"/>
      </w:pPr>
      <w:r>
        <w:t>Na rejeição crônica ativa mediada por anticorpos, o exame histológico mostra duplo contorno glomerular ou múltiplas camadas da me</w:t>
      </w:r>
      <w:r>
        <w:t>mbrana basal dos capilares peritubulares ou fibrose intersticial/atrofia tubular ou espessamento intimal de artérias e C4d positivo.</w:t>
      </w:r>
    </w:p>
    <w:p w:rsidR="00A94DA2" w:rsidRDefault="00DC0F69">
      <w:pPr>
        <w:pStyle w:val="PargrafodaLista"/>
        <w:numPr>
          <w:ilvl w:val="0"/>
          <w:numId w:val="7"/>
        </w:numPr>
        <w:tabs>
          <w:tab w:val="left" w:pos="282"/>
        </w:tabs>
        <w:spacing w:before="1" w:line="183" w:lineRule="exact"/>
        <w:ind w:firstLine="0"/>
        <w:jc w:val="both"/>
        <w:rPr>
          <w:sz w:val="16"/>
        </w:rPr>
      </w:pPr>
      <w:r>
        <w:rPr>
          <w:sz w:val="16"/>
        </w:rPr>
        <w:t>Alterações</w:t>
      </w:r>
      <w:r>
        <w:rPr>
          <w:spacing w:val="-1"/>
          <w:sz w:val="16"/>
        </w:rPr>
        <w:t xml:space="preserve"> </w:t>
      </w:r>
      <w:r>
        <w:rPr>
          <w:sz w:val="16"/>
        </w:rPr>
        <w:t>limítrofes</w:t>
      </w:r>
      <w:r>
        <w:rPr>
          <w:spacing w:val="-1"/>
          <w:sz w:val="16"/>
        </w:rPr>
        <w:t xml:space="preserve"> </w:t>
      </w:r>
      <w:r>
        <w:rPr>
          <w:sz w:val="16"/>
        </w:rPr>
        <w:t>(</w:t>
      </w:r>
      <w:r>
        <w:rPr>
          <w:i/>
          <w:sz w:val="16"/>
        </w:rPr>
        <w:t>borderline</w:t>
      </w:r>
      <w:r>
        <w:rPr>
          <w:sz w:val="16"/>
        </w:rPr>
        <w:t>)</w:t>
      </w:r>
      <w:r>
        <w:rPr>
          <w:spacing w:val="-1"/>
          <w:sz w:val="16"/>
        </w:rPr>
        <w:t xml:space="preserve"> </w:t>
      </w:r>
      <w:r>
        <w:rPr>
          <w:sz w:val="16"/>
        </w:rPr>
        <w:t>-</w:t>
      </w:r>
      <w:r>
        <w:rPr>
          <w:spacing w:val="-1"/>
          <w:sz w:val="16"/>
        </w:rPr>
        <w:t xml:space="preserve"> </w:t>
      </w:r>
      <w:r>
        <w:rPr>
          <w:sz w:val="16"/>
        </w:rPr>
        <w:t>Suspeita-se</w:t>
      </w:r>
      <w:r>
        <w:rPr>
          <w:spacing w:val="-5"/>
          <w:sz w:val="16"/>
        </w:rPr>
        <w:t xml:space="preserve"> </w:t>
      </w:r>
      <w:r>
        <w:rPr>
          <w:sz w:val="16"/>
        </w:rPr>
        <w:t>que</w:t>
      </w:r>
      <w:r>
        <w:rPr>
          <w:spacing w:val="-3"/>
          <w:sz w:val="16"/>
        </w:rPr>
        <w:t xml:space="preserve"> </w:t>
      </w:r>
      <w:r>
        <w:rPr>
          <w:sz w:val="16"/>
        </w:rPr>
        <w:t>sejam</w:t>
      </w:r>
      <w:r>
        <w:rPr>
          <w:spacing w:val="-2"/>
          <w:sz w:val="16"/>
        </w:rPr>
        <w:t xml:space="preserve"> </w:t>
      </w:r>
      <w:r>
        <w:rPr>
          <w:sz w:val="16"/>
        </w:rPr>
        <w:t>devidas</w:t>
      </w:r>
      <w:r>
        <w:rPr>
          <w:spacing w:val="-3"/>
          <w:sz w:val="16"/>
        </w:rPr>
        <w:t xml:space="preserve"> </w:t>
      </w:r>
      <w:r>
        <w:rPr>
          <w:sz w:val="16"/>
        </w:rPr>
        <w:t>à rejeição</w:t>
      </w:r>
      <w:r>
        <w:rPr>
          <w:spacing w:val="-2"/>
          <w:sz w:val="16"/>
        </w:rPr>
        <w:t xml:space="preserve"> </w:t>
      </w:r>
      <w:r>
        <w:rPr>
          <w:sz w:val="16"/>
        </w:rPr>
        <w:t>mediada</w:t>
      </w:r>
      <w:r>
        <w:rPr>
          <w:spacing w:val="-3"/>
          <w:sz w:val="16"/>
        </w:rPr>
        <w:t xml:space="preserve"> </w:t>
      </w:r>
      <w:r>
        <w:rPr>
          <w:sz w:val="16"/>
        </w:rPr>
        <w:t>por</w:t>
      </w:r>
      <w:r>
        <w:rPr>
          <w:spacing w:val="-2"/>
          <w:sz w:val="16"/>
        </w:rPr>
        <w:t xml:space="preserve"> </w:t>
      </w:r>
      <w:r>
        <w:rPr>
          <w:sz w:val="16"/>
        </w:rPr>
        <w:t>células e</w:t>
      </w:r>
      <w:r>
        <w:rPr>
          <w:spacing w:val="-2"/>
          <w:sz w:val="16"/>
        </w:rPr>
        <w:t xml:space="preserve"> </w:t>
      </w:r>
      <w:r>
        <w:rPr>
          <w:sz w:val="16"/>
        </w:rPr>
        <w:t>incluem</w:t>
      </w:r>
      <w:r>
        <w:rPr>
          <w:spacing w:val="-3"/>
          <w:sz w:val="16"/>
        </w:rPr>
        <w:t xml:space="preserve"> </w:t>
      </w:r>
      <w:r>
        <w:rPr>
          <w:sz w:val="16"/>
        </w:rPr>
        <w:t>tubulites</w:t>
      </w:r>
      <w:r>
        <w:rPr>
          <w:spacing w:val="-1"/>
          <w:sz w:val="16"/>
        </w:rPr>
        <w:t xml:space="preserve"> </w:t>
      </w:r>
      <w:r>
        <w:rPr>
          <w:sz w:val="16"/>
        </w:rPr>
        <w:t>focais</w:t>
      </w:r>
      <w:r>
        <w:rPr>
          <w:spacing w:val="-1"/>
          <w:sz w:val="16"/>
        </w:rPr>
        <w:t xml:space="preserve"> </w:t>
      </w:r>
      <w:r>
        <w:rPr>
          <w:sz w:val="16"/>
        </w:rPr>
        <w:t>sem</w:t>
      </w:r>
      <w:r>
        <w:rPr>
          <w:spacing w:val="-1"/>
          <w:sz w:val="16"/>
        </w:rPr>
        <w:t xml:space="preserve"> </w:t>
      </w:r>
      <w:r>
        <w:rPr>
          <w:sz w:val="16"/>
        </w:rPr>
        <w:t>arterite</w:t>
      </w:r>
      <w:r>
        <w:rPr>
          <w:spacing w:val="-3"/>
          <w:sz w:val="16"/>
        </w:rPr>
        <w:t xml:space="preserve"> </w:t>
      </w:r>
      <w:r>
        <w:rPr>
          <w:sz w:val="16"/>
        </w:rPr>
        <w:t>intimal.</w:t>
      </w:r>
    </w:p>
    <w:p w:rsidR="00A94DA2" w:rsidRDefault="00DC0F69">
      <w:pPr>
        <w:pStyle w:val="PargrafodaLista"/>
        <w:numPr>
          <w:ilvl w:val="0"/>
          <w:numId w:val="7"/>
        </w:numPr>
        <w:tabs>
          <w:tab w:val="left" w:pos="282"/>
        </w:tabs>
        <w:ind w:right="5730" w:firstLine="0"/>
        <w:rPr>
          <w:sz w:val="16"/>
        </w:rPr>
      </w:pPr>
      <w:r>
        <w:rPr>
          <w:sz w:val="16"/>
        </w:rPr>
        <w:lastRenderedPageBreak/>
        <w:t>Rejeição mediada por célula T - Pode estar associada com as categorias 2, 5 e 6. Na rejeição aguda mediada por célula T, os tipos histológicos subdividem-se</w:t>
      </w:r>
      <w:r>
        <w:rPr>
          <w:spacing w:val="-28"/>
          <w:sz w:val="16"/>
        </w:rPr>
        <w:t xml:space="preserve"> </w:t>
      </w:r>
      <w:r>
        <w:rPr>
          <w:sz w:val="16"/>
        </w:rPr>
        <w:t>em:</w:t>
      </w:r>
    </w:p>
    <w:p w:rsidR="00A94DA2" w:rsidRDefault="00DC0F69">
      <w:pPr>
        <w:pStyle w:val="Corpodetexto"/>
        <w:spacing w:before="1"/>
        <w:ind w:right="3977"/>
        <w:jc w:val="left"/>
      </w:pPr>
      <w:r>
        <w:t>Tipo IA: inflamação intersticial significativa (mais de 25% do parênquima afetado) e tubulite focal moderada; Tipo IB: inflamação intersticial significativa (mais de 25% do parênquima afetado) e tubulite acentuada;</w:t>
      </w:r>
    </w:p>
    <w:p w:rsidR="00A94DA2" w:rsidRDefault="00A94DA2">
      <w:pPr>
        <w:sectPr w:rsidR="00A94DA2">
          <w:pgSz w:w="11910" w:h="16840"/>
          <w:pgMar w:top="460" w:right="300" w:bottom="280" w:left="460" w:header="720" w:footer="720" w:gutter="0"/>
          <w:cols w:space="720"/>
        </w:sectPr>
      </w:pPr>
    </w:p>
    <w:p w:rsidR="00A94DA2" w:rsidRDefault="00DC0F69">
      <w:pPr>
        <w:pStyle w:val="Corpodetexto"/>
        <w:spacing w:before="82"/>
        <w:jc w:val="left"/>
      </w:pPr>
      <w:r>
        <w:lastRenderedPageBreak/>
        <w:t>Tipo IIA: arterite discreta</w:t>
      </w:r>
      <w:r>
        <w:t xml:space="preserve"> a moderada;</w:t>
      </w:r>
    </w:p>
    <w:p w:rsidR="00A94DA2" w:rsidRDefault="00DC0F69">
      <w:pPr>
        <w:pStyle w:val="Corpodetexto"/>
        <w:spacing w:before="1"/>
        <w:jc w:val="left"/>
      </w:pPr>
      <w:r>
        <w:t>Tipo IIB: arterite acentuada associada a mais de 25% de perda da área luminal; e</w:t>
      </w:r>
    </w:p>
    <w:p w:rsidR="00A94DA2" w:rsidRDefault="00DC0F69">
      <w:pPr>
        <w:pStyle w:val="Corpodetexto"/>
        <w:spacing w:before="1" w:line="183" w:lineRule="exact"/>
        <w:jc w:val="left"/>
      </w:pPr>
      <w:r>
        <w:t>Tipo III: arterite transmural ou alterações fibrinoides e necrose da camada muscular lisa em associação com inflamação linfocítica do vaso.</w:t>
      </w:r>
    </w:p>
    <w:p w:rsidR="00A94DA2" w:rsidRDefault="00DC0F69">
      <w:pPr>
        <w:pStyle w:val="Corpodetexto"/>
        <w:jc w:val="left"/>
      </w:pPr>
      <w:r>
        <w:t>A rejeição crônica ati</w:t>
      </w:r>
      <w:r>
        <w:t>va mediada por célula T caracteriza-se por arteriopatia crônica do enxerto, que envolve fibrose de íntima arterial com infiltração de células mononucleares e formação de neoíntima.</w:t>
      </w:r>
    </w:p>
    <w:p w:rsidR="00A94DA2" w:rsidRDefault="00DC0F69">
      <w:pPr>
        <w:pStyle w:val="PargrafodaLista"/>
        <w:numPr>
          <w:ilvl w:val="0"/>
          <w:numId w:val="7"/>
        </w:numPr>
        <w:tabs>
          <w:tab w:val="left" w:pos="289"/>
        </w:tabs>
        <w:spacing w:before="1"/>
        <w:ind w:right="120" w:firstLine="0"/>
        <w:jc w:val="both"/>
        <w:rPr>
          <w:sz w:val="16"/>
        </w:rPr>
      </w:pPr>
      <w:r>
        <w:rPr>
          <w:sz w:val="16"/>
        </w:rPr>
        <w:t>Fibrose intersticial e atrofia tubular, sem evidências de qualquer etiologi</w:t>
      </w:r>
      <w:r>
        <w:rPr>
          <w:sz w:val="16"/>
        </w:rPr>
        <w:t xml:space="preserve">a específica (anteriormente denominada nefropatia crônica do enxerto) - Caracterizam-se por arteriopatia crônica do enxerto que envolve fibrose intimal arterial com infiltração celular mononuclear e formação de neoíntima. São também chamadas de nefropatia </w:t>
      </w:r>
      <w:r>
        <w:rPr>
          <w:sz w:val="16"/>
        </w:rPr>
        <w:t>crônica do enxerto e compreendem diferentes</w:t>
      </w:r>
      <w:r>
        <w:rPr>
          <w:spacing w:val="-7"/>
          <w:sz w:val="16"/>
        </w:rPr>
        <w:t xml:space="preserve"> </w:t>
      </w:r>
      <w:r>
        <w:rPr>
          <w:sz w:val="16"/>
        </w:rPr>
        <w:t>graus:</w:t>
      </w:r>
    </w:p>
    <w:p w:rsidR="00A94DA2" w:rsidRDefault="00DC0F69">
      <w:pPr>
        <w:pStyle w:val="Corpodetexto"/>
        <w:ind w:right="5524"/>
        <w:jc w:val="left"/>
      </w:pPr>
      <w:r>
        <w:t>Grau I: fibrose intersticial discreta e atrofia tubular (menos de 25% da área cortical); Grau II: fibrose intersticial moderada e atrofia tubular (25% a 50% da área cortical); e Grau III: fibrose interstic</w:t>
      </w:r>
      <w:r>
        <w:t>ial acentuada e atrofia tubular (50% da área cortical).</w:t>
      </w:r>
    </w:p>
    <w:p w:rsidR="00A94DA2" w:rsidRDefault="00DC0F69">
      <w:pPr>
        <w:pStyle w:val="PargrafodaLista"/>
        <w:numPr>
          <w:ilvl w:val="0"/>
          <w:numId w:val="7"/>
        </w:numPr>
        <w:tabs>
          <w:tab w:val="left" w:pos="282"/>
        </w:tabs>
        <w:spacing w:line="183" w:lineRule="exact"/>
        <w:ind w:firstLine="0"/>
        <w:jc w:val="both"/>
        <w:rPr>
          <w:sz w:val="16"/>
        </w:rPr>
      </w:pPr>
      <w:r>
        <w:rPr>
          <w:sz w:val="16"/>
        </w:rPr>
        <w:t>Outros</w:t>
      </w:r>
    </w:p>
    <w:p w:rsidR="00A94DA2" w:rsidRDefault="00DC0F69">
      <w:pPr>
        <w:pStyle w:val="Corpodetexto"/>
        <w:jc w:val="left"/>
      </w:pPr>
      <w:r>
        <w:t>Nesta categoria, incluem-se alterações não resultantes de rejeição aguda ou crônica, como as secundárias a hipertensão arterial crônica, toxicidade por inibidores da calcineurina, obstrução crô</w:t>
      </w:r>
      <w:r>
        <w:t>nica e infecções virais.</w:t>
      </w:r>
    </w:p>
    <w:p w:rsidR="00A94DA2" w:rsidRDefault="00A94DA2">
      <w:pPr>
        <w:pStyle w:val="Corpodetexto"/>
        <w:spacing w:before="11"/>
        <w:ind w:left="0"/>
        <w:jc w:val="left"/>
        <w:rPr>
          <w:sz w:val="15"/>
        </w:rPr>
      </w:pPr>
    </w:p>
    <w:p w:rsidR="00A94DA2" w:rsidRDefault="00DC0F69">
      <w:pPr>
        <w:pStyle w:val="Corpodetexto"/>
        <w:jc w:val="left"/>
      </w:pPr>
      <w:r>
        <w:rPr>
          <w:u w:val="single"/>
        </w:rPr>
        <w:t>Diagnóstico da Fibrose intersticial e atrofia tubular (nefropatia crônica do enxerto)</w:t>
      </w:r>
    </w:p>
    <w:p w:rsidR="00A94DA2" w:rsidRDefault="00DC0F69">
      <w:pPr>
        <w:pStyle w:val="Corpodetexto"/>
        <w:spacing w:before="1"/>
        <w:ind w:right="117"/>
      </w:pPr>
      <w:r>
        <w:t>Fibrose intersticial e atrofia tubular (anteriormente denominada nefropatia crônica do enxerto) são identificadas pelos seguintes achados histol</w:t>
      </w:r>
      <w:r>
        <w:t xml:space="preserve">ógicos: alterações de capilares glomerulares, desdobramento da membrana basal de capilares peritubulares à microscopia ótica, com multiplicação da membrana basal à microscopia  eletrônica, e graus variados de fibrose intersticial e atrofia tubular. Não há </w:t>
      </w:r>
      <w:r>
        <w:t>uma causa definida, e admite-se que fatores imunológicos e não imunológicos sejam os responsáveis pela disfunção crônica do enxerto. Clinicamente, se diagnosticam por declínio funcional lento e progressivo, com proteinúria variável, às vezes em nível nefró</w:t>
      </w:r>
      <w:r>
        <w:t>tico, e piora da hipertensão arterial (11,</w:t>
      </w:r>
      <w:r>
        <w:rPr>
          <w:spacing w:val="-7"/>
        </w:rPr>
        <w:t xml:space="preserve"> </w:t>
      </w:r>
      <w:r>
        <w:t>12).</w:t>
      </w:r>
    </w:p>
    <w:p w:rsidR="00A94DA2" w:rsidRDefault="00DC0F69">
      <w:pPr>
        <w:pStyle w:val="Corpodetexto"/>
        <w:ind w:right="214"/>
        <w:jc w:val="left"/>
      </w:pPr>
      <w:r>
        <w:t>A classificação da gravidade da nefropatia crônica do enxerto se apoia nos critérios definidos na Classificação Internacional de Banff. O depósito de C4d pode também ser</w:t>
      </w:r>
      <w:r>
        <w:rPr>
          <w:spacing w:val="-3"/>
        </w:rPr>
        <w:t xml:space="preserve"> </w:t>
      </w:r>
      <w:r>
        <w:t>observado, sugerindo,</w:t>
      </w:r>
      <w:r>
        <w:rPr>
          <w:spacing w:val="-3"/>
        </w:rPr>
        <w:t xml:space="preserve"> </w:t>
      </w:r>
      <w:r>
        <w:t>pelo</w:t>
      </w:r>
      <w:r>
        <w:rPr>
          <w:spacing w:val="-2"/>
        </w:rPr>
        <w:t xml:space="preserve"> </w:t>
      </w:r>
      <w:r>
        <w:t>menos</w:t>
      </w:r>
      <w:r>
        <w:rPr>
          <w:spacing w:val="-1"/>
        </w:rPr>
        <w:t xml:space="preserve"> </w:t>
      </w:r>
      <w:r>
        <w:t>em</w:t>
      </w:r>
      <w:r>
        <w:rPr>
          <w:spacing w:val="-1"/>
        </w:rPr>
        <w:t xml:space="preserve"> </w:t>
      </w:r>
      <w:r>
        <w:t>al</w:t>
      </w:r>
      <w:r>
        <w:t>guns</w:t>
      </w:r>
      <w:r>
        <w:rPr>
          <w:spacing w:val="-3"/>
        </w:rPr>
        <w:t xml:space="preserve"> </w:t>
      </w:r>
      <w:r>
        <w:t>pacientes, a</w:t>
      </w:r>
      <w:r>
        <w:rPr>
          <w:spacing w:val="-3"/>
        </w:rPr>
        <w:t xml:space="preserve"> </w:t>
      </w:r>
      <w:r>
        <w:t>participação</w:t>
      </w:r>
      <w:r>
        <w:rPr>
          <w:spacing w:val="-4"/>
        </w:rPr>
        <w:t xml:space="preserve"> </w:t>
      </w:r>
      <w:r>
        <w:t>de</w:t>
      </w:r>
      <w:r>
        <w:rPr>
          <w:spacing w:val="-3"/>
        </w:rPr>
        <w:t xml:space="preserve"> </w:t>
      </w:r>
      <w:r>
        <w:t>anticorpos</w:t>
      </w:r>
      <w:r>
        <w:rPr>
          <w:spacing w:val="-1"/>
        </w:rPr>
        <w:t xml:space="preserve"> </w:t>
      </w:r>
      <w:r>
        <w:t>anti-HLA</w:t>
      </w:r>
      <w:r>
        <w:rPr>
          <w:spacing w:val="-4"/>
        </w:rPr>
        <w:t xml:space="preserve"> </w:t>
      </w:r>
      <w:r>
        <w:t>na gênese</w:t>
      </w:r>
      <w:r>
        <w:rPr>
          <w:spacing w:val="-3"/>
        </w:rPr>
        <w:t xml:space="preserve"> </w:t>
      </w:r>
      <w:r>
        <w:t>da nefropatia crônica</w:t>
      </w:r>
      <w:r>
        <w:rPr>
          <w:spacing w:val="-3"/>
        </w:rPr>
        <w:t xml:space="preserve"> </w:t>
      </w:r>
      <w:r>
        <w:t>do</w:t>
      </w:r>
      <w:r>
        <w:rPr>
          <w:spacing w:val="-2"/>
        </w:rPr>
        <w:t xml:space="preserve"> </w:t>
      </w:r>
      <w:r>
        <w:t>enxerto</w:t>
      </w:r>
      <w:r>
        <w:rPr>
          <w:spacing w:val="2"/>
        </w:rPr>
        <w:t xml:space="preserve"> </w:t>
      </w:r>
      <w:r>
        <w:t>(11,</w:t>
      </w:r>
      <w:r>
        <w:rPr>
          <w:spacing w:val="-3"/>
        </w:rPr>
        <w:t xml:space="preserve"> </w:t>
      </w:r>
      <w:r>
        <w:t>12).</w:t>
      </w:r>
    </w:p>
    <w:p w:rsidR="00A94DA2" w:rsidRDefault="00DC0F69">
      <w:pPr>
        <w:pStyle w:val="Corpodetexto"/>
        <w:jc w:val="left"/>
      </w:pPr>
      <w:r>
        <w:t>O diagnóstico diferencial deve ser feito com recidiva de doença primária, estenose de artéria renal, complicações urológicas, nefrite induzida pelo vírus BK e rejeição, situações que podem ser confirmadas ou descartadas com exames apropriados.</w:t>
      </w:r>
    </w:p>
    <w:p w:rsidR="00A94DA2" w:rsidRDefault="00DC0F69">
      <w:pPr>
        <w:pStyle w:val="Corpodetexto"/>
        <w:spacing w:before="1"/>
        <w:ind w:right="124"/>
      </w:pPr>
      <w:r>
        <w:t>A prevenção de rejeição aguda representa um fator decisivo no aparecimento tardio da nefropatia crônica. Rejeições precoces e repetidas devem ser evitadas com imunossupressão eficaz, incluindo indução da imunossupressão, doses adequadamente ajustadas pelos</w:t>
      </w:r>
      <w:r>
        <w:t xml:space="preserve"> níveis séricos preconizadas neste Protocolo e controles precoces, semanais, nos primeiros meses pós-transplante (11).</w:t>
      </w:r>
    </w:p>
    <w:p w:rsidR="00A94DA2" w:rsidRDefault="00DC0F69">
      <w:pPr>
        <w:pStyle w:val="Corpodetexto"/>
        <w:ind w:right="119"/>
      </w:pPr>
      <w:r>
        <w:t>Fatores não imunológicos são também considerados importantes na gênese da nefropatia crônica do enxerto e devem ser objeto da terapêutica</w:t>
      </w:r>
      <w:r>
        <w:t xml:space="preserve"> com agentes específicos. Assim, hipertensão arterial, hiperfiltração glomerular, hiperlipemia e toxicidade dos inibidores da calcineurina são os mais comumente considerados. Nesse sentido, recomenda-se manter os níveis de pressão arterial abaixo de 130/80</w:t>
      </w:r>
      <w:r>
        <w:t xml:space="preserve"> mmHg, reduzir a hiperfiltração com inibidores da enzima de conversão da angiotensina, corrigir a dislipidemia conforme protocolo específico do Ministério da Saúde e reajustar a dose dos inibidores da calcineurina.</w:t>
      </w:r>
    </w:p>
    <w:p w:rsidR="00A94DA2" w:rsidRDefault="00DC0F69">
      <w:pPr>
        <w:pStyle w:val="Corpodetexto"/>
        <w:ind w:right="120"/>
      </w:pPr>
      <w:r>
        <w:t>Depósito de C4d em capilares peritubulare</w:t>
      </w:r>
      <w:r>
        <w:t>s tem sido encontrado em biópsias realizadas em razão de perda funcional tardia e associado ao diagnóstico de glomerulopatia crônica do enxerto (glomerulopatia do transplante), achado que tem levado os autores a admitir que esse tipo de rejeição seja, pelo</w:t>
      </w:r>
      <w:r>
        <w:t xml:space="preserve"> menos em alguns casos, mediada por anticorpos (13).</w:t>
      </w:r>
    </w:p>
    <w:p w:rsidR="00A94DA2" w:rsidRDefault="00A94DA2">
      <w:pPr>
        <w:pStyle w:val="Corpodetexto"/>
        <w:spacing w:before="10"/>
        <w:ind w:left="0"/>
        <w:jc w:val="left"/>
        <w:rPr>
          <w:sz w:val="15"/>
        </w:rPr>
      </w:pPr>
    </w:p>
    <w:p w:rsidR="00A94DA2" w:rsidRDefault="00DC0F69">
      <w:pPr>
        <w:pStyle w:val="PargrafodaLista"/>
        <w:numPr>
          <w:ilvl w:val="0"/>
          <w:numId w:val="6"/>
        </w:numPr>
        <w:tabs>
          <w:tab w:val="left" w:pos="253"/>
        </w:tabs>
        <w:ind w:hanging="146"/>
        <w:rPr>
          <w:sz w:val="13"/>
        </w:rPr>
      </w:pPr>
      <w:r>
        <w:rPr>
          <w:sz w:val="16"/>
        </w:rPr>
        <w:t>C</w:t>
      </w:r>
      <w:r>
        <w:rPr>
          <w:sz w:val="13"/>
        </w:rPr>
        <w:t>RITÉRIOS DE</w:t>
      </w:r>
      <w:r>
        <w:rPr>
          <w:spacing w:val="-2"/>
          <w:sz w:val="13"/>
        </w:rPr>
        <w:t xml:space="preserve"> </w:t>
      </w:r>
      <w:r>
        <w:rPr>
          <w:sz w:val="13"/>
        </w:rPr>
        <w:t>INCLUSÃO</w:t>
      </w:r>
    </w:p>
    <w:p w:rsidR="00A94DA2" w:rsidRDefault="00DC0F69">
      <w:pPr>
        <w:pStyle w:val="Corpodetexto"/>
        <w:spacing w:before="1"/>
        <w:jc w:val="left"/>
      </w:pPr>
      <w:r>
        <w:t>Serão incluídos neste Protocolo todos os pacientes submetidos a transplante renal, conforme o Regulamento Técnico vigente do Sistema Nacional de Transplantes, tanto para o estabele</w:t>
      </w:r>
      <w:r>
        <w:t>cimento do estado de imunossupressão quanto para o tratamento de indução ou de manutenção.</w:t>
      </w:r>
    </w:p>
    <w:p w:rsidR="00A94DA2" w:rsidRDefault="00DC0F69">
      <w:pPr>
        <w:pStyle w:val="Corpodetexto"/>
        <w:spacing w:line="183" w:lineRule="exact"/>
        <w:jc w:val="left"/>
      </w:pPr>
      <w:r>
        <w:rPr>
          <w:u w:val="single"/>
        </w:rPr>
        <w:t>Para tratamento da rejeição aguda</w:t>
      </w:r>
    </w:p>
    <w:p w:rsidR="00A94DA2" w:rsidRDefault="00DC0F69">
      <w:pPr>
        <w:pStyle w:val="Corpodetexto"/>
        <w:spacing w:before="1"/>
        <w:ind w:right="214"/>
        <w:jc w:val="left"/>
      </w:pPr>
      <w:r>
        <w:t>Pacientes transplantados que apresentarem perda funcional aguda definida por aumento persistente (pelo menos 2 dosagens com interva</w:t>
      </w:r>
      <w:r>
        <w:t>lo de 2 dias) da creatinina sérica de pelo menos 10% em relação ao valor anterior, com ou sem confirmação histológica, deverão ser incluídos neste</w:t>
      </w:r>
      <w:r>
        <w:rPr>
          <w:spacing w:val="-29"/>
        </w:rPr>
        <w:t xml:space="preserve"> </w:t>
      </w:r>
      <w:r>
        <w:t>Protocolo.</w:t>
      </w:r>
    </w:p>
    <w:p w:rsidR="00A94DA2" w:rsidRDefault="00DC0F69">
      <w:pPr>
        <w:pStyle w:val="Corpodetexto"/>
        <w:jc w:val="left"/>
      </w:pPr>
      <w:r>
        <w:t>Entretanto, para o tratamento da rejeição aguda mediada por anticorpos, deve-se comprovar o diagnó</w:t>
      </w:r>
      <w:r>
        <w:t>stico por dados imunológicos e por alterações histológicas, conforme exposto a seguir:</w:t>
      </w:r>
    </w:p>
    <w:p w:rsidR="00A94DA2" w:rsidRDefault="00DC0F69">
      <w:pPr>
        <w:pStyle w:val="PargrafodaLista"/>
        <w:numPr>
          <w:ilvl w:val="0"/>
          <w:numId w:val="5"/>
        </w:numPr>
        <w:tabs>
          <w:tab w:val="left" w:pos="272"/>
        </w:tabs>
        <w:spacing w:line="183" w:lineRule="exact"/>
        <w:ind w:firstLine="0"/>
        <w:jc w:val="both"/>
        <w:rPr>
          <w:sz w:val="16"/>
        </w:rPr>
      </w:pPr>
      <w:r>
        <w:rPr>
          <w:sz w:val="16"/>
        </w:rPr>
        <w:t>imunologia - presença de anticorpos específicos</w:t>
      </w:r>
      <w:r>
        <w:rPr>
          <w:spacing w:val="-8"/>
          <w:sz w:val="16"/>
        </w:rPr>
        <w:t xml:space="preserve"> </w:t>
      </w:r>
      <w:r>
        <w:rPr>
          <w:sz w:val="16"/>
        </w:rPr>
        <w:t>anti-HLA;</w:t>
      </w:r>
    </w:p>
    <w:p w:rsidR="00A94DA2" w:rsidRDefault="00DC0F69">
      <w:pPr>
        <w:pStyle w:val="PargrafodaLista"/>
        <w:numPr>
          <w:ilvl w:val="0"/>
          <w:numId w:val="5"/>
        </w:numPr>
        <w:tabs>
          <w:tab w:val="left" w:pos="282"/>
        </w:tabs>
        <w:spacing w:before="1"/>
        <w:ind w:right="3036" w:firstLine="0"/>
        <w:rPr>
          <w:sz w:val="16"/>
        </w:rPr>
      </w:pPr>
      <w:r>
        <w:rPr>
          <w:sz w:val="16"/>
        </w:rPr>
        <w:t>histologia</w:t>
      </w:r>
      <w:r>
        <w:rPr>
          <w:spacing w:val="-1"/>
          <w:sz w:val="16"/>
        </w:rPr>
        <w:t xml:space="preserve"> </w:t>
      </w:r>
      <w:r>
        <w:rPr>
          <w:sz w:val="16"/>
        </w:rPr>
        <w:t>-</w:t>
      </w:r>
      <w:r>
        <w:rPr>
          <w:spacing w:val="-6"/>
          <w:sz w:val="16"/>
        </w:rPr>
        <w:t xml:space="preserve"> </w:t>
      </w:r>
      <w:r>
        <w:rPr>
          <w:sz w:val="16"/>
        </w:rPr>
        <w:t>alterações</w:t>
      </w:r>
      <w:r>
        <w:rPr>
          <w:spacing w:val="-3"/>
          <w:sz w:val="16"/>
        </w:rPr>
        <w:t xml:space="preserve"> </w:t>
      </w:r>
      <w:r>
        <w:rPr>
          <w:sz w:val="16"/>
        </w:rPr>
        <w:t>histológicas</w:t>
      </w:r>
      <w:r>
        <w:rPr>
          <w:spacing w:val="-5"/>
          <w:sz w:val="16"/>
        </w:rPr>
        <w:t xml:space="preserve"> </w:t>
      </w:r>
      <w:r>
        <w:rPr>
          <w:sz w:val="16"/>
        </w:rPr>
        <w:t>diagnósticas</w:t>
      </w:r>
      <w:r>
        <w:rPr>
          <w:spacing w:val="-4"/>
          <w:sz w:val="16"/>
        </w:rPr>
        <w:t xml:space="preserve"> </w:t>
      </w:r>
      <w:r>
        <w:rPr>
          <w:sz w:val="16"/>
        </w:rPr>
        <w:t>de</w:t>
      </w:r>
      <w:r>
        <w:rPr>
          <w:spacing w:val="-5"/>
          <w:sz w:val="16"/>
        </w:rPr>
        <w:t xml:space="preserve"> </w:t>
      </w:r>
      <w:r>
        <w:rPr>
          <w:sz w:val="16"/>
        </w:rPr>
        <w:t>rejeição</w:t>
      </w:r>
      <w:r>
        <w:rPr>
          <w:spacing w:val="-4"/>
          <w:sz w:val="16"/>
        </w:rPr>
        <w:t xml:space="preserve"> </w:t>
      </w:r>
      <w:r>
        <w:rPr>
          <w:sz w:val="16"/>
        </w:rPr>
        <w:t>são</w:t>
      </w:r>
      <w:r>
        <w:rPr>
          <w:spacing w:val="-5"/>
          <w:sz w:val="16"/>
        </w:rPr>
        <w:t xml:space="preserve"> </w:t>
      </w:r>
      <w:r>
        <w:rPr>
          <w:sz w:val="16"/>
        </w:rPr>
        <w:t>de</w:t>
      </w:r>
      <w:r>
        <w:rPr>
          <w:spacing w:val="-5"/>
          <w:sz w:val="16"/>
        </w:rPr>
        <w:t xml:space="preserve"> </w:t>
      </w:r>
      <w:r>
        <w:rPr>
          <w:sz w:val="16"/>
        </w:rPr>
        <w:t>3</w:t>
      </w:r>
      <w:r>
        <w:rPr>
          <w:spacing w:val="-4"/>
          <w:sz w:val="16"/>
        </w:rPr>
        <w:t xml:space="preserve"> </w:t>
      </w:r>
      <w:r>
        <w:rPr>
          <w:sz w:val="16"/>
        </w:rPr>
        <w:t>tipos,</w:t>
      </w:r>
      <w:r>
        <w:rPr>
          <w:spacing w:val="-1"/>
          <w:sz w:val="16"/>
        </w:rPr>
        <w:t xml:space="preserve"> </w:t>
      </w:r>
      <w:r>
        <w:rPr>
          <w:sz w:val="16"/>
        </w:rPr>
        <w:t>segundo</w:t>
      </w:r>
      <w:r>
        <w:rPr>
          <w:spacing w:val="-4"/>
          <w:sz w:val="16"/>
        </w:rPr>
        <w:t xml:space="preserve"> </w:t>
      </w:r>
      <w:r>
        <w:rPr>
          <w:sz w:val="16"/>
        </w:rPr>
        <w:t>a</w:t>
      </w:r>
      <w:r>
        <w:rPr>
          <w:spacing w:val="-5"/>
          <w:sz w:val="16"/>
        </w:rPr>
        <w:t xml:space="preserve"> </w:t>
      </w:r>
      <w:r>
        <w:rPr>
          <w:sz w:val="16"/>
        </w:rPr>
        <w:t>Classificação</w:t>
      </w:r>
      <w:r>
        <w:rPr>
          <w:spacing w:val="-4"/>
          <w:sz w:val="16"/>
        </w:rPr>
        <w:t xml:space="preserve"> </w:t>
      </w:r>
      <w:r>
        <w:rPr>
          <w:sz w:val="16"/>
        </w:rPr>
        <w:t>Internaci</w:t>
      </w:r>
      <w:r>
        <w:rPr>
          <w:sz w:val="16"/>
        </w:rPr>
        <w:t>onal</w:t>
      </w:r>
      <w:r>
        <w:rPr>
          <w:spacing w:val="-3"/>
          <w:sz w:val="16"/>
        </w:rPr>
        <w:t xml:space="preserve"> </w:t>
      </w:r>
      <w:r>
        <w:rPr>
          <w:sz w:val="16"/>
        </w:rPr>
        <w:t>de</w:t>
      </w:r>
      <w:r>
        <w:rPr>
          <w:spacing w:val="-5"/>
          <w:sz w:val="16"/>
        </w:rPr>
        <w:t xml:space="preserve"> </w:t>
      </w:r>
      <w:r>
        <w:rPr>
          <w:sz w:val="16"/>
        </w:rPr>
        <w:t>Banff: Tipo 1: achado de NTA, com C4d positivo e mínima</w:t>
      </w:r>
      <w:r>
        <w:rPr>
          <w:spacing w:val="-14"/>
          <w:sz w:val="16"/>
        </w:rPr>
        <w:t xml:space="preserve"> </w:t>
      </w:r>
      <w:r>
        <w:rPr>
          <w:sz w:val="16"/>
        </w:rPr>
        <w:t>inflamação;</w:t>
      </w:r>
    </w:p>
    <w:p w:rsidR="00A94DA2" w:rsidRDefault="00DC0F69">
      <w:pPr>
        <w:pStyle w:val="Corpodetexto"/>
        <w:spacing w:line="183" w:lineRule="exact"/>
        <w:jc w:val="left"/>
      </w:pPr>
      <w:r>
        <w:t>Tipo 2: glomerulite, com marginação ou tromboses, e C4d positivo; ou</w:t>
      </w:r>
    </w:p>
    <w:p w:rsidR="00A94DA2" w:rsidRDefault="00DC0F69">
      <w:pPr>
        <w:pStyle w:val="Corpodetexto"/>
        <w:jc w:val="left"/>
      </w:pPr>
      <w:r>
        <w:t>Tipo 3: inflamação arterial transmural, alterações fibrinoides e C4d positivo.</w:t>
      </w:r>
    </w:p>
    <w:p w:rsidR="00A94DA2" w:rsidRDefault="00DC0F69">
      <w:pPr>
        <w:pStyle w:val="Corpodetexto"/>
        <w:spacing w:before="1"/>
        <w:ind w:right="214"/>
        <w:jc w:val="left"/>
      </w:pPr>
      <w:r>
        <w:t xml:space="preserve">Salienta-se que a presença de C4d em capilares peritubulares representa quesito indispensável para o diagnóstico anatomopatológico da rejeição mediada por anticorpos. </w:t>
      </w:r>
      <w:r>
        <w:rPr>
          <w:u w:val="single"/>
        </w:rPr>
        <w:t>Para tratamento da rejeição crônica</w:t>
      </w:r>
    </w:p>
    <w:p w:rsidR="00A94DA2" w:rsidRDefault="00DC0F69">
      <w:pPr>
        <w:pStyle w:val="Corpodetexto"/>
        <w:ind w:right="121"/>
        <w:jc w:val="left"/>
      </w:pPr>
      <w:r>
        <w:t>Pacientes transplantados que apresentarem perda tardi</w:t>
      </w:r>
      <w:r>
        <w:t>a da função do enxerto (aumento lento e progressivo da creatinina sérica) deverão ser incluídos neste Protocolo. Recomenda-se para o diagnóstico de rejeição crônica:</w:t>
      </w:r>
    </w:p>
    <w:p w:rsidR="00A94DA2" w:rsidRDefault="00DC0F69">
      <w:pPr>
        <w:pStyle w:val="PargrafodaLista"/>
        <w:numPr>
          <w:ilvl w:val="0"/>
          <w:numId w:val="4"/>
        </w:numPr>
        <w:tabs>
          <w:tab w:val="left" w:pos="272"/>
        </w:tabs>
        <w:spacing w:line="183" w:lineRule="exact"/>
        <w:jc w:val="both"/>
        <w:rPr>
          <w:sz w:val="16"/>
        </w:rPr>
      </w:pPr>
      <w:r>
        <w:rPr>
          <w:sz w:val="16"/>
        </w:rPr>
        <w:t>exclusão</w:t>
      </w:r>
      <w:r>
        <w:rPr>
          <w:spacing w:val="-4"/>
          <w:sz w:val="16"/>
        </w:rPr>
        <w:t xml:space="preserve"> </w:t>
      </w:r>
      <w:r>
        <w:rPr>
          <w:sz w:val="16"/>
        </w:rPr>
        <w:t>de</w:t>
      </w:r>
      <w:r>
        <w:rPr>
          <w:spacing w:val="-4"/>
          <w:sz w:val="16"/>
        </w:rPr>
        <w:t xml:space="preserve"> </w:t>
      </w:r>
      <w:r>
        <w:rPr>
          <w:sz w:val="16"/>
        </w:rPr>
        <w:t>complicações</w:t>
      </w:r>
      <w:r>
        <w:rPr>
          <w:spacing w:val="-3"/>
          <w:sz w:val="16"/>
        </w:rPr>
        <w:t xml:space="preserve"> </w:t>
      </w:r>
      <w:r>
        <w:rPr>
          <w:sz w:val="16"/>
        </w:rPr>
        <w:t>urológicas</w:t>
      </w:r>
      <w:r>
        <w:rPr>
          <w:spacing w:val="-2"/>
          <w:sz w:val="16"/>
        </w:rPr>
        <w:t xml:space="preserve"> </w:t>
      </w:r>
      <w:r>
        <w:rPr>
          <w:sz w:val="16"/>
        </w:rPr>
        <w:t>ou,</w:t>
      </w:r>
      <w:r>
        <w:rPr>
          <w:spacing w:val="-5"/>
          <w:sz w:val="16"/>
        </w:rPr>
        <w:t xml:space="preserve"> </w:t>
      </w:r>
      <w:r>
        <w:rPr>
          <w:sz w:val="16"/>
        </w:rPr>
        <w:t>vasculares,</w:t>
      </w:r>
      <w:r>
        <w:rPr>
          <w:spacing w:val="-1"/>
          <w:sz w:val="16"/>
        </w:rPr>
        <w:t xml:space="preserve"> </w:t>
      </w:r>
      <w:r>
        <w:rPr>
          <w:sz w:val="16"/>
        </w:rPr>
        <w:t>como</w:t>
      </w:r>
      <w:r>
        <w:rPr>
          <w:spacing w:val="-4"/>
          <w:sz w:val="16"/>
        </w:rPr>
        <w:t xml:space="preserve"> </w:t>
      </w:r>
      <w:r>
        <w:rPr>
          <w:sz w:val="16"/>
        </w:rPr>
        <w:t>já</w:t>
      </w:r>
      <w:r>
        <w:rPr>
          <w:spacing w:val="-2"/>
          <w:sz w:val="16"/>
        </w:rPr>
        <w:t xml:space="preserve"> </w:t>
      </w:r>
      <w:r>
        <w:rPr>
          <w:sz w:val="16"/>
        </w:rPr>
        <w:t>mencionadas</w:t>
      </w:r>
      <w:r>
        <w:rPr>
          <w:spacing w:val="-2"/>
          <w:sz w:val="16"/>
        </w:rPr>
        <w:t xml:space="preserve"> </w:t>
      </w:r>
      <w:r>
        <w:rPr>
          <w:sz w:val="16"/>
        </w:rPr>
        <w:t>anteriormente,</w:t>
      </w:r>
      <w:r>
        <w:rPr>
          <w:spacing w:val="-4"/>
          <w:sz w:val="16"/>
        </w:rPr>
        <w:t xml:space="preserve"> </w:t>
      </w:r>
      <w:r>
        <w:rPr>
          <w:sz w:val="16"/>
        </w:rPr>
        <w:t>por</w:t>
      </w:r>
      <w:r>
        <w:rPr>
          <w:spacing w:val="-4"/>
          <w:sz w:val="16"/>
        </w:rPr>
        <w:t xml:space="preserve"> </w:t>
      </w:r>
      <w:r>
        <w:rPr>
          <w:sz w:val="16"/>
        </w:rPr>
        <w:t>meio</w:t>
      </w:r>
      <w:r>
        <w:rPr>
          <w:spacing w:val="-3"/>
          <w:sz w:val="16"/>
        </w:rPr>
        <w:t xml:space="preserve"> </w:t>
      </w:r>
      <w:r>
        <w:rPr>
          <w:sz w:val="16"/>
        </w:rPr>
        <w:t>de</w:t>
      </w:r>
      <w:r>
        <w:rPr>
          <w:spacing w:val="-7"/>
          <w:sz w:val="16"/>
        </w:rPr>
        <w:t xml:space="preserve"> </w:t>
      </w:r>
      <w:r>
        <w:rPr>
          <w:sz w:val="16"/>
        </w:rPr>
        <w:t>ultrassonografia</w:t>
      </w:r>
      <w:r>
        <w:rPr>
          <w:spacing w:val="-1"/>
          <w:sz w:val="16"/>
        </w:rPr>
        <w:t xml:space="preserve"> </w:t>
      </w:r>
      <w:r>
        <w:rPr>
          <w:sz w:val="16"/>
        </w:rPr>
        <w:t>e</w:t>
      </w:r>
      <w:r>
        <w:rPr>
          <w:spacing w:val="-5"/>
          <w:sz w:val="16"/>
        </w:rPr>
        <w:t xml:space="preserve"> </w:t>
      </w:r>
      <w:r>
        <w:rPr>
          <w:sz w:val="16"/>
        </w:rPr>
        <w:t>Doppler</w:t>
      </w:r>
      <w:r>
        <w:rPr>
          <w:spacing w:val="5"/>
          <w:sz w:val="16"/>
        </w:rPr>
        <w:t xml:space="preserve"> </w:t>
      </w:r>
      <w:r>
        <w:rPr>
          <w:sz w:val="16"/>
        </w:rPr>
        <w:t>colorido</w:t>
      </w:r>
      <w:r>
        <w:rPr>
          <w:spacing w:val="-3"/>
          <w:sz w:val="16"/>
        </w:rPr>
        <w:t xml:space="preserve"> </w:t>
      </w:r>
      <w:r>
        <w:rPr>
          <w:sz w:val="16"/>
        </w:rPr>
        <w:t>da</w:t>
      </w:r>
      <w:r>
        <w:rPr>
          <w:spacing w:val="-2"/>
          <w:sz w:val="16"/>
        </w:rPr>
        <w:t xml:space="preserve"> </w:t>
      </w:r>
      <w:r>
        <w:rPr>
          <w:sz w:val="16"/>
        </w:rPr>
        <w:t>vasculatura</w:t>
      </w:r>
      <w:r>
        <w:rPr>
          <w:spacing w:val="-4"/>
          <w:sz w:val="16"/>
        </w:rPr>
        <w:t xml:space="preserve"> </w:t>
      </w:r>
      <w:r>
        <w:rPr>
          <w:sz w:val="16"/>
        </w:rPr>
        <w:t>do</w:t>
      </w:r>
      <w:r>
        <w:rPr>
          <w:spacing w:val="-2"/>
          <w:sz w:val="16"/>
        </w:rPr>
        <w:t xml:space="preserve"> </w:t>
      </w:r>
      <w:r>
        <w:rPr>
          <w:sz w:val="16"/>
        </w:rPr>
        <w:t>enxerto;</w:t>
      </w:r>
    </w:p>
    <w:p w:rsidR="00A94DA2" w:rsidRDefault="00DC0F69">
      <w:pPr>
        <w:pStyle w:val="PargrafodaLista"/>
        <w:numPr>
          <w:ilvl w:val="0"/>
          <w:numId w:val="4"/>
        </w:numPr>
        <w:tabs>
          <w:tab w:val="left" w:pos="282"/>
        </w:tabs>
        <w:ind w:left="281" w:hanging="175"/>
        <w:jc w:val="both"/>
        <w:rPr>
          <w:sz w:val="16"/>
        </w:rPr>
      </w:pPr>
      <w:r>
        <w:rPr>
          <w:sz w:val="16"/>
        </w:rPr>
        <w:t>exclusão de nefrotoxicidade crônica por inibidores da calcineurina;</w:t>
      </w:r>
      <w:r>
        <w:rPr>
          <w:spacing w:val="-7"/>
          <w:sz w:val="16"/>
        </w:rPr>
        <w:t xml:space="preserve"> </w:t>
      </w:r>
      <w:r>
        <w:rPr>
          <w:sz w:val="16"/>
        </w:rPr>
        <w:t>e</w:t>
      </w:r>
    </w:p>
    <w:p w:rsidR="00A94DA2" w:rsidRDefault="00DC0F69">
      <w:pPr>
        <w:pStyle w:val="Corpodetexto"/>
        <w:spacing w:line="20" w:lineRule="exact"/>
        <w:ind w:left="4619"/>
        <w:jc w:val="left"/>
        <w:rPr>
          <w:sz w:val="2"/>
        </w:rPr>
      </w:pPr>
      <w:r>
        <w:rPr>
          <w:sz w:val="2"/>
        </w:rPr>
      </w:r>
      <w:r>
        <w:rPr>
          <w:sz w:val="2"/>
        </w:rPr>
        <w:pict>
          <v:group id="_x0000_s1036" style="width:3.4pt;height:.4pt;mso-position-horizontal-relative:char;mso-position-vertical-relative:line" coordsize="68,8">
            <v:rect id="_x0000_s1037" style="position:absolute;width:68;height:8" fillcolor="black" stroked="f"/>
            <w10:wrap type="none"/>
            <w10:anchorlock/>
          </v:group>
        </w:pict>
      </w:r>
    </w:p>
    <w:p w:rsidR="00A94DA2" w:rsidRDefault="00DC0F69">
      <w:pPr>
        <w:pStyle w:val="PargrafodaLista"/>
        <w:numPr>
          <w:ilvl w:val="0"/>
          <w:numId w:val="4"/>
        </w:numPr>
        <w:tabs>
          <w:tab w:val="left" w:pos="272"/>
        </w:tabs>
        <w:ind w:left="271" w:hanging="165"/>
        <w:jc w:val="both"/>
        <w:rPr>
          <w:sz w:val="16"/>
        </w:rPr>
      </w:pPr>
      <w:r>
        <w:rPr>
          <w:sz w:val="16"/>
        </w:rPr>
        <w:t>presença de alterações anatomopatológicos segundo critérios definidos por Banff</w:t>
      </w:r>
      <w:r>
        <w:rPr>
          <w:spacing w:val="-4"/>
          <w:sz w:val="16"/>
        </w:rPr>
        <w:t xml:space="preserve"> </w:t>
      </w:r>
      <w:r>
        <w:rPr>
          <w:sz w:val="16"/>
        </w:rPr>
        <w:t>(9).</w:t>
      </w:r>
    </w:p>
    <w:p w:rsidR="00A94DA2" w:rsidRDefault="00A94DA2">
      <w:pPr>
        <w:pStyle w:val="Corpodetexto"/>
        <w:spacing w:before="10"/>
        <w:ind w:left="0"/>
        <w:jc w:val="left"/>
        <w:rPr>
          <w:sz w:val="15"/>
        </w:rPr>
      </w:pPr>
    </w:p>
    <w:p w:rsidR="00A94DA2" w:rsidRDefault="00DC0F69">
      <w:pPr>
        <w:pStyle w:val="PargrafodaLista"/>
        <w:numPr>
          <w:ilvl w:val="0"/>
          <w:numId w:val="6"/>
        </w:numPr>
        <w:tabs>
          <w:tab w:val="left" w:pos="253"/>
        </w:tabs>
        <w:ind w:hanging="146"/>
        <w:jc w:val="both"/>
        <w:rPr>
          <w:sz w:val="13"/>
        </w:rPr>
      </w:pPr>
      <w:r>
        <w:rPr>
          <w:sz w:val="16"/>
        </w:rPr>
        <w:t>C</w:t>
      </w:r>
      <w:r>
        <w:rPr>
          <w:sz w:val="13"/>
        </w:rPr>
        <w:t>RITÉRIOS DE</w:t>
      </w:r>
      <w:r>
        <w:rPr>
          <w:spacing w:val="-2"/>
          <w:sz w:val="13"/>
        </w:rPr>
        <w:t xml:space="preserve"> </w:t>
      </w:r>
      <w:r>
        <w:rPr>
          <w:sz w:val="13"/>
        </w:rPr>
        <w:t>EXCLUSÃO</w:t>
      </w:r>
    </w:p>
    <w:p w:rsidR="00A94DA2" w:rsidRDefault="00DC0F69">
      <w:pPr>
        <w:pStyle w:val="Corpodetexto"/>
        <w:spacing w:before="1"/>
        <w:jc w:val="left"/>
      </w:pPr>
      <w:r>
        <w:t>Serão excluídos do respectivo tratamento os pacientes que apresentarem intolerância, hipersensibilidade ou contraindicação ao uso dos medicamentos p</w:t>
      </w:r>
      <w:r>
        <w:t>reconizados neste Protocolo.</w:t>
      </w:r>
    </w:p>
    <w:p w:rsidR="00A94DA2" w:rsidRDefault="00A94DA2">
      <w:pPr>
        <w:pStyle w:val="Corpodetexto"/>
        <w:spacing w:before="1"/>
        <w:ind w:left="0"/>
        <w:jc w:val="left"/>
      </w:pPr>
    </w:p>
    <w:p w:rsidR="00A94DA2" w:rsidRDefault="00DC0F69">
      <w:pPr>
        <w:pStyle w:val="PargrafodaLista"/>
        <w:numPr>
          <w:ilvl w:val="0"/>
          <w:numId w:val="6"/>
        </w:numPr>
        <w:tabs>
          <w:tab w:val="left" w:pos="253"/>
        </w:tabs>
        <w:ind w:hanging="146"/>
        <w:rPr>
          <w:sz w:val="13"/>
        </w:rPr>
      </w:pPr>
      <w:r>
        <w:rPr>
          <w:sz w:val="16"/>
        </w:rPr>
        <w:t>T</w:t>
      </w:r>
      <w:r>
        <w:rPr>
          <w:sz w:val="13"/>
        </w:rPr>
        <w:t>RATAMENTO</w:t>
      </w:r>
    </w:p>
    <w:p w:rsidR="00A94DA2" w:rsidRDefault="00A94DA2">
      <w:pPr>
        <w:pStyle w:val="Corpodetexto"/>
        <w:spacing w:before="10"/>
        <w:ind w:left="0"/>
        <w:jc w:val="left"/>
        <w:rPr>
          <w:sz w:val="15"/>
        </w:rPr>
      </w:pPr>
    </w:p>
    <w:p w:rsidR="00A94DA2" w:rsidRDefault="00DC0F69">
      <w:pPr>
        <w:pStyle w:val="Corpodetexto"/>
        <w:spacing w:before="1"/>
        <w:jc w:val="left"/>
      </w:pPr>
      <w:r>
        <w:rPr>
          <w:u w:val="single"/>
        </w:rPr>
        <w:t>Indução da imunossupressão</w:t>
      </w:r>
    </w:p>
    <w:p w:rsidR="00A94DA2" w:rsidRDefault="00DC0F69">
      <w:pPr>
        <w:pStyle w:val="Corpodetexto"/>
        <w:ind w:right="119"/>
      </w:pPr>
      <w:r>
        <w:t>Para o início de imunossupressão recomenda-se o estabelecimento do “Estado de Imunossupressão” que se efetiva com os imunossupressores clássicos, além da utilização, em ambiente hospitala</w:t>
      </w:r>
      <w:r>
        <w:t xml:space="preserve">r, de globulina anti-timocítica (ATG) ou do anticorpo monoclonal anti-CD3 (OKT3). Este protocolo sugere como esquema imunossupressor inicial o composto por tacrolimo, azatioprina, prednisona e timoglobulina (ATG), salvo para pacientes hipersensibilizados, </w:t>
      </w:r>
      <w:r>
        <w:t>para os quais sugere-se o OKT3. Recomenda-se também que, paralelamente ao início da imunossupressão, outros tratamentos de suporte sejam realizados, como para estrongiloidíase e profilaxia da infecção pelo citomegalovírus</w:t>
      </w:r>
      <w:r>
        <w:rPr>
          <w:spacing w:val="-7"/>
        </w:rPr>
        <w:t xml:space="preserve"> </w:t>
      </w:r>
      <w:r>
        <w:t>(CMV).</w:t>
      </w:r>
    </w:p>
    <w:p w:rsidR="00A94DA2" w:rsidRDefault="00DC0F69">
      <w:pPr>
        <w:pStyle w:val="Corpodetexto"/>
        <w:jc w:val="left"/>
      </w:pPr>
      <w:r>
        <w:t>A terapia de indução com an</w:t>
      </w:r>
      <w:r>
        <w:t>ticorpos anticélulas T propicia melhores resultados, com menores taxas de rejeição (14, 15). A terapia de indução com imunoglobulina antitimócito é o tratamento que se associa a melhores respostas e, posteriormente, a esquema de manutenção sem corticostero</w:t>
      </w:r>
      <w:r>
        <w:t>ides (16, 17).</w:t>
      </w:r>
    </w:p>
    <w:p w:rsidR="00A94DA2" w:rsidRDefault="00DC0F69">
      <w:pPr>
        <w:pStyle w:val="Corpodetexto"/>
        <w:ind w:right="114"/>
      </w:pPr>
      <w:r>
        <w:pict>
          <v:rect id="_x0000_s1035" style="position:absolute;left:0;text-align:left;margin-left:106.2pt;margin-top:69.05pt;width:2.4pt;height:.25pt;z-index:-251659776;mso-position-horizontal-relative:page" fillcolor="black" stroked="f">
            <w10:wrap anchorx="page"/>
          </v:rect>
        </w:pict>
      </w:r>
      <w:r>
        <w:pict>
          <v:rect id="_x0000_s1034" style="position:absolute;left:0;text-align:left;margin-left:130.35pt;margin-top:69.05pt;width:2.4pt;height:.25pt;z-index:-251658752;mso-position-horizontal-relative:page" fillcolor="black" stroked="f">
            <w10:wrap anchorx="page"/>
          </v:rect>
        </w:pict>
      </w:r>
      <w:r>
        <w:t>Os anticorpos monoclonais antirreceptores de IL-2, como basiliximabe administrado em 2 doses de 20 mg, a primeira no dia zero e a segunda no quarto dia pós- operatório, podem reduzir a frequência de rejeições agudas sem ocasionar maior incidência de infecç</w:t>
      </w:r>
      <w:r>
        <w:t>ões ou de doença linfoproliferativa, com resultados equiparáveis aos obtidos com ATG ou muromonabe CD3 em pacientes de menor risco imunológico (18, 19). Já a imunoglobulina antitimócito é mais efetiva do que os anticorpos anti-IL- 2 para indução da imunoss</w:t>
      </w:r>
      <w:r>
        <w:t>upressão e para receptores de maior risco imunológico, como os sensibilizados, pacientes com tempo de isquemia fria prolongada (mais de 18 horas) e retransplantados, pois previne rejeições agudas e aumenta a sobrevida de enxertos (20, 21). Recomenda-se que</w:t>
      </w:r>
      <w:r>
        <w:t xml:space="preserve"> a dose total de ATG não ultrapasse 6 mg/kg, devendo a primeira dose sempre ser administrada no intraoperatório (22-25). Doses acima de 6 mg/kg aumentam o risco de infecção e possivelmente de linfomas, enquanto doses abaixo de 3 mg/kg podem não ter a mesma</w:t>
      </w:r>
      <w:r>
        <w:t xml:space="preserve"> eficácia preventiva de rejeições (23). Assim, aconselha-se o uso de 3 mg/kg no intraoperatório seguido de 2 doses de 1,5 mg/kg no 1</w:t>
      </w:r>
      <w:r>
        <w:rPr>
          <w:vertAlign w:val="superscript"/>
        </w:rPr>
        <w:t>o</w:t>
      </w:r>
      <w:r>
        <w:t xml:space="preserve"> e no 2</w:t>
      </w:r>
      <w:r>
        <w:rPr>
          <w:vertAlign w:val="superscript"/>
        </w:rPr>
        <w:t>o</w:t>
      </w:r>
      <w:r>
        <w:t xml:space="preserve"> dias pós-operatórios ou 1,5 mg/kg no intraoperatório e 3 doses subsequentes de 1,5 mg/kg.</w:t>
      </w:r>
    </w:p>
    <w:p w:rsidR="00A94DA2" w:rsidRDefault="00DC0F69">
      <w:pPr>
        <w:pStyle w:val="Corpodetexto"/>
        <w:ind w:right="118"/>
      </w:pPr>
      <w:r>
        <w:t>O uso profilático do mur</w:t>
      </w:r>
      <w:r>
        <w:t xml:space="preserve">omonabe CD3 é mais eficaz na prevenção de rejeições nos pacientes hipersensibilizados ou de maior risco imunológico (26), sendo preconizado neste Protocolo. Não se deve utilizá-lo simultaneamente com os inibidores da calcineurina em virtude do maior risco </w:t>
      </w:r>
      <w:r>
        <w:t>de nefrotoxicidade pela grande liberação de  citocinas provocada pelo muromonabe CD3 (27). Assim, os inibidores da calcineurina devem ser iniciados após o uso do anticorpo monoclonal, mas, apesar dessa orientação, há relatos que mostram bloqueio na formaçã</w:t>
      </w:r>
      <w:r>
        <w:t>o de anticorpos específicos antimuromonabe CD3 quando ele é empregado simultaneamente com micofenolato e ciclosporina (28-30). Apesar desses dados, sugere-se iniciar os inibidores da calcineurina após o uso do OKT3. Este Protocolo recomenda o uso dos anti-</w:t>
      </w:r>
      <w:r>
        <w:t>receptores de IL- 2, somente para aqueles casos que não puderem utilizar o ATG, em razão da maior eficácia dos demais anticorpos</w:t>
      </w:r>
      <w:r>
        <w:rPr>
          <w:spacing w:val="-20"/>
        </w:rPr>
        <w:t xml:space="preserve"> </w:t>
      </w:r>
      <w:r>
        <w:t>mencionados.</w:t>
      </w:r>
    </w:p>
    <w:p w:rsidR="00A94DA2" w:rsidRDefault="00A94DA2">
      <w:pPr>
        <w:sectPr w:rsidR="00A94DA2">
          <w:pgSz w:w="11910" w:h="16840"/>
          <w:pgMar w:top="460" w:right="300" w:bottom="280" w:left="460" w:header="720" w:footer="720" w:gutter="0"/>
          <w:cols w:space="720"/>
        </w:sectPr>
      </w:pPr>
    </w:p>
    <w:p w:rsidR="00A94DA2" w:rsidRDefault="00DC0F69">
      <w:pPr>
        <w:pStyle w:val="Corpodetexto"/>
        <w:spacing w:before="82"/>
      </w:pPr>
      <w:r>
        <w:rPr>
          <w:u w:val="single"/>
        </w:rPr>
        <w:lastRenderedPageBreak/>
        <w:t>Imunossupressão de manutenção</w:t>
      </w:r>
    </w:p>
    <w:p w:rsidR="00A94DA2" w:rsidRDefault="00DC0F69">
      <w:pPr>
        <w:pStyle w:val="Corpodetexto"/>
        <w:spacing w:before="1"/>
        <w:ind w:right="119"/>
      </w:pPr>
      <w:r>
        <w:t>Para receptores de doador vivo (HLA idêntico ou distinto) ou falecido,</w:t>
      </w:r>
      <w:r>
        <w:t xml:space="preserve"> recomenda-se o esquema de imunossupressão tríplice com prednisona, azatioprina e ciclosporina ou tacrolimo. Alternativamente o esquema com prednisona, micofenolato de mofetila ou de sódio e ciclosporina ou tacrolimo pode ser adotado, sendo que o uso dos p</w:t>
      </w:r>
      <w:r>
        <w:t xml:space="preserve">recursores do ácido micofenólico (micofenolato de mofetila e micofenolato de sódio) fica reservado para as seguintes situações: intolerância clínica comprovada à azatioprina, evidenciada clinicamente por leucopenia intensa e precoce ou, laboratorialmente, </w:t>
      </w:r>
      <w:r>
        <w:t xml:space="preserve">pela deficiência da enzima TPMT; nefropatia crônica do enxerto comprovada com dados clínicos e histológicos; ou após rejeições celulares agudas recorrentes, histologicamente comprovadas, ou diante de comprovada rejeição mediada por anticorpos. Em ambas as </w:t>
      </w:r>
      <w:r>
        <w:t>situações recomenda-se também reformulação de outros imunossupressores, como reajuste na dose dos imunossupressores ou troca de ciclosporina por tacrolimo.</w:t>
      </w:r>
    </w:p>
    <w:p w:rsidR="00A94DA2" w:rsidRDefault="00DC0F69">
      <w:pPr>
        <w:pStyle w:val="Corpodetexto"/>
        <w:spacing w:before="1"/>
        <w:ind w:right="119"/>
      </w:pPr>
      <w:r>
        <w:t xml:space="preserve">A azatioprina mantém-se como um dos imunossupressores preferenciais, pois ensaios clínicos recentes </w:t>
      </w:r>
      <w:r>
        <w:t>demonstram resultados (de curto e longo prazos) semelhantes aos observados com micofenolato (taxas de rejeição aguda e chances de sobrevida em longo prazo do enxerto), inclusive para outros tipos de transplantes (31-35). Além disso, há indicativos de maior</w:t>
      </w:r>
      <w:r>
        <w:t xml:space="preserve"> incidência de complicações infecciosas em pacientes em uso de micofenolato (36). Estudo multicêntrico mais recente, realizado na Austrália e Nova Zelândia, com seguimento médio de 13,8 anos, demonstrou não haver diferenças estatisticamente significantes q</w:t>
      </w:r>
      <w:r>
        <w:t>uanto à sobrevida de enxertos de pacientes incidência de câncer e função renal entre os três grupos analisados, isto é, azatioprina, MMF 2 g/dia e MMF 3 g/dia (37) Os autores enfatizaram que 42% dos pacientes pertencentes ao grupo MMF foram direcionados de</w:t>
      </w:r>
      <w:r>
        <w:t>finitivamente para o grupo azatioprina, enquanto a mudança (“conversão”) do grupo AZA para o grupo MMF foi rara. Outros estudos (38, 39) evidenciaram também resultados de sobrevida similares em esquema tríplice com ciclosporina, prednisona e azatioprina ou</w:t>
      </w:r>
      <w:r>
        <w:t xml:space="preserve"> micofenolato.</w:t>
      </w:r>
    </w:p>
    <w:p w:rsidR="00A94DA2" w:rsidRDefault="00DC0F69">
      <w:pPr>
        <w:pStyle w:val="Corpodetexto"/>
        <w:ind w:right="120"/>
      </w:pPr>
      <w:r>
        <w:t>A equivalência desses resultados se estende também às recorrências das glomerulopatias pós-transplante, semelhantes entre pacientes com micofenolato ou azatioprina. (39-42) Dados recentes da base de dados OPTN/UNOS (</w:t>
      </w:r>
      <w:r>
        <w:rPr>
          <w:i/>
        </w:rPr>
        <w:t>Organ Procurement and Tra</w:t>
      </w:r>
      <w:r>
        <w:rPr>
          <w:i/>
        </w:rPr>
        <w:t>nsplantation Network/United Network for Organ Sharing</w:t>
      </w:r>
      <w:r>
        <w:t>) mostraram não haver diferenças para perda de enxertos renais, após seguimento de 10 anos, por recorrência de vários tipos de glomerulonefrites, como membranoproliferativa, nefropatia da IgA, glomeruloe</w:t>
      </w:r>
      <w:r>
        <w:t>sclerose segmentar e focal, nefrite lúpica, nos pacientes sob tratamento imunossupressor de manutenção com ciclosporina + azatioprina ou ciclosporina + micofenolato de mofetila. (42)</w:t>
      </w:r>
    </w:p>
    <w:p w:rsidR="00A94DA2" w:rsidRDefault="00DC0F69">
      <w:pPr>
        <w:pStyle w:val="Corpodetexto"/>
        <w:ind w:right="118"/>
      </w:pPr>
      <w:r>
        <w:t>Os resultados são claros e mostram no mínimo a mesma evolução, concluindo</w:t>
      </w:r>
      <w:r>
        <w:t xml:space="preserve"> que não há diferença entre os grupos tratados com micofenolato e azatioprina (39-42). Sendo assim, as evidências atuais mostram claramente, em curto e longo prazos, que são obtidos com azatioprina, no mínimo, os mesmos resultados dos alcançados com micofe</w:t>
      </w:r>
      <w:r>
        <w:t>nolato.</w:t>
      </w:r>
    </w:p>
    <w:p w:rsidR="00A94DA2" w:rsidRDefault="00DC0F69">
      <w:pPr>
        <w:pStyle w:val="Corpodetexto"/>
        <w:ind w:right="118"/>
      </w:pPr>
      <w:r>
        <w:t>Esquemas imunossupressores sem corticosteroides ainda não têm, em nosso meio, suporte para recomendação rotineira. Entretanto, alguns centros transplantadores vêm há anos realizando com sucesso transplante de rim sem corticosteroides (16, 17). Esse</w:t>
      </w:r>
      <w:r>
        <w:t xml:space="preserve">s centros incluem, no protocolo, indução com imunoglobulina antitimócito para todos os pacientes, desde o intraoperatório, e usam esteroides por até 5 dias com o objetivo de evitar reações alérgicas adversas relacionadas a imunoglobulina antitimócito. Uma </w:t>
      </w:r>
      <w:r>
        <w:t>meta-análise confirma que a redução ou a interrupção de corticosteroides não se associam com aumento da mortalidade ou perda do enxerto e podem permitir redução de efeitos adversos dos corticosteroides após poucos dias do transplante se a terapia de induçã</w:t>
      </w:r>
      <w:r>
        <w:t>o tiver incluído anticorpos ou após 3 a 6 meses se tal indução não houver sido utilizada (43).</w:t>
      </w:r>
    </w:p>
    <w:p w:rsidR="00A94DA2" w:rsidRDefault="00DC0F69">
      <w:pPr>
        <w:pStyle w:val="Corpodetexto"/>
        <w:ind w:right="117"/>
      </w:pPr>
      <w:r>
        <w:t xml:space="preserve">Recomenda-se que a azatioprina seja administrada, na fase de insuficiência renal, no período imediatamente pré-transplante ou no período pós-transplante, quando </w:t>
      </w:r>
      <w:r>
        <w:t xml:space="preserve">houver insuficiência renal aguda, situação frequente e que geralmente perdura por 10 a 14 dias depois da cirurgia, sobretudo nos receptores de rim de doador falecido, em dose menor (de 1 a 2 mg/kg de peso), em razão do maior risco de mielotoxicidade. Esse </w:t>
      </w:r>
      <w:r>
        <w:t>medicamento se transforma rapidamente, depois de ingerido, em 6-mercaptopurina que, por sua vez, é biotransformado por três vias - duas catabólicas e uma anabólica. A via catabólica de metilação ocorre pela ação da enzima TPMT (tiopurina metiltransferase),</w:t>
      </w:r>
      <w:r>
        <w:t xml:space="preserve"> e a outra, de oxidação, pela xantina oxidase (XO). A via anabólica inicia pela ação da enzima HGPRT (hipoxantina fosforribosiltransferase) sobre a 6- mercaptopurina</w:t>
      </w:r>
      <w:r>
        <w:rPr>
          <w:spacing w:val="-2"/>
        </w:rPr>
        <w:t xml:space="preserve"> </w:t>
      </w:r>
      <w:r>
        <w:t>e</w:t>
      </w:r>
      <w:r>
        <w:rPr>
          <w:spacing w:val="-4"/>
        </w:rPr>
        <w:t xml:space="preserve"> </w:t>
      </w:r>
      <w:r>
        <w:t>leva</w:t>
      </w:r>
      <w:r>
        <w:rPr>
          <w:spacing w:val="-1"/>
        </w:rPr>
        <w:t xml:space="preserve"> </w:t>
      </w:r>
      <w:r>
        <w:t>à</w:t>
      </w:r>
      <w:r>
        <w:rPr>
          <w:spacing w:val="-1"/>
        </w:rPr>
        <w:t xml:space="preserve"> </w:t>
      </w:r>
      <w:r>
        <w:t>formação</w:t>
      </w:r>
      <w:r>
        <w:rPr>
          <w:spacing w:val="-5"/>
        </w:rPr>
        <w:t xml:space="preserve"> </w:t>
      </w:r>
      <w:r>
        <w:t>dos</w:t>
      </w:r>
      <w:r>
        <w:rPr>
          <w:spacing w:val="-4"/>
        </w:rPr>
        <w:t xml:space="preserve"> </w:t>
      </w:r>
      <w:r>
        <w:t>metabólitos</w:t>
      </w:r>
      <w:r>
        <w:rPr>
          <w:spacing w:val="-2"/>
        </w:rPr>
        <w:t xml:space="preserve"> </w:t>
      </w:r>
      <w:r>
        <w:t>ativos</w:t>
      </w:r>
      <w:r>
        <w:rPr>
          <w:spacing w:val="-2"/>
        </w:rPr>
        <w:t xml:space="preserve"> </w:t>
      </w:r>
      <w:r>
        <w:t>6-TGN</w:t>
      </w:r>
      <w:r>
        <w:rPr>
          <w:spacing w:val="-3"/>
        </w:rPr>
        <w:t xml:space="preserve"> </w:t>
      </w:r>
      <w:r>
        <w:t>(6-tioguanínicos),</w:t>
      </w:r>
      <w:r>
        <w:rPr>
          <w:spacing w:val="-4"/>
        </w:rPr>
        <w:t xml:space="preserve"> </w:t>
      </w:r>
      <w:r>
        <w:t>que</w:t>
      </w:r>
      <w:r>
        <w:rPr>
          <w:spacing w:val="-4"/>
        </w:rPr>
        <w:t xml:space="preserve"> </w:t>
      </w:r>
      <w:r>
        <w:t>são</w:t>
      </w:r>
      <w:r>
        <w:rPr>
          <w:spacing w:val="-3"/>
        </w:rPr>
        <w:t xml:space="preserve"> </w:t>
      </w:r>
      <w:r>
        <w:t>os</w:t>
      </w:r>
      <w:r>
        <w:rPr>
          <w:spacing w:val="-2"/>
        </w:rPr>
        <w:t xml:space="preserve"> </w:t>
      </w:r>
      <w:r>
        <w:t>responsáveis</w:t>
      </w:r>
      <w:r>
        <w:rPr>
          <w:spacing w:val="-4"/>
        </w:rPr>
        <w:t xml:space="preserve"> </w:t>
      </w:r>
      <w:r>
        <w:t>pela</w:t>
      </w:r>
      <w:r>
        <w:rPr>
          <w:spacing w:val="-4"/>
        </w:rPr>
        <w:t xml:space="preserve"> </w:t>
      </w:r>
      <w:r>
        <w:t>ação</w:t>
      </w:r>
      <w:r>
        <w:rPr>
          <w:spacing w:val="-5"/>
        </w:rPr>
        <w:t xml:space="preserve"> </w:t>
      </w:r>
      <w:r>
        <w:t>imunossupressora</w:t>
      </w:r>
      <w:r>
        <w:rPr>
          <w:spacing w:val="-2"/>
        </w:rPr>
        <w:t xml:space="preserve"> </w:t>
      </w:r>
      <w:r>
        <w:t>e</w:t>
      </w:r>
      <w:r>
        <w:rPr>
          <w:spacing w:val="-4"/>
        </w:rPr>
        <w:t xml:space="preserve"> </w:t>
      </w:r>
      <w:r>
        <w:t>mielotóxica</w:t>
      </w:r>
      <w:r>
        <w:rPr>
          <w:spacing w:val="-4"/>
        </w:rPr>
        <w:t xml:space="preserve"> </w:t>
      </w:r>
      <w:r>
        <w:t>da</w:t>
      </w:r>
      <w:r>
        <w:rPr>
          <w:spacing w:val="-4"/>
        </w:rPr>
        <w:t xml:space="preserve"> </w:t>
      </w:r>
      <w:r>
        <w:t>azatioprina.</w:t>
      </w:r>
    </w:p>
    <w:p w:rsidR="00A94DA2" w:rsidRDefault="00DC0F69">
      <w:pPr>
        <w:pStyle w:val="Corpodetexto"/>
        <w:ind w:right="117"/>
      </w:pPr>
      <w:r>
        <w:t xml:space="preserve">Pacientes que geneticamente não apresentam atividade da enzima TPMT, ou a têm em nível muito baixo, são intolerantes a azatioprina em razão da maior oferta de 6- mercaptopurina para se formar 6-TGN. </w:t>
      </w:r>
      <w:r>
        <w:t>Esses pacientes são extremamente sensíveis a azatioprina, mesmo com doses pequenas, e a mielotoxicidade se manifesta precocemente após poucos dias de uso (44, 45). Por isso, é obrigatório o controle com hemograma em intervalos semanais nos primeiros 2 mese</w:t>
      </w:r>
      <w:r>
        <w:t>s de uso, tanto de azatioprina como de 6-mercaptopurina, em razão da precocidade com que a mielotoxicidade se manifesta nessas situações.</w:t>
      </w:r>
    </w:p>
    <w:p w:rsidR="00A94DA2" w:rsidRDefault="00DC0F69">
      <w:pPr>
        <w:pStyle w:val="Corpodetexto"/>
        <w:spacing w:before="1"/>
        <w:ind w:right="119"/>
      </w:pPr>
      <w:r>
        <w:t>Da mesma forma que há intolerância a azatioprina nos pacientes com atividade muito baixa ou nula de TPMT, o uso simult</w:t>
      </w:r>
      <w:r>
        <w:t>âneo de alopurinol, agente que bloqueia a XO, provoca as mesmas consequências. É por isso que a associação de azatioprina ou 6-mercaptopurina com alopurinol, sem criterioso reajuste da dose de ambos, é formalmente contraindicada (45, 46). Por outro lado, a</w:t>
      </w:r>
      <w:r>
        <w:t xml:space="preserve"> associação de azatioprina com dose baixa de alopurinol propicia bloqueio apenas parcial da XO e poderá ser alternativa terapêutica para aumentar a eficácia imunossupressora da azatioprina sem o risco de mielotoxicidade (47).</w:t>
      </w:r>
    </w:p>
    <w:p w:rsidR="00A94DA2" w:rsidRDefault="00DC0F69">
      <w:pPr>
        <w:pStyle w:val="Corpodetexto"/>
        <w:ind w:right="118"/>
      </w:pPr>
      <w:r>
        <w:t>A hepatotoxicidade da azatiopr</w:t>
      </w:r>
      <w:r>
        <w:t>ina é incomum e parece estar relacionada ao metabólito 6-metilmercaptopurina. A associação com alopurinol, com o devido reajuste de dose de azatioprina, tem sido estudada para pacientes com doença inflamatória intestinal que apresentam alterações das enzim</w:t>
      </w:r>
      <w:r>
        <w:t>as hepáticas atribuídas a azatioprina (48, 49). Entretanto, as evidências são ainda muito limitadas para que a associação possa ser</w:t>
      </w:r>
      <w:r>
        <w:rPr>
          <w:spacing w:val="-25"/>
        </w:rPr>
        <w:t xml:space="preserve"> </w:t>
      </w:r>
      <w:r>
        <w:t>recomendada.</w:t>
      </w:r>
    </w:p>
    <w:p w:rsidR="00A94DA2" w:rsidRDefault="00DC0F69">
      <w:pPr>
        <w:pStyle w:val="Corpodetexto"/>
        <w:ind w:right="119"/>
      </w:pPr>
      <w:r>
        <w:pict>
          <v:rect id="_x0000_s1033" style="position:absolute;left:0;text-align:left;margin-left:205pt;margin-top:32.2pt;width:2.4pt;height:.25pt;z-index:-251657728;mso-position-horizontal-relative:page" fillcolor="black" stroked="f">
            <w10:wrap anchorx="page"/>
          </v:rect>
        </w:pict>
      </w:r>
      <w:r>
        <w:pict>
          <v:rect id="_x0000_s1032" style="position:absolute;left:0;text-align:left;margin-left:437.6pt;margin-top:32.2pt;width:2.4pt;height:.25pt;z-index:-251656704;mso-position-horizontal-relative:page" fillcolor="black" stroked="f">
            <w10:wrap anchorx="page"/>
          </v:rect>
        </w:pict>
      </w:r>
      <w:r>
        <w:t>O tacrolimo age como a ciclosporina, porém tem sido mais utilizado em razão da evidência de melhores resultad</w:t>
      </w:r>
      <w:r>
        <w:t xml:space="preserve">os, como demonstrado em estudo multicêntrico japonês com mais de 1.000 receptores de rim de doador vivo, falecido, ABO compatível e incompatível (50). Comparado com a ciclosporina, o tacrolimo reduz as taxas de rejeição aguda (47). Em uma meta-análise que </w:t>
      </w:r>
      <w:r>
        <w:t>incluiu 123 publicações com 4.102 pacientes, verificou-se que a perda de enxerto em pacientes em uso de tacrolimo foi menor do que a dos que recebiam ciclosporina no 6</w:t>
      </w:r>
      <w:r>
        <w:rPr>
          <w:vertAlign w:val="superscript"/>
        </w:rPr>
        <w:t>o</w:t>
      </w:r>
      <w:r>
        <w:t xml:space="preserve"> mês pós-transplante, resultado que continuou sendo observado no </w:t>
      </w:r>
      <w:r>
        <w:rPr>
          <w:spacing w:val="2"/>
        </w:rPr>
        <w:t>3</w:t>
      </w:r>
      <w:r>
        <w:rPr>
          <w:spacing w:val="2"/>
          <w:vertAlign w:val="superscript"/>
        </w:rPr>
        <w:t>o</w:t>
      </w:r>
      <w:r>
        <w:rPr>
          <w:spacing w:val="2"/>
        </w:rPr>
        <w:t xml:space="preserve"> </w:t>
      </w:r>
      <w:r>
        <w:t>ano de seguimento (5</w:t>
      </w:r>
      <w:r>
        <w:t>1). Além disso, a incidência de rejeições agudas e rejeições resistentes a corticoesteroides foi menor nos pacientes que recebiam tacrolimo (51,</w:t>
      </w:r>
      <w:r>
        <w:rPr>
          <w:spacing w:val="-19"/>
        </w:rPr>
        <w:t xml:space="preserve"> </w:t>
      </w:r>
      <w:r>
        <w:t>52).</w:t>
      </w:r>
    </w:p>
    <w:p w:rsidR="00A94DA2" w:rsidRDefault="00DC0F69">
      <w:pPr>
        <w:pStyle w:val="Corpodetexto"/>
        <w:ind w:right="120"/>
      </w:pPr>
      <w:r>
        <w:t>Em relação à nefrotoxicidade, não parece haver diferença entre ciclosporina e tacrolimo. Seu uso exige ríg</w:t>
      </w:r>
      <w:r>
        <w:t>ida monitorização dos níveis sanguíneos para adequado acerto de dose e prevenção de lesão renal aguda ou crônica, não raramente irreversível. Hirsutismo, hipertensão arterial, hiperplasia gengival são mais frequentes com o uso de ciclosporina e também para</w:t>
      </w:r>
      <w:r>
        <w:t xml:space="preserve"> esses pacientes a substituição (“conversão”) pelo tacrolimo geralmente é benéfica. Por outro lado, diabete mélito é mais observado nos que recebem tacrolimo. Alguns destes pacientes se beneficiam com a mudança para ciclosporina. Além disso, há maior incid</w:t>
      </w:r>
      <w:r>
        <w:t>ência de alopecia, miocardiopatia hipertrófica, infecção pelo vírus BK e diarreia com o uso de tacrolimo (52-54). Entretanto, estudo de coorte realizado no Brasil, que comparou pacientes que utilizaram esquemas imunossupressores com ciclosporina ou tacroli</w:t>
      </w:r>
      <w:r>
        <w:t>mo, por 5 anos, demonstrou que a razão de chances de falha terapêutica (perda do enxerto ou morte) foi maior com tacrolimo (RC 1,38 IC95% 1,14-1,67) (55). Este achado necessita de confirmação em estudos randomizados para poder basear uma recomendação.</w:t>
      </w:r>
    </w:p>
    <w:p w:rsidR="00A94DA2" w:rsidRDefault="00DC0F69">
      <w:pPr>
        <w:pStyle w:val="Corpodetexto"/>
        <w:ind w:right="120"/>
      </w:pPr>
      <w:r>
        <w:t>É ne</w:t>
      </w:r>
      <w:r>
        <w:t>cessário um acompanhamento mais cuidadoso (revisões mais frequentes, a cada 10 dias ou a cada 30 dias, dependendo da modificação feita) dos pacientes que tiveram o esquema imunossupressor tardiamente modificado, mesmo quando o novo agente é teoricamente ma</w:t>
      </w:r>
      <w:r>
        <w:t>is potente. A troca de ciclosporina para tacrolimo geralmente é segura, sem causar maior ocorrência de rejeições (56), e é possível que o inverso, ou seja, substituição de tacrolimo pela ciclosporina, seja também seguro, mas esta última mudança foi pouco e</w:t>
      </w:r>
      <w:r>
        <w:t>studada.</w:t>
      </w:r>
    </w:p>
    <w:p w:rsidR="00A94DA2" w:rsidRDefault="00DC0F69">
      <w:pPr>
        <w:pStyle w:val="Corpodetexto"/>
        <w:ind w:right="119"/>
      </w:pPr>
      <w:r>
        <w:t xml:space="preserve">O ácido micofenólico é a forma ativa de um antibiótico com propriedades imunossupressoras, isolado a partir do cultivo de </w:t>
      </w:r>
      <w:r>
        <w:rPr>
          <w:i/>
        </w:rPr>
        <w:t>Penicillium</w:t>
      </w:r>
      <w:r>
        <w:t>. Há dois compostos disponíveis, micofenolato de mofetila (MMF) e micofenolato de sódio (MFS), que, após a absorçã</w:t>
      </w:r>
      <w:r>
        <w:t>o, são rapidamente convertidos em ácido micofenólico no fígado. Estes medicamentos podem ser usados em combinação com corticosteroide e inibidor da calcineurina. O ácido micofenólico atua inibindo seletivamente a síntese de purinas e, portanto, é um potent</w:t>
      </w:r>
      <w:r>
        <w:t>e inibidor específico da proliferação das células T e B. Sua biodisponibilidade oral varia de 80,7% a 94% após a administração de MMF e é de aproximadamente de 72% após a de MFS. Os efeitos adversos são similares nas duas formulações, e a eficácia e a segu</w:t>
      </w:r>
      <w:r>
        <w:t>rança são similares para doses de 1.000 mg 2 vezes/dia de MMF e de 720 mg 2 vezes/dia de MFS (57-61). Este Protocolo sugere que esses imunossupressores sejam utilizados como alternativa a azatioprina, pelas razões já expostas, ou seja: intolerância clínica</w:t>
      </w:r>
      <w:r>
        <w:t xml:space="preserve"> comprovada à azatioprina, evidenciada clinicamente por leucopenia intensa e precoce ou, laboratorialmente, pela deficiência da enzima TPMT; nefropatia crônica do enxerto comprovada com dados clínicos e histológicos; ou após rejeições celulares agudas reco</w:t>
      </w:r>
      <w:r>
        <w:t>rrentes, histologicamente comprovadas, ou diante de comprovada rejeição mediada por anticorpos.</w:t>
      </w:r>
    </w:p>
    <w:p w:rsidR="00A94DA2" w:rsidRDefault="00DC0F69">
      <w:pPr>
        <w:pStyle w:val="Corpodetexto"/>
        <w:ind w:right="117"/>
      </w:pPr>
      <w:r>
        <w:t>Diarreia persistente é a manifestação adversa mais comum de ambos (62, 63). Se a diarreia for relacionada a micofenolato, recomenda-se a redução da dose diária,</w:t>
      </w:r>
      <w:r>
        <w:t xml:space="preserve">  medida geralmente eficaz. Entretanto, a subexposição ao imunossupressor está associada a aumento significativo da perda de enxertos (64). Como a redução de dose do micofenolato tem implicações graves sobre o enxerto, recomenda-se pesquisar outras causas </w:t>
      </w:r>
      <w:r>
        <w:t>de diarreia antes de atribuí-la ao</w:t>
      </w:r>
      <w:r>
        <w:rPr>
          <w:spacing w:val="-29"/>
        </w:rPr>
        <w:t xml:space="preserve"> </w:t>
      </w:r>
      <w:r>
        <w:t>micofenolato (65).</w:t>
      </w:r>
    </w:p>
    <w:p w:rsidR="00A94DA2" w:rsidRDefault="00DC0F69">
      <w:pPr>
        <w:pStyle w:val="Corpodetexto"/>
        <w:ind w:right="119"/>
      </w:pPr>
      <w:r>
        <w:t>O sirolimo foi o primeiro inibidor da mTOR (</w:t>
      </w:r>
      <w:r>
        <w:rPr>
          <w:i/>
        </w:rPr>
        <w:t>mammalian target of rapamycin</w:t>
      </w:r>
      <w:r>
        <w:t>) a ser utilizado e, por isso, é o mais conhecido. Trata-se de um antibiótico macrolídeo produzido pelo fungo Streptomyces hygros</w:t>
      </w:r>
      <w:r>
        <w:t>copicus. O uso de sirolimo no pós-transplante imediato associa-se a retardo na recuperação da função renal do enxerto, comprometimento da cicatrização e aumento da incidência de linfocele (66), motivos pelos quais não deve ser utilizado no esquema imunossu</w:t>
      </w:r>
      <w:r>
        <w:t>pressor inicial.</w:t>
      </w:r>
    </w:p>
    <w:p w:rsidR="00A94DA2" w:rsidRDefault="00DC0F69">
      <w:pPr>
        <w:pStyle w:val="Corpodetexto"/>
        <w:spacing w:before="1"/>
        <w:ind w:right="118"/>
      </w:pPr>
      <w:r>
        <w:t xml:space="preserve">Os inibidores da mTOR têm sido estudados em pacientes com neoplasia maligna, como câncer de pele recorrente e sarcoma de Kaposi (67-69). Em meta-análise recente, estes medicamentos foram avaliados em quatro estratégias de imunossupressão: </w:t>
      </w:r>
      <w:r>
        <w:t xml:space="preserve">como substitutos aos inibidores da calcineurina, em combinação com estes em baixas e altas doses e em esquemas com doses variáveis de inibidores da calcineurina. Quando as análises envolveram desfechos relacionados à sobrevida do enxerto (rejeição aguda e </w:t>
      </w:r>
      <w:r>
        <w:t>função renal), houve benefício para os mTOR. Entretanto, quando os desfechos analisados foram toxicidade sobre a medula óssea e distúrbios metabólicos, observou-se piora nos grupos tratados com estes medicamentos. Assim, são necessários mais estudos e de l</w:t>
      </w:r>
      <w:r>
        <w:t>ongo prazo para sua recomendação (70). Outro estudo multicêntrico aberto, randomizado e controlado que avaliou a troca dos inibidores de calcineurina por sirolimo demonstrou a diminuição da taxa de câncer de pele, porém com significativa incidência de even</w:t>
      </w:r>
      <w:r>
        <w:t>tos adversos (71).</w:t>
      </w:r>
    </w:p>
    <w:p w:rsidR="00A94DA2" w:rsidRDefault="00A94DA2">
      <w:pPr>
        <w:sectPr w:rsidR="00A94DA2">
          <w:pgSz w:w="11910" w:h="16840"/>
          <w:pgMar w:top="460" w:right="300" w:bottom="280" w:left="460" w:header="720" w:footer="720" w:gutter="0"/>
          <w:cols w:space="720"/>
        </w:sectPr>
      </w:pPr>
    </w:p>
    <w:p w:rsidR="00A94DA2" w:rsidRDefault="00DC0F69">
      <w:pPr>
        <w:pStyle w:val="Corpodetexto"/>
        <w:spacing w:before="82"/>
        <w:ind w:right="117"/>
      </w:pPr>
      <w:r>
        <w:lastRenderedPageBreak/>
        <w:t>Uma revisão sistemática sobre o uso dos inibidores da mTOR em terapia inicial no transplante renal avaliou 27 estudos com sirolimo e 5 com everolimo, tendo concluído não haver diferença significativa na sobrevida dos pacien</w:t>
      </w:r>
      <w:r>
        <w:t>tes, na perda do enxerto ou no risco de malignidade com qualquer comparação (72).</w:t>
      </w:r>
    </w:p>
    <w:p w:rsidR="00A94DA2" w:rsidRDefault="00DC0F69">
      <w:pPr>
        <w:pStyle w:val="Corpodetexto"/>
        <w:spacing w:before="2" w:line="183" w:lineRule="exact"/>
      </w:pPr>
      <w:r>
        <w:t>Outro estudo com seguimento mais prolongado (8 anos) sugeriu benefício da associação MMF e tacrolimo comparado com sirolimo e tacrolimo ou ciclosporina (73).</w:t>
      </w:r>
    </w:p>
    <w:p w:rsidR="00A94DA2" w:rsidRDefault="00DC0F69">
      <w:pPr>
        <w:pStyle w:val="Corpodetexto"/>
        <w:ind w:right="118"/>
      </w:pPr>
      <w:r>
        <w:t xml:space="preserve">O percentual de pacientes que utilizam inibidores da mTOR nos Estados Unidos da América do Norte é da ordem de 5%. De acordo com dados do </w:t>
      </w:r>
      <w:r>
        <w:rPr>
          <w:i/>
        </w:rPr>
        <w:t xml:space="preserve">US Transplant </w:t>
      </w:r>
      <w:r>
        <w:t>(74), cerca de 18% dos pacientes utilizavam sirolimo em 2001 no início do transplante ou no primeiro ano</w:t>
      </w:r>
      <w:r>
        <w:t xml:space="preserve"> pós-transplante. Em 2008, esses valores caíram para 3% no início e para 6,5% no primeiro ano pós-transplante, dados que mostram que o entusiasmo inicial não teve suporte ao longo do tempo (74).</w:t>
      </w:r>
    </w:p>
    <w:p w:rsidR="00A94DA2" w:rsidRDefault="00DC0F69">
      <w:pPr>
        <w:pStyle w:val="Corpodetexto"/>
        <w:ind w:right="121"/>
      </w:pPr>
      <w:r>
        <w:t>A utilização dos mTOR deve ocorrer nas seguintes situações: e</w:t>
      </w:r>
      <w:r>
        <w:t>m substituição aos inibidores de calcineurina nos pacientes com neoplasia, em casos de retransplante, em pacientes previamente acometidos por tumor de Kaposi ou nas raras situações de pacientes com citomegalia resistente aos antivirais.</w:t>
      </w:r>
    </w:p>
    <w:p w:rsidR="00A94DA2" w:rsidRDefault="00A94DA2">
      <w:pPr>
        <w:pStyle w:val="Corpodetexto"/>
        <w:spacing w:before="11"/>
        <w:ind w:left="0"/>
        <w:jc w:val="left"/>
        <w:rPr>
          <w:sz w:val="15"/>
        </w:rPr>
      </w:pPr>
    </w:p>
    <w:p w:rsidR="00A94DA2" w:rsidRDefault="00DC0F69">
      <w:pPr>
        <w:pStyle w:val="Corpodetexto"/>
      </w:pPr>
      <w:r>
        <w:rPr>
          <w:u w:val="single"/>
        </w:rPr>
        <w:t>Tratamento da reje</w:t>
      </w:r>
      <w:r>
        <w:rPr>
          <w:u w:val="single"/>
        </w:rPr>
        <w:t>ição aguda celular</w:t>
      </w:r>
    </w:p>
    <w:p w:rsidR="00A94DA2" w:rsidRDefault="00DC0F69">
      <w:pPr>
        <w:pStyle w:val="Corpodetexto"/>
        <w:spacing w:before="1"/>
        <w:ind w:right="114"/>
      </w:pPr>
      <w:r>
        <w:t>Pulsos de corticosteroide é, há décadas, a primeira opção terapêutica, em todos os centros transplantadores, das rejeições agudas celulares Banff IA ou IB. Recomendam- se pulsos de metilprednisolona (MP) (75). Paralelamente aos pulsos de</w:t>
      </w:r>
      <w:r>
        <w:t xml:space="preserve"> MP, deve-se corrigir a dose dos imunossupressores de base (inibidores de calcineurina,  precursores do ácido micofenólico e tacrolimo) caso estejam aquém dos limites de doses recomendadas. A mudança de ciclosporina para tacrolimo pode ser útil como medida</w:t>
      </w:r>
      <w:r>
        <w:rPr>
          <w:spacing w:val="-3"/>
        </w:rPr>
        <w:t xml:space="preserve"> </w:t>
      </w:r>
      <w:r>
        <w:t>adicional.</w:t>
      </w:r>
    </w:p>
    <w:p w:rsidR="00A94DA2" w:rsidRDefault="00DC0F69">
      <w:pPr>
        <w:pStyle w:val="Corpodetexto"/>
        <w:ind w:right="120"/>
      </w:pPr>
      <w:r>
        <w:t>Doses altas de corticosteroide têm inconveniências bem conhecidas, sobretudo as de origem infecciosa, razão pela qual seu uso deve ser bastante criterioso. A prevenção de doença péptica, com antagonistas dos receptores H2 da histamina, e de inf</w:t>
      </w:r>
      <w:r>
        <w:t>ecções fúngicas é medida útil a ser considerada.</w:t>
      </w:r>
    </w:p>
    <w:p w:rsidR="00A94DA2" w:rsidRDefault="00DC0F69">
      <w:pPr>
        <w:pStyle w:val="Corpodetexto"/>
        <w:ind w:right="121"/>
      </w:pPr>
      <w:r>
        <w:t>O diagnóstico de rejeição deve ter confirmação histológica, em especial a resistente a corticosteroides. Normalmente, espera-se de 5 a 7 dias após o último pulso antes de se considerar o diagnóstico de resis</w:t>
      </w:r>
      <w:r>
        <w:t xml:space="preserve">tência, não estando recomendados novos pulsos de metilprednisolona em caso de confirmação. Nessas situações, deve-se optar pelos anticorpos anticélulas T, ATG ou muromonabe CD3, primeira opção para rejeições histologicamente mais agressivas, isto é, acima </w:t>
      </w:r>
      <w:r>
        <w:t xml:space="preserve">de </w:t>
      </w:r>
      <w:r>
        <w:rPr>
          <w:spacing w:val="-3"/>
        </w:rPr>
        <w:t xml:space="preserve">IB </w:t>
      </w:r>
      <w:r>
        <w:t>da Classificação Internacional de Banff, em âmbito</w:t>
      </w:r>
      <w:r>
        <w:rPr>
          <w:spacing w:val="-7"/>
        </w:rPr>
        <w:t xml:space="preserve"> </w:t>
      </w:r>
      <w:r>
        <w:t>hospitalar.</w:t>
      </w:r>
    </w:p>
    <w:p w:rsidR="00A94DA2" w:rsidRDefault="00DC0F69">
      <w:pPr>
        <w:pStyle w:val="Corpodetexto"/>
        <w:ind w:right="118"/>
      </w:pPr>
      <w:r>
        <w:t>As principais complicações relacionadas a ATG são febre e sibilância respiratória durante a administração inicial. Hipotensão arterial e reações anafiláticas podem ocorrer, razão pela qua</w:t>
      </w:r>
      <w:r>
        <w:t xml:space="preserve">l a sua administração deve ser feita com paciente internado e deve ser feita profilaxia com metilprednisolona e anti-histamínico antes das 2 primeiras doses. A profilaxia de infecção por CMV deve ser rotineira, por 3 a 6 meses, independentemente do estado </w:t>
      </w:r>
      <w:r>
        <w:t>sorológico do paciente. A doença do soro é relatada, e a literatura mostra que ela responde ao tratamento com sessões de plasmaférese (76, 77). De modo diverso do que ocorre com muromonabe CD3, a readministração de ATG não leva à formação de anticorpos esp</w:t>
      </w:r>
      <w:r>
        <w:t>ecíficos antissoro de coelho ou</w:t>
      </w:r>
      <w:r>
        <w:rPr>
          <w:spacing w:val="-16"/>
        </w:rPr>
        <w:t xml:space="preserve"> </w:t>
      </w:r>
      <w:r>
        <w:t>cavalo.</w:t>
      </w:r>
    </w:p>
    <w:p w:rsidR="00A94DA2" w:rsidRDefault="00DC0F69">
      <w:pPr>
        <w:pStyle w:val="Corpodetexto"/>
        <w:spacing w:before="1"/>
        <w:ind w:right="120"/>
      </w:pPr>
      <w:r>
        <w:t xml:space="preserve">O muromonabe CD3, anticorpo de rato antilinfócitos CD3, tem sido usado tanto para tratamento primário de rejeições agudas como para tratamento de rejeições resistentes a outros agentes, inclusive ATG (78-80). A dose </w:t>
      </w:r>
      <w:r>
        <w:t>habitualmente utilizada é de 5 mg/dia por 10 a 14 dias. Eventualmente pode ocorrer nova rejeição após o término do tratamento com muromonabe CD3 (“rebote”), que costuma ser responsiva ao tratamento com pulsos de metilprednisolona (81). Imunoglobulina antit</w:t>
      </w:r>
      <w:r>
        <w:t xml:space="preserve">imócito e muromonabe CD3 estão indicados para tratamento de rejeições celulares agudas mais graves - IIA, IIB ou III na Classificação Internacional de Banff. Usualmente prefere-se a imunoglobulina antitimócito por ser mais bem tolerada do que o muromonabe </w:t>
      </w:r>
      <w:r>
        <w:t>CD3. Incluem-se entre os principais efeitos adversos do muromonabe CD3: infecções, doença linfoproliferativa associada ao vírus Ebstein Barr, reação da primeira dose, edema pulmonar, sobretudo em indivíduos, previamente hipervolêmicos e síndrome hemolítico</w:t>
      </w:r>
      <w:r>
        <w:t>-urêmica, razões pela qual a sua administração deve ser feita com paciente internado.</w:t>
      </w:r>
    </w:p>
    <w:p w:rsidR="00A94DA2" w:rsidRDefault="00DC0F69">
      <w:pPr>
        <w:pStyle w:val="Corpodetexto"/>
        <w:ind w:right="120"/>
      </w:pPr>
      <w:r>
        <w:t>A reutilização de muromonabe CD3, em âmbito hospitalar, para tratamento de rejeição aguda recorrente é normalmente eficaz se esta se manifestar nos primeiros 3 meses pós-</w:t>
      </w:r>
      <w:r>
        <w:t xml:space="preserve">transplante e com título de anticorpos antirratos (HAMA – </w:t>
      </w:r>
      <w:r>
        <w:rPr>
          <w:i/>
        </w:rPr>
        <w:t>human anti-mouse antibodies</w:t>
      </w:r>
      <w:r>
        <w:t>) inferior a 1/100, situação que se associa a praticamente 100% de resposta terapêutica. Por outro lado, após 3 meses do primeiro tratamento e com título anticórpico acima</w:t>
      </w:r>
      <w:r>
        <w:t xml:space="preserve"> de 1/100, o percentual de resposta cai para menos de 25% (74), sendo praticamente nulo em rejeições tardias com altos títulos de anticorpos.</w:t>
      </w:r>
    </w:p>
    <w:p w:rsidR="00A94DA2" w:rsidRDefault="00A94DA2">
      <w:pPr>
        <w:pStyle w:val="Corpodetexto"/>
        <w:ind w:left="0"/>
        <w:jc w:val="left"/>
      </w:pPr>
    </w:p>
    <w:p w:rsidR="00A94DA2" w:rsidRDefault="00DC0F69">
      <w:pPr>
        <w:pStyle w:val="Corpodetexto"/>
        <w:spacing w:line="183" w:lineRule="exact"/>
      </w:pPr>
      <w:r>
        <w:rPr>
          <w:u w:val="single"/>
        </w:rPr>
        <w:t>Tratamento da rejeição mediada por anticorpos</w:t>
      </w:r>
    </w:p>
    <w:p w:rsidR="00A94DA2" w:rsidRDefault="00DC0F69">
      <w:pPr>
        <w:pStyle w:val="Corpodetexto"/>
        <w:ind w:right="120"/>
      </w:pPr>
      <w:r>
        <w:t xml:space="preserve">As rejeições humorais representam cerca de 20% a 30% das rejeições </w:t>
      </w:r>
      <w:r>
        <w:t>agudas após transplante renal. O tratamento convencional de rejeição celular aguda com corticosteroides, ATG e muromonabe CD3 não é usualmente eficaz para reversão das rejeições mediadas por anticorpos, para as quais precisam ser obrigatoriamente utilizada</w:t>
      </w:r>
      <w:r>
        <w:t>s outras formas de tratamento direcionadas para remover os anticorpos circulantes (82).</w:t>
      </w:r>
    </w:p>
    <w:p w:rsidR="00A94DA2" w:rsidRDefault="00DC0F69">
      <w:pPr>
        <w:pStyle w:val="Corpodetexto"/>
        <w:ind w:right="120"/>
      </w:pPr>
      <w:r>
        <w:t>O avanço terapêutico no tratamento das rejeições humorais foi uma consequência da melhora tecnológica de detecção de anticorpos anti-HLA pela utilização de antígenos HL</w:t>
      </w:r>
      <w:r>
        <w:t>A purificados que permitiram a identificação de anticorpos reativos específicos em concentrações pequenas não detectáveis por linfotoxicidade (83).</w:t>
      </w:r>
    </w:p>
    <w:p w:rsidR="00A94DA2" w:rsidRDefault="00DC0F69">
      <w:pPr>
        <w:pStyle w:val="Corpodetexto"/>
        <w:spacing w:before="1"/>
        <w:ind w:right="125"/>
      </w:pPr>
      <w:r>
        <w:t>Paralelamente, o reconhecimento da importância do depósito de C4d em capilares peritubulares como marcador d</w:t>
      </w:r>
      <w:r>
        <w:t>a rejeição humoral propiciou que diagnóstico e tratamento fossem estabelecidos precocemente.</w:t>
      </w:r>
    </w:p>
    <w:p w:rsidR="00A94DA2" w:rsidRDefault="00DC0F69">
      <w:pPr>
        <w:pStyle w:val="Corpodetexto"/>
        <w:ind w:right="124"/>
      </w:pPr>
      <w:r>
        <w:t>Em conjunto, a melhor compreensão da fisiopatologia e a precocidade do diagnóstico permitiram o fundamento do tratamento, isto é, remover anticorpos formados, bloq</w:t>
      </w:r>
      <w:r>
        <w:t>uear sua formação e adequar a imunossupressão para controle desse tipo de rejeição que era, até então, considerada de mau prognóstico.</w:t>
      </w:r>
    </w:p>
    <w:p w:rsidR="00A94DA2" w:rsidRDefault="00DC0F69">
      <w:pPr>
        <w:pStyle w:val="Corpodetexto"/>
        <w:ind w:right="119"/>
      </w:pPr>
      <w:r>
        <w:t>O tratamento precisa ser o mais precoce possível. Deve-se investigar em todos os pacientes a presença de anticorpos anti-</w:t>
      </w:r>
      <w:r>
        <w:t>HLA à época do diagnóstico da rejeição e repetir a determinação no terceiro mês pós-tratamento. Confirma-se o diagnóstico de rejeição humoral pela presença de C4d em capilares tubulares e anormalidades histológicas à microscopia óptica, de acordo com os cr</w:t>
      </w:r>
      <w:r>
        <w:t>itérios de Banff, como já</w:t>
      </w:r>
      <w:r>
        <w:rPr>
          <w:spacing w:val="-18"/>
        </w:rPr>
        <w:t xml:space="preserve"> </w:t>
      </w:r>
      <w:r>
        <w:t>mencionado.</w:t>
      </w:r>
    </w:p>
    <w:p w:rsidR="00A94DA2" w:rsidRDefault="00DC0F69">
      <w:pPr>
        <w:pStyle w:val="Corpodetexto"/>
        <w:ind w:right="118"/>
      </w:pPr>
      <w:r>
        <w:t>A rejeição mediada por anticorpos (RMA) é a principal causa de perda de enxertos renais, pois não é responsiva aos agentes imunossupressores habituais. Apesar de não estar ancorada em ensaios clínicos randomizados e du</w:t>
      </w:r>
      <w:r>
        <w:t xml:space="preserve">plos cegos, a recomendação de imunoglobulina humana (IGH) para tratamento das rejeições humorais baseia-se em vários estudos que demonstram sua eficácia, tanto isoladamente como em associação com plasmaférese, aumentando significativamente a sobrevida dos </w:t>
      </w:r>
      <w:r>
        <w:t>enxertos  (83, 84).</w:t>
      </w:r>
    </w:p>
    <w:p w:rsidR="00A94DA2" w:rsidRDefault="00DC0F69">
      <w:pPr>
        <w:pStyle w:val="Corpodetexto"/>
        <w:ind w:right="124"/>
      </w:pPr>
      <w:r>
        <w:t>Anticorpos específicos anti-HLA do doador (DSA) são considerados como causadores primários da rejeição humoral aguda. A combinação de plasmaférese (PL) e IGH, por levar à redução dos DSA e modular a resposta imune, oferece a oportunidade terapêutica para r</w:t>
      </w:r>
      <w:r>
        <w:t>everter RMA (85).</w:t>
      </w:r>
    </w:p>
    <w:p w:rsidR="00A94DA2" w:rsidRDefault="00DC0F69">
      <w:pPr>
        <w:pStyle w:val="Corpodetexto"/>
        <w:ind w:right="119"/>
      </w:pPr>
      <w:r>
        <w:t>A imunidade humoral é bem conhecida entre os transplantadores como aquela envolvida na patogênese das chamadas rejeições hiperagudas, comumente observadas nos transplantes realizados em pacientes hipersensibilizados ou nos casos de incomp</w:t>
      </w:r>
      <w:r>
        <w:t>atibilidade ABO entre doador e receptor. A literatura especializada sustenta o papel da imunidade humoral em outras situações, além das mencionadas, como nas rejeições resistentes a corticosteroides.</w:t>
      </w:r>
    </w:p>
    <w:p w:rsidR="00A94DA2" w:rsidRDefault="00DC0F69">
      <w:pPr>
        <w:pStyle w:val="Corpodetexto"/>
        <w:ind w:right="121"/>
      </w:pPr>
      <w:r>
        <w:t>As rejeições agudas mediadas por anticorpos após transpl</w:t>
      </w:r>
      <w:r>
        <w:t>antes renais são associadas a altas taxas de perdas de enxertos quando comparadas com as observadas após rejeições celulares.</w:t>
      </w:r>
    </w:p>
    <w:p w:rsidR="00A94DA2" w:rsidRDefault="00DC0F69">
      <w:pPr>
        <w:pStyle w:val="Corpodetexto"/>
        <w:spacing w:before="1"/>
        <w:ind w:right="117"/>
      </w:pPr>
      <w:r>
        <w:t xml:space="preserve">A rejeição aguda humoral ocorre precocemente, em geral dentro de 24 a 48 horas após o término do procedimento cirúrgico, mas pode </w:t>
      </w:r>
      <w:r>
        <w:t>se manifestar mais tardiamente. O prognóstico destas rejeições é pobre, e os trabalhos mostram que a terapêutica convencional possibilita sobrevida baixa, de 15% a 50% em 1 ano (86).</w:t>
      </w:r>
    </w:p>
    <w:p w:rsidR="00A94DA2" w:rsidRDefault="00DC0F69">
      <w:pPr>
        <w:pStyle w:val="Corpodetexto"/>
        <w:ind w:right="118"/>
      </w:pPr>
      <w:r>
        <w:t>Lehrich e colaboradores (86) assinalaram que combinação de IGH e plasmafé</w:t>
      </w:r>
      <w:r>
        <w:t>rese propiciou sobrevida de 81% em 1 ano. Nesse estudo, os 519 pacientes transplantados entre 1999 e 2003 foram retrospectivamente analisados e classificados de acordo com o resultado da biópsia em 3 grupos: com rejeição mediada por anticorpos, com rejeiçã</w:t>
      </w:r>
      <w:r>
        <w:t xml:space="preserve">o celular aguda e sem rejeição. Rejeição mediada por anticorpos foi observada em 23 pacientes (4,5%), e rejeição celular aguda, em 75 (15%). A média de seguimento foi de 844 +/- 23 dias. O diagnóstico de rejeição mediada por anticorpos foi confirmado pela </w:t>
      </w:r>
      <w:r>
        <w:t>presença de C4d em tecido renal ou pelo achado de DSA. Imunossupressão de manutenção foi feita com prednisona, inibidor de calcineurina e micofenolato. O tratamento da rejeição incluiu plasmaférese - média de 4 sessões (3-</w:t>
      </w:r>
    </w:p>
    <w:p w:rsidR="00A94DA2" w:rsidRDefault="00DC0F69">
      <w:pPr>
        <w:pStyle w:val="Corpodetexto"/>
        <w:ind w:right="119"/>
      </w:pPr>
      <w:r>
        <w:t>6) - e IGH, na dose total de 2 g/</w:t>
      </w:r>
      <w:r>
        <w:t>kg, iniciada após a última sessão de plasmaférese. A sobrevida do enxerto em 2 anos dos pacientes com rejeição mediada por anticorpos foi de 78%, semelhante à verificada nos pacientes do grupo com rejeição celular aguda (85%). Os autores concluíram que a c</w:t>
      </w:r>
      <w:r>
        <w:t>ombinação de plasmaférese e IGH é significativamente melhor do que a observada historicamente.</w:t>
      </w:r>
    </w:p>
    <w:p w:rsidR="00A94DA2" w:rsidRDefault="00DC0F69">
      <w:pPr>
        <w:pStyle w:val="Corpodetexto"/>
        <w:ind w:right="120"/>
      </w:pPr>
      <w:r>
        <w:t>Slatinska e colaboradores (87) analisaram os prontuários de 936 pacientes transplantados de rim entre 2002 e 2006 de um único centro, com o objetivo de avaliar d</w:t>
      </w:r>
      <w:r>
        <w:t>ois diferentes protocolos terapêuticos. Entre 2002 e 2003, os pacientes com rejeição mediada por anticorpos foram tratados com 5 sessões de plasmaférese (grupo PL – 13 pacientes); entre 2004-2006, eles receberam 5 sessões de plasmaférese associada a imunog</w:t>
      </w:r>
      <w:r>
        <w:t>lobulina intravenosa (grupo PL + IGH – 11 pacientes). Doze meses de seguimento foram analisados. A sobrevida do enxerto no primeiro ano foi significativamente maior no grupo PL + IGH do que no grupo PL (90,9% versus 46,2%; p = 0,044). A incidência de compl</w:t>
      </w:r>
      <w:r>
        <w:t>icações infecciosas foi similar nos dois grupos. Nas rebiópsias, pacientes do grupo PL tinham frequentemente rejeição celular. A deposição de C4d foi similar nas re-biópsias nos dois grupos. Os autores concluíram que nessa grande série, oriunda de um único</w:t>
      </w:r>
      <w:r>
        <w:t xml:space="preserve"> centro, há superioridade de plasmaférese com imunoglobulina intravenosa para o tratamento de rejeição mediada por anticorpos.</w:t>
      </w:r>
    </w:p>
    <w:p w:rsidR="00A94DA2" w:rsidRDefault="00DC0F69">
      <w:pPr>
        <w:pStyle w:val="Corpodetexto"/>
        <w:ind w:right="118"/>
      </w:pPr>
      <w:r>
        <w:t xml:space="preserve">Existem alguns estudos utilizando rituximabe como coadjuvante da plasmaférese e imunoglobulina no tratamento da rejeição mediada </w:t>
      </w:r>
      <w:r>
        <w:t>por anticorpos, mas apresentam casuística pequena e ainda nem mesmo se estabeleceu o melhor esquema terapêutico, situação que pode trazer consequências imprevisíveis aos pacientes. Recomenda-se aguardar estudos bem conduzidos e com maior casuística para qu</w:t>
      </w:r>
      <w:r>
        <w:t>e se possa avaliar a inclusão deste medicamento no protocolo (81, 83, 88, 89).</w:t>
      </w:r>
    </w:p>
    <w:p w:rsidR="00A94DA2" w:rsidRDefault="00A94DA2">
      <w:pPr>
        <w:pStyle w:val="Corpodetexto"/>
        <w:spacing w:before="10"/>
        <w:ind w:left="0"/>
        <w:jc w:val="left"/>
        <w:rPr>
          <w:sz w:val="15"/>
        </w:rPr>
      </w:pPr>
    </w:p>
    <w:p w:rsidR="00A94DA2" w:rsidRDefault="00DC0F69">
      <w:pPr>
        <w:pStyle w:val="Corpodetexto"/>
      </w:pPr>
      <w:r>
        <w:rPr>
          <w:u w:val="single"/>
        </w:rPr>
        <w:t>Tratamento da fibrose intersticial e atrofia tubular (nefropatia crônica do enxerto)</w:t>
      </w:r>
    </w:p>
    <w:p w:rsidR="00A94DA2" w:rsidRDefault="00DC0F69">
      <w:pPr>
        <w:pStyle w:val="Corpodetexto"/>
        <w:spacing w:before="1"/>
        <w:ind w:right="121"/>
      </w:pPr>
      <w:r>
        <w:t>A substituição de ciclosporina ou tacrolimo por sirolimo ou everolimo para prevenção ou ret</w:t>
      </w:r>
      <w:r>
        <w:t>ardo da progressão da nefropatia crônica não  representa procedimento seguro, pois tal mudança desencadeia, com frequência, úlceras orais e proteinúria. A eficácia da troca dos inibidores da calcineurina por sirolimo foi analisada em amplo estudo</w:t>
      </w:r>
      <w:r>
        <w:rPr>
          <w:spacing w:val="25"/>
        </w:rPr>
        <w:t xml:space="preserve"> </w:t>
      </w:r>
      <w:r>
        <w:t>que</w:t>
      </w:r>
      <w:r>
        <w:rPr>
          <w:spacing w:val="24"/>
        </w:rPr>
        <w:t xml:space="preserve"> </w:t>
      </w:r>
      <w:r>
        <w:t>inclu</w:t>
      </w:r>
      <w:r>
        <w:t>iu</w:t>
      </w:r>
      <w:r>
        <w:rPr>
          <w:spacing w:val="27"/>
        </w:rPr>
        <w:t xml:space="preserve"> </w:t>
      </w:r>
      <w:r>
        <w:t>830</w:t>
      </w:r>
      <w:r>
        <w:rPr>
          <w:spacing w:val="28"/>
        </w:rPr>
        <w:t xml:space="preserve"> </w:t>
      </w:r>
      <w:r>
        <w:t>transplantados</w:t>
      </w:r>
      <w:r>
        <w:rPr>
          <w:spacing w:val="26"/>
        </w:rPr>
        <w:t xml:space="preserve"> </w:t>
      </w:r>
      <w:r>
        <w:t>randomizados,</w:t>
      </w:r>
      <w:r>
        <w:rPr>
          <w:spacing w:val="26"/>
        </w:rPr>
        <w:t xml:space="preserve"> </w:t>
      </w:r>
      <w:r>
        <w:t>até</w:t>
      </w:r>
      <w:r>
        <w:rPr>
          <w:spacing w:val="25"/>
        </w:rPr>
        <w:t xml:space="preserve"> </w:t>
      </w:r>
      <w:r>
        <w:t>120</w:t>
      </w:r>
      <w:r>
        <w:rPr>
          <w:spacing w:val="27"/>
        </w:rPr>
        <w:t xml:space="preserve"> </w:t>
      </w:r>
      <w:r>
        <w:t>meses</w:t>
      </w:r>
      <w:r>
        <w:rPr>
          <w:spacing w:val="26"/>
        </w:rPr>
        <w:t xml:space="preserve"> </w:t>
      </w:r>
      <w:r>
        <w:t>pós-transplante,</w:t>
      </w:r>
      <w:r>
        <w:rPr>
          <w:spacing w:val="26"/>
        </w:rPr>
        <w:t xml:space="preserve"> </w:t>
      </w:r>
      <w:r>
        <w:t>para</w:t>
      </w:r>
      <w:r>
        <w:rPr>
          <w:spacing w:val="27"/>
        </w:rPr>
        <w:t xml:space="preserve"> </w:t>
      </w:r>
      <w:r>
        <w:t>continuarem</w:t>
      </w:r>
      <w:r>
        <w:rPr>
          <w:spacing w:val="26"/>
        </w:rPr>
        <w:t xml:space="preserve"> </w:t>
      </w:r>
      <w:r>
        <w:t>com</w:t>
      </w:r>
      <w:r>
        <w:rPr>
          <w:spacing w:val="26"/>
        </w:rPr>
        <w:t xml:space="preserve"> </w:t>
      </w:r>
      <w:r>
        <w:t>inibidor</w:t>
      </w:r>
      <w:r>
        <w:rPr>
          <w:spacing w:val="26"/>
        </w:rPr>
        <w:t xml:space="preserve"> </w:t>
      </w:r>
      <w:r>
        <w:t>de</w:t>
      </w:r>
      <w:r>
        <w:rPr>
          <w:spacing w:val="24"/>
        </w:rPr>
        <w:t xml:space="preserve"> </w:t>
      </w:r>
      <w:r>
        <w:t>calcineurina</w:t>
      </w:r>
      <w:r>
        <w:rPr>
          <w:spacing w:val="26"/>
        </w:rPr>
        <w:t xml:space="preserve"> </w:t>
      </w:r>
      <w:r>
        <w:t>ou</w:t>
      </w:r>
      <w:r>
        <w:rPr>
          <w:spacing w:val="28"/>
        </w:rPr>
        <w:t xml:space="preserve"> </w:t>
      </w:r>
      <w:r>
        <w:t>trocarem</w:t>
      </w:r>
      <w:r>
        <w:rPr>
          <w:spacing w:val="26"/>
        </w:rPr>
        <w:t xml:space="preserve"> </w:t>
      </w:r>
      <w:r>
        <w:t>para</w:t>
      </w:r>
      <w:r>
        <w:rPr>
          <w:spacing w:val="26"/>
        </w:rPr>
        <w:t xml:space="preserve"> </w:t>
      </w:r>
      <w:r>
        <w:t>sirolimo.</w:t>
      </w:r>
      <w:r>
        <w:rPr>
          <w:spacing w:val="26"/>
        </w:rPr>
        <w:t xml:space="preserve"> </w:t>
      </w:r>
      <w:r>
        <w:t>A</w:t>
      </w:r>
    </w:p>
    <w:p w:rsidR="00A94DA2" w:rsidRDefault="00A94DA2">
      <w:pPr>
        <w:sectPr w:rsidR="00A94DA2">
          <w:pgSz w:w="11910" w:h="16840"/>
          <w:pgMar w:top="460" w:right="300" w:bottom="280" w:left="460" w:header="720" w:footer="720" w:gutter="0"/>
          <w:cols w:space="720"/>
        </w:sectPr>
      </w:pPr>
    </w:p>
    <w:p w:rsidR="00A94DA2" w:rsidRDefault="00DC0F69">
      <w:pPr>
        <w:pStyle w:val="Corpodetexto"/>
        <w:spacing w:before="82"/>
        <w:ind w:right="119"/>
      </w:pPr>
      <w:r>
        <w:lastRenderedPageBreak/>
        <w:t>incidência de pneumonia e morte entre os pacientes que substituíram o inibidor de calcineurina pelo sirolimo que tinham filtração glomerular inferior a 40 ml/min atingiu valores tais que o estudo foi interrompido neste subgrupo. Entre os que tinham filtraç</w:t>
      </w:r>
      <w:r>
        <w:t>ão glomerular superior a 40 ml/min, a análise não mostrou diferença na filtração glomerular entre os dois braços, 12 e 24 meses pós-substituição. A sobrevida de enxerto e de pacientes e a incidência de rejeição aguda foram similares em ambos os grupos. Obs</w:t>
      </w:r>
      <w:r>
        <w:t>ervou-se melhora da filtração glomerular no subgrupo de pacientes com filtração glomerular superior a 40 ml/min e proteinúria inferior a 110 mg/dia, mas neste subgrupo houve aumento da proteinúria de 110 para 720 mg/dia após 2 anos (90). Assim, este PCDT n</w:t>
      </w:r>
      <w:r>
        <w:t>ão recomenda esta substituição nesta situação clínica.</w:t>
      </w:r>
    </w:p>
    <w:p w:rsidR="00A94DA2" w:rsidRDefault="00DC0F69">
      <w:pPr>
        <w:pStyle w:val="Corpodetexto"/>
        <w:spacing w:before="2"/>
        <w:ind w:right="120"/>
      </w:pPr>
      <w:r>
        <w:t>Inexiste até o momento evidência clara de que as medidas utilizadas com eficácia para tratamento da rejeição aguda mediada por anticorpos sejam igualmente eficazes para os pacientes com nefropatia crôn</w:t>
      </w:r>
      <w:r>
        <w:t>ica do enxerto associada a C4d e anticorpos anti-HLA do doador (13). A conduta para esses casos está descrito no item Esquema de Administração deste Protocolo.</w:t>
      </w:r>
    </w:p>
    <w:p w:rsidR="00A94DA2" w:rsidRDefault="00A94DA2">
      <w:pPr>
        <w:pStyle w:val="Corpodetexto"/>
        <w:spacing w:before="10"/>
        <w:ind w:left="0"/>
        <w:jc w:val="left"/>
        <w:rPr>
          <w:sz w:val="15"/>
        </w:rPr>
      </w:pPr>
    </w:p>
    <w:p w:rsidR="00A94DA2" w:rsidRDefault="00DC0F69">
      <w:pPr>
        <w:pStyle w:val="PargrafodaLista"/>
        <w:numPr>
          <w:ilvl w:val="1"/>
          <w:numId w:val="3"/>
        </w:numPr>
        <w:tabs>
          <w:tab w:val="left" w:pos="352"/>
        </w:tabs>
        <w:jc w:val="both"/>
        <w:rPr>
          <w:sz w:val="13"/>
        </w:rPr>
      </w:pPr>
      <w:r>
        <w:rPr>
          <w:sz w:val="16"/>
        </w:rPr>
        <w:t>F</w:t>
      </w:r>
      <w:r>
        <w:rPr>
          <w:sz w:val="13"/>
        </w:rPr>
        <w:t>ÁRMACOS</w:t>
      </w:r>
    </w:p>
    <w:p w:rsidR="00A94DA2" w:rsidRDefault="00DC0F69">
      <w:pPr>
        <w:pStyle w:val="PargrafodaLista"/>
        <w:numPr>
          <w:ilvl w:val="0"/>
          <w:numId w:val="8"/>
        </w:numPr>
        <w:tabs>
          <w:tab w:val="left" w:pos="200"/>
        </w:tabs>
        <w:spacing w:before="1"/>
        <w:ind w:firstLine="0"/>
        <w:jc w:val="both"/>
        <w:rPr>
          <w:sz w:val="16"/>
        </w:rPr>
      </w:pPr>
      <w:r>
        <w:rPr>
          <w:sz w:val="16"/>
        </w:rPr>
        <w:t>Ciclosporina:</w:t>
      </w:r>
      <w:r>
        <w:rPr>
          <w:spacing w:val="-4"/>
          <w:sz w:val="16"/>
        </w:rPr>
        <w:t xml:space="preserve"> </w:t>
      </w:r>
      <w:r>
        <w:rPr>
          <w:sz w:val="16"/>
        </w:rPr>
        <w:t>cápsulas</w:t>
      </w:r>
      <w:r>
        <w:rPr>
          <w:spacing w:val="-2"/>
          <w:sz w:val="16"/>
        </w:rPr>
        <w:t xml:space="preserve"> </w:t>
      </w:r>
      <w:r>
        <w:rPr>
          <w:sz w:val="16"/>
        </w:rPr>
        <w:t>de</w:t>
      </w:r>
      <w:r>
        <w:rPr>
          <w:spacing w:val="-4"/>
          <w:sz w:val="16"/>
        </w:rPr>
        <w:t xml:space="preserve"> </w:t>
      </w:r>
      <w:r>
        <w:rPr>
          <w:sz w:val="16"/>
        </w:rPr>
        <w:t>10,</w:t>
      </w:r>
      <w:r>
        <w:rPr>
          <w:spacing w:val="-2"/>
          <w:sz w:val="16"/>
        </w:rPr>
        <w:t xml:space="preserve"> </w:t>
      </w:r>
      <w:r>
        <w:rPr>
          <w:sz w:val="16"/>
        </w:rPr>
        <w:t>25,</w:t>
      </w:r>
      <w:r>
        <w:rPr>
          <w:spacing w:val="-2"/>
          <w:sz w:val="16"/>
        </w:rPr>
        <w:t xml:space="preserve"> </w:t>
      </w:r>
      <w:r>
        <w:rPr>
          <w:sz w:val="16"/>
        </w:rPr>
        <w:t>50</w:t>
      </w:r>
      <w:r>
        <w:rPr>
          <w:spacing w:val="-3"/>
          <w:sz w:val="16"/>
        </w:rPr>
        <w:t xml:space="preserve"> </w:t>
      </w:r>
      <w:r>
        <w:rPr>
          <w:sz w:val="16"/>
        </w:rPr>
        <w:t>e</w:t>
      </w:r>
      <w:r>
        <w:rPr>
          <w:spacing w:val="-2"/>
          <w:sz w:val="16"/>
        </w:rPr>
        <w:t xml:space="preserve"> </w:t>
      </w:r>
      <w:r>
        <w:rPr>
          <w:sz w:val="16"/>
        </w:rPr>
        <w:t>100</w:t>
      </w:r>
      <w:r>
        <w:rPr>
          <w:spacing w:val="1"/>
          <w:sz w:val="16"/>
        </w:rPr>
        <w:t xml:space="preserve"> </w:t>
      </w:r>
      <w:r>
        <w:rPr>
          <w:sz w:val="16"/>
        </w:rPr>
        <w:t>mg;</w:t>
      </w:r>
      <w:r>
        <w:rPr>
          <w:spacing w:val="-1"/>
          <w:sz w:val="16"/>
        </w:rPr>
        <w:t xml:space="preserve"> </w:t>
      </w:r>
      <w:r>
        <w:rPr>
          <w:sz w:val="16"/>
        </w:rPr>
        <w:t>solução</w:t>
      </w:r>
      <w:r>
        <w:rPr>
          <w:spacing w:val="-1"/>
          <w:sz w:val="16"/>
        </w:rPr>
        <w:t xml:space="preserve"> </w:t>
      </w:r>
      <w:r>
        <w:rPr>
          <w:sz w:val="16"/>
        </w:rPr>
        <w:t>oral</w:t>
      </w:r>
      <w:r>
        <w:rPr>
          <w:spacing w:val="-3"/>
          <w:sz w:val="16"/>
        </w:rPr>
        <w:t xml:space="preserve"> </w:t>
      </w:r>
      <w:r>
        <w:rPr>
          <w:sz w:val="16"/>
        </w:rPr>
        <w:t>de</w:t>
      </w:r>
      <w:r>
        <w:rPr>
          <w:spacing w:val="-3"/>
          <w:sz w:val="16"/>
        </w:rPr>
        <w:t xml:space="preserve"> </w:t>
      </w:r>
      <w:r>
        <w:rPr>
          <w:sz w:val="16"/>
        </w:rPr>
        <w:t>100</w:t>
      </w:r>
      <w:r>
        <w:rPr>
          <w:spacing w:val="-1"/>
          <w:sz w:val="16"/>
        </w:rPr>
        <w:t xml:space="preserve"> </w:t>
      </w:r>
      <w:r>
        <w:rPr>
          <w:sz w:val="16"/>
        </w:rPr>
        <w:t>mg/ml</w:t>
      </w:r>
      <w:r>
        <w:rPr>
          <w:spacing w:val="-4"/>
          <w:sz w:val="16"/>
        </w:rPr>
        <w:t xml:space="preserve"> </w:t>
      </w:r>
      <w:r>
        <w:rPr>
          <w:sz w:val="16"/>
        </w:rPr>
        <w:t>(frascos de</w:t>
      </w:r>
      <w:r>
        <w:rPr>
          <w:spacing w:val="-2"/>
          <w:sz w:val="16"/>
        </w:rPr>
        <w:t xml:space="preserve"> </w:t>
      </w:r>
      <w:r>
        <w:rPr>
          <w:sz w:val="16"/>
        </w:rPr>
        <w:t>5</w:t>
      </w:r>
      <w:r>
        <w:rPr>
          <w:sz w:val="16"/>
        </w:rPr>
        <w:t>0</w:t>
      </w:r>
      <w:r>
        <w:rPr>
          <w:spacing w:val="-1"/>
          <w:sz w:val="16"/>
        </w:rPr>
        <w:t xml:space="preserve"> </w:t>
      </w:r>
      <w:r>
        <w:rPr>
          <w:sz w:val="16"/>
        </w:rPr>
        <w:t>ml).</w:t>
      </w:r>
    </w:p>
    <w:p w:rsidR="00A94DA2" w:rsidRDefault="00DC0F69">
      <w:pPr>
        <w:pStyle w:val="PargrafodaLista"/>
        <w:numPr>
          <w:ilvl w:val="0"/>
          <w:numId w:val="8"/>
        </w:numPr>
        <w:tabs>
          <w:tab w:val="left" w:pos="200"/>
        </w:tabs>
        <w:spacing w:before="1" w:line="183" w:lineRule="exact"/>
        <w:ind w:firstLine="0"/>
        <w:jc w:val="both"/>
        <w:rPr>
          <w:sz w:val="16"/>
        </w:rPr>
      </w:pPr>
      <w:r>
        <w:rPr>
          <w:sz w:val="16"/>
        </w:rPr>
        <w:t>Tacrolimo: cápsulas de 1 e 5</w:t>
      </w:r>
      <w:r>
        <w:rPr>
          <w:spacing w:val="-10"/>
          <w:sz w:val="16"/>
        </w:rPr>
        <w:t xml:space="preserve"> </w:t>
      </w:r>
      <w:r>
        <w:rPr>
          <w:sz w:val="16"/>
        </w:rPr>
        <w:t>mg.</w:t>
      </w:r>
    </w:p>
    <w:p w:rsidR="00A94DA2" w:rsidRDefault="00DC0F69">
      <w:pPr>
        <w:pStyle w:val="PargrafodaLista"/>
        <w:numPr>
          <w:ilvl w:val="0"/>
          <w:numId w:val="8"/>
        </w:numPr>
        <w:tabs>
          <w:tab w:val="left" w:pos="200"/>
        </w:tabs>
        <w:spacing w:line="183" w:lineRule="exact"/>
        <w:ind w:firstLine="0"/>
        <w:jc w:val="both"/>
        <w:rPr>
          <w:sz w:val="16"/>
        </w:rPr>
      </w:pPr>
      <w:r>
        <w:rPr>
          <w:sz w:val="16"/>
        </w:rPr>
        <w:t>Azatioprina: comprimido de 50</w:t>
      </w:r>
      <w:r>
        <w:rPr>
          <w:spacing w:val="-10"/>
          <w:sz w:val="16"/>
        </w:rPr>
        <w:t xml:space="preserve"> </w:t>
      </w:r>
      <w:r>
        <w:rPr>
          <w:sz w:val="16"/>
        </w:rPr>
        <w:t>mg.</w:t>
      </w:r>
    </w:p>
    <w:p w:rsidR="00A94DA2" w:rsidRDefault="00DC0F69">
      <w:pPr>
        <w:pStyle w:val="PargrafodaLista"/>
        <w:numPr>
          <w:ilvl w:val="0"/>
          <w:numId w:val="8"/>
        </w:numPr>
        <w:tabs>
          <w:tab w:val="left" w:pos="200"/>
        </w:tabs>
        <w:spacing w:before="1" w:line="183" w:lineRule="exact"/>
        <w:ind w:firstLine="0"/>
        <w:jc w:val="both"/>
        <w:rPr>
          <w:sz w:val="16"/>
        </w:rPr>
      </w:pPr>
      <w:r>
        <w:rPr>
          <w:sz w:val="16"/>
        </w:rPr>
        <w:t>Prednisona: comprimidos de 5 e 20</w:t>
      </w:r>
      <w:r>
        <w:rPr>
          <w:spacing w:val="-10"/>
          <w:sz w:val="16"/>
        </w:rPr>
        <w:t xml:space="preserve"> </w:t>
      </w:r>
      <w:r>
        <w:rPr>
          <w:sz w:val="16"/>
        </w:rPr>
        <w:t>mg.</w:t>
      </w:r>
    </w:p>
    <w:p w:rsidR="00A94DA2" w:rsidRDefault="00DC0F69">
      <w:pPr>
        <w:pStyle w:val="PargrafodaLista"/>
        <w:numPr>
          <w:ilvl w:val="0"/>
          <w:numId w:val="8"/>
        </w:numPr>
        <w:tabs>
          <w:tab w:val="left" w:pos="200"/>
        </w:tabs>
        <w:spacing w:line="183" w:lineRule="exact"/>
        <w:ind w:firstLine="0"/>
        <w:jc w:val="both"/>
        <w:rPr>
          <w:sz w:val="16"/>
        </w:rPr>
      </w:pPr>
      <w:r>
        <w:rPr>
          <w:sz w:val="16"/>
        </w:rPr>
        <w:t>Prednisolona: solução oral de 3</w:t>
      </w:r>
      <w:r>
        <w:rPr>
          <w:spacing w:val="-9"/>
          <w:sz w:val="16"/>
        </w:rPr>
        <w:t xml:space="preserve"> </w:t>
      </w:r>
      <w:r>
        <w:rPr>
          <w:sz w:val="16"/>
        </w:rPr>
        <w:t>mg/ml.</w:t>
      </w:r>
    </w:p>
    <w:p w:rsidR="00A94DA2" w:rsidRDefault="00DC0F69">
      <w:pPr>
        <w:pStyle w:val="PargrafodaLista"/>
        <w:numPr>
          <w:ilvl w:val="0"/>
          <w:numId w:val="8"/>
        </w:numPr>
        <w:tabs>
          <w:tab w:val="left" w:pos="200"/>
        </w:tabs>
        <w:spacing w:before="1"/>
        <w:ind w:firstLine="0"/>
        <w:jc w:val="both"/>
        <w:rPr>
          <w:sz w:val="16"/>
        </w:rPr>
      </w:pPr>
      <w:r>
        <w:rPr>
          <w:sz w:val="16"/>
        </w:rPr>
        <w:t>Metilprednisolona: solução injetável de 500</w:t>
      </w:r>
      <w:r>
        <w:rPr>
          <w:spacing w:val="-3"/>
          <w:sz w:val="16"/>
        </w:rPr>
        <w:t xml:space="preserve"> </w:t>
      </w:r>
      <w:r>
        <w:rPr>
          <w:sz w:val="16"/>
        </w:rPr>
        <w:t>mg.</w:t>
      </w:r>
    </w:p>
    <w:p w:rsidR="00A94DA2" w:rsidRDefault="00DC0F69">
      <w:pPr>
        <w:pStyle w:val="PargrafodaLista"/>
        <w:numPr>
          <w:ilvl w:val="0"/>
          <w:numId w:val="8"/>
        </w:numPr>
        <w:tabs>
          <w:tab w:val="left" w:pos="200"/>
        </w:tabs>
        <w:spacing w:line="183" w:lineRule="exact"/>
        <w:ind w:firstLine="0"/>
        <w:jc w:val="both"/>
        <w:rPr>
          <w:sz w:val="16"/>
        </w:rPr>
      </w:pPr>
      <w:r>
        <w:rPr>
          <w:sz w:val="16"/>
        </w:rPr>
        <w:t>Micofenolato de mofetila: comprimido de 500</w:t>
      </w:r>
      <w:r>
        <w:rPr>
          <w:spacing w:val="-11"/>
          <w:sz w:val="16"/>
        </w:rPr>
        <w:t xml:space="preserve"> </w:t>
      </w:r>
      <w:r>
        <w:rPr>
          <w:sz w:val="16"/>
        </w:rPr>
        <w:t>mg.</w:t>
      </w:r>
    </w:p>
    <w:p w:rsidR="00A94DA2" w:rsidRDefault="00DC0F69">
      <w:pPr>
        <w:pStyle w:val="PargrafodaLista"/>
        <w:numPr>
          <w:ilvl w:val="0"/>
          <w:numId w:val="8"/>
        </w:numPr>
        <w:tabs>
          <w:tab w:val="left" w:pos="200"/>
        </w:tabs>
        <w:spacing w:line="183" w:lineRule="exact"/>
        <w:ind w:firstLine="0"/>
        <w:jc w:val="both"/>
        <w:rPr>
          <w:sz w:val="16"/>
        </w:rPr>
      </w:pPr>
      <w:r>
        <w:rPr>
          <w:sz w:val="16"/>
        </w:rPr>
        <w:t>Micofenolato de sódio: comprimidos de 180 e 360</w:t>
      </w:r>
      <w:r>
        <w:rPr>
          <w:spacing w:val="-8"/>
          <w:sz w:val="16"/>
        </w:rPr>
        <w:t xml:space="preserve"> </w:t>
      </w:r>
      <w:r>
        <w:rPr>
          <w:sz w:val="16"/>
        </w:rPr>
        <w:t>mg.</w:t>
      </w:r>
    </w:p>
    <w:p w:rsidR="00A94DA2" w:rsidRDefault="00DC0F69">
      <w:pPr>
        <w:pStyle w:val="PargrafodaLista"/>
        <w:numPr>
          <w:ilvl w:val="0"/>
          <w:numId w:val="8"/>
        </w:numPr>
        <w:tabs>
          <w:tab w:val="left" w:pos="200"/>
        </w:tabs>
        <w:spacing w:before="1"/>
        <w:ind w:firstLine="0"/>
        <w:jc w:val="both"/>
        <w:rPr>
          <w:sz w:val="16"/>
        </w:rPr>
      </w:pPr>
      <w:r>
        <w:rPr>
          <w:sz w:val="16"/>
        </w:rPr>
        <w:t>Sirolimo: drágeas de 1 e 2</w:t>
      </w:r>
      <w:r>
        <w:rPr>
          <w:spacing w:val="-8"/>
          <w:sz w:val="16"/>
        </w:rPr>
        <w:t xml:space="preserve"> </w:t>
      </w:r>
      <w:r>
        <w:rPr>
          <w:sz w:val="16"/>
        </w:rPr>
        <w:t>mg.</w:t>
      </w:r>
    </w:p>
    <w:p w:rsidR="00A94DA2" w:rsidRDefault="00DC0F69">
      <w:pPr>
        <w:pStyle w:val="PargrafodaLista"/>
        <w:numPr>
          <w:ilvl w:val="0"/>
          <w:numId w:val="8"/>
        </w:numPr>
        <w:tabs>
          <w:tab w:val="left" w:pos="200"/>
        </w:tabs>
        <w:spacing w:before="1" w:line="183" w:lineRule="exact"/>
        <w:ind w:firstLine="0"/>
        <w:jc w:val="both"/>
        <w:rPr>
          <w:sz w:val="16"/>
        </w:rPr>
      </w:pPr>
      <w:r>
        <w:rPr>
          <w:sz w:val="16"/>
        </w:rPr>
        <w:t>Everolimo: comprimidos de 0,5, 0,75 e 1</w:t>
      </w:r>
      <w:r>
        <w:rPr>
          <w:spacing w:val="-10"/>
          <w:sz w:val="16"/>
        </w:rPr>
        <w:t xml:space="preserve"> </w:t>
      </w:r>
      <w:r>
        <w:rPr>
          <w:sz w:val="16"/>
        </w:rPr>
        <w:t>mg.</w:t>
      </w:r>
    </w:p>
    <w:p w:rsidR="00A94DA2" w:rsidRDefault="00DC0F69">
      <w:pPr>
        <w:pStyle w:val="PargrafodaLista"/>
        <w:numPr>
          <w:ilvl w:val="0"/>
          <w:numId w:val="8"/>
        </w:numPr>
        <w:tabs>
          <w:tab w:val="left" w:pos="203"/>
        </w:tabs>
        <w:spacing w:line="183" w:lineRule="exact"/>
        <w:ind w:left="202" w:hanging="96"/>
        <w:jc w:val="both"/>
        <w:rPr>
          <w:sz w:val="16"/>
        </w:rPr>
      </w:pPr>
      <w:r>
        <w:rPr>
          <w:sz w:val="16"/>
        </w:rPr>
        <w:t>Imunoglobulina humana: frascos de 0,5; 1,0; 2,5; 3,0; 5,0 e 6,0</w:t>
      </w:r>
      <w:r>
        <w:rPr>
          <w:spacing w:val="-15"/>
          <w:sz w:val="16"/>
        </w:rPr>
        <w:t xml:space="preserve"> </w:t>
      </w:r>
      <w:r>
        <w:rPr>
          <w:sz w:val="16"/>
        </w:rPr>
        <w:t>g.</w:t>
      </w:r>
    </w:p>
    <w:p w:rsidR="00A94DA2" w:rsidRDefault="00DC0F69">
      <w:pPr>
        <w:pStyle w:val="PargrafodaLista"/>
        <w:numPr>
          <w:ilvl w:val="0"/>
          <w:numId w:val="8"/>
        </w:numPr>
        <w:tabs>
          <w:tab w:val="left" w:pos="200"/>
        </w:tabs>
        <w:spacing w:before="1"/>
        <w:ind w:firstLine="0"/>
        <w:jc w:val="both"/>
        <w:rPr>
          <w:sz w:val="16"/>
        </w:rPr>
      </w:pPr>
      <w:r>
        <w:rPr>
          <w:sz w:val="16"/>
        </w:rPr>
        <w:t>Muromonabe CD3: ampola 5 mg</w:t>
      </w:r>
      <w:r>
        <w:rPr>
          <w:spacing w:val="-10"/>
          <w:sz w:val="16"/>
        </w:rPr>
        <w:t xml:space="preserve"> </w:t>
      </w:r>
      <w:r>
        <w:rPr>
          <w:sz w:val="16"/>
        </w:rPr>
        <w:t>injetável.</w:t>
      </w:r>
    </w:p>
    <w:p w:rsidR="00A94DA2" w:rsidRDefault="00DC0F69">
      <w:pPr>
        <w:pStyle w:val="PargrafodaLista"/>
        <w:numPr>
          <w:ilvl w:val="0"/>
          <w:numId w:val="8"/>
        </w:numPr>
        <w:tabs>
          <w:tab w:val="left" w:pos="200"/>
        </w:tabs>
        <w:spacing w:before="1" w:line="183" w:lineRule="exact"/>
        <w:ind w:firstLine="0"/>
        <w:jc w:val="both"/>
        <w:rPr>
          <w:sz w:val="16"/>
        </w:rPr>
      </w:pPr>
      <w:r>
        <w:rPr>
          <w:sz w:val="16"/>
        </w:rPr>
        <w:t>Basiliximabe: frasco-am</w:t>
      </w:r>
      <w:r>
        <w:rPr>
          <w:sz w:val="16"/>
        </w:rPr>
        <w:t>pola de 20</w:t>
      </w:r>
      <w:r>
        <w:rPr>
          <w:spacing w:val="-7"/>
          <w:sz w:val="16"/>
        </w:rPr>
        <w:t xml:space="preserve"> </w:t>
      </w:r>
      <w:r>
        <w:rPr>
          <w:sz w:val="16"/>
        </w:rPr>
        <w:t>mg.</w:t>
      </w:r>
    </w:p>
    <w:p w:rsidR="00A94DA2" w:rsidRDefault="00DC0F69">
      <w:pPr>
        <w:pStyle w:val="PargrafodaLista"/>
        <w:numPr>
          <w:ilvl w:val="0"/>
          <w:numId w:val="8"/>
        </w:numPr>
        <w:tabs>
          <w:tab w:val="left" w:pos="203"/>
        </w:tabs>
        <w:spacing w:line="183" w:lineRule="exact"/>
        <w:ind w:left="202" w:hanging="96"/>
        <w:jc w:val="both"/>
        <w:rPr>
          <w:sz w:val="16"/>
        </w:rPr>
      </w:pPr>
      <w:r>
        <w:rPr>
          <w:sz w:val="16"/>
        </w:rPr>
        <w:t>Imunoglobulina antitimócito: frasco ampola de 25 mg</w:t>
      </w:r>
      <w:r>
        <w:rPr>
          <w:spacing w:val="-13"/>
          <w:sz w:val="16"/>
        </w:rPr>
        <w:t xml:space="preserve"> </w:t>
      </w:r>
      <w:r>
        <w:rPr>
          <w:sz w:val="16"/>
        </w:rPr>
        <w:t>injetável.</w:t>
      </w:r>
    </w:p>
    <w:p w:rsidR="00A94DA2" w:rsidRDefault="00A94DA2">
      <w:pPr>
        <w:pStyle w:val="Corpodetexto"/>
        <w:spacing w:before="1"/>
        <w:ind w:left="0"/>
        <w:jc w:val="left"/>
      </w:pPr>
    </w:p>
    <w:p w:rsidR="00A94DA2" w:rsidRDefault="00DC0F69">
      <w:pPr>
        <w:pStyle w:val="PargrafodaLista"/>
        <w:numPr>
          <w:ilvl w:val="1"/>
          <w:numId w:val="3"/>
        </w:numPr>
        <w:tabs>
          <w:tab w:val="left" w:pos="342"/>
        </w:tabs>
        <w:ind w:left="341" w:hanging="235"/>
        <w:jc w:val="both"/>
        <w:rPr>
          <w:sz w:val="13"/>
        </w:rPr>
      </w:pPr>
      <w:r>
        <w:rPr>
          <w:sz w:val="16"/>
        </w:rPr>
        <w:t>E</w:t>
      </w:r>
      <w:r>
        <w:rPr>
          <w:sz w:val="13"/>
        </w:rPr>
        <w:t>SQUEMAS DE ADMINISTRAÇÃO</w:t>
      </w:r>
    </w:p>
    <w:p w:rsidR="00A94DA2" w:rsidRDefault="00A94DA2">
      <w:pPr>
        <w:pStyle w:val="Corpodetexto"/>
        <w:spacing w:before="11"/>
        <w:ind w:left="0"/>
        <w:jc w:val="left"/>
        <w:rPr>
          <w:sz w:val="15"/>
        </w:rPr>
      </w:pPr>
    </w:p>
    <w:p w:rsidR="00A94DA2" w:rsidRDefault="00DC0F69">
      <w:pPr>
        <w:pStyle w:val="Corpodetexto"/>
      </w:pPr>
      <w:r>
        <w:rPr>
          <w:u w:val="single"/>
        </w:rPr>
        <w:t>Indução da Imunossupressão</w:t>
      </w:r>
    </w:p>
    <w:p w:rsidR="00A94DA2" w:rsidRDefault="00DC0F69">
      <w:pPr>
        <w:pStyle w:val="PargrafodaLista"/>
        <w:numPr>
          <w:ilvl w:val="0"/>
          <w:numId w:val="8"/>
        </w:numPr>
        <w:tabs>
          <w:tab w:val="left" w:pos="200"/>
        </w:tabs>
        <w:spacing w:before="1" w:line="183" w:lineRule="exact"/>
        <w:ind w:firstLine="0"/>
        <w:jc w:val="both"/>
        <w:rPr>
          <w:sz w:val="16"/>
        </w:rPr>
      </w:pPr>
      <w:r>
        <w:rPr>
          <w:sz w:val="16"/>
        </w:rPr>
        <w:t>Metilprednisolona: transoperatória ou até o terceiro dia: 250 a 1.000 mg, por via</w:t>
      </w:r>
      <w:r>
        <w:rPr>
          <w:spacing w:val="-16"/>
          <w:sz w:val="16"/>
        </w:rPr>
        <w:t xml:space="preserve"> </w:t>
      </w:r>
      <w:r>
        <w:rPr>
          <w:sz w:val="16"/>
        </w:rPr>
        <w:t>intravenosa.</w:t>
      </w:r>
    </w:p>
    <w:p w:rsidR="00A94DA2" w:rsidRDefault="00DC0F69">
      <w:pPr>
        <w:pStyle w:val="PargrafodaLista"/>
        <w:numPr>
          <w:ilvl w:val="0"/>
          <w:numId w:val="8"/>
        </w:numPr>
        <w:tabs>
          <w:tab w:val="left" w:pos="200"/>
        </w:tabs>
        <w:spacing w:line="183" w:lineRule="exact"/>
        <w:ind w:firstLine="0"/>
        <w:jc w:val="both"/>
        <w:rPr>
          <w:sz w:val="16"/>
        </w:rPr>
      </w:pPr>
      <w:r>
        <w:rPr>
          <w:sz w:val="16"/>
        </w:rPr>
        <w:t>Prednisona ou prednisolona: pós-operatório inicial: 20 mg/dia até 2 mg/kg de peso/dia, por via</w:t>
      </w:r>
      <w:r>
        <w:rPr>
          <w:spacing w:val="-14"/>
          <w:sz w:val="16"/>
        </w:rPr>
        <w:t xml:space="preserve"> </w:t>
      </w:r>
      <w:r>
        <w:rPr>
          <w:sz w:val="16"/>
        </w:rPr>
        <w:t>oral.</w:t>
      </w:r>
    </w:p>
    <w:p w:rsidR="00A94DA2" w:rsidRDefault="00DC0F69">
      <w:pPr>
        <w:pStyle w:val="PargrafodaLista"/>
        <w:numPr>
          <w:ilvl w:val="0"/>
          <w:numId w:val="8"/>
        </w:numPr>
        <w:tabs>
          <w:tab w:val="left" w:pos="200"/>
        </w:tabs>
        <w:spacing w:before="1"/>
        <w:ind w:firstLine="0"/>
        <w:jc w:val="both"/>
        <w:rPr>
          <w:sz w:val="16"/>
        </w:rPr>
      </w:pPr>
      <w:r>
        <w:rPr>
          <w:sz w:val="16"/>
        </w:rPr>
        <w:t>Azatioprina: 1 a 3 mg/kg/dia, por via</w:t>
      </w:r>
      <w:r>
        <w:rPr>
          <w:spacing w:val="-9"/>
          <w:sz w:val="16"/>
        </w:rPr>
        <w:t xml:space="preserve"> </w:t>
      </w:r>
      <w:r>
        <w:rPr>
          <w:sz w:val="16"/>
        </w:rPr>
        <w:t>oral.</w:t>
      </w:r>
    </w:p>
    <w:p w:rsidR="00A94DA2" w:rsidRDefault="00DC0F69">
      <w:pPr>
        <w:pStyle w:val="PargrafodaLista"/>
        <w:numPr>
          <w:ilvl w:val="0"/>
          <w:numId w:val="8"/>
        </w:numPr>
        <w:tabs>
          <w:tab w:val="left" w:pos="200"/>
        </w:tabs>
        <w:spacing w:before="1" w:line="183" w:lineRule="exact"/>
        <w:ind w:firstLine="0"/>
        <w:jc w:val="both"/>
        <w:rPr>
          <w:sz w:val="16"/>
        </w:rPr>
      </w:pPr>
      <w:r>
        <w:rPr>
          <w:sz w:val="16"/>
        </w:rPr>
        <w:t>Micofenolato</w:t>
      </w:r>
      <w:r>
        <w:rPr>
          <w:spacing w:val="-4"/>
          <w:sz w:val="16"/>
        </w:rPr>
        <w:t xml:space="preserve"> </w:t>
      </w:r>
      <w:r>
        <w:rPr>
          <w:sz w:val="16"/>
        </w:rPr>
        <w:t>de</w:t>
      </w:r>
      <w:r>
        <w:rPr>
          <w:spacing w:val="-4"/>
          <w:sz w:val="16"/>
        </w:rPr>
        <w:t xml:space="preserve"> </w:t>
      </w:r>
      <w:r>
        <w:rPr>
          <w:sz w:val="16"/>
        </w:rPr>
        <w:t>mofetila:</w:t>
      </w:r>
      <w:r>
        <w:rPr>
          <w:spacing w:val="-3"/>
          <w:sz w:val="16"/>
        </w:rPr>
        <w:t xml:space="preserve"> </w:t>
      </w:r>
      <w:r>
        <w:rPr>
          <w:sz w:val="16"/>
        </w:rPr>
        <w:t>0,5</w:t>
      </w:r>
      <w:r>
        <w:rPr>
          <w:spacing w:val="-3"/>
          <w:sz w:val="16"/>
        </w:rPr>
        <w:t xml:space="preserve"> </w:t>
      </w:r>
      <w:r>
        <w:rPr>
          <w:sz w:val="16"/>
        </w:rPr>
        <w:t>a</w:t>
      </w:r>
      <w:r>
        <w:rPr>
          <w:spacing w:val="-4"/>
          <w:sz w:val="16"/>
        </w:rPr>
        <w:t xml:space="preserve"> </w:t>
      </w:r>
      <w:r>
        <w:rPr>
          <w:sz w:val="16"/>
        </w:rPr>
        <w:t>1,5</w:t>
      </w:r>
      <w:r>
        <w:rPr>
          <w:spacing w:val="-3"/>
          <w:sz w:val="16"/>
        </w:rPr>
        <w:t xml:space="preserve"> </w:t>
      </w:r>
      <w:r>
        <w:rPr>
          <w:sz w:val="16"/>
        </w:rPr>
        <w:t>g</w:t>
      </w:r>
      <w:r>
        <w:rPr>
          <w:spacing w:val="-3"/>
          <w:sz w:val="16"/>
        </w:rPr>
        <w:t xml:space="preserve"> </w:t>
      </w:r>
      <w:r>
        <w:rPr>
          <w:sz w:val="16"/>
        </w:rPr>
        <w:t>2</w:t>
      </w:r>
      <w:r>
        <w:rPr>
          <w:spacing w:val="-1"/>
          <w:sz w:val="16"/>
        </w:rPr>
        <w:t xml:space="preserve"> </w:t>
      </w:r>
      <w:r>
        <w:rPr>
          <w:sz w:val="16"/>
        </w:rPr>
        <w:t>vezes/dia,</w:t>
      </w:r>
      <w:r>
        <w:rPr>
          <w:spacing w:val="-4"/>
          <w:sz w:val="16"/>
        </w:rPr>
        <w:t xml:space="preserve"> </w:t>
      </w:r>
      <w:r>
        <w:rPr>
          <w:sz w:val="16"/>
        </w:rPr>
        <w:t>por</w:t>
      </w:r>
      <w:r>
        <w:rPr>
          <w:spacing w:val="-4"/>
          <w:sz w:val="16"/>
        </w:rPr>
        <w:t xml:space="preserve"> </w:t>
      </w:r>
      <w:r>
        <w:rPr>
          <w:sz w:val="16"/>
        </w:rPr>
        <w:t>via</w:t>
      </w:r>
      <w:r>
        <w:rPr>
          <w:spacing w:val="-1"/>
          <w:sz w:val="16"/>
        </w:rPr>
        <w:t xml:space="preserve"> </w:t>
      </w:r>
      <w:r>
        <w:rPr>
          <w:sz w:val="16"/>
        </w:rPr>
        <w:t>oral.</w:t>
      </w:r>
    </w:p>
    <w:p w:rsidR="00A94DA2" w:rsidRDefault="00DC0F69">
      <w:pPr>
        <w:pStyle w:val="PargrafodaLista"/>
        <w:numPr>
          <w:ilvl w:val="0"/>
          <w:numId w:val="8"/>
        </w:numPr>
        <w:tabs>
          <w:tab w:val="left" w:pos="200"/>
        </w:tabs>
        <w:spacing w:line="183" w:lineRule="exact"/>
        <w:ind w:firstLine="0"/>
        <w:jc w:val="both"/>
        <w:rPr>
          <w:sz w:val="16"/>
        </w:rPr>
      </w:pPr>
      <w:r>
        <w:rPr>
          <w:sz w:val="16"/>
        </w:rPr>
        <w:t>Micofenolato</w:t>
      </w:r>
      <w:r>
        <w:rPr>
          <w:spacing w:val="-4"/>
          <w:sz w:val="16"/>
        </w:rPr>
        <w:t xml:space="preserve"> </w:t>
      </w:r>
      <w:r>
        <w:rPr>
          <w:sz w:val="16"/>
        </w:rPr>
        <w:t>de</w:t>
      </w:r>
      <w:r>
        <w:rPr>
          <w:spacing w:val="-4"/>
          <w:sz w:val="16"/>
        </w:rPr>
        <w:t xml:space="preserve"> </w:t>
      </w:r>
      <w:r>
        <w:rPr>
          <w:sz w:val="16"/>
        </w:rPr>
        <w:t>sódio:</w:t>
      </w:r>
      <w:r>
        <w:rPr>
          <w:spacing w:val="-3"/>
          <w:sz w:val="16"/>
        </w:rPr>
        <w:t xml:space="preserve"> </w:t>
      </w:r>
      <w:r>
        <w:rPr>
          <w:sz w:val="16"/>
        </w:rPr>
        <w:t>360</w:t>
      </w:r>
      <w:r>
        <w:rPr>
          <w:spacing w:val="-3"/>
          <w:sz w:val="16"/>
        </w:rPr>
        <w:t xml:space="preserve"> </w:t>
      </w:r>
      <w:r>
        <w:rPr>
          <w:sz w:val="16"/>
        </w:rPr>
        <w:t>a</w:t>
      </w:r>
      <w:r>
        <w:rPr>
          <w:spacing w:val="-4"/>
          <w:sz w:val="16"/>
        </w:rPr>
        <w:t xml:space="preserve"> </w:t>
      </w:r>
      <w:r>
        <w:rPr>
          <w:sz w:val="16"/>
        </w:rPr>
        <w:t>720</w:t>
      </w:r>
      <w:r>
        <w:rPr>
          <w:spacing w:val="-3"/>
          <w:sz w:val="16"/>
        </w:rPr>
        <w:t xml:space="preserve"> </w:t>
      </w:r>
      <w:r>
        <w:rPr>
          <w:sz w:val="16"/>
        </w:rPr>
        <w:t>mg</w:t>
      </w:r>
      <w:r>
        <w:rPr>
          <w:spacing w:val="-3"/>
          <w:sz w:val="16"/>
        </w:rPr>
        <w:t xml:space="preserve"> </w:t>
      </w:r>
      <w:r>
        <w:rPr>
          <w:sz w:val="16"/>
        </w:rPr>
        <w:t>2</w:t>
      </w:r>
      <w:r>
        <w:rPr>
          <w:spacing w:val="-1"/>
          <w:sz w:val="16"/>
        </w:rPr>
        <w:t xml:space="preserve"> </w:t>
      </w:r>
      <w:r>
        <w:rPr>
          <w:sz w:val="16"/>
        </w:rPr>
        <w:t>vezes/dia,</w:t>
      </w:r>
      <w:r>
        <w:rPr>
          <w:spacing w:val="-4"/>
          <w:sz w:val="16"/>
        </w:rPr>
        <w:t xml:space="preserve"> </w:t>
      </w:r>
      <w:r>
        <w:rPr>
          <w:sz w:val="16"/>
        </w:rPr>
        <w:t>por</w:t>
      </w:r>
      <w:r>
        <w:rPr>
          <w:spacing w:val="-3"/>
          <w:sz w:val="16"/>
        </w:rPr>
        <w:t xml:space="preserve"> </w:t>
      </w:r>
      <w:r>
        <w:rPr>
          <w:sz w:val="16"/>
        </w:rPr>
        <w:t>via</w:t>
      </w:r>
      <w:r>
        <w:rPr>
          <w:spacing w:val="-2"/>
          <w:sz w:val="16"/>
        </w:rPr>
        <w:t xml:space="preserve"> </w:t>
      </w:r>
      <w:r>
        <w:rPr>
          <w:sz w:val="16"/>
        </w:rPr>
        <w:t>oral.</w:t>
      </w:r>
    </w:p>
    <w:p w:rsidR="00A94DA2" w:rsidRDefault="00DC0F69">
      <w:pPr>
        <w:pStyle w:val="PargrafodaLista"/>
        <w:numPr>
          <w:ilvl w:val="0"/>
          <w:numId w:val="8"/>
        </w:numPr>
        <w:tabs>
          <w:tab w:val="left" w:pos="205"/>
        </w:tabs>
        <w:ind w:right="118" w:firstLine="0"/>
        <w:jc w:val="both"/>
        <w:rPr>
          <w:sz w:val="16"/>
        </w:rPr>
      </w:pPr>
      <w:r>
        <w:rPr>
          <w:sz w:val="16"/>
        </w:rPr>
        <w:t xml:space="preserve">Ciclosporina: 3 a 6 mg/kg de peso 2 vezes/dia, por via oral. A dose oral deverá ser controlada semanalmente nos primeiros 3 meses, quer pelo tempo zero (C0) ou vale ou </w:t>
      </w:r>
      <w:r>
        <w:rPr>
          <w:i/>
          <w:sz w:val="16"/>
        </w:rPr>
        <w:t xml:space="preserve">trough level </w:t>
      </w:r>
      <w:r>
        <w:rPr>
          <w:sz w:val="16"/>
        </w:rPr>
        <w:t>(resultado obtido em sangue coletado em jejum 12 h</w:t>
      </w:r>
      <w:r>
        <w:rPr>
          <w:sz w:val="16"/>
        </w:rPr>
        <w:t>oras após a última administração e deverá variar entre 200 e 300 ng/ml) ou pelo C2 ou pico (resultado obtido em sangue colhido 2 horas após a tomada matinal e deverá variar entre 800 e 1.200 ng/ml). Após o primeiro ano do transplante, o nível sérico recome</w:t>
      </w:r>
      <w:r>
        <w:rPr>
          <w:sz w:val="16"/>
        </w:rPr>
        <w:t>ndado é mais baixo e deve oscilar entre 500 e 800</w:t>
      </w:r>
      <w:r>
        <w:rPr>
          <w:spacing w:val="-12"/>
          <w:sz w:val="16"/>
        </w:rPr>
        <w:t xml:space="preserve"> </w:t>
      </w:r>
      <w:r>
        <w:rPr>
          <w:sz w:val="16"/>
        </w:rPr>
        <w:t>ng/ml.</w:t>
      </w:r>
    </w:p>
    <w:p w:rsidR="00A94DA2" w:rsidRDefault="00DC0F69">
      <w:pPr>
        <w:pStyle w:val="PargrafodaLista"/>
        <w:numPr>
          <w:ilvl w:val="0"/>
          <w:numId w:val="8"/>
        </w:numPr>
        <w:tabs>
          <w:tab w:val="left" w:pos="208"/>
        </w:tabs>
        <w:spacing w:before="1"/>
        <w:ind w:right="119" w:firstLine="0"/>
        <w:jc w:val="both"/>
        <w:rPr>
          <w:sz w:val="16"/>
        </w:rPr>
      </w:pPr>
      <w:r>
        <w:rPr>
          <w:sz w:val="16"/>
        </w:rPr>
        <w:t>Tacrolimo: 0,1 a 0,2 mg/kg de peso 2 vezes/dia, por via oral. Trata-se de dose inicial, como a sugerida para ciclosporina, que será reajustada pelo nível sérico medido em jejum, 12 horas após a últim</w:t>
      </w:r>
      <w:r>
        <w:rPr>
          <w:sz w:val="16"/>
        </w:rPr>
        <w:t>a administração, e deverá variar em torno de 10 ng/ml nos primeiros 6 meses pós-transplante e entre 3 e 8 ng/ml após esse período. Da mesma forma, recomenda-se também controle semanal do nível sanguíneo nos primeiros 3 meses, mensal no primeiro ano e a cad</w:t>
      </w:r>
      <w:r>
        <w:rPr>
          <w:sz w:val="16"/>
        </w:rPr>
        <w:t>a 2 a 3 meses por ocasião das visitas ambulatoriais.</w:t>
      </w:r>
    </w:p>
    <w:p w:rsidR="00A94DA2" w:rsidRDefault="00DC0F69">
      <w:pPr>
        <w:pStyle w:val="PargrafodaLista"/>
        <w:numPr>
          <w:ilvl w:val="0"/>
          <w:numId w:val="8"/>
        </w:numPr>
        <w:tabs>
          <w:tab w:val="left" w:pos="200"/>
        </w:tabs>
        <w:spacing w:line="183" w:lineRule="exact"/>
        <w:ind w:firstLine="0"/>
        <w:jc w:val="both"/>
        <w:rPr>
          <w:sz w:val="16"/>
        </w:rPr>
      </w:pPr>
      <w:r>
        <w:rPr>
          <w:sz w:val="16"/>
        </w:rPr>
        <w:t>Basiliximabe: 2 doses de 20 mg, a primeira no dia zero e a segunda no quarto dia</w:t>
      </w:r>
      <w:r>
        <w:rPr>
          <w:spacing w:val="-22"/>
          <w:sz w:val="16"/>
        </w:rPr>
        <w:t xml:space="preserve"> </w:t>
      </w:r>
      <w:r>
        <w:rPr>
          <w:sz w:val="16"/>
        </w:rPr>
        <w:t>pós-operatório.</w:t>
      </w:r>
    </w:p>
    <w:p w:rsidR="00A94DA2" w:rsidRDefault="00DC0F69">
      <w:pPr>
        <w:pStyle w:val="PargrafodaLista"/>
        <w:numPr>
          <w:ilvl w:val="0"/>
          <w:numId w:val="8"/>
        </w:numPr>
        <w:tabs>
          <w:tab w:val="left" w:pos="200"/>
        </w:tabs>
        <w:spacing w:before="1"/>
        <w:ind w:firstLine="0"/>
        <w:jc w:val="both"/>
        <w:rPr>
          <w:sz w:val="16"/>
        </w:rPr>
      </w:pPr>
      <w:r>
        <w:rPr>
          <w:sz w:val="16"/>
        </w:rPr>
        <w:t>Muromonabe CD3: 2,5 a 5 mg/dia, por até 14 dias, por via</w:t>
      </w:r>
      <w:r>
        <w:rPr>
          <w:spacing w:val="-20"/>
          <w:sz w:val="16"/>
        </w:rPr>
        <w:t xml:space="preserve"> </w:t>
      </w:r>
      <w:r>
        <w:rPr>
          <w:sz w:val="16"/>
        </w:rPr>
        <w:t>intravenosa.</w:t>
      </w:r>
    </w:p>
    <w:p w:rsidR="00A94DA2" w:rsidRDefault="00A94DA2">
      <w:pPr>
        <w:pStyle w:val="Corpodetexto"/>
        <w:spacing w:before="11"/>
        <w:ind w:left="0"/>
        <w:jc w:val="left"/>
        <w:rPr>
          <w:sz w:val="15"/>
        </w:rPr>
      </w:pPr>
    </w:p>
    <w:p w:rsidR="00A94DA2" w:rsidRDefault="00DC0F69">
      <w:pPr>
        <w:pStyle w:val="Corpodetexto"/>
      </w:pPr>
      <w:r>
        <w:rPr>
          <w:u w:val="single"/>
        </w:rPr>
        <w:t>Imunossupressão de manutenção</w:t>
      </w:r>
    </w:p>
    <w:p w:rsidR="00A94DA2" w:rsidRDefault="00DC0F69">
      <w:pPr>
        <w:pStyle w:val="Corpodetexto"/>
        <w:spacing w:before="1"/>
        <w:ind w:right="120"/>
      </w:pPr>
      <w:r>
        <w:t>Neste</w:t>
      </w:r>
      <w:r>
        <w:t xml:space="preserve"> período, as doses dos imunossupressores são muito variáveis e levam em conta principalmente o tipo de doador e sua compatibilidade imunológica com o receptor, o tempo pós-transplante, os eventos imunológicos que tenham porventura ocorrido e os efeitos adv</w:t>
      </w:r>
      <w:r>
        <w:t>ersos dos medicamentos em uso, bem como as potenciais interações medicamentosas com outros fármacos que venham a ser necessários.</w:t>
      </w:r>
    </w:p>
    <w:p w:rsidR="00A94DA2" w:rsidRDefault="00DC0F69">
      <w:pPr>
        <w:pStyle w:val="PargrafodaLista"/>
        <w:numPr>
          <w:ilvl w:val="0"/>
          <w:numId w:val="8"/>
        </w:numPr>
        <w:tabs>
          <w:tab w:val="left" w:pos="200"/>
        </w:tabs>
        <w:ind w:right="116" w:firstLine="0"/>
        <w:jc w:val="both"/>
        <w:rPr>
          <w:sz w:val="16"/>
        </w:rPr>
      </w:pPr>
      <w:r>
        <w:pict>
          <v:rect id="_x0000_s1031" style="position:absolute;left:0;text-align:left;margin-left:436.4pt;margin-top:4.6pt;width:2.4pt;height:.25pt;z-index:-251655680;mso-position-horizontal-relative:page" fillcolor="black" stroked="f">
            <w10:wrap anchorx="page"/>
          </v:rect>
        </w:pict>
      </w:r>
      <w:r>
        <w:pict>
          <v:rect id="_x0000_s1030" style="position:absolute;left:0;text-align:left;margin-left:454.9pt;margin-top:4.6pt;width:2.4pt;height:.25pt;z-index:-251654656;mso-position-horizontal-relative:page" fillcolor="black" stroked="f">
            <w10:wrap anchorx="page"/>
          </v:rect>
        </w:pict>
      </w:r>
      <w:r>
        <w:rPr>
          <w:sz w:val="16"/>
        </w:rPr>
        <w:t xml:space="preserve">Prednisona ou Prednisolona: a dose inicial é de 0,5 a 1,0 mg/kg/dia, com redução progressiva até 5 a 10 mg/dia por volta do </w:t>
      </w:r>
      <w:r>
        <w:rPr>
          <w:spacing w:val="5"/>
          <w:sz w:val="16"/>
        </w:rPr>
        <w:t>2</w:t>
      </w:r>
      <w:r>
        <w:rPr>
          <w:spacing w:val="5"/>
          <w:sz w:val="16"/>
          <w:vertAlign w:val="superscript"/>
        </w:rPr>
        <w:t>o</w:t>
      </w:r>
      <w:r>
        <w:rPr>
          <w:spacing w:val="5"/>
          <w:sz w:val="16"/>
        </w:rPr>
        <w:t xml:space="preserve"> </w:t>
      </w:r>
      <w:r>
        <w:rPr>
          <w:sz w:val="16"/>
        </w:rPr>
        <w:t>ou 3</w:t>
      </w:r>
      <w:r>
        <w:rPr>
          <w:sz w:val="16"/>
          <w:vertAlign w:val="superscript"/>
        </w:rPr>
        <w:t>o</w:t>
      </w:r>
      <w:r>
        <w:rPr>
          <w:sz w:val="16"/>
        </w:rPr>
        <w:t xml:space="preserve"> mês pós-transplante. Recomenda-se não suspender o medicamento ou mudar o esquema de uso diário para dias alternados, exceção feita a pacientes com evidentes efeitos adversos dos corticosteroides com função renal estável sem rejeições</w:t>
      </w:r>
      <w:r>
        <w:rPr>
          <w:spacing w:val="-4"/>
          <w:sz w:val="16"/>
        </w:rPr>
        <w:t xml:space="preserve"> </w:t>
      </w:r>
      <w:r>
        <w:rPr>
          <w:sz w:val="16"/>
        </w:rPr>
        <w:t>prévias.</w:t>
      </w:r>
    </w:p>
    <w:p w:rsidR="00A94DA2" w:rsidRDefault="00DC0F69">
      <w:pPr>
        <w:pStyle w:val="PargrafodaLista"/>
        <w:numPr>
          <w:ilvl w:val="0"/>
          <w:numId w:val="8"/>
        </w:numPr>
        <w:tabs>
          <w:tab w:val="left" w:pos="203"/>
        </w:tabs>
        <w:ind w:right="121" w:firstLine="0"/>
        <w:jc w:val="both"/>
        <w:rPr>
          <w:sz w:val="16"/>
        </w:rPr>
      </w:pPr>
      <w:r>
        <w:rPr>
          <w:sz w:val="16"/>
        </w:rPr>
        <w:t>Azatioprina: a dose inicial é de 2 a 2,5 mg/kg/dia, de acordo com o resultado do hemograma. Recomenda-se, na fase de insuficiência renal, dose menor (de 1 a 2 mg/kg) em razão do maior risco de mielotoxicidade. Considerando que um percentual significativo d</w:t>
      </w:r>
      <w:r>
        <w:rPr>
          <w:sz w:val="16"/>
        </w:rPr>
        <w:t xml:space="preserve">e pacientes </w:t>
      </w:r>
      <w:r>
        <w:rPr>
          <w:spacing w:val="3"/>
          <w:sz w:val="16"/>
        </w:rPr>
        <w:t xml:space="preserve">não </w:t>
      </w:r>
      <w:r>
        <w:rPr>
          <w:sz w:val="16"/>
        </w:rPr>
        <w:t xml:space="preserve">atinge níveis considerados adequados para imunossupressão a despeito de dose habitual, isto é, aproximadamente 2 mg/kg/dia pelo menos nos primeiros meses pós-transplante, pode-se sugerir que doses maiores de azatioprina (2,5 a 3 mg/kg/dia) </w:t>
      </w:r>
      <w:r>
        <w:rPr>
          <w:sz w:val="16"/>
        </w:rPr>
        <w:t>representem ganho em eficácia</w:t>
      </w:r>
      <w:r>
        <w:rPr>
          <w:spacing w:val="-8"/>
          <w:sz w:val="16"/>
        </w:rPr>
        <w:t xml:space="preserve"> </w:t>
      </w:r>
      <w:r>
        <w:rPr>
          <w:sz w:val="16"/>
        </w:rPr>
        <w:t>clínica.</w:t>
      </w:r>
    </w:p>
    <w:p w:rsidR="00A94DA2" w:rsidRDefault="00DC0F69">
      <w:pPr>
        <w:pStyle w:val="PargrafodaLista"/>
        <w:numPr>
          <w:ilvl w:val="0"/>
          <w:numId w:val="8"/>
        </w:numPr>
        <w:tabs>
          <w:tab w:val="left" w:pos="217"/>
        </w:tabs>
        <w:spacing w:before="1"/>
        <w:ind w:right="119" w:firstLine="0"/>
        <w:rPr>
          <w:sz w:val="16"/>
        </w:rPr>
      </w:pPr>
      <w:r>
        <w:rPr>
          <w:sz w:val="16"/>
        </w:rPr>
        <w:t>Ciclosporina: recomenda-se dose total diária entre 3 e 6 mg/kg de peso, em duas administrações diárias, com monitorização obrigatória dos níveis sanguíneos para ajuste da dose, conforme item 8</w:t>
      </w:r>
      <w:r>
        <w:rPr>
          <w:spacing w:val="-7"/>
          <w:sz w:val="16"/>
        </w:rPr>
        <w:t xml:space="preserve"> </w:t>
      </w:r>
      <w:r>
        <w:rPr>
          <w:sz w:val="16"/>
        </w:rPr>
        <w:t>Monitorização.</w:t>
      </w:r>
    </w:p>
    <w:p w:rsidR="00A94DA2" w:rsidRDefault="00DC0F69">
      <w:pPr>
        <w:pStyle w:val="PargrafodaLista"/>
        <w:numPr>
          <w:ilvl w:val="0"/>
          <w:numId w:val="8"/>
        </w:numPr>
        <w:tabs>
          <w:tab w:val="left" w:pos="200"/>
        </w:tabs>
        <w:spacing w:line="183" w:lineRule="exact"/>
        <w:ind w:firstLine="0"/>
        <w:jc w:val="both"/>
        <w:rPr>
          <w:sz w:val="16"/>
        </w:rPr>
      </w:pPr>
      <w:r>
        <w:rPr>
          <w:sz w:val="16"/>
        </w:rPr>
        <w:t>Tacrolimo</w:t>
      </w:r>
      <w:r>
        <w:rPr>
          <w:sz w:val="16"/>
        </w:rPr>
        <w:t>:</w:t>
      </w:r>
      <w:r>
        <w:rPr>
          <w:spacing w:val="-3"/>
          <w:sz w:val="16"/>
        </w:rPr>
        <w:t xml:space="preserve"> </w:t>
      </w:r>
      <w:r>
        <w:rPr>
          <w:sz w:val="16"/>
        </w:rPr>
        <w:t>a</w:t>
      </w:r>
      <w:r>
        <w:rPr>
          <w:spacing w:val="-1"/>
          <w:sz w:val="16"/>
        </w:rPr>
        <w:t xml:space="preserve"> </w:t>
      </w:r>
      <w:r>
        <w:rPr>
          <w:sz w:val="16"/>
        </w:rPr>
        <w:t>dose</w:t>
      </w:r>
      <w:r>
        <w:rPr>
          <w:spacing w:val="-2"/>
          <w:sz w:val="16"/>
        </w:rPr>
        <w:t xml:space="preserve"> </w:t>
      </w:r>
      <w:r>
        <w:rPr>
          <w:sz w:val="16"/>
        </w:rPr>
        <w:t>inicial</w:t>
      </w:r>
      <w:r>
        <w:rPr>
          <w:spacing w:val="-3"/>
          <w:sz w:val="16"/>
        </w:rPr>
        <w:t xml:space="preserve"> </w:t>
      </w:r>
      <w:r>
        <w:rPr>
          <w:sz w:val="16"/>
        </w:rPr>
        <w:t>recomendada</w:t>
      </w:r>
      <w:r>
        <w:rPr>
          <w:spacing w:val="-1"/>
          <w:sz w:val="16"/>
        </w:rPr>
        <w:t xml:space="preserve"> </w:t>
      </w:r>
      <w:r>
        <w:rPr>
          <w:sz w:val="16"/>
        </w:rPr>
        <w:t>é</w:t>
      </w:r>
      <w:r>
        <w:rPr>
          <w:spacing w:val="-5"/>
          <w:sz w:val="16"/>
        </w:rPr>
        <w:t xml:space="preserve"> </w:t>
      </w:r>
      <w:r>
        <w:rPr>
          <w:sz w:val="16"/>
        </w:rPr>
        <w:t>de</w:t>
      </w:r>
      <w:r>
        <w:rPr>
          <w:spacing w:val="-4"/>
          <w:sz w:val="16"/>
        </w:rPr>
        <w:t xml:space="preserve"> </w:t>
      </w:r>
      <w:r>
        <w:rPr>
          <w:sz w:val="16"/>
        </w:rPr>
        <w:t>0,2</w:t>
      </w:r>
      <w:r>
        <w:rPr>
          <w:spacing w:val="-3"/>
          <w:sz w:val="16"/>
        </w:rPr>
        <w:t xml:space="preserve"> </w:t>
      </w:r>
      <w:r>
        <w:rPr>
          <w:sz w:val="16"/>
        </w:rPr>
        <w:t>mg/kg/dia,</w:t>
      </w:r>
      <w:r>
        <w:rPr>
          <w:spacing w:val="-1"/>
          <w:sz w:val="16"/>
        </w:rPr>
        <w:t xml:space="preserve"> </w:t>
      </w:r>
      <w:r>
        <w:rPr>
          <w:sz w:val="16"/>
        </w:rPr>
        <w:t>com</w:t>
      </w:r>
      <w:r>
        <w:rPr>
          <w:spacing w:val="-4"/>
          <w:sz w:val="16"/>
        </w:rPr>
        <w:t xml:space="preserve"> </w:t>
      </w:r>
      <w:r>
        <w:rPr>
          <w:sz w:val="16"/>
        </w:rPr>
        <w:t>monitorização</w:t>
      </w:r>
      <w:r>
        <w:rPr>
          <w:spacing w:val="-3"/>
          <w:sz w:val="16"/>
        </w:rPr>
        <w:t xml:space="preserve"> </w:t>
      </w:r>
      <w:r>
        <w:rPr>
          <w:sz w:val="16"/>
        </w:rPr>
        <w:t>obrigatória</w:t>
      </w:r>
      <w:r>
        <w:rPr>
          <w:spacing w:val="-3"/>
          <w:sz w:val="16"/>
        </w:rPr>
        <w:t xml:space="preserve"> </w:t>
      </w:r>
      <w:r>
        <w:rPr>
          <w:sz w:val="16"/>
        </w:rPr>
        <w:t>dos</w:t>
      </w:r>
      <w:r>
        <w:rPr>
          <w:spacing w:val="-2"/>
          <w:sz w:val="16"/>
        </w:rPr>
        <w:t xml:space="preserve"> </w:t>
      </w:r>
      <w:r>
        <w:rPr>
          <w:sz w:val="16"/>
        </w:rPr>
        <w:t>níveis</w:t>
      </w:r>
      <w:r>
        <w:rPr>
          <w:spacing w:val="-2"/>
          <w:sz w:val="16"/>
        </w:rPr>
        <w:t xml:space="preserve"> </w:t>
      </w:r>
      <w:r>
        <w:rPr>
          <w:sz w:val="16"/>
        </w:rPr>
        <w:t>sanguíneos</w:t>
      </w:r>
      <w:r>
        <w:rPr>
          <w:spacing w:val="-2"/>
          <w:sz w:val="16"/>
        </w:rPr>
        <w:t xml:space="preserve"> </w:t>
      </w:r>
      <w:r>
        <w:rPr>
          <w:sz w:val="16"/>
        </w:rPr>
        <w:t>para</w:t>
      </w:r>
      <w:r>
        <w:rPr>
          <w:spacing w:val="-1"/>
          <w:sz w:val="16"/>
        </w:rPr>
        <w:t xml:space="preserve"> </w:t>
      </w:r>
      <w:r>
        <w:rPr>
          <w:sz w:val="16"/>
        </w:rPr>
        <w:t>ajuste</w:t>
      </w:r>
      <w:r>
        <w:rPr>
          <w:spacing w:val="-4"/>
          <w:sz w:val="16"/>
        </w:rPr>
        <w:t xml:space="preserve"> </w:t>
      </w:r>
      <w:r>
        <w:rPr>
          <w:sz w:val="16"/>
        </w:rPr>
        <w:t>da</w:t>
      </w:r>
      <w:r>
        <w:rPr>
          <w:spacing w:val="-3"/>
          <w:sz w:val="16"/>
        </w:rPr>
        <w:t xml:space="preserve"> </w:t>
      </w:r>
      <w:r>
        <w:rPr>
          <w:sz w:val="16"/>
        </w:rPr>
        <w:t>dose,</w:t>
      </w:r>
      <w:r>
        <w:rPr>
          <w:spacing w:val="-1"/>
          <w:sz w:val="16"/>
        </w:rPr>
        <w:t xml:space="preserve"> </w:t>
      </w:r>
      <w:r>
        <w:rPr>
          <w:sz w:val="16"/>
        </w:rPr>
        <w:t>conforme</w:t>
      </w:r>
      <w:r>
        <w:rPr>
          <w:spacing w:val="-4"/>
          <w:sz w:val="16"/>
        </w:rPr>
        <w:t xml:space="preserve"> </w:t>
      </w:r>
      <w:r>
        <w:rPr>
          <w:sz w:val="16"/>
        </w:rPr>
        <w:t>item</w:t>
      </w:r>
      <w:r>
        <w:rPr>
          <w:spacing w:val="-2"/>
          <w:sz w:val="16"/>
        </w:rPr>
        <w:t xml:space="preserve"> </w:t>
      </w:r>
      <w:r>
        <w:rPr>
          <w:sz w:val="16"/>
        </w:rPr>
        <w:t>8</w:t>
      </w:r>
      <w:r>
        <w:rPr>
          <w:spacing w:val="-3"/>
          <w:sz w:val="16"/>
        </w:rPr>
        <w:t xml:space="preserve"> </w:t>
      </w:r>
      <w:r>
        <w:rPr>
          <w:sz w:val="16"/>
        </w:rPr>
        <w:t>Monitorização.</w:t>
      </w:r>
    </w:p>
    <w:p w:rsidR="00A94DA2" w:rsidRDefault="00A94DA2">
      <w:pPr>
        <w:pStyle w:val="Corpodetexto"/>
        <w:spacing w:before="11"/>
        <w:ind w:left="0"/>
        <w:jc w:val="left"/>
        <w:rPr>
          <w:sz w:val="15"/>
        </w:rPr>
      </w:pPr>
    </w:p>
    <w:p w:rsidR="00A94DA2" w:rsidRDefault="00DC0F69">
      <w:pPr>
        <w:pStyle w:val="Corpodetexto"/>
      </w:pPr>
      <w:r>
        <w:rPr>
          <w:u w:val="single"/>
        </w:rPr>
        <w:t>Imunossupressão de manutenção alternativa</w:t>
      </w:r>
    </w:p>
    <w:p w:rsidR="00A94DA2" w:rsidRDefault="00DC0F69">
      <w:pPr>
        <w:pStyle w:val="PargrafodaLista"/>
        <w:numPr>
          <w:ilvl w:val="0"/>
          <w:numId w:val="8"/>
        </w:numPr>
        <w:tabs>
          <w:tab w:val="left" w:pos="234"/>
        </w:tabs>
        <w:spacing w:before="1"/>
        <w:ind w:right="124" w:firstLine="0"/>
        <w:rPr>
          <w:sz w:val="16"/>
        </w:rPr>
      </w:pPr>
      <w:r>
        <w:rPr>
          <w:sz w:val="16"/>
        </w:rPr>
        <w:t>Micofenolato de mofetila (MMF): a dose geralmente recomendad</w:t>
      </w:r>
      <w:r>
        <w:rPr>
          <w:sz w:val="16"/>
        </w:rPr>
        <w:t>a é de 1.000 mg 2 vezes/dia. Com frequência, essa dose precisa ser reduzida para melhorar complicações digestivas, sobretudo diarreia, mas tal conduta aumenta o risco de perda de enxertos pela menor exposição do</w:t>
      </w:r>
      <w:r>
        <w:rPr>
          <w:spacing w:val="-28"/>
          <w:sz w:val="16"/>
        </w:rPr>
        <w:t xml:space="preserve"> </w:t>
      </w:r>
      <w:r>
        <w:rPr>
          <w:sz w:val="16"/>
        </w:rPr>
        <w:t>imunossupressor.</w:t>
      </w:r>
    </w:p>
    <w:p w:rsidR="00A94DA2" w:rsidRDefault="00DC0F69">
      <w:pPr>
        <w:pStyle w:val="Corpodetexto"/>
        <w:spacing w:line="183" w:lineRule="exact"/>
      </w:pPr>
      <w:r>
        <w:rPr>
          <w:u w:val="single"/>
        </w:rPr>
        <w:t>ou</w:t>
      </w:r>
    </w:p>
    <w:p w:rsidR="00A94DA2" w:rsidRDefault="00DC0F69">
      <w:pPr>
        <w:pStyle w:val="PargrafodaLista"/>
        <w:numPr>
          <w:ilvl w:val="0"/>
          <w:numId w:val="8"/>
        </w:numPr>
        <w:tabs>
          <w:tab w:val="left" w:pos="200"/>
        </w:tabs>
        <w:ind w:firstLine="0"/>
        <w:jc w:val="both"/>
        <w:rPr>
          <w:sz w:val="16"/>
        </w:rPr>
      </w:pPr>
      <w:r>
        <w:rPr>
          <w:sz w:val="16"/>
        </w:rPr>
        <w:t>Micofenolato de sódio (MMS): a dose recomendada é de 720 mg 2</w:t>
      </w:r>
      <w:r>
        <w:rPr>
          <w:spacing w:val="-19"/>
          <w:sz w:val="16"/>
        </w:rPr>
        <w:t xml:space="preserve"> </w:t>
      </w:r>
      <w:r>
        <w:rPr>
          <w:sz w:val="16"/>
        </w:rPr>
        <w:t>vezes/dia.</w:t>
      </w:r>
    </w:p>
    <w:p w:rsidR="00A94DA2" w:rsidRDefault="00DC0F69">
      <w:pPr>
        <w:pStyle w:val="PargrafodaLista"/>
        <w:numPr>
          <w:ilvl w:val="0"/>
          <w:numId w:val="8"/>
        </w:numPr>
        <w:tabs>
          <w:tab w:val="left" w:pos="203"/>
        </w:tabs>
        <w:spacing w:before="1"/>
        <w:ind w:right="127" w:firstLine="0"/>
        <w:jc w:val="both"/>
        <w:rPr>
          <w:sz w:val="16"/>
        </w:rPr>
      </w:pPr>
      <w:r>
        <w:pict>
          <v:rect id="_x0000_s1029" style="position:absolute;left:0;text-align:left;margin-left:176.2pt;margin-top:4.65pt;width:2.4pt;height:.25pt;z-index:-251653632;mso-position-horizontal-relative:page" fillcolor="black" stroked="f">
            <w10:wrap anchorx="page"/>
          </v:rect>
        </w:pict>
      </w:r>
      <w:r>
        <w:rPr>
          <w:sz w:val="16"/>
        </w:rPr>
        <w:t>Sirolimo: recomenda-se dose de ataque no 1</w:t>
      </w:r>
      <w:r>
        <w:rPr>
          <w:sz w:val="16"/>
          <w:vertAlign w:val="superscript"/>
        </w:rPr>
        <w:t>o</w:t>
      </w:r>
      <w:r>
        <w:rPr>
          <w:sz w:val="16"/>
        </w:rPr>
        <w:t xml:space="preserve"> dia de 6 mg em dose única seguida de 2 a 5 mg/dia em uma única administração diária, para manter o nível sanguíneo em sangue total entre 5</w:t>
      </w:r>
      <w:r>
        <w:rPr>
          <w:sz w:val="16"/>
        </w:rPr>
        <w:t xml:space="preserve"> e 15 ng/ml, dependendo da imunossupressão associada e da situação clínica do paciente, com monitorização obrigatória dos níveis sanguíneos para ajuste da dose, conforme item 8</w:t>
      </w:r>
      <w:r>
        <w:rPr>
          <w:spacing w:val="-7"/>
          <w:sz w:val="16"/>
        </w:rPr>
        <w:t xml:space="preserve"> </w:t>
      </w:r>
      <w:r>
        <w:rPr>
          <w:sz w:val="16"/>
        </w:rPr>
        <w:t>Monitorização.</w:t>
      </w:r>
    </w:p>
    <w:p w:rsidR="00A94DA2" w:rsidRDefault="00DC0F69">
      <w:pPr>
        <w:pStyle w:val="PargrafodaLista"/>
        <w:numPr>
          <w:ilvl w:val="0"/>
          <w:numId w:val="8"/>
        </w:numPr>
        <w:tabs>
          <w:tab w:val="left" w:pos="203"/>
        </w:tabs>
        <w:ind w:right="117" w:firstLine="0"/>
        <w:rPr>
          <w:sz w:val="16"/>
        </w:rPr>
      </w:pPr>
      <w:r>
        <w:rPr>
          <w:sz w:val="16"/>
        </w:rPr>
        <w:t xml:space="preserve">Everolimo: recomenda-se dose inicial entre 0,75 a 1,5 mg 2 vezes/dia e dose de manutenção adequada para manter </w:t>
      </w:r>
      <w:r>
        <w:rPr>
          <w:i/>
          <w:sz w:val="16"/>
        </w:rPr>
        <w:t xml:space="preserve">trough level </w:t>
      </w:r>
      <w:r>
        <w:rPr>
          <w:sz w:val="16"/>
        </w:rPr>
        <w:t>entre 3 e 8 ng/ml. A dose máxima deve ser de</w:t>
      </w:r>
      <w:r>
        <w:rPr>
          <w:spacing w:val="-4"/>
          <w:sz w:val="16"/>
        </w:rPr>
        <w:t xml:space="preserve"> </w:t>
      </w:r>
      <w:r>
        <w:rPr>
          <w:sz w:val="16"/>
        </w:rPr>
        <w:t>5mg/dia.</w:t>
      </w:r>
    </w:p>
    <w:p w:rsidR="00A94DA2" w:rsidRDefault="00A94DA2">
      <w:pPr>
        <w:pStyle w:val="Corpodetexto"/>
        <w:spacing w:before="9"/>
        <w:ind w:left="0"/>
        <w:jc w:val="left"/>
        <w:rPr>
          <w:sz w:val="15"/>
        </w:rPr>
      </w:pPr>
    </w:p>
    <w:p w:rsidR="00A94DA2" w:rsidRDefault="00DC0F69">
      <w:pPr>
        <w:pStyle w:val="Corpodetexto"/>
      </w:pPr>
      <w:r>
        <w:rPr>
          <w:u w:val="single"/>
        </w:rPr>
        <w:t>Rejeição celular aguda</w:t>
      </w:r>
    </w:p>
    <w:p w:rsidR="00A94DA2" w:rsidRDefault="00DC0F69">
      <w:pPr>
        <w:pStyle w:val="PargrafodaLista"/>
        <w:numPr>
          <w:ilvl w:val="0"/>
          <w:numId w:val="8"/>
        </w:numPr>
        <w:tabs>
          <w:tab w:val="left" w:pos="200"/>
        </w:tabs>
        <w:spacing w:before="1"/>
        <w:ind w:firstLine="0"/>
        <w:jc w:val="both"/>
        <w:rPr>
          <w:sz w:val="16"/>
        </w:rPr>
      </w:pPr>
      <w:r>
        <w:rPr>
          <w:sz w:val="16"/>
        </w:rPr>
        <w:t>Metilprednisolona (rejeições 1A e 1B): 250 a 1.000 mg,</w:t>
      </w:r>
      <w:r>
        <w:rPr>
          <w:sz w:val="16"/>
        </w:rPr>
        <w:t xml:space="preserve"> por 3 a 5 dias, por via</w:t>
      </w:r>
      <w:r>
        <w:rPr>
          <w:spacing w:val="-25"/>
          <w:sz w:val="16"/>
        </w:rPr>
        <w:t xml:space="preserve"> </w:t>
      </w:r>
      <w:r>
        <w:rPr>
          <w:sz w:val="16"/>
        </w:rPr>
        <w:t>intravenosa.</w:t>
      </w:r>
    </w:p>
    <w:p w:rsidR="00A94DA2" w:rsidRDefault="00DC0F69">
      <w:pPr>
        <w:pStyle w:val="PargrafodaLista"/>
        <w:numPr>
          <w:ilvl w:val="0"/>
          <w:numId w:val="8"/>
        </w:numPr>
        <w:tabs>
          <w:tab w:val="left" w:pos="222"/>
        </w:tabs>
        <w:spacing w:before="1"/>
        <w:ind w:right="126" w:firstLine="0"/>
        <w:rPr>
          <w:sz w:val="16"/>
        </w:rPr>
      </w:pPr>
      <w:r>
        <w:rPr>
          <w:sz w:val="16"/>
        </w:rPr>
        <w:t>Imunoglobulina antitimócito: dose total 6 mg/kg em 5 a 7 dias, por via intravenosa, para rejeições resistentes a corticoesteroides ou acima de 1B da Classificação Internacional de</w:t>
      </w:r>
      <w:r>
        <w:rPr>
          <w:spacing w:val="-6"/>
          <w:sz w:val="16"/>
        </w:rPr>
        <w:t xml:space="preserve"> </w:t>
      </w:r>
      <w:r>
        <w:rPr>
          <w:sz w:val="16"/>
        </w:rPr>
        <w:t>Banff.</w:t>
      </w:r>
    </w:p>
    <w:p w:rsidR="00A94DA2" w:rsidRDefault="00DC0F69">
      <w:pPr>
        <w:pStyle w:val="PargrafodaLista"/>
        <w:numPr>
          <w:ilvl w:val="0"/>
          <w:numId w:val="8"/>
        </w:numPr>
        <w:tabs>
          <w:tab w:val="left" w:pos="200"/>
        </w:tabs>
        <w:spacing w:line="183" w:lineRule="exact"/>
        <w:ind w:firstLine="0"/>
        <w:jc w:val="both"/>
        <w:rPr>
          <w:sz w:val="16"/>
        </w:rPr>
      </w:pPr>
      <w:r>
        <w:rPr>
          <w:sz w:val="16"/>
        </w:rPr>
        <w:t>Muromonabe CD3: 2,5 a 5 mg/dia,</w:t>
      </w:r>
      <w:r>
        <w:rPr>
          <w:sz w:val="16"/>
        </w:rPr>
        <w:t xml:space="preserve"> por até 14 dias, por via</w:t>
      </w:r>
      <w:r>
        <w:rPr>
          <w:spacing w:val="-20"/>
          <w:sz w:val="16"/>
        </w:rPr>
        <w:t xml:space="preserve"> </w:t>
      </w:r>
      <w:r>
        <w:rPr>
          <w:sz w:val="16"/>
        </w:rPr>
        <w:t>intravenosa.</w:t>
      </w:r>
    </w:p>
    <w:p w:rsidR="00A94DA2" w:rsidRDefault="00A94DA2">
      <w:pPr>
        <w:pStyle w:val="Corpodetexto"/>
        <w:ind w:left="0"/>
        <w:jc w:val="left"/>
      </w:pPr>
    </w:p>
    <w:p w:rsidR="00A94DA2" w:rsidRDefault="00DC0F69">
      <w:pPr>
        <w:pStyle w:val="Corpodetexto"/>
        <w:jc w:val="left"/>
      </w:pPr>
      <w:r>
        <w:t>Quando o micofenolato de mofetila ou micofenolato de sódio, tacrolimo ou ciclosporina forem incluídos no esquema de imunossupressão nas situações mencionadas anteriormente, as doses utilizadas serão, em princípio, as</w:t>
      </w:r>
      <w:r>
        <w:t xml:space="preserve"> mesmas.</w:t>
      </w:r>
    </w:p>
    <w:p w:rsidR="00A94DA2" w:rsidRDefault="00A94DA2">
      <w:pPr>
        <w:pStyle w:val="Corpodetexto"/>
        <w:ind w:left="0"/>
        <w:jc w:val="left"/>
      </w:pPr>
    </w:p>
    <w:p w:rsidR="00A94DA2" w:rsidRDefault="00DC0F69">
      <w:pPr>
        <w:pStyle w:val="Corpodetexto"/>
        <w:ind w:right="8500"/>
        <w:jc w:val="left"/>
      </w:pPr>
      <w:r>
        <w:rPr>
          <w:u w:val="single"/>
        </w:rPr>
        <w:t>Rejeição aguda mediada por anticorpos</w:t>
      </w:r>
      <w:r>
        <w:t xml:space="preserve"> Os esquemas terapêuticos incluem:</w:t>
      </w:r>
    </w:p>
    <w:p w:rsidR="00A94DA2" w:rsidRDefault="00DC0F69">
      <w:pPr>
        <w:pStyle w:val="PargrafodaLista"/>
        <w:numPr>
          <w:ilvl w:val="0"/>
          <w:numId w:val="8"/>
        </w:numPr>
        <w:tabs>
          <w:tab w:val="left" w:pos="200"/>
        </w:tabs>
        <w:spacing w:before="1" w:line="183" w:lineRule="exact"/>
        <w:ind w:firstLine="0"/>
        <w:jc w:val="both"/>
        <w:rPr>
          <w:sz w:val="16"/>
        </w:rPr>
      </w:pPr>
      <w:r>
        <w:rPr>
          <w:sz w:val="16"/>
        </w:rPr>
        <w:t>adequação do esquema imunossupressor, substituindo ciclosporina por tacrolimo e azatioprina por</w:t>
      </w:r>
      <w:r>
        <w:rPr>
          <w:spacing w:val="-17"/>
          <w:sz w:val="16"/>
        </w:rPr>
        <w:t xml:space="preserve"> </w:t>
      </w:r>
      <w:r>
        <w:rPr>
          <w:sz w:val="16"/>
        </w:rPr>
        <w:t>micofenolato;</w:t>
      </w:r>
    </w:p>
    <w:p w:rsidR="00A94DA2" w:rsidRDefault="00DC0F69">
      <w:pPr>
        <w:pStyle w:val="PargrafodaLista"/>
        <w:numPr>
          <w:ilvl w:val="0"/>
          <w:numId w:val="8"/>
        </w:numPr>
        <w:tabs>
          <w:tab w:val="left" w:pos="203"/>
        </w:tabs>
        <w:ind w:right="119" w:firstLine="0"/>
        <w:rPr>
          <w:sz w:val="16"/>
        </w:rPr>
      </w:pPr>
      <w:r>
        <w:rPr>
          <w:sz w:val="16"/>
        </w:rPr>
        <w:t>remoção dos anticorpos anti-HLA por plasmaférese - inexiste na l</w:t>
      </w:r>
      <w:r>
        <w:rPr>
          <w:sz w:val="16"/>
        </w:rPr>
        <w:t xml:space="preserve">iteratura número definido de seções para se recomendar neste Protocolo. Por </w:t>
      </w:r>
      <w:r>
        <w:rPr>
          <w:spacing w:val="2"/>
          <w:sz w:val="16"/>
        </w:rPr>
        <w:t xml:space="preserve">tal </w:t>
      </w:r>
      <w:r>
        <w:rPr>
          <w:sz w:val="16"/>
        </w:rPr>
        <w:t>razão, sugere-se entre 4 e 10 sessões, de acordo com a evolução clínica e laboratorial do</w:t>
      </w:r>
      <w:r>
        <w:rPr>
          <w:spacing w:val="-14"/>
          <w:sz w:val="16"/>
        </w:rPr>
        <w:t xml:space="preserve"> </w:t>
      </w:r>
      <w:r>
        <w:rPr>
          <w:sz w:val="16"/>
        </w:rPr>
        <w:t>paciente;</w:t>
      </w:r>
    </w:p>
    <w:p w:rsidR="00A94DA2" w:rsidRDefault="00DC0F69">
      <w:pPr>
        <w:pStyle w:val="PargrafodaLista"/>
        <w:numPr>
          <w:ilvl w:val="0"/>
          <w:numId w:val="8"/>
        </w:numPr>
        <w:tabs>
          <w:tab w:val="left" w:pos="205"/>
        </w:tabs>
        <w:spacing w:before="1"/>
        <w:ind w:right="119" w:firstLine="0"/>
        <w:rPr>
          <w:sz w:val="16"/>
        </w:rPr>
      </w:pPr>
      <w:r>
        <w:rPr>
          <w:sz w:val="16"/>
        </w:rPr>
        <w:t>utilização de imunoglobulina humana intravenosa - também inexistem evidências suficientes para recomendar um esquema preferencial de administração; diante disso, aconselha-se</w:t>
      </w:r>
      <w:r>
        <w:rPr>
          <w:spacing w:val="-3"/>
          <w:sz w:val="16"/>
        </w:rPr>
        <w:t xml:space="preserve"> </w:t>
      </w:r>
      <w:r>
        <w:rPr>
          <w:sz w:val="16"/>
        </w:rPr>
        <w:t>o</w:t>
      </w:r>
      <w:r>
        <w:rPr>
          <w:spacing w:val="-1"/>
          <w:sz w:val="16"/>
        </w:rPr>
        <w:t xml:space="preserve"> </w:t>
      </w:r>
      <w:r>
        <w:rPr>
          <w:sz w:val="16"/>
        </w:rPr>
        <w:t>regime</w:t>
      </w:r>
      <w:r>
        <w:rPr>
          <w:spacing w:val="-3"/>
          <w:sz w:val="16"/>
        </w:rPr>
        <w:t xml:space="preserve"> </w:t>
      </w:r>
      <w:r>
        <w:rPr>
          <w:sz w:val="16"/>
        </w:rPr>
        <w:t>mais estudado,</w:t>
      </w:r>
      <w:r>
        <w:rPr>
          <w:spacing w:val="-2"/>
          <w:sz w:val="16"/>
        </w:rPr>
        <w:t xml:space="preserve"> </w:t>
      </w:r>
      <w:r>
        <w:rPr>
          <w:sz w:val="16"/>
        </w:rPr>
        <w:t>de</w:t>
      </w:r>
      <w:r>
        <w:rPr>
          <w:spacing w:val="-3"/>
          <w:sz w:val="16"/>
        </w:rPr>
        <w:t xml:space="preserve"> </w:t>
      </w:r>
      <w:r>
        <w:rPr>
          <w:sz w:val="16"/>
        </w:rPr>
        <w:t>2</w:t>
      </w:r>
      <w:r>
        <w:rPr>
          <w:spacing w:val="1"/>
          <w:sz w:val="16"/>
        </w:rPr>
        <w:t xml:space="preserve"> </w:t>
      </w:r>
      <w:r>
        <w:rPr>
          <w:sz w:val="16"/>
        </w:rPr>
        <w:t>g/kg</w:t>
      </w:r>
      <w:r>
        <w:rPr>
          <w:spacing w:val="-1"/>
          <w:sz w:val="16"/>
        </w:rPr>
        <w:t xml:space="preserve"> </w:t>
      </w:r>
      <w:r>
        <w:rPr>
          <w:sz w:val="16"/>
        </w:rPr>
        <w:t>(dose</w:t>
      </w:r>
      <w:r>
        <w:rPr>
          <w:spacing w:val="-3"/>
          <w:sz w:val="16"/>
        </w:rPr>
        <w:t xml:space="preserve"> </w:t>
      </w:r>
      <w:r>
        <w:rPr>
          <w:sz w:val="16"/>
        </w:rPr>
        <w:t>total)</w:t>
      </w:r>
      <w:r>
        <w:rPr>
          <w:spacing w:val="-1"/>
          <w:sz w:val="16"/>
        </w:rPr>
        <w:t xml:space="preserve"> </w:t>
      </w:r>
      <w:r>
        <w:rPr>
          <w:sz w:val="16"/>
        </w:rPr>
        <w:t>dividido</w:t>
      </w:r>
      <w:r>
        <w:rPr>
          <w:spacing w:val="-2"/>
          <w:sz w:val="16"/>
        </w:rPr>
        <w:t xml:space="preserve"> </w:t>
      </w:r>
      <w:r>
        <w:rPr>
          <w:sz w:val="16"/>
        </w:rPr>
        <w:t>em 2</w:t>
      </w:r>
      <w:r>
        <w:rPr>
          <w:spacing w:val="-1"/>
          <w:sz w:val="16"/>
        </w:rPr>
        <w:t xml:space="preserve"> </w:t>
      </w:r>
      <w:r>
        <w:rPr>
          <w:sz w:val="16"/>
        </w:rPr>
        <w:t>a</w:t>
      </w:r>
      <w:r>
        <w:rPr>
          <w:spacing w:val="-3"/>
          <w:sz w:val="16"/>
        </w:rPr>
        <w:t xml:space="preserve"> </w:t>
      </w:r>
      <w:r>
        <w:rPr>
          <w:sz w:val="16"/>
        </w:rPr>
        <w:t>5</w:t>
      </w:r>
      <w:r>
        <w:rPr>
          <w:spacing w:val="-1"/>
          <w:sz w:val="16"/>
        </w:rPr>
        <w:t xml:space="preserve"> </w:t>
      </w:r>
      <w:r>
        <w:rPr>
          <w:sz w:val="16"/>
        </w:rPr>
        <w:t>dias,</w:t>
      </w:r>
      <w:r>
        <w:rPr>
          <w:spacing w:val="-2"/>
          <w:sz w:val="16"/>
        </w:rPr>
        <w:t xml:space="preserve"> </w:t>
      </w:r>
      <w:r>
        <w:rPr>
          <w:sz w:val="16"/>
        </w:rPr>
        <w:t>iniciado</w:t>
      </w:r>
      <w:r>
        <w:rPr>
          <w:spacing w:val="-2"/>
          <w:sz w:val="16"/>
        </w:rPr>
        <w:t xml:space="preserve"> </w:t>
      </w:r>
      <w:r>
        <w:rPr>
          <w:sz w:val="16"/>
        </w:rPr>
        <w:t>após as</w:t>
      </w:r>
      <w:r>
        <w:rPr>
          <w:spacing w:val="-3"/>
          <w:sz w:val="16"/>
        </w:rPr>
        <w:t xml:space="preserve"> </w:t>
      </w:r>
      <w:r>
        <w:rPr>
          <w:sz w:val="16"/>
        </w:rPr>
        <w:t>sessões de</w:t>
      </w:r>
      <w:r>
        <w:rPr>
          <w:spacing w:val="-2"/>
          <w:sz w:val="16"/>
        </w:rPr>
        <w:t xml:space="preserve"> </w:t>
      </w:r>
      <w:r>
        <w:rPr>
          <w:sz w:val="16"/>
        </w:rPr>
        <w:t>plasmaférese;</w:t>
      </w:r>
    </w:p>
    <w:p w:rsidR="00A94DA2" w:rsidRDefault="00A94DA2">
      <w:pPr>
        <w:rPr>
          <w:sz w:val="16"/>
        </w:rPr>
        <w:sectPr w:rsidR="00A94DA2">
          <w:pgSz w:w="11910" w:h="16840"/>
          <w:pgMar w:top="460" w:right="300" w:bottom="280" w:left="460" w:header="720" w:footer="720" w:gutter="0"/>
          <w:cols w:space="720"/>
        </w:sectPr>
      </w:pPr>
    </w:p>
    <w:p w:rsidR="00A94DA2" w:rsidRDefault="00DC0F69">
      <w:pPr>
        <w:pStyle w:val="PargrafodaLista"/>
        <w:numPr>
          <w:ilvl w:val="0"/>
          <w:numId w:val="8"/>
        </w:numPr>
        <w:tabs>
          <w:tab w:val="left" w:pos="200"/>
        </w:tabs>
        <w:spacing w:before="82"/>
        <w:ind w:firstLine="0"/>
        <w:jc w:val="both"/>
        <w:rPr>
          <w:sz w:val="16"/>
        </w:rPr>
      </w:pPr>
      <w:r>
        <w:rPr>
          <w:sz w:val="16"/>
        </w:rPr>
        <w:lastRenderedPageBreak/>
        <w:t>imunoglobulina antitimócito ou muromonabe CD3 como na rejeição celular</w:t>
      </w:r>
      <w:r>
        <w:rPr>
          <w:spacing w:val="-12"/>
          <w:sz w:val="16"/>
        </w:rPr>
        <w:t xml:space="preserve"> </w:t>
      </w:r>
      <w:r>
        <w:rPr>
          <w:sz w:val="16"/>
        </w:rPr>
        <w:t>aguda.</w:t>
      </w:r>
    </w:p>
    <w:p w:rsidR="00A94DA2" w:rsidRDefault="00A94DA2">
      <w:pPr>
        <w:pStyle w:val="Corpodetexto"/>
        <w:spacing w:before="2"/>
        <w:ind w:left="0"/>
        <w:jc w:val="left"/>
      </w:pPr>
    </w:p>
    <w:p w:rsidR="00A94DA2" w:rsidRDefault="00DC0F69">
      <w:pPr>
        <w:pStyle w:val="Corpodetexto"/>
        <w:spacing w:line="183" w:lineRule="exact"/>
      </w:pPr>
      <w:r>
        <w:rPr>
          <w:u w:val="single"/>
        </w:rPr>
        <w:t>Nefropatia crônica do enxerto</w:t>
      </w:r>
    </w:p>
    <w:p w:rsidR="00A94DA2" w:rsidRDefault="00DC0F69">
      <w:pPr>
        <w:pStyle w:val="Corpodetexto"/>
        <w:ind w:right="119"/>
      </w:pPr>
      <w:r>
        <w:t>O tratamento pressupõe reforçar o esquema imunossupressor. Se o paciente estiver em uso de azatiopri</w:t>
      </w:r>
      <w:r>
        <w:t>na e ciclosporina, deve-se fazer a substituição por micofenolato e tacrolimo. Se já estiver em uso destes medicamentos, as doses devem ser aumentadas, assim como a dose de prednisona (de 5 para 10 mg/dia) (91).</w:t>
      </w:r>
    </w:p>
    <w:p w:rsidR="00A94DA2" w:rsidRDefault="00A94DA2">
      <w:pPr>
        <w:pStyle w:val="Corpodetexto"/>
        <w:spacing w:before="11"/>
        <w:ind w:left="0"/>
        <w:jc w:val="left"/>
        <w:rPr>
          <w:sz w:val="15"/>
        </w:rPr>
      </w:pPr>
    </w:p>
    <w:p w:rsidR="00A94DA2" w:rsidRDefault="00DC0F69">
      <w:pPr>
        <w:pStyle w:val="PargrafodaLista"/>
        <w:numPr>
          <w:ilvl w:val="1"/>
          <w:numId w:val="3"/>
        </w:numPr>
        <w:tabs>
          <w:tab w:val="left" w:pos="342"/>
        </w:tabs>
        <w:ind w:left="341" w:hanging="235"/>
        <w:jc w:val="both"/>
        <w:rPr>
          <w:sz w:val="13"/>
        </w:rPr>
      </w:pPr>
      <w:r>
        <w:rPr>
          <w:sz w:val="16"/>
        </w:rPr>
        <w:t>T</w:t>
      </w:r>
      <w:r>
        <w:rPr>
          <w:sz w:val="13"/>
        </w:rPr>
        <w:t xml:space="preserve">EMPO DE TRATAMENTO </w:t>
      </w:r>
      <w:r>
        <w:rPr>
          <w:sz w:val="16"/>
        </w:rPr>
        <w:t xml:space="preserve">– </w:t>
      </w:r>
      <w:r>
        <w:rPr>
          <w:sz w:val="13"/>
        </w:rPr>
        <w:t>CRITÉRIO DE</w:t>
      </w:r>
      <w:r>
        <w:rPr>
          <w:spacing w:val="-4"/>
          <w:sz w:val="13"/>
        </w:rPr>
        <w:t xml:space="preserve"> </w:t>
      </w:r>
      <w:r>
        <w:rPr>
          <w:sz w:val="13"/>
        </w:rPr>
        <w:t>INTERRUPÇÃ</w:t>
      </w:r>
      <w:r>
        <w:rPr>
          <w:sz w:val="13"/>
        </w:rPr>
        <w:t>O</w:t>
      </w:r>
    </w:p>
    <w:p w:rsidR="00A94DA2" w:rsidRDefault="00DC0F69">
      <w:pPr>
        <w:pStyle w:val="Corpodetexto"/>
        <w:spacing w:before="1"/>
        <w:ind w:right="120"/>
      </w:pPr>
      <w:r>
        <w:t>Inexiste tempo pré-definido para a duração do tratamento, devendo a imunossupressão ser mantida por toda a vida do transplantado. O funcionamento do enxerto deve ser monitorizado por meio de testes bioquímicos para avaliação da função renal.</w:t>
      </w:r>
    </w:p>
    <w:p w:rsidR="00A94DA2" w:rsidRDefault="00A94DA2">
      <w:pPr>
        <w:pStyle w:val="Corpodetexto"/>
        <w:ind w:left="0"/>
        <w:jc w:val="left"/>
      </w:pPr>
    </w:p>
    <w:p w:rsidR="00A94DA2" w:rsidRDefault="00DC0F69">
      <w:pPr>
        <w:pStyle w:val="PargrafodaLista"/>
        <w:numPr>
          <w:ilvl w:val="1"/>
          <w:numId w:val="3"/>
        </w:numPr>
        <w:tabs>
          <w:tab w:val="left" w:pos="340"/>
        </w:tabs>
        <w:ind w:left="339" w:hanging="233"/>
        <w:jc w:val="both"/>
        <w:rPr>
          <w:sz w:val="13"/>
        </w:rPr>
      </w:pPr>
      <w:r>
        <w:rPr>
          <w:sz w:val="16"/>
        </w:rPr>
        <w:t>C</w:t>
      </w:r>
      <w:r>
        <w:rPr>
          <w:sz w:val="13"/>
        </w:rPr>
        <w:t>ASOS</w:t>
      </w:r>
      <w:r>
        <w:rPr>
          <w:spacing w:val="-5"/>
          <w:sz w:val="13"/>
        </w:rPr>
        <w:t xml:space="preserve"> </w:t>
      </w:r>
      <w:r>
        <w:rPr>
          <w:sz w:val="13"/>
        </w:rPr>
        <w:t>ESPEC</w:t>
      </w:r>
      <w:r>
        <w:rPr>
          <w:sz w:val="13"/>
        </w:rPr>
        <w:t>IAIS</w:t>
      </w:r>
    </w:p>
    <w:p w:rsidR="00A94DA2" w:rsidRDefault="00DC0F69">
      <w:pPr>
        <w:pStyle w:val="Corpodetexto"/>
        <w:spacing w:before="1" w:line="183" w:lineRule="exact"/>
      </w:pPr>
      <w:r>
        <w:rPr>
          <w:u w:val="single"/>
        </w:rPr>
        <w:t>Imunossupressão no</w:t>
      </w:r>
      <w:r>
        <w:rPr>
          <w:spacing w:val="-10"/>
          <w:u w:val="single"/>
        </w:rPr>
        <w:t xml:space="preserve"> </w:t>
      </w:r>
      <w:r>
        <w:rPr>
          <w:u w:val="single"/>
        </w:rPr>
        <w:t>idoso</w:t>
      </w:r>
    </w:p>
    <w:p w:rsidR="00A94DA2" w:rsidRDefault="00DC0F69">
      <w:pPr>
        <w:pStyle w:val="Corpodetexto"/>
        <w:ind w:right="121"/>
      </w:pPr>
      <w:r>
        <w:t>Recomenda-se esquema imunossupressor inicial e de manutenção semelhante ao já mencionado, ou seja, esquema tríplice com prednisona, azatioprina e tacrolimo ou ciclosporina (92).</w:t>
      </w:r>
    </w:p>
    <w:p w:rsidR="00A94DA2" w:rsidRDefault="00DC0F69">
      <w:pPr>
        <w:pStyle w:val="Corpodetexto"/>
        <w:spacing w:line="183" w:lineRule="exact"/>
      </w:pPr>
      <w:r>
        <w:rPr>
          <w:u w:val="single"/>
        </w:rPr>
        <w:t>Imunossupressão em crianças e adolescentes</w:t>
      </w:r>
    </w:p>
    <w:p w:rsidR="00A94DA2" w:rsidRDefault="00DC0F69">
      <w:pPr>
        <w:pStyle w:val="Corpodetexto"/>
        <w:ind w:right="118"/>
      </w:pPr>
      <w:r>
        <w:t>A indução da imunossupressão deve ser feita com imunoglobulina antitimócito ou muromonabe CD3 e reservada para casos bem definidos, isto é, nos hipersensibilizados e retransplantados, ou para tratamento de rejeição aguda resistente a corticosteroides. Para</w:t>
      </w:r>
      <w:r>
        <w:t xml:space="preserve"> manutenção, recomenda-se o esquema tríplice já proposto, com prednisona, azatioprina e tacrolimo ou ciclosporina. A dose de corticosteroides varia entre 15 e 60 mg/m2 ou 0,5 e 2 mg/kg/dia, com diminuição progressiva.</w:t>
      </w:r>
    </w:p>
    <w:p w:rsidR="00A94DA2" w:rsidRDefault="00DC0F69">
      <w:pPr>
        <w:pStyle w:val="Corpodetexto"/>
        <w:ind w:right="126"/>
      </w:pPr>
      <w:r>
        <w:t>O tratamento das rejeições agudas deve</w:t>
      </w:r>
      <w:r>
        <w:t xml:space="preserve"> ser inicialmente tentado com metilprednisolona – 3 a 5 pulsos de 5 a 30 mg/kg, seguidos de aumento da prednisona e posterior redução aos níveis pré-rejeição. Se a rejeição for refratária, aconselha-se substituir ciclosporina por tacrolimo e usar ATG ou mu</w:t>
      </w:r>
      <w:r>
        <w:t>romonabe CD3 (93).</w:t>
      </w:r>
    </w:p>
    <w:p w:rsidR="00A94DA2" w:rsidRDefault="00DC0F69">
      <w:pPr>
        <w:pStyle w:val="Corpodetexto"/>
        <w:spacing w:line="183" w:lineRule="exact"/>
      </w:pPr>
      <w:r>
        <w:rPr>
          <w:u w:val="single"/>
        </w:rPr>
        <w:t>Imunossupressão em pacientes com câncer</w:t>
      </w:r>
    </w:p>
    <w:p w:rsidR="00A94DA2" w:rsidRDefault="00DC0F69">
      <w:pPr>
        <w:pStyle w:val="Corpodetexto"/>
        <w:spacing w:before="1"/>
        <w:ind w:right="122"/>
      </w:pPr>
      <w:r>
        <w:t>A incidência de câncer pós-transplante é certamente maior do que na população geral em razão do tratamento imunossupressor. Os tipos mais comuns e mais frequentes são câncer de pele, doenças linfop</w:t>
      </w:r>
      <w:r>
        <w:t>roliferativas e sarcoma de Kaposi. Há também maior incidência de câncer de células renais, vulvovaginais e do colo uterino, bexiga, faringe, laringe, cavidade bucal, olho, fígado (hepatocarcinoma) e outros sarcomas (94, 95).</w:t>
      </w:r>
    </w:p>
    <w:p w:rsidR="00A94DA2" w:rsidRDefault="00DC0F69">
      <w:pPr>
        <w:pStyle w:val="Corpodetexto"/>
        <w:ind w:right="119"/>
      </w:pPr>
      <w:r>
        <w:t>Deve-se considerar o risco da r</w:t>
      </w:r>
      <w:r>
        <w:t>ecorrência do tumor em pacientes com antecedentes de câncer. Nestas situações, o tempo de espera para transplante ou retransplante é variável e depende do tipo de tumor que acometeu o paciente. Para alguns casos, como melanoma, o risco de disseminação pós-</w:t>
      </w:r>
      <w:r>
        <w:t>transplante é grande e se aconselha aguardar tempo longo de “cura” para o transplante (96, 97). Por outro lado, há tumores que, se retirados, permitem transplante imediato sem maiores riscos de disseminação. Os casos precisam ser analisados individualmente</w:t>
      </w:r>
      <w:r>
        <w:t xml:space="preserve"> antes da decisão final, com clara exposição dos riscos da imunossupressão, sobretudo nestas situações.</w:t>
      </w:r>
    </w:p>
    <w:p w:rsidR="00A94DA2" w:rsidRDefault="00DC0F69">
      <w:pPr>
        <w:pStyle w:val="Corpodetexto"/>
        <w:spacing w:before="1"/>
        <w:ind w:right="117"/>
      </w:pPr>
      <w:r>
        <w:t xml:space="preserve">A redução da imunossupressão é a primeira medida que </w:t>
      </w:r>
      <w:r>
        <w:rPr>
          <w:spacing w:val="2"/>
        </w:rPr>
        <w:t xml:space="preserve">se </w:t>
      </w:r>
      <w:r>
        <w:t xml:space="preserve">deve tomar, geralmente se faz reduzindo a dose dos imunossupressores e não suspendendo-os, pois </w:t>
      </w:r>
      <w:r>
        <w:t>com ela se consegue regressão da maioria dos casos de linfoma, câncer de pele e sarcoma de Kaposi. Para os pacientes com câncer de pele, é aconselhável a suspensão da azatioprina, considerada o principal agente envolvido na gênese desses tumores, mantendo-</w:t>
      </w:r>
      <w:r>
        <w:t>se esquema duplo com ciclosporina ou tacrolimo e prednisona ou com associação de sirolimo ou everolimo</w:t>
      </w:r>
      <w:r>
        <w:rPr>
          <w:spacing w:val="-6"/>
        </w:rPr>
        <w:t xml:space="preserve"> </w:t>
      </w:r>
      <w:r>
        <w:t>(67).</w:t>
      </w:r>
    </w:p>
    <w:p w:rsidR="00A94DA2" w:rsidRDefault="00DC0F69">
      <w:pPr>
        <w:pStyle w:val="Corpodetexto"/>
        <w:ind w:right="122"/>
      </w:pPr>
      <w:r>
        <w:t>O uso do sirolimo ou everolimo pode ser alternativa imunossupressora para os portadores de câncer pós-transplante. Há relatos de regressão completa de sarcoma de Kaposi após a troca de ciclosporina por sirolimo, sem aparecimento de rejeição após a substitu</w:t>
      </w:r>
      <w:r>
        <w:t>ição (68, 69). O tópico é controverso, pois, ainda que, in vitro, sirolimo diminua a proliferação de linfócitos B (98), há estudos que mostram aumento significativo da incidência de doença linfoproliferativa em pacientes que fazem uso deste esquema imunoss</w:t>
      </w:r>
      <w:r>
        <w:t>upressor quando comparado com esquema imunossupressor sem sirolimo (99, 100).</w:t>
      </w:r>
    </w:p>
    <w:p w:rsidR="00A94DA2" w:rsidRDefault="00DC0F69">
      <w:pPr>
        <w:pStyle w:val="Corpodetexto"/>
      </w:pPr>
      <w:r>
        <w:rPr>
          <w:u w:val="single"/>
        </w:rPr>
        <w:t>Pacientes de baixo risco imunológico para transplante renal</w:t>
      </w:r>
    </w:p>
    <w:p w:rsidR="00A94DA2" w:rsidRDefault="00DC0F69">
      <w:pPr>
        <w:pStyle w:val="Corpodetexto"/>
        <w:ind w:right="120"/>
      </w:pPr>
      <w:r>
        <w:t>Os doentes de insuficiência renal crônica, com depuração de creatinina igual ou inferior a 15 ml/min, têm indicação pa</w:t>
      </w:r>
      <w:r>
        <w:t>ra início do tratamento dialítico e já poderão ser inscritos para transplante renal com doador falecido.</w:t>
      </w:r>
    </w:p>
    <w:p w:rsidR="00A94DA2" w:rsidRDefault="00DC0F69">
      <w:pPr>
        <w:pStyle w:val="Corpodetexto"/>
        <w:ind w:right="121"/>
      </w:pPr>
      <w:r>
        <w:t>Entretanto, para os receptores que têm doador vivo, o transplante pode ser preventivo ou preemptive, isto é, sem diálise prévia e sem necessidade de se</w:t>
      </w:r>
      <w:r>
        <w:t xml:space="preserve"> confeccionar fístula arteriovenosa. A realização do transplante pré-dialítico deve observar o seguinte protocolo:</w:t>
      </w:r>
    </w:p>
    <w:p w:rsidR="00A94DA2" w:rsidRDefault="00DC0F69">
      <w:pPr>
        <w:pStyle w:val="Corpodetexto"/>
        <w:ind w:right="6136"/>
        <w:jc w:val="left"/>
      </w:pPr>
      <w:r>
        <w:t>1 - Avaliação clínica e laboratorial completa de doadores ABO compatíveis; 2 - Avaliação clínica e laboratorial completa do receptor;</w:t>
      </w:r>
    </w:p>
    <w:p w:rsidR="00A94DA2" w:rsidRDefault="00DC0F69">
      <w:pPr>
        <w:pStyle w:val="PargrafodaLista"/>
        <w:numPr>
          <w:ilvl w:val="0"/>
          <w:numId w:val="2"/>
        </w:numPr>
        <w:tabs>
          <w:tab w:val="left" w:pos="239"/>
        </w:tabs>
        <w:spacing w:before="1"/>
        <w:ind w:right="122" w:firstLine="0"/>
        <w:jc w:val="both"/>
        <w:rPr>
          <w:sz w:val="16"/>
        </w:rPr>
      </w:pPr>
      <w:r>
        <w:rPr>
          <w:sz w:val="16"/>
        </w:rPr>
        <w:t xml:space="preserve">- </w:t>
      </w:r>
      <w:r>
        <w:rPr>
          <w:spacing w:val="-5"/>
          <w:sz w:val="16"/>
        </w:rPr>
        <w:t>Avali</w:t>
      </w:r>
      <w:r>
        <w:rPr>
          <w:spacing w:val="-5"/>
          <w:sz w:val="16"/>
        </w:rPr>
        <w:t xml:space="preserve">ação imunológica </w:t>
      </w:r>
      <w:r>
        <w:rPr>
          <w:sz w:val="16"/>
        </w:rPr>
        <w:t xml:space="preserve">de </w:t>
      </w:r>
      <w:r>
        <w:rPr>
          <w:spacing w:val="-4"/>
          <w:sz w:val="16"/>
        </w:rPr>
        <w:t xml:space="preserve">doador </w:t>
      </w:r>
      <w:r>
        <w:rPr>
          <w:sz w:val="16"/>
        </w:rPr>
        <w:t xml:space="preserve">e </w:t>
      </w:r>
      <w:r>
        <w:rPr>
          <w:spacing w:val="-5"/>
          <w:sz w:val="16"/>
        </w:rPr>
        <w:t xml:space="preserve">receptor: </w:t>
      </w:r>
      <w:r>
        <w:rPr>
          <w:spacing w:val="-4"/>
          <w:sz w:val="16"/>
        </w:rPr>
        <w:t xml:space="preserve">prova </w:t>
      </w:r>
      <w:r>
        <w:rPr>
          <w:spacing w:val="-5"/>
          <w:sz w:val="16"/>
        </w:rPr>
        <w:t xml:space="preserve">cruzada </w:t>
      </w:r>
      <w:r>
        <w:rPr>
          <w:spacing w:val="-4"/>
          <w:sz w:val="16"/>
        </w:rPr>
        <w:t xml:space="preserve">por </w:t>
      </w:r>
      <w:r>
        <w:rPr>
          <w:spacing w:val="-5"/>
          <w:sz w:val="16"/>
        </w:rPr>
        <w:t xml:space="preserve">citotoxicidade dependente </w:t>
      </w:r>
      <w:r>
        <w:rPr>
          <w:sz w:val="16"/>
        </w:rPr>
        <w:t>de complemento (CDC) em pacientes sem risco conhecido de sensibilização e tipagem HLA</w:t>
      </w:r>
      <w:r>
        <w:rPr>
          <w:spacing w:val="-4"/>
          <w:sz w:val="16"/>
        </w:rPr>
        <w:t xml:space="preserve"> </w:t>
      </w:r>
      <w:r>
        <w:rPr>
          <w:sz w:val="16"/>
        </w:rPr>
        <w:t>tradicional;</w:t>
      </w:r>
    </w:p>
    <w:p w:rsidR="00A94DA2" w:rsidRDefault="00DC0F69">
      <w:pPr>
        <w:pStyle w:val="PargrafodaLista"/>
        <w:numPr>
          <w:ilvl w:val="0"/>
          <w:numId w:val="2"/>
        </w:numPr>
        <w:tabs>
          <w:tab w:val="left" w:pos="268"/>
        </w:tabs>
        <w:ind w:right="121" w:firstLine="0"/>
        <w:jc w:val="both"/>
        <w:rPr>
          <w:sz w:val="16"/>
        </w:rPr>
      </w:pPr>
      <w:r>
        <w:rPr>
          <w:sz w:val="16"/>
        </w:rPr>
        <w:t xml:space="preserve">- Transplante renal com doador vivo, consanguíneo ou não, de acordo com a </w:t>
      </w:r>
      <w:r>
        <w:rPr>
          <w:sz w:val="16"/>
        </w:rPr>
        <w:t>legislação em vigor, com cross-match negativo e se a tipagem HLA mostrar compatibilidade HLA idêntica ou haploidêntica;</w:t>
      </w:r>
      <w:r>
        <w:rPr>
          <w:spacing w:val="-5"/>
          <w:sz w:val="16"/>
        </w:rPr>
        <w:t xml:space="preserve"> </w:t>
      </w:r>
      <w:r>
        <w:rPr>
          <w:sz w:val="16"/>
        </w:rPr>
        <w:t>e</w:t>
      </w:r>
    </w:p>
    <w:p w:rsidR="00A94DA2" w:rsidRDefault="00DC0F69">
      <w:pPr>
        <w:pStyle w:val="PargrafodaLista"/>
        <w:numPr>
          <w:ilvl w:val="0"/>
          <w:numId w:val="2"/>
        </w:numPr>
        <w:tabs>
          <w:tab w:val="left" w:pos="246"/>
        </w:tabs>
        <w:ind w:right="124" w:firstLine="0"/>
        <w:jc w:val="both"/>
        <w:rPr>
          <w:sz w:val="16"/>
        </w:rPr>
      </w:pPr>
      <w:r>
        <w:rPr>
          <w:sz w:val="16"/>
        </w:rPr>
        <w:t xml:space="preserve">- </w:t>
      </w:r>
      <w:r>
        <w:rPr>
          <w:spacing w:val="-5"/>
          <w:sz w:val="16"/>
        </w:rPr>
        <w:t xml:space="preserve">Imunossupressão </w:t>
      </w:r>
      <w:r>
        <w:rPr>
          <w:spacing w:val="-3"/>
          <w:sz w:val="16"/>
        </w:rPr>
        <w:t xml:space="preserve">que </w:t>
      </w:r>
      <w:r>
        <w:rPr>
          <w:spacing w:val="-4"/>
          <w:sz w:val="16"/>
        </w:rPr>
        <w:t xml:space="preserve">inclua </w:t>
      </w:r>
      <w:r>
        <w:rPr>
          <w:spacing w:val="-5"/>
          <w:sz w:val="16"/>
        </w:rPr>
        <w:t xml:space="preserve">azatioprina, prednisona </w:t>
      </w:r>
      <w:r>
        <w:rPr>
          <w:sz w:val="16"/>
        </w:rPr>
        <w:t xml:space="preserve">e </w:t>
      </w:r>
      <w:r>
        <w:rPr>
          <w:spacing w:val="-4"/>
          <w:sz w:val="16"/>
        </w:rPr>
        <w:t xml:space="preserve">inibidor </w:t>
      </w:r>
      <w:r>
        <w:rPr>
          <w:sz w:val="16"/>
        </w:rPr>
        <w:t xml:space="preserve">da </w:t>
      </w:r>
      <w:r>
        <w:rPr>
          <w:spacing w:val="-5"/>
          <w:sz w:val="16"/>
        </w:rPr>
        <w:t xml:space="preserve">calcineurina </w:t>
      </w:r>
      <w:r>
        <w:rPr>
          <w:sz w:val="16"/>
        </w:rPr>
        <w:t xml:space="preserve">– </w:t>
      </w:r>
      <w:r>
        <w:rPr>
          <w:spacing w:val="-5"/>
          <w:sz w:val="16"/>
        </w:rPr>
        <w:t xml:space="preserve">tacrolimo </w:t>
      </w:r>
      <w:r>
        <w:rPr>
          <w:sz w:val="16"/>
        </w:rPr>
        <w:t>ou ciclosporina, acrescentando indução com imunoglobulina antitimócito (6 mg/kg) com doador distinto, devendo a primeira dose ser obrigatoriamente administrada no</w:t>
      </w:r>
      <w:r>
        <w:rPr>
          <w:spacing w:val="-25"/>
          <w:sz w:val="16"/>
        </w:rPr>
        <w:t xml:space="preserve"> </w:t>
      </w:r>
      <w:r>
        <w:rPr>
          <w:sz w:val="16"/>
        </w:rPr>
        <w:t>intraoperatório.</w:t>
      </w:r>
    </w:p>
    <w:p w:rsidR="00A94DA2" w:rsidRDefault="00DC0F69">
      <w:pPr>
        <w:pStyle w:val="Corpodetexto"/>
        <w:ind w:right="118"/>
      </w:pPr>
      <w:r>
        <w:t>Caso o paciente não tenha doador, deverá ser providenciada fístula arteriove</w:t>
      </w:r>
      <w:r>
        <w:t>nosa ou cateter para diálise peritoneal. Iniciada a diálise, ele poderá ser transplantado com doador vivo, exatamente como foi descrito para o transplante pré-dialítico. Caso seja candidato a transplante com órgão de doador falecido, deverá ser feita a mes</w:t>
      </w:r>
      <w:r>
        <w:t>ma avaliação imunológica descrita para transplante com doador vivo, indicando-se sistematicamente a indução imunossupressora com ATG, retardo do início do inibidor da calcineurina, além de prednisona e azatioprina.</w:t>
      </w:r>
    </w:p>
    <w:p w:rsidR="00A94DA2" w:rsidRDefault="00DC0F69">
      <w:pPr>
        <w:pStyle w:val="Corpodetexto"/>
        <w:spacing w:line="182" w:lineRule="exact"/>
      </w:pPr>
      <w:r>
        <w:rPr>
          <w:u w:val="single"/>
        </w:rPr>
        <w:t xml:space="preserve">Pacientes de alto risco imunológico para </w:t>
      </w:r>
      <w:r>
        <w:rPr>
          <w:u w:val="single"/>
        </w:rPr>
        <w:t>transplante renal</w:t>
      </w:r>
    </w:p>
    <w:p w:rsidR="00A94DA2" w:rsidRDefault="00DC0F69">
      <w:pPr>
        <w:pStyle w:val="Corpodetexto"/>
        <w:spacing w:before="1"/>
        <w:ind w:right="124"/>
      </w:pPr>
      <w:r>
        <w:t xml:space="preserve">O percentual de pacientes sensibilizados contra antígenos HLA em lista de espera é da ordem de 20% a 30% e de 15% de hipersensibilizados (painel acima de 80%), o que evidencia a importância da realização do painel e toda a atenção a este </w:t>
      </w:r>
      <w:r>
        <w:t>grupo de pacientes (101,</w:t>
      </w:r>
      <w:r>
        <w:rPr>
          <w:spacing w:val="-28"/>
        </w:rPr>
        <w:t xml:space="preserve"> </w:t>
      </w:r>
      <w:r>
        <w:t>102).</w:t>
      </w:r>
    </w:p>
    <w:p w:rsidR="00A94DA2" w:rsidRDefault="00DC0F69">
      <w:pPr>
        <w:pStyle w:val="Corpodetexto"/>
        <w:ind w:right="117"/>
      </w:pPr>
      <w:r>
        <w:t>Para os pacientes sem fatores de risco de sensibilização, pode-se dispensar a realização do painel, lembrando que há sempre o risco de o paciente ter sido transfundido, sem conhecimento, e se sensibilizar com a transfusão. Em</w:t>
      </w:r>
      <w:r>
        <w:t xml:space="preserve"> caso de dúvida, sugere-se seguir os procedimentos de avaliação de pacientes de risco. Na avaliação pré- transplante renal de pacientes com maior risco imunológico, é necessária a pesquisa de anticorpos anti-HLA do isotipo IgG dirigidos contra antígenos HL</w:t>
      </w:r>
      <w:r>
        <w:t>A do doador.</w:t>
      </w:r>
    </w:p>
    <w:p w:rsidR="00A94DA2" w:rsidRDefault="00DC0F69">
      <w:pPr>
        <w:pStyle w:val="Corpodetexto"/>
        <w:ind w:right="118"/>
      </w:pPr>
      <w:r>
        <w:t>Entre os fatores indutores de maior risco imunológico, incluem-se transplante prévio, gestações ou abortamentos e transfusões de hemocomponentes. Estes pacientes necessitam ser adequadamente avaliados pelos testes mais sensíveis, como será vis</w:t>
      </w:r>
      <w:r>
        <w:t>to a seguir. De modo mais enfático, nos pacientes com transplantes prévios, nos casos de doador esposo para esposa ou de filhos para a mãe, a pesquisa de anticorpos anti-HLA é mandatória.</w:t>
      </w:r>
    </w:p>
    <w:p w:rsidR="00A94DA2" w:rsidRDefault="00DC0F69">
      <w:pPr>
        <w:pStyle w:val="Corpodetexto"/>
        <w:ind w:right="119"/>
      </w:pPr>
      <w:r>
        <w:t>Há várias técnicas para estudo imunológico, como será descrito adian</w:t>
      </w:r>
      <w:r>
        <w:t>te (102-105).O teste de reatividade contra painel deve ser realizado por ensaio de fase sólida preferencialmente por testes de antígenos HLA aderidos a microesferas ou por ELISA. Os anticorpos avaliados devem ser de classe I e de classe II do isotipo IgG.</w:t>
      </w:r>
    </w:p>
    <w:p w:rsidR="00A94DA2" w:rsidRDefault="00DC0F69">
      <w:pPr>
        <w:pStyle w:val="Corpodetexto"/>
        <w:spacing w:before="1"/>
        <w:ind w:right="120"/>
      </w:pPr>
      <w:r>
        <w:t xml:space="preserve">A prova cruzada com o doador deve ser no mínimo por citotoxicidade dependente de complemento (CDC) com antiglobulina humana (AGH) para linfócitos T e também prova cruzada contra linfócitos B, ambos com soros tratados e não tratados com ditiotreitol (DTT), </w:t>
      </w:r>
      <w:r>
        <w:t>que cliva as pontes de dissulfeto da molécula IgM, restando apenas anticorpos do isotipo IgG. Esta prova cruzada, sempre que possível, deve ser confirmada por outra mais sensível, como é o caso da prova cruzada por citometria de fluxo, que usa os linfócito</w:t>
      </w:r>
      <w:r>
        <w:t>s totais do doador.</w:t>
      </w:r>
    </w:p>
    <w:p w:rsidR="00A94DA2" w:rsidRDefault="00DC0F69">
      <w:pPr>
        <w:pStyle w:val="Corpodetexto"/>
        <w:ind w:right="122"/>
      </w:pPr>
      <w:r>
        <w:t>Também sempre que possível, deve-se, ao se fazer a prova cruzada ou painel de anticorpos anti-HLA (PRA, panel reactive antibody), incluir na análise o soro histórico com maior PRA, por ser o soro mais rico em anticorpos. Nele podem esta</w:t>
      </w:r>
      <w:r>
        <w:t>r contidos os anticorpos doador-específicos.</w:t>
      </w:r>
    </w:p>
    <w:p w:rsidR="00A94DA2" w:rsidRDefault="00DC0F69">
      <w:pPr>
        <w:pStyle w:val="Corpodetexto"/>
        <w:ind w:right="121"/>
      </w:pPr>
      <w:r>
        <w:t>Para pacientes sensibilizados, que aguardam longo tempo na lista de espera para transplante e que têm menor chance para receber um órgão de doador compatível, a definição do anticorpo anti-HLA presente no soro é</w:t>
      </w:r>
      <w:r>
        <w:t xml:space="preserve"> de fundamental importância, pois identificam-se os antígenos inaceitáveis. Assim é possível transplantar este grupo  de pacientes com maior frequência e menor risco do que atualmente é</w:t>
      </w:r>
      <w:r>
        <w:rPr>
          <w:spacing w:val="-19"/>
        </w:rPr>
        <w:t xml:space="preserve"> </w:t>
      </w:r>
      <w:r>
        <w:t>feito.</w:t>
      </w:r>
    </w:p>
    <w:p w:rsidR="00A94DA2" w:rsidRDefault="00DC0F69">
      <w:pPr>
        <w:pStyle w:val="Corpodetexto"/>
        <w:spacing w:before="7" w:line="360" w:lineRule="atLeast"/>
        <w:ind w:right="7296"/>
        <w:jc w:val="left"/>
      </w:pPr>
      <w:r>
        <w:t xml:space="preserve">De acordo com o disposto, sugere-se a seguinte avaliação: </w:t>
      </w:r>
      <w:r>
        <w:rPr>
          <w:u w:val="single"/>
        </w:rPr>
        <w:t>1 -Tr</w:t>
      </w:r>
      <w:r>
        <w:rPr>
          <w:u w:val="single"/>
        </w:rPr>
        <w:t>ansplante de doador vivo</w:t>
      </w:r>
    </w:p>
    <w:p w:rsidR="00A94DA2" w:rsidRDefault="00DC0F69">
      <w:pPr>
        <w:pStyle w:val="Corpodetexto"/>
        <w:spacing w:before="8"/>
        <w:ind w:right="119"/>
      </w:pPr>
      <w:r>
        <w:t>Determinar o PRA do receptor, tentando identificar os anticorpos presentes no soro. Uma vez definido(s) o(s) anticorpo(s) do receptor, devem-se excluir doadores com antígenos contra os quais o receptor tem anticorpos (excluir os “a</w:t>
      </w:r>
      <w:r>
        <w:t xml:space="preserve">ntígenos inaceitáveis”). Realizar prova cruzada por CDC e </w:t>
      </w:r>
      <w:r>
        <w:rPr>
          <w:spacing w:val="2"/>
        </w:rPr>
        <w:t xml:space="preserve">por </w:t>
      </w:r>
      <w:r>
        <w:t>citometria de fluxo, utilizando linfócitos T e B do</w:t>
      </w:r>
      <w:r>
        <w:rPr>
          <w:spacing w:val="-6"/>
        </w:rPr>
        <w:t xml:space="preserve"> </w:t>
      </w:r>
      <w:r>
        <w:t>doador.</w:t>
      </w:r>
    </w:p>
    <w:p w:rsidR="00A94DA2" w:rsidRDefault="00DC0F69">
      <w:pPr>
        <w:pStyle w:val="Corpodetexto"/>
        <w:ind w:right="120"/>
      </w:pPr>
      <w:r>
        <w:t>Se as provas cruzadas por CDC e citometria de fluxo forem negativas, o transplante poderá ser realizado, e a imunossupressão deverá co</w:t>
      </w:r>
      <w:r>
        <w:t>nstar de prednisona, azatioprina e inibidor da calcineurina. A indução com imunoglobulina antitimócito estará indicada para os retransplantes ou para os transplantes com doador HLA distinto.</w:t>
      </w:r>
    </w:p>
    <w:p w:rsidR="00A94DA2" w:rsidRDefault="00DC0F69">
      <w:pPr>
        <w:pStyle w:val="Corpodetexto"/>
        <w:ind w:right="118"/>
      </w:pPr>
      <w:r>
        <w:t>Se a prova cruzada por CDC for negativa e a por citometria de flu</w:t>
      </w:r>
      <w:r>
        <w:t>xo for positiva, deve-se definir a especificidade dos anticorpos envolvidos, isto é, se de classe I ou de classe II, por técnicas específicas. Nestas circunstâncias, cada caso deve ser individualmente avaliado para considerar a contraindicação ou a institu</w:t>
      </w:r>
      <w:r>
        <w:t>ição de terapias para dessensibilização anti-HLA, a saber, IGH e plasmaférese, em âmbito hospitalar.</w:t>
      </w:r>
    </w:p>
    <w:p w:rsidR="00A94DA2" w:rsidRDefault="00A94DA2">
      <w:pPr>
        <w:sectPr w:rsidR="00A94DA2">
          <w:pgSz w:w="11910" w:h="16840"/>
          <w:pgMar w:top="460" w:right="300" w:bottom="280" w:left="460" w:header="720" w:footer="720" w:gutter="0"/>
          <w:cols w:space="720"/>
        </w:sectPr>
      </w:pPr>
    </w:p>
    <w:p w:rsidR="00A94DA2" w:rsidRDefault="00DC0F69">
      <w:pPr>
        <w:pStyle w:val="Corpodetexto"/>
        <w:spacing w:before="82"/>
      </w:pPr>
      <w:r>
        <w:rPr>
          <w:u w:val="single"/>
        </w:rPr>
        <w:lastRenderedPageBreak/>
        <w:t>2 - Transplante de doador falecido</w:t>
      </w:r>
    </w:p>
    <w:p w:rsidR="00A94DA2" w:rsidRDefault="00DC0F69">
      <w:pPr>
        <w:pStyle w:val="Corpodetexto"/>
        <w:spacing w:before="1"/>
        <w:ind w:right="122"/>
      </w:pPr>
      <w:r>
        <w:t xml:space="preserve">Determinar o PRA do receptor, tentando identificar os anticorpos presentes no soro. Uma vez definido(s) o(s) anticorpo(s) do receptor, devem-se excluir doadores com antígenos contra os quais o receptor tem anticorpos (excluir os “antígenos inaceitáveis”). </w:t>
      </w:r>
      <w:r>
        <w:t>No pré-transplante, deve-se fazer a prova cruzada por CDC com AGH para linfócitos T e CDC para linfócitos B.</w:t>
      </w:r>
    </w:p>
    <w:p w:rsidR="00A94DA2" w:rsidRDefault="00DC0F69">
      <w:pPr>
        <w:pStyle w:val="Corpodetexto"/>
        <w:ind w:right="117"/>
      </w:pPr>
      <w:r>
        <w:t>Se a prova cruzada por CDC for negativa, o paciente será transplantado. No pós-transplante imediato (primeiras 24 horas), como o receptor é de alto</w:t>
      </w:r>
      <w:r>
        <w:t xml:space="preserve"> risco imunológico para rejeição e perda do enxerto, deve-se repetir a prova cruzada por citometria de fluxo com o soro do dia do transplante, colhido imediatamente antes do procedimento cirúrgico, e também com o soro histórico, preferencialmente o com mai</w:t>
      </w:r>
      <w:r>
        <w:t>or PRA. Caso o resultado seja negativo, deve-se proceder ao seguimento clínico e medicamentoso planejado para o caso.</w:t>
      </w:r>
    </w:p>
    <w:p w:rsidR="00A94DA2" w:rsidRDefault="00DC0F69">
      <w:pPr>
        <w:pStyle w:val="Corpodetexto"/>
        <w:spacing w:before="1"/>
        <w:ind w:right="122"/>
      </w:pPr>
      <w:r>
        <w:t xml:space="preserve">Entretanto, se a prova cruzada for positiva, seja com o soro atual ou com o soro histórico, a imunossupressão deve ser intensificada, e é </w:t>
      </w:r>
      <w:r>
        <w:t>aconselhável iniciar IGH e plasmaférese. Atenção especial deve ser dada à função renal, pois, diante de qualquer alteração, deve-se realizar biópsia do enxerto renal obrigatoriamente marcada com C4d e de nova prova cruzada para o pronto diagnóstico e trata</w:t>
      </w:r>
      <w:r>
        <w:t>mento de rejeição mediada por anticorpos.</w:t>
      </w:r>
    </w:p>
    <w:p w:rsidR="00A94DA2" w:rsidRDefault="00A94DA2">
      <w:pPr>
        <w:pStyle w:val="Corpodetexto"/>
        <w:spacing w:before="10"/>
        <w:ind w:left="0"/>
        <w:jc w:val="left"/>
        <w:rPr>
          <w:sz w:val="15"/>
        </w:rPr>
      </w:pPr>
    </w:p>
    <w:p w:rsidR="00A94DA2" w:rsidRDefault="00DC0F69">
      <w:pPr>
        <w:pStyle w:val="PargrafodaLista"/>
        <w:numPr>
          <w:ilvl w:val="1"/>
          <w:numId w:val="3"/>
        </w:numPr>
        <w:tabs>
          <w:tab w:val="left" w:pos="340"/>
        </w:tabs>
        <w:ind w:left="339" w:hanging="233"/>
        <w:jc w:val="both"/>
        <w:rPr>
          <w:sz w:val="13"/>
        </w:rPr>
      </w:pPr>
      <w:r>
        <w:rPr>
          <w:sz w:val="16"/>
        </w:rPr>
        <w:t>B</w:t>
      </w:r>
      <w:r>
        <w:rPr>
          <w:sz w:val="13"/>
        </w:rPr>
        <w:t>ENEFÍCIOS</w:t>
      </w:r>
      <w:r>
        <w:rPr>
          <w:spacing w:val="-2"/>
          <w:sz w:val="13"/>
        </w:rPr>
        <w:t xml:space="preserve"> </w:t>
      </w:r>
      <w:r>
        <w:rPr>
          <w:sz w:val="13"/>
        </w:rPr>
        <w:t>ESPERADOS</w:t>
      </w:r>
    </w:p>
    <w:p w:rsidR="00A94DA2" w:rsidRDefault="00DC0F69">
      <w:pPr>
        <w:pStyle w:val="PargrafodaLista"/>
        <w:numPr>
          <w:ilvl w:val="0"/>
          <w:numId w:val="8"/>
        </w:numPr>
        <w:tabs>
          <w:tab w:val="left" w:pos="200"/>
        </w:tabs>
        <w:spacing w:before="1" w:line="183" w:lineRule="exact"/>
        <w:ind w:firstLine="0"/>
        <w:jc w:val="both"/>
        <w:rPr>
          <w:sz w:val="16"/>
        </w:rPr>
      </w:pPr>
      <w:r>
        <w:rPr>
          <w:sz w:val="16"/>
        </w:rPr>
        <w:t>Redução das taxas de rejeição aguda e</w:t>
      </w:r>
      <w:r>
        <w:rPr>
          <w:spacing w:val="-15"/>
          <w:sz w:val="16"/>
        </w:rPr>
        <w:t xml:space="preserve"> </w:t>
      </w:r>
      <w:r>
        <w:rPr>
          <w:sz w:val="16"/>
        </w:rPr>
        <w:t>crônica.</w:t>
      </w:r>
    </w:p>
    <w:p w:rsidR="00A94DA2" w:rsidRDefault="00DC0F69">
      <w:pPr>
        <w:pStyle w:val="PargrafodaLista"/>
        <w:numPr>
          <w:ilvl w:val="0"/>
          <w:numId w:val="8"/>
        </w:numPr>
        <w:tabs>
          <w:tab w:val="left" w:pos="200"/>
        </w:tabs>
        <w:spacing w:line="183" w:lineRule="exact"/>
        <w:ind w:firstLine="0"/>
        <w:jc w:val="both"/>
        <w:rPr>
          <w:sz w:val="16"/>
        </w:rPr>
      </w:pPr>
      <w:r>
        <w:rPr>
          <w:sz w:val="16"/>
        </w:rPr>
        <w:t>Aumento da sobrevida do enxerto (sem necessidade de</w:t>
      </w:r>
      <w:r>
        <w:rPr>
          <w:spacing w:val="-14"/>
          <w:sz w:val="16"/>
        </w:rPr>
        <w:t xml:space="preserve"> </w:t>
      </w:r>
      <w:r>
        <w:rPr>
          <w:sz w:val="16"/>
        </w:rPr>
        <w:t>diálise).</w:t>
      </w:r>
    </w:p>
    <w:p w:rsidR="00A94DA2" w:rsidRDefault="00DC0F69">
      <w:pPr>
        <w:pStyle w:val="PargrafodaLista"/>
        <w:numPr>
          <w:ilvl w:val="0"/>
          <w:numId w:val="8"/>
        </w:numPr>
        <w:tabs>
          <w:tab w:val="left" w:pos="200"/>
        </w:tabs>
        <w:spacing w:before="1"/>
        <w:ind w:firstLine="0"/>
        <w:jc w:val="both"/>
        <w:rPr>
          <w:sz w:val="16"/>
        </w:rPr>
      </w:pPr>
      <w:r>
        <w:rPr>
          <w:sz w:val="16"/>
        </w:rPr>
        <w:t>Aumento da sobrevida do</w:t>
      </w:r>
      <w:r>
        <w:rPr>
          <w:spacing w:val="-5"/>
          <w:sz w:val="16"/>
        </w:rPr>
        <w:t xml:space="preserve"> </w:t>
      </w:r>
      <w:r>
        <w:rPr>
          <w:sz w:val="16"/>
        </w:rPr>
        <w:t>paciente.</w:t>
      </w:r>
    </w:p>
    <w:p w:rsidR="00A94DA2" w:rsidRDefault="00A94DA2">
      <w:pPr>
        <w:pStyle w:val="Corpodetexto"/>
        <w:spacing w:before="11"/>
        <w:ind w:left="0"/>
        <w:jc w:val="left"/>
        <w:rPr>
          <w:sz w:val="15"/>
        </w:rPr>
      </w:pPr>
    </w:p>
    <w:p w:rsidR="00A94DA2" w:rsidRDefault="00DC0F69">
      <w:pPr>
        <w:pStyle w:val="PargrafodaLista"/>
        <w:numPr>
          <w:ilvl w:val="0"/>
          <w:numId w:val="3"/>
        </w:numPr>
        <w:tabs>
          <w:tab w:val="left" w:pos="220"/>
        </w:tabs>
        <w:ind w:left="219" w:hanging="113"/>
        <w:jc w:val="both"/>
        <w:rPr>
          <w:sz w:val="16"/>
        </w:rPr>
      </w:pPr>
      <w:r>
        <w:rPr>
          <w:sz w:val="16"/>
        </w:rPr>
        <w:t>M</w:t>
      </w:r>
      <w:r>
        <w:rPr>
          <w:sz w:val="13"/>
        </w:rPr>
        <w:t>ONITORIZAÇÃO</w:t>
      </w:r>
    </w:p>
    <w:p w:rsidR="00A94DA2" w:rsidRDefault="00DC0F69">
      <w:pPr>
        <w:pStyle w:val="Corpodetexto"/>
        <w:spacing w:before="1"/>
        <w:ind w:right="120"/>
      </w:pPr>
      <w:r>
        <w:t>Febre, broncoespasmo e reações ana</w:t>
      </w:r>
      <w:r>
        <w:t>filáticas podem ocorrer após a infusão inicial, devendo ser utilizados metilprednisolona e anti-histamínico intravenoso antes das primeiras três doses dos medicamentos imunoglobulina humana, ATG e muromonabe CD3. A diminuição da imunossupressão de base, du</w:t>
      </w:r>
      <w:r>
        <w:t>rante o período de uso de ATG ou muromonabe CD3, pode ajudar a diminuir a incidência de infecções por excesso de imunossupressão.</w:t>
      </w:r>
    </w:p>
    <w:p w:rsidR="00A94DA2" w:rsidRDefault="00DC0F69">
      <w:pPr>
        <w:pStyle w:val="Corpodetexto"/>
        <w:ind w:right="118"/>
      </w:pPr>
      <w:r>
        <w:t>O sucesso do transplante renal depende de um cuidadoso esquema de atenção que se estende por toda a vida. Não se pode deixar d</w:t>
      </w:r>
      <w:r>
        <w:t>e enfatizar ao paciente e a seus familiares que o ato cirúrgico é apenas o primeiro degrau de um tratamento e que o controle inadequado poderá colocar tudo a perder. É imprescindível a monitorização do paciente por meio de exames laboratoriais e avaliações</w:t>
      </w:r>
      <w:r>
        <w:t xml:space="preserve"> clínicas regulares, semanal nos primeiros 6 meses, que propiciarão ao médico a oportunidade de diagnóstico precoce dos eventos imunológicos, efeitos adversos ou infecciosos. No caso de pacientes estáveis (sem complicações clínicas e laboratoriais), o inte</w:t>
      </w:r>
      <w:r>
        <w:t>rvalo das visitas médicas</w:t>
      </w:r>
      <w:r>
        <w:rPr>
          <w:spacing w:val="-2"/>
        </w:rPr>
        <w:t xml:space="preserve"> </w:t>
      </w:r>
      <w:r>
        <w:t>e</w:t>
      </w:r>
      <w:r>
        <w:rPr>
          <w:spacing w:val="-2"/>
        </w:rPr>
        <w:t xml:space="preserve"> </w:t>
      </w:r>
      <w:r>
        <w:t>dos</w:t>
      </w:r>
      <w:r>
        <w:rPr>
          <w:spacing w:val="-1"/>
        </w:rPr>
        <w:t xml:space="preserve"> </w:t>
      </w:r>
      <w:r>
        <w:t>exames</w:t>
      </w:r>
      <w:r>
        <w:rPr>
          <w:spacing w:val="-2"/>
        </w:rPr>
        <w:t xml:space="preserve"> </w:t>
      </w:r>
      <w:r>
        <w:t>laboratoriais</w:t>
      </w:r>
      <w:r>
        <w:rPr>
          <w:spacing w:val="-3"/>
        </w:rPr>
        <w:t xml:space="preserve"> </w:t>
      </w:r>
      <w:r>
        <w:t>deve</w:t>
      </w:r>
      <w:r>
        <w:rPr>
          <w:spacing w:val="-3"/>
        </w:rPr>
        <w:t xml:space="preserve"> </w:t>
      </w:r>
      <w:r>
        <w:t>ser</w:t>
      </w:r>
      <w:r>
        <w:rPr>
          <w:spacing w:val="-2"/>
        </w:rPr>
        <w:t xml:space="preserve"> </w:t>
      </w:r>
      <w:r>
        <w:t>gradativamente</w:t>
      </w:r>
      <w:r>
        <w:rPr>
          <w:spacing w:val="-4"/>
        </w:rPr>
        <w:t xml:space="preserve"> </w:t>
      </w:r>
      <w:r>
        <w:t>aumentado.</w:t>
      </w:r>
      <w:r>
        <w:rPr>
          <w:spacing w:val="-3"/>
        </w:rPr>
        <w:t xml:space="preserve"> </w:t>
      </w:r>
      <w:r>
        <w:t>Em</w:t>
      </w:r>
      <w:r>
        <w:rPr>
          <w:spacing w:val="-3"/>
        </w:rPr>
        <w:t xml:space="preserve"> </w:t>
      </w:r>
      <w:r>
        <w:t>caso</w:t>
      </w:r>
      <w:r>
        <w:rPr>
          <w:spacing w:val="-4"/>
        </w:rPr>
        <w:t xml:space="preserve"> </w:t>
      </w:r>
      <w:r>
        <w:t>de</w:t>
      </w:r>
      <w:r>
        <w:rPr>
          <w:spacing w:val="-4"/>
        </w:rPr>
        <w:t xml:space="preserve"> </w:t>
      </w:r>
      <w:r>
        <w:t>alterações, o</w:t>
      </w:r>
      <w:r>
        <w:rPr>
          <w:spacing w:val="-2"/>
        </w:rPr>
        <w:t xml:space="preserve"> </w:t>
      </w:r>
      <w:r>
        <w:t>intervalo</w:t>
      </w:r>
      <w:r>
        <w:rPr>
          <w:spacing w:val="-3"/>
        </w:rPr>
        <w:t xml:space="preserve"> </w:t>
      </w:r>
      <w:r>
        <w:t>deve</w:t>
      </w:r>
      <w:r>
        <w:rPr>
          <w:spacing w:val="-3"/>
        </w:rPr>
        <w:t xml:space="preserve"> </w:t>
      </w:r>
      <w:r>
        <w:t>ser</w:t>
      </w:r>
      <w:r>
        <w:rPr>
          <w:spacing w:val="-2"/>
        </w:rPr>
        <w:t xml:space="preserve"> </w:t>
      </w:r>
      <w:r>
        <w:t>adequado</w:t>
      </w:r>
      <w:r>
        <w:rPr>
          <w:spacing w:val="-4"/>
        </w:rPr>
        <w:t xml:space="preserve"> </w:t>
      </w:r>
      <w:r>
        <w:t>às</w:t>
      </w:r>
      <w:r>
        <w:rPr>
          <w:spacing w:val="4"/>
        </w:rPr>
        <w:t xml:space="preserve"> </w:t>
      </w:r>
      <w:r>
        <w:t>necessidades</w:t>
      </w:r>
      <w:r>
        <w:rPr>
          <w:spacing w:val="-3"/>
        </w:rPr>
        <w:t xml:space="preserve"> </w:t>
      </w:r>
      <w:r>
        <w:t>de</w:t>
      </w:r>
      <w:r>
        <w:rPr>
          <w:spacing w:val="-3"/>
        </w:rPr>
        <w:t xml:space="preserve"> </w:t>
      </w:r>
      <w:r>
        <w:t>cada</w:t>
      </w:r>
      <w:r>
        <w:rPr>
          <w:spacing w:val="-4"/>
        </w:rPr>
        <w:t xml:space="preserve"> </w:t>
      </w:r>
      <w:r>
        <w:t>paciente.</w:t>
      </w:r>
    </w:p>
    <w:p w:rsidR="00A94DA2" w:rsidRDefault="00DC0F69">
      <w:pPr>
        <w:pStyle w:val="Corpodetexto"/>
        <w:ind w:right="118"/>
      </w:pPr>
      <w:r>
        <w:t>O apoio médico e familiar é fundamental para que o medicamento seja corretamente utilizado e para se reduzir ao máximo o índice de baixa adesão ao tratamento. Este último aspecto é especialmente crítico para transplantados mais jovens e adolescentes, por s</w:t>
      </w:r>
      <w:r>
        <w:t>erem, em razão da rebeldia própria da idade, mais resistentes às recomendações. O monitoramento a intervalos curtos é fundamental para melhor controle. Níveis séricos dos imunossupressores incompatíveis com os habituais preconizados neste Protocolo podem s</w:t>
      </w:r>
      <w:r>
        <w:t>ignificar uso inadequado dos mesmos.</w:t>
      </w:r>
    </w:p>
    <w:p w:rsidR="00A94DA2" w:rsidRDefault="00DC0F69">
      <w:pPr>
        <w:pStyle w:val="Corpodetexto"/>
      </w:pPr>
      <w:r>
        <w:rPr>
          <w:u w:val="single"/>
        </w:rPr>
        <w:t>Corticosteroides</w:t>
      </w:r>
    </w:p>
    <w:p w:rsidR="00A94DA2" w:rsidRDefault="00DC0F69">
      <w:pPr>
        <w:pStyle w:val="Corpodetexto"/>
        <w:spacing w:before="1"/>
        <w:ind w:right="120"/>
      </w:pPr>
      <w:r>
        <w:t>Os efeitos adversos mais comuns dos corticosteroides são hipertensão arterial, retenção de sódio e líquidos, diabetes melito, dislipidemia, retardo do crescimento, osteoporose, acne, alterações comportamentais, catarata, glaucoma. A monitorização clínica e</w:t>
      </w:r>
      <w:r>
        <w:t xml:space="preserve"> laboratorial, com a monitorização da pressão arterial, glicemia e eletrólitos, entre outros efeitos adversos, devem ser realizados conforme intervalo definido a critério médico.</w:t>
      </w:r>
    </w:p>
    <w:p w:rsidR="00A94DA2" w:rsidRDefault="00DC0F69">
      <w:pPr>
        <w:pStyle w:val="Corpodetexto"/>
        <w:spacing w:line="183" w:lineRule="exact"/>
      </w:pPr>
      <w:r>
        <w:rPr>
          <w:u w:val="single"/>
        </w:rPr>
        <w:t>Azatioprina</w:t>
      </w:r>
    </w:p>
    <w:p w:rsidR="00A94DA2" w:rsidRDefault="00DC0F69">
      <w:pPr>
        <w:pStyle w:val="Corpodetexto"/>
        <w:ind w:right="118"/>
      </w:pPr>
      <w:r>
        <w:t>Deve-se realizar hemograma em intervalos semanais nos primeiros 2</w:t>
      </w:r>
      <w:r>
        <w:t xml:space="preserve"> meses de uso e depois a critério médico. Aconselha-se suspender a azatioprina quando os leucócitos totais estiverem abaixo de 3.000/mm3, mesmo porque a depuração dos metabólitos 6-TGN, responsáveis pela mielotoxicidade, é lento e se estende, dependendo do</w:t>
      </w:r>
      <w:r>
        <w:t xml:space="preserve"> nível atingido, por 2 a 3 semanas até o total desaparecimento celular. A determinação de 6-TGN poderá vir a ser ferramenta útil para monitorizar a dose a ser administrada e propiciar aumento de sua eficácia, sobretudo para os portadores de alta atividade </w:t>
      </w:r>
      <w:r>
        <w:t>da TPMT. Isso tem ainda fundamento limitado, mas algumas evidências demonstram que cerca de 30% dos pacientes em uso prolongado de azatioprina não formam, em nível detectável pela metodologia atual (HPLC), os metabólitos ativos deste imunossupressor.</w:t>
      </w:r>
    </w:p>
    <w:p w:rsidR="00A94DA2" w:rsidRDefault="00DC0F69">
      <w:pPr>
        <w:pStyle w:val="Corpodetexto"/>
        <w:ind w:right="121"/>
      </w:pPr>
      <w:r>
        <w:t xml:space="preserve">Além </w:t>
      </w:r>
      <w:r>
        <w:t>da leucopenia, há possibilidade de ocorrência de hepatotoxicidade, devendo ser avaliadas as provas de função hepática (AST/TGO, ALT/TGP, fosfatase alcalina e bilirrubinas), e intervalos definidos a critério médico. Colestase, pancreatite, doença hepática v</w:t>
      </w:r>
      <w:r>
        <w:t>enoclusiva, queda de cabelo e fragilidade das camadas dérmicas também são efeitos adversos relatados.</w:t>
      </w:r>
    </w:p>
    <w:p w:rsidR="00A94DA2" w:rsidRDefault="00DC0F69">
      <w:pPr>
        <w:pStyle w:val="Corpodetexto"/>
      </w:pPr>
      <w:r>
        <w:rPr>
          <w:u w:val="single"/>
        </w:rPr>
        <w:t>Ciclosporina</w:t>
      </w:r>
    </w:p>
    <w:p w:rsidR="00A94DA2" w:rsidRDefault="00DC0F69">
      <w:pPr>
        <w:pStyle w:val="Corpodetexto"/>
        <w:spacing w:before="1"/>
        <w:ind w:right="118"/>
      </w:pPr>
      <w:r>
        <w:pict>
          <v:rect id="_x0000_s1028" style="position:absolute;left:0;text-align:left;margin-left:447pt;margin-top:23pt;width:2.4pt;height:.25pt;z-index:-251652608;mso-position-horizontal-relative:page" fillcolor="black" stroked="f">
            <w10:wrap anchorx="page"/>
          </v:rect>
        </w:pict>
      </w:r>
      <w:r>
        <w:pict>
          <v:rect id="_x0000_s1027" style="position:absolute;left:0;text-align:left;margin-left:469.2pt;margin-top:23pt;width:2.4pt;height:.25pt;z-index:-251651584;mso-position-horizontal-relative:page" fillcolor="black" stroked="f">
            <w10:wrap anchorx="page"/>
          </v:rect>
        </w:pict>
      </w:r>
      <w:r>
        <w:t>A dosagem sérica pode ser feita no tempo zero (12 horas após a administração anterior – C0) no vale ou pelo pico de 2 horas (C2). O nível s</w:t>
      </w:r>
      <w:r>
        <w:t>érico que se recomenda varia entre 200 e 300 ng/ml (106). Admite-se, entretanto, que o pico de 2 horas (C2) reflita melhor a eficácia da imunossupressão no período pós-transplante mais precoce (106-109) e os valores propostos variam entre 1.000 e 1.500 ng/</w:t>
      </w:r>
      <w:r>
        <w:t>ml nos primeiros 6 meses pós-transplante e entre 800 e 1.000 do 6</w:t>
      </w:r>
      <w:r>
        <w:rPr>
          <w:vertAlign w:val="superscript"/>
        </w:rPr>
        <w:t>o</w:t>
      </w:r>
      <w:r>
        <w:t xml:space="preserve"> ao 12</w:t>
      </w:r>
      <w:r>
        <w:rPr>
          <w:vertAlign w:val="superscript"/>
        </w:rPr>
        <w:t>o</w:t>
      </w:r>
      <w:r>
        <w:t xml:space="preserve"> mês. Não há consenso de que o valor do C2 seja tão importante para o seguimento tardio dos transplantados, podendo ser utilizado o nível do C0, com o qual aparentemente se obtêm os m</w:t>
      </w:r>
      <w:r>
        <w:t>esmos resultados (110, 111). Em centros brasileiros, o acompanhamento tardio continua sendo preferencialmente feito pelo C2, que é mantido entre 500 e 1.000 ng/ml após o primeiro ano do transplante; mais tardiamente, de acordo com a evolução clínica, antec</w:t>
      </w:r>
      <w:r>
        <w:t>edentes ou não de crises de rejeição, tipagem HLA entre doador e receptor e dose adequada dos agentes antimetabólicos, o valor de C2 tem sido mantido entre 250 e 500 ng/ml. Assim, geralmente se consegue imunossupressão adequada e com menor probabilidade de</w:t>
      </w:r>
      <w:r>
        <w:t xml:space="preserve"> nefrotoxicidade crônica.</w:t>
      </w:r>
    </w:p>
    <w:p w:rsidR="00A94DA2" w:rsidRDefault="00DC0F69">
      <w:pPr>
        <w:pStyle w:val="Corpodetexto"/>
        <w:ind w:right="119"/>
      </w:pPr>
      <w:r>
        <w:t>A monitorização clínica e laboratorial, pela verificação da pressão arterial e realização de hemograma e dosagens séricas de glicose, creatinina, lipídeos, eletrólitos e enzimas hepáticas, deve ser realizada com intervalo definido</w:t>
      </w:r>
      <w:r>
        <w:t xml:space="preserve"> a critério médico.</w:t>
      </w:r>
    </w:p>
    <w:p w:rsidR="00A94DA2" w:rsidRDefault="00DC0F69">
      <w:pPr>
        <w:pStyle w:val="Corpodetexto"/>
        <w:spacing w:before="1" w:line="183" w:lineRule="exact"/>
      </w:pPr>
      <w:r>
        <w:rPr>
          <w:u w:val="single"/>
        </w:rPr>
        <w:t>Tacrolimo</w:t>
      </w:r>
    </w:p>
    <w:p w:rsidR="00A94DA2" w:rsidRDefault="00DC0F69">
      <w:pPr>
        <w:pStyle w:val="Corpodetexto"/>
        <w:ind w:right="122"/>
      </w:pPr>
      <w:r>
        <w:t>A dose deve ser ajustada para manter o nível sérico em torno de 10 ng/ml nos primeiros 6 meses pós-transplante e entre 3 a 8  ng/ml após este período (o nível sérico  deve ser dosado com intervalo semanal nos primeiros 3 meses</w:t>
      </w:r>
      <w:r>
        <w:t>, mensal no primeiro ano e após a cada 2 a 3 meses nas datas das revisões clínicas). A coleta de sangue deve ser feita 12 horas após a última administração e em</w:t>
      </w:r>
      <w:r>
        <w:rPr>
          <w:spacing w:val="-8"/>
        </w:rPr>
        <w:t xml:space="preserve"> </w:t>
      </w:r>
      <w:r>
        <w:t>jejum.</w:t>
      </w:r>
    </w:p>
    <w:p w:rsidR="00A94DA2" w:rsidRDefault="00DC0F69">
      <w:pPr>
        <w:pStyle w:val="Corpodetexto"/>
        <w:ind w:right="117"/>
      </w:pPr>
      <w:r>
        <w:t>A monitorização clínica e laboratorial, pela verificação da pressão arterial e realizaçã</w:t>
      </w:r>
      <w:r>
        <w:t>o de hemograma e dosagens séricas de glicose, creatinina, lipídeos, eletrólitos e enzimas hepáticas, deve ser realizada com intervalo definido a critério médico.</w:t>
      </w:r>
    </w:p>
    <w:p w:rsidR="00A94DA2" w:rsidRDefault="00DC0F69">
      <w:pPr>
        <w:pStyle w:val="Corpodetexto"/>
        <w:spacing w:before="1" w:line="183" w:lineRule="exact"/>
      </w:pPr>
      <w:r>
        <w:rPr>
          <w:u w:val="single"/>
        </w:rPr>
        <w:t>Precursores do ácido micofenólico</w:t>
      </w:r>
    </w:p>
    <w:p w:rsidR="00A94DA2" w:rsidRDefault="00DC0F69">
      <w:pPr>
        <w:pStyle w:val="Corpodetexto"/>
        <w:ind w:right="123"/>
      </w:pPr>
      <w:r>
        <w:t>Alterações hematológicas são comuns durante o uso destes med</w:t>
      </w:r>
      <w:r>
        <w:t>icamentos. Por isso, deve-se realizar hemograma em intervalos definidos a critério médico para eventuais ajustes de dose. Efeitos adversos gastrointestinais são comuns, podendo ser ajustada a dose se necessário. Comumente os pacientes apresentam náuseas, a</w:t>
      </w:r>
      <w:r>
        <w:t>norexia e diarreia e podem desenvolver gastrite. Em caso de doença péptica ulcerosa ativa, o medicamento deve ser evitado.</w:t>
      </w:r>
    </w:p>
    <w:p w:rsidR="00A94DA2" w:rsidRDefault="00DC0F69">
      <w:pPr>
        <w:pStyle w:val="Corpodetexto"/>
      </w:pPr>
      <w:r>
        <w:rPr>
          <w:u w:val="single"/>
        </w:rPr>
        <w:t>Sirolimo e everolimo</w:t>
      </w:r>
    </w:p>
    <w:p w:rsidR="00A94DA2" w:rsidRDefault="00DC0F69">
      <w:pPr>
        <w:pStyle w:val="Corpodetexto"/>
        <w:spacing w:line="183" w:lineRule="exact"/>
      </w:pPr>
      <w:r>
        <w:t>A dose de sirolimo normalmente utilizada objetiva manter o nível sérico entre 8 e 12 ng/ml (109), e a de everoli</w:t>
      </w:r>
      <w:r>
        <w:t>mo, entre 3 e 8 ng/ml (72).</w:t>
      </w:r>
    </w:p>
    <w:p w:rsidR="00A94DA2" w:rsidRDefault="00DC0F69">
      <w:pPr>
        <w:pStyle w:val="Corpodetexto"/>
        <w:ind w:right="122"/>
      </w:pPr>
      <w:r>
        <w:t xml:space="preserve">Há autores que recomendam a manutenção do nível sérico do sirolimo entre 5 a 10 ng/ml (112). A análise da literatura permite assinalar que a dose é variável de acordo com a imunossupressão associada. Desta forma a monitorização </w:t>
      </w:r>
      <w:r>
        <w:t>deve ser realizada de acordo com a imunossupressão associada e a situação clínica do paciente:</w:t>
      </w:r>
    </w:p>
    <w:p w:rsidR="00A94DA2" w:rsidRDefault="00DC0F69">
      <w:pPr>
        <w:pStyle w:val="PargrafodaLista"/>
        <w:numPr>
          <w:ilvl w:val="0"/>
          <w:numId w:val="8"/>
        </w:numPr>
        <w:tabs>
          <w:tab w:val="left" w:pos="200"/>
        </w:tabs>
        <w:spacing w:before="1" w:line="183" w:lineRule="exact"/>
        <w:ind w:firstLine="0"/>
        <w:jc w:val="both"/>
        <w:rPr>
          <w:sz w:val="16"/>
        </w:rPr>
      </w:pPr>
      <w:r>
        <w:rPr>
          <w:sz w:val="16"/>
        </w:rPr>
        <w:t>quando combinado com micofenolato e tacrolimo sem corticosteroides o nível sérico deve ser entre 6 a 8</w:t>
      </w:r>
      <w:r>
        <w:rPr>
          <w:spacing w:val="-24"/>
          <w:sz w:val="16"/>
        </w:rPr>
        <w:t xml:space="preserve"> </w:t>
      </w:r>
      <w:r>
        <w:rPr>
          <w:sz w:val="16"/>
        </w:rPr>
        <w:t>ng/ml;</w:t>
      </w:r>
    </w:p>
    <w:p w:rsidR="00A94DA2" w:rsidRDefault="00DC0F69">
      <w:pPr>
        <w:pStyle w:val="PargrafodaLista"/>
        <w:numPr>
          <w:ilvl w:val="0"/>
          <w:numId w:val="8"/>
        </w:numPr>
        <w:tabs>
          <w:tab w:val="left" w:pos="200"/>
        </w:tabs>
        <w:spacing w:line="183" w:lineRule="exact"/>
        <w:ind w:firstLine="0"/>
        <w:jc w:val="both"/>
        <w:rPr>
          <w:sz w:val="16"/>
        </w:rPr>
      </w:pPr>
      <w:r>
        <w:rPr>
          <w:sz w:val="16"/>
        </w:rPr>
        <w:t>quando</w:t>
      </w:r>
      <w:r>
        <w:rPr>
          <w:spacing w:val="-2"/>
          <w:sz w:val="16"/>
        </w:rPr>
        <w:t xml:space="preserve"> </w:t>
      </w:r>
      <w:r>
        <w:rPr>
          <w:sz w:val="16"/>
        </w:rPr>
        <w:t>se</w:t>
      </w:r>
      <w:r>
        <w:rPr>
          <w:spacing w:val="-2"/>
          <w:sz w:val="16"/>
        </w:rPr>
        <w:t xml:space="preserve"> </w:t>
      </w:r>
      <w:r>
        <w:rPr>
          <w:sz w:val="16"/>
        </w:rPr>
        <w:t>troca</w:t>
      </w:r>
      <w:r>
        <w:rPr>
          <w:spacing w:val="-3"/>
          <w:sz w:val="16"/>
        </w:rPr>
        <w:t xml:space="preserve"> </w:t>
      </w:r>
      <w:r>
        <w:rPr>
          <w:sz w:val="16"/>
        </w:rPr>
        <w:t>tacrolimo</w:t>
      </w:r>
      <w:r>
        <w:rPr>
          <w:spacing w:val="-3"/>
          <w:sz w:val="16"/>
        </w:rPr>
        <w:t xml:space="preserve"> </w:t>
      </w:r>
      <w:r>
        <w:rPr>
          <w:sz w:val="16"/>
        </w:rPr>
        <w:t>por</w:t>
      </w:r>
      <w:r>
        <w:rPr>
          <w:spacing w:val="-2"/>
          <w:sz w:val="16"/>
        </w:rPr>
        <w:t xml:space="preserve"> </w:t>
      </w:r>
      <w:r>
        <w:rPr>
          <w:sz w:val="16"/>
        </w:rPr>
        <w:t>sirolimo</w:t>
      </w:r>
      <w:r>
        <w:rPr>
          <w:spacing w:val="-1"/>
          <w:sz w:val="16"/>
        </w:rPr>
        <w:t xml:space="preserve"> </w:t>
      </w:r>
      <w:r>
        <w:rPr>
          <w:sz w:val="16"/>
        </w:rPr>
        <w:t>em</w:t>
      </w:r>
      <w:r>
        <w:rPr>
          <w:spacing w:val="-1"/>
          <w:sz w:val="16"/>
        </w:rPr>
        <w:t xml:space="preserve"> </w:t>
      </w:r>
      <w:r>
        <w:rPr>
          <w:sz w:val="16"/>
        </w:rPr>
        <w:t>combinação</w:t>
      </w:r>
      <w:r>
        <w:rPr>
          <w:spacing w:val="-3"/>
          <w:sz w:val="16"/>
        </w:rPr>
        <w:t xml:space="preserve"> </w:t>
      </w:r>
      <w:r>
        <w:rPr>
          <w:sz w:val="16"/>
        </w:rPr>
        <w:t>com</w:t>
      </w:r>
      <w:r>
        <w:rPr>
          <w:spacing w:val="-1"/>
          <w:sz w:val="16"/>
        </w:rPr>
        <w:t xml:space="preserve"> </w:t>
      </w:r>
      <w:r>
        <w:rPr>
          <w:sz w:val="16"/>
        </w:rPr>
        <w:t>ácido</w:t>
      </w:r>
      <w:r>
        <w:rPr>
          <w:spacing w:val="-1"/>
          <w:sz w:val="16"/>
        </w:rPr>
        <w:t xml:space="preserve"> </w:t>
      </w:r>
      <w:r>
        <w:rPr>
          <w:sz w:val="16"/>
        </w:rPr>
        <w:t>micofenólico</w:t>
      </w:r>
      <w:r>
        <w:rPr>
          <w:spacing w:val="-2"/>
          <w:sz w:val="16"/>
        </w:rPr>
        <w:t xml:space="preserve"> </w:t>
      </w:r>
      <w:r>
        <w:rPr>
          <w:sz w:val="16"/>
        </w:rPr>
        <w:t>e</w:t>
      </w:r>
      <w:r>
        <w:rPr>
          <w:spacing w:val="-2"/>
          <w:sz w:val="16"/>
        </w:rPr>
        <w:t xml:space="preserve"> </w:t>
      </w:r>
      <w:r>
        <w:rPr>
          <w:sz w:val="16"/>
        </w:rPr>
        <w:t>corticosteróides, o</w:t>
      </w:r>
      <w:r>
        <w:rPr>
          <w:spacing w:val="-3"/>
          <w:sz w:val="16"/>
        </w:rPr>
        <w:t xml:space="preserve"> </w:t>
      </w:r>
      <w:r>
        <w:rPr>
          <w:sz w:val="16"/>
        </w:rPr>
        <w:t>nível</w:t>
      </w:r>
      <w:r>
        <w:rPr>
          <w:spacing w:val="-2"/>
          <w:sz w:val="16"/>
        </w:rPr>
        <w:t xml:space="preserve"> </w:t>
      </w:r>
      <w:r>
        <w:rPr>
          <w:sz w:val="16"/>
        </w:rPr>
        <w:t>sérico</w:t>
      </w:r>
      <w:r>
        <w:rPr>
          <w:spacing w:val="-1"/>
          <w:sz w:val="16"/>
        </w:rPr>
        <w:t xml:space="preserve"> </w:t>
      </w:r>
      <w:r>
        <w:rPr>
          <w:sz w:val="16"/>
        </w:rPr>
        <w:t>deve</w:t>
      </w:r>
      <w:r>
        <w:rPr>
          <w:spacing w:val="-3"/>
          <w:sz w:val="16"/>
        </w:rPr>
        <w:t xml:space="preserve"> </w:t>
      </w:r>
      <w:r>
        <w:rPr>
          <w:sz w:val="16"/>
        </w:rPr>
        <w:t>variar</w:t>
      </w:r>
      <w:r>
        <w:rPr>
          <w:spacing w:val="-1"/>
          <w:sz w:val="16"/>
        </w:rPr>
        <w:t xml:space="preserve"> </w:t>
      </w:r>
      <w:r>
        <w:rPr>
          <w:sz w:val="16"/>
        </w:rPr>
        <w:t>entre</w:t>
      </w:r>
      <w:r>
        <w:rPr>
          <w:spacing w:val="-3"/>
          <w:sz w:val="16"/>
        </w:rPr>
        <w:t xml:space="preserve"> </w:t>
      </w:r>
      <w:r>
        <w:rPr>
          <w:sz w:val="16"/>
        </w:rPr>
        <w:t>5</w:t>
      </w:r>
      <w:r>
        <w:rPr>
          <w:spacing w:val="1"/>
          <w:sz w:val="16"/>
        </w:rPr>
        <w:t xml:space="preserve"> </w:t>
      </w:r>
      <w:r>
        <w:rPr>
          <w:sz w:val="16"/>
        </w:rPr>
        <w:t>e</w:t>
      </w:r>
      <w:r>
        <w:rPr>
          <w:spacing w:val="-5"/>
          <w:sz w:val="16"/>
        </w:rPr>
        <w:t xml:space="preserve"> </w:t>
      </w:r>
      <w:r>
        <w:rPr>
          <w:sz w:val="16"/>
        </w:rPr>
        <w:t>15</w:t>
      </w:r>
      <w:r>
        <w:rPr>
          <w:spacing w:val="-1"/>
          <w:sz w:val="16"/>
        </w:rPr>
        <w:t xml:space="preserve"> </w:t>
      </w:r>
      <w:r>
        <w:rPr>
          <w:sz w:val="16"/>
        </w:rPr>
        <w:t>ng/ml;</w:t>
      </w:r>
    </w:p>
    <w:p w:rsidR="00A94DA2" w:rsidRDefault="00DC0F69">
      <w:pPr>
        <w:pStyle w:val="PargrafodaLista"/>
        <w:numPr>
          <w:ilvl w:val="0"/>
          <w:numId w:val="8"/>
        </w:numPr>
        <w:tabs>
          <w:tab w:val="left" w:pos="200"/>
        </w:tabs>
        <w:spacing w:before="1"/>
        <w:ind w:firstLine="0"/>
        <w:jc w:val="both"/>
        <w:rPr>
          <w:sz w:val="16"/>
        </w:rPr>
      </w:pPr>
      <w:r>
        <w:rPr>
          <w:sz w:val="16"/>
        </w:rPr>
        <w:t>se</w:t>
      </w:r>
      <w:r>
        <w:rPr>
          <w:spacing w:val="-4"/>
          <w:sz w:val="16"/>
        </w:rPr>
        <w:t xml:space="preserve"> </w:t>
      </w:r>
      <w:r>
        <w:rPr>
          <w:sz w:val="16"/>
        </w:rPr>
        <w:t>for</w:t>
      </w:r>
      <w:r>
        <w:rPr>
          <w:spacing w:val="-2"/>
          <w:sz w:val="16"/>
        </w:rPr>
        <w:t xml:space="preserve"> </w:t>
      </w:r>
      <w:r>
        <w:rPr>
          <w:sz w:val="16"/>
        </w:rPr>
        <w:t>feita substituição</w:t>
      </w:r>
      <w:r>
        <w:rPr>
          <w:spacing w:val="-4"/>
          <w:sz w:val="16"/>
        </w:rPr>
        <w:t xml:space="preserve"> </w:t>
      </w:r>
      <w:r>
        <w:rPr>
          <w:sz w:val="16"/>
        </w:rPr>
        <w:t>do</w:t>
      </w:r>
      <w:r>
        <w:rPr>
          <w:spacing w:val="-3"/>
          <w:sz w:val="16"/>
        </w:rPr>
        <w:t xml:space="preserve"> </w:t>
      </w:r>
      <w:r>
        <w:rPr>
          <w:sz w:val="16"/>
        </w:rPr>
        <w:t>tacrolimo</w:t>
      </w:r>
      <w:r>
        <w:rPr>
          <w:spacing w:val="-2"/>
          <w:sz w:val="16"/>
        </w:rPr>
        <w:t xml:space="preserve"> </w:t>
      </w:r>
      <w:r>
        <w:rPr>
          <w:sz w:val="16"/>
        </w:rPr>
        <w:t>pelo</w:t>
      </w:r>
      <w:r>
        <w:rPr>
          <w:spacing w:val="-2"/>
          <w:sz w:val="16"/>
        </w:rPr>
        <w:t xml:space="preserve"> </w:t>
      </w:r>
      <w:r>
        <w:rPr>
          <w:sz w:val="16"/>
        </w:rPr>
        <w:t>sirolimo</w:t>
      </w:r>
      <w:r>
        <w:rPr>
          <w:spacing w:val="-2"/>
          <w:sz w:val="16"/>
        </w:rPr>
        <w:t xml:space="preserve"> </w:t>
      </w:r>
      <w:r>
        <w:rPr>
          <w:sz w:val="16"/>
        </w:rPr>
        <w:t>após</w:t>
      </w:r>
      <w:r>
        <w:rPr>
          <w:spacing w:val="-2"/>
          <w:sz w:val="16"/>
        </w:rPr>
        <w:t xml:space="preserve"> </w:t>
      </w:r>
      <w:r>
        <w:rPr>
          <w:sz w:val="16"/>
        </w:rPr>
        <w:t>o</w:t>
      </w:r>
      <w:r>
        <w:rPr>
          <w:spacing w:val="-4"/>
          <w:sz w:val="16"/>
        </w:rPr>
        <w:t xml:space="preserve"> </w:t>
      </w:r>
      <w:r>
        <w:rPr>
          <w:sz w:val="16"/>
        </w:rPr>
        <w:t>6º</w:t>
      </w:r>
      <w:r>
        <w:rPr>
          <w:spacing w:val="-3"/>
          <w:sz w:val="16"/>
        </w:rPr>
        <w:t xml:space="preserve"> </w:t>
      </w:r>
      <w:r>
        <w:rPr>
          <w:sz w:val="16"/>
        </w:rPr>
        <w:t>mês</w:t>
      </w:r>
      <w:r>
        <w:rPr>
          <w:spacing w:val="-1"/>
          <w:sz w:val="16"/>
        </w:rPr>
        <w:t xml:space="preserve"> </w:t>
      </w:r>
      <w:r>
        <w:rPr>
          <w:sz w:val="16"/>
        </w:rPr>
        <w:t>pós-transplante,</w:t>
      </w:r>
      <w:r>
        <w:rPr>
          <w:spacing w:val="-1"/>
          <w:sz w:val="16"/>
        </w:rPr>
        <w:t xml:space="preserve"> </w:t>
      </w:r>
      <w:r>
        <w:rPr>
          <w:sz w:val="16"/>
        </w:rPr>
        <w:t>devido</w:t>
      </w:r>
      <w:r>
        <w:rPr>
          <w:spacing w:val="-2"/>
          <w:sz w:val="16"/>
        </w:rPr>
        <w:t xml:space="preserve"> </w:t>
      </w:r>
      <w:r>
        <w:rPr>
          <w:sz w:val="16"/>
        </w:rPr>
        <w:t>a</w:t>
      </w:r>
      <w:r>
        <w:rPr>
          <w:spacing w:val="-3"/>
          <w:sz w:val="16"/>
        </w:rPr>
        <w:t xml:space="preserve"> </w:t>
      </w:r>
      <w:r>
        <w:rPr>
          <w:sz w:val="16"/>
        </w:rPr>
        <w:t>nefropatia crônica</w:t>
      </w:r>
      <w:r>
        <w:rPr>
          <w:spacing w:val="-4"/>
          <w:sz w:val="16"/>
        </w:rPr>
        <w:t xml:space="preserve"> </w:t>
      </w:r>
      <w:r>
        <w:rPr>
          <w:sz w:val="16"/>
        </w:rPr>
        <w:t>do</w:t>
      </w:r>
      <w:r>
        <w:rPr>
          <w:spacing w:val="-4"/>
          <w:sz w:val="16"/>
        </w:rPr>
        <w:t xml:space="preserve"> </w:t>
      </w:r>
      <w:r>
        <w:rPr>
          <w:sz w:val="16"/>
        </w:rPr>
        <w:t>enxerto, o</w:t>
      </w:r>
      <w:r>
        <w:rPr>
          <w:spacing w:val="-2"/>
          <w:sz w:val="16"/>
        </w:rPr>
        <w:t xml:space="preserve"> </w:t>
      </w:r>
      <w:r>
        <w:rPr>
          <w:sz w:val="16"/>
        </w:rPr>
        <w:t>nível</w:t>
      </w:r>
      <w:r>
        <w:rPr>
          <w:spacing w:val="-2"/>
          <w:sz w:val="16"/>
        </w:rPr>
        <w:t xml:space="preserve"> </w:t>
      </w:r>
      <w:r>
        <w:rPr>
          <w:sz w:val="16"/>
        </w:rPr>
        <w:t>sérico</w:t>
      </w:r>
      <w:r>
        <w:rPr>
          <w:spacing w:val="-3"/>
          <w:sz w:val="16"/>
        </w:rPr>
        <w:t xml:space="preserve"> </w:t>
      </w:r>
      <w:r>
        <w:rPr>
          <w:sz w:val="16"/>
        </w:rPr>
        <w:t>deve</w:t>
      </w:r>
      <w:r>
        <w:rPr>
          <w:spacing w:val="-3"/>
          <w:sz w:val="16"/>
        </w:rPr>
        <w:t xml:space="preserve"> </w:t>
      </w:r>
      <w:r>
        <w:rPr>
          <w:sz w:val="16"/>
        </w:rPr>
        <w:t>variar</w:t>
      </w:r>
      <w:r>
        <w:rPr>
          <w:spacing w:val="-2"/>
          <w:sz w:val="16"/>
        </w:rPr>
        <w:t xml:space="preserve"> </w:t>
      </w:r>
      <w:r>
        <w:rPr>
          <w:sz w:val="16"/>
        </w:rPr>
        <w:t>entre</w:t>
      </w:r>
      <w:r>
        <w:rPr>
          <w:spacing w:val="-3"/>
          <w:sz w:val="16"/>
        </w:rPr>
        <w:t xml:space="preserve"> </w:t>
      </w:r>
      <w:r>
        <w:rPr>
          <w:sz w:val="16"/>
        </w:rPr>
        <w:t>4</w:t>
      </w:r>
      <w:r>
        <w:rPr>
          <w:spacing w:val="-1"/>
          <w:sz w:val="16"/>
        </w:rPr>
        <w:t xml:space="preserve"> </w:t>
      </w:r>
      <w:r>
        <w:rPr>
          <w:sz w:val="16"/>
        </w:rPr>
        <w:t>a</w:t>
      </w:r>
      <w:r>
        <w:rPr>
          <w:spacing w:val="-3"/>
          <w:sz w:val="16"/>
        </w:rPr>
        <w:t xml:space="preserve"> </w:t>
      </w:r>
      <w:r>
        <w:rPr>
          <w:sz w:val="16"/>
        </w:rPr>
        <w:t>6</w:t>
      </w:r>
      <w:r>
        <w:rPr>
          <w:spacing w:val="-2"/>
          <w:sz w:val="16"/>
        </w:rPr>
        <w:t xml:space="preserve"> </w:t>
      </w:r>
      <w:r>
        <w:rPr>
          <w:sz w:val="16"/>
        </w:rPr>
        <w:t>ng/ml.</w:t>
      </w:r>
    </w:p>
    <w:p w:rsidR="00A94DA2" w:rsidRDefault="00DC0F69">
      <w:pPr>
        <w:pStyle w:val="Corpodetexto"/>
        <w:spacing w:before="1"/>
        <w:ind w:right="120"/>
      </w:pPr>
      <w:r>
        <w:t>A monitorização da pressão arterial e das dosagens séricas da glicose, creatinina, lipídeos e eletrólitos deve ser realizada com intervalo definido a critério médico. Cefaleia, edema periférico, insônia, acne, diarreia, constipação intes</w:t>
      </w:r>
      <w:r>
        <w:t>tinal, artralgia, fibrilação atrial, depressão, rash cutâneo, edema pulmonar, derrame pleural, impotência, hiperplasia gengival, gengivite, estomatite e ulcerações na boca, entre outros, são efeitos adversos do sirolimo e everolimo.</w:t>
      </w:r>
    </w:p>
    <w:p w:rsidR="00A94DA2" w:rsidRDefault="00DC0F69">
      <w:pPr>
        <w:pStyle w:val="Corpodetexto"/>
        <w:ind w:right="124"/>
      </w:pPr>
      <w:r>
        <w:t>Em pacientes com insufi</w:t>
      </w:r>
      <w:r>
        <w:t>ciência hepática em uso do everolimo, a concentração sanguínea mínima deve ser monitorizada com cautela. Os pacientes devem ser acompanhados quanto ao risco de rabdomiólise e outras adversidades decorrentes do aumento da biodisponibilidade do medicamento.</w:t>
      </w:r>
    </w:p>
    <w:p w:rsidR="00A94DA2" w:rsidRDefault="00DC0F69">
      <w:pPr>
        <w:pStyle w:val="Corpodetexto"/>
        <w:spacing w:line="184" w:lineRule="exact"/>
      </w:pPr>
      <w:r>
        <w:rPr>
          <w:u w:val="single"/>
        </w:rPr>
        <w:t>Interações de outros medicamentos com ciclosporina ou tacrolimo</w:t>
      </w:r>
    </w:p>
    <w:p w:rsidR="00A94DA2" w:rsidRDefault="00DC0F69">
      <w:pPr>
        <w:pStyle w:val="Corpodetexto"/>
        <w:spacing w:before="1"/>
        <w:ind w:right="119"/>
      </w:pPr>
      <w:r>
        <w:t>Vários fármacos interferem no metabolismo destes dois imunossupressores. Alguns aumentam o nível sérico, como o fluconazol, cetoconazol, claritromicina, eritromicina, diltiazem e anlodipina, e</w:t>
      </w:r>
      <w:r>
        <w:t xml:space="preserve"> outros o diminuem, como a fenitoína, rifampicina, isoniazida e barbitúricos. O uso concomitante destes medicamentos não está contraindicado, mas exige monitorização criteriosa dos níveis sanguíneos do</w:t>
      </w:r>
      <w:r>
        <w:rPr>
          <w:spacing w:val="-13"/>
        </w:rPr>
        <w:t xml:space="preserve"> </w:t>
      </w:r>
      <w:r>
        <w:t>imunossupressor.</w:t>
      </w:r>
    </w:p>
    <w:p w:rsidR="00A94DA2" w:rsidRDefault="00DC0F69">
      <w:pPr>
        <w:pStyle w:val="Corpodetexto"/>
        <w:spacing w:line="183" w:lineRule="exact"/>
      </w:pPr>
      <w:r>
        <w:rPr>
          <w:u w:val="single"/>
        </w:rPr>
        <w:t>Interações com</w:t>
      </w:r>
      <w:r>
        <w:rPr>
          <w:spacing w:val="-15"/>
          <w:u w:val="single"/>
        </w:rPr>
        <w:t xml:space="preserve"> </w:t>
      </w:r>
      <w:r>
        <w:rPr>
          <w:u w:val="single"/>
        </w:rPr>
        <w:t>azatioprina</w:t>
      </w:r>
    </w:p>
    <w:p w:rsidR="00A94DA2" w:rsidRDefault="00DC0F69">
      <w:pPr>
        <w:pStyle w:val="Corpodetexto"/>
        <w:ind w:right="118"/>
      </w:pPr>
      <w:r>
        <w:t>Precauções</w:t>
      </w:r>
      <w:r>
        <w:t xml:space="preserve"> devem ser tomadas ao se usar alopurinol em associação com azatioprina ou 6-mercaptopurina. O bloqueio da enzima xantina oxidase pelo alopurinol reduz o catabolismo da 6-mercaptopurina propiciando maior formação dos metabólitos 6-tioguanínicos responsáveis</w:t>
      </w:r>
      <w:r>
        <w:t xml:space="preserve"> pela imunossupressão e mielotoxicidade. Ao  serem utilizados azatioprina e alopurinol, é fundamental que se faça significativa redução da dose destes dois agentes e controles hemáticos próximos, semanais até estabilização dos leucócitos</w:t>
      </w:r>
      <w:r>
        <w:rPr>
          <w:spacing w:val="-1"/>
        </w:rPr>
        <w:t xml:space="preserve"> </w:t>
      </w:r>
      <w:r>
        <w:t>sanguíneos.</w:t>
      </w:r>
    </w:p>
    <w:p w:rsidR="00A94DA2" w:rsidRDefault="00A94DA2">
      <w:pPr>
        <w:sectPr w:rsidR="00A94DA2">
          <w:pgSz w:w="11910" w:h="16840"/>
          <w:pgMar w:top="460" w:right="300" w:bottom="280" w:left="460" w:header="720" w:footer="720" w:gutter="0"/>
          <w:cols w:space="720"/>
        </w:sectPr>
      </w:pPr>
    </w:p>
    <w:p w:rsidR="00A94DA2" w:rsidRDefault="00DC0F69">
      <w:pPr>
        <w:pStyle w:val="Corpodetexto"/>
        <w:spacing w:before="82"/>
        <w:jc w:val="left"/>
      </w:pPr>
      <w:r>
        <w:rPr>
          <w:u w:val="single"/>
        </w:rPr>
        <w:lastRenderedPageBreak/>
        <w:t>Interações com os precursores do ácido micofenólico</w:t>
      </w:r>
    </w:p>
    <w:p w:rsidR="00A94DA2" w:rsidRDefault="00DC0F69">
      <w:pPr>
        <w:pStyle w:val="Corpodetexto"/>
        <w:spacing w:before="1"/>
        <w:ind w:right="119"/>
      </w:pPr>
      <w:r>
        <w:t>Não são de importância clínica, embora haja relatos que assinalam maior área sob a curva (ASC) de micofenolato em associação com sirolimo do que com ciclosporina. Este dado sugere a necessidade de reduzir a dose do medicamento em pacientes que estiverem ta</w:t>
      </w:r>
      <w:r>
        <w:t>mbém em uso de sirolimo. Em razão do mecanismo de ação do micofenolato, sua associação com azatioprina é contraindicada.</w:t>
      </w:r>
    </w:p>
    <w:p w:rsidR="00A94DA2" w:rsidRDefault="00DC0F69">
      <w:pPr>
        <w:pStyle w:val="Corpodetexto"/>
        <w:jc w:val="left"/>
      </w:pPr>
      <w:r>
        <w:rPr>
          <w:u w:val="single"/>
        </w:rPr>
        <w:t>Interações com sirolimo</w:t>
      </w:r>
    </w:p>
    <w:p w:rsidR="00A94DA2" w:rsidRDefault="00DC0F69">
      <w:pPr>
        <w:pStyle w:val="Corpodetexto"/>
        <w:spacing w:before="1"/>
        <w:ind w:right="121"/>
        <w:jc w:val="left"/>
      </w:pPr>
      <w:r>
        <w:t>A administração de sirolimo com indutores, como anticonvulsivantes, rifampicina, isoniazida, ou inibidores do c</w:t>
      </w:r>
      <w:r>
        <w:t>itocromo P450 3A, como alguns antifúngicos, inibidores dos canais de cálcio, antibióticos macrolídeos, pode ocasionar interações significativas, devendo ser feita com adequado reajuste de dose.</w:t>
      </w:r>
    </w:p>
    <w:p w:rsidR="00A94DA2" w:rsidRDefault="00DC0F69">
      <w:pPr>
        <w:pStyle w:val="Corpodetexto"/>
        <w:spacing w:line="183" w:lineRule="exact"/>
        <w:jc w:val="left"/>
      </w:pPr>
      <w:r>
        <w:rPr>
          <w:u w:val="single"/>
        </w:rPr>
        <w:t>Interações com everolimo</w:t>
      </w:r>
    </w:p>
    <w:p w:rsidR="00A94DA2" w:rsidRDefault="00DC0F69">
      <w:pPr>
        <w:pStyle w:val="Corpodetexto"/>
        <w:spacing w:before="1"/>
        <w:jc w:val="left"/>
      </w:pPr>
      <w:r>
        <w:t>A administração de everolimo com indu</w:t>
      </w:r>
      <w:r>
        <w:t>tores, como anticonvulsivantes (por exemplo, fenitoína), barbituratos, rifampicina, entre outros agentes, ou com inibidores do citocromo CYP3A4, como antibióticos macrolídeos, cloranfenicol, antifúngicos, pode ocasionar interações significativas, devendo s</w:t>
      </w:r>
      <w:r>
        <w:t>er feita com adequado ajuste de dose.</w:t>
      </w:r>
    </w:p>
    <w:p w:rsidR="00A94DA2" w:rsidRDefault="00A94DA2">
      <w:pPr>
        <w:pStyle w:val="Corpodetexto"/>
        <w:ind w:left="0"/>
        <w:jc w:val="left"/>
      </w:pPr>
    </w:p>
    <w:p w:rsidR="00A94DA2" w:rsidRDefault="00DC0F69">
      <w:pPr>
        <w:pStyle w:val="PargrafodaLista"/>
        <w:numPr>
          <w:ilvl w:val="0"/>
          <w:numId w:val="3"/>
        </w:numPr>
        <w:tabs>
          <w:tab w:val="left" w:pos="220"/>
        </w:tabs>
        <w:spacing w:line="183" w:lineRule="exact"/>
        <w:ind w:left="219" w:hanging="113"/>
        <w:rPr>
          <w:sz w:val="16"/>
        </w:rPr>
      </w:pPr>
      <w:r>
        <w:rPr>
          <w:sz w:val="16"/>
        </w:rPr>
        <w:t>R</w:t>
      </w:r>
      <w:r>
        <w:rPr>
          <w:sz w:val="13"/>
        </w:rPr>
        <w:t>EGULAÇÃO</w:t>
      </w:r>
      <w:r>
        <w:rPr>
          <w:sz w:val="16"/>
        </w:rPr>
        <w:t xml:space="preserve">, </w:t>
      </w:r>
      <w:r>
        <w:rPr>
          <w:sz w:val="13"/>
        </w:rPr>
        <w:t>CONTROLE E AVALIAÇÃO PELO</w:t>
      </w:r>
      <w:r>
        <w:rPr>
          <w:spacing w:val="-3"/>
          <w:sz w:val="13"/>
        </w:rPr>
        <w:t xml:space="preserve"> </w:t>
      </w:r>
      <w:r>
        <w:rPr>
          <w:sz w:val="13"/>
        </w:rPr>
        <w:t>GESTOR</w:t>
      </w:r>
    </w:p>
    <w:p w:rsidR="00A94DA2" w:rsidRDefault="00DC0F69">
      <w:pPr>
        <w:pStyle w:val="Corpodetexto"/>
        <w:jc w:val="left"/>
      </w:pPr>
      <w:r>
        <w:t>Devem ser observados os critérios de inclusão e exclusão de pacientes neste Protocolo, a duração e a monitorização do tratamento, bem como a verificação periódica das doses prescritas e dispensadas e a adequação de uso dos medicamentos.</w:t>
      </w:r>
    </w:p>
    <w:p w:rsidR="00A94DA2" w:rsidRDefault="00DC0F69">
      <w:pPr>
        <w:pStyle w:val="Corpodetexto"/>
        <w:ind w:right="120"/>
      </w:pPr>
      <w:r>
        <w:t>Pacientes transplan</w:t>
      </w:r>
      <w:r>
        <w:t>tados de rim devem ser atendidos em serviços especializados, integrantes do Sistema Nacional de Transplantes, para sua adequada inclusão neste Protocolo e acompanhamento. Pacientes sensibilizados devem ser atendidos em hospitais adequadamente equipados, is</w:t>
      </w:r>
      <w:r>
        <w:t xml:space="preserve">to é, que tenham condições de pesquisa de C4d </w:t>
      </w:r>
      <w:r>
        <w:rPr>
          <w:spacing w:val="-3"/>
        </w:rPr>
        <w:t xml:space="preserve">em </w:t>
      </w:r>
      <w:r>
        <w:t>biópsias do enxerto e laboratório de imunologia equipado para pesquisar autoanticorpos específicos anti-HLA e para realizar prova cruzada por métodos mais sensíveis  do que o da</w:t>
      </w:r>
      <w:r>
        <w:rPr>
          <w:spacing w:val="-7"/>
        </w:rPr>
        <w:t xml:space="preserve"> </w:t>
      </w:r>
      <w:r>
        <w:t>citotoxicidade.</w:t>
      </w:r>
    </w:p>
    <w:p w:rsidR="00A94DA2" w:rsidRDefault="00A94DA2">
      <w:pPr>
        <w:pStyle w:val="Corpodetexto"/>
        <w:ind w:left="0"/>
        <w:jc w:val="left"/>
      </w:pPr>
    </w:p>
    <w:p w:rsidR="00A94DA2" w:rsidRDefault="00DC0F69">
      <w:pPr>
        <w:pStyle w:val="PargrafodaLista"/>
        <w:numPr>
          <w:ilvl w:val="0"/>
          <w:numId w:val="3"/>
        </w:numPr>
        <w:tabs>
          <w:tab w:val="left" w:pos="301"/>
        </w:tabs>
        <w:spacing w:line="183" w:lineRule="exact"/>
        <w:ind w:left="300" w:hanging="194"/>
        <w:rPr>
          <w:sz w:val="16"/>
        </w:rPr>
      </w:pPr>
      <w:r>
        <w:rPr>
          <w:sz w:val="16"/>
        </w:rPr>
        <w:t>T</w:t>
      </w:r>
      <w:r>
        <w:rPr>
          <w:sz w:val="13"/>
        </w:rPr>
        <w:t>ERMO DE ESC</w:t>
      </w:r>
      <w:r>
        <w:rPr>
          <w:sz w:val="13"/>
        </w:rPr>
        <w:t xml:space="preserve">LARECIMENTO E RESPONSABILIDADE </w:t>
      </w:r>
      <w:r>
        <w:rPr>
          <w:sz w:val="16"/>
        </w:rPr>
        <w:t>–</w:t>
      </w:r>
      <w:r>
        <w:rPr>
          <w:spacing w:val="-4"/>
          <w:sz w:val="16"/>
        </w:rPr>
        <w:t xml:space="preserve"> </w:t>
      </w:r>
      <w:r>
        <w:rPr>
          <w:sz w:val="13"/>
        </w:rPr>
        <w:t>TER</w:t>
      </w:r>
    </w:p>
    <w:p w:rsidR="00A94DA2" w:rsidRDefault="00DC0F69">
      <w:pPr>
        <w:pStyle w:val="Corpodetexto"/>
        <w:jc w:val="left"/>
      </w:pPr>
      <w:r>
        <w:t>É obrigatória a informação ao paciente ou a seu responsável legal dos potenciais riscos, benefícios e efeitos adversos relacionados ao uso dos medicamentos preconizados neste protocolo. O TER é obrigatório ao se prescre</w:t>
      </w:r>
      <w:r>
        <w:t>ver medicamento do Componente Especializado da Assistência Farmacêutica.</w:t>
      </w:r>
    </w:p>
    <w:p w:rsidR="00A94DA2" w:rsidRDefault="00A94DA2">
      <w:pPr>
        <w:pStyle w:val="Corpodetexto"/>
        <w:ind w:left="0"/>
        <w:jc w:val="left"/>
      </w:pPr>
    </w:p>
    <w:p w:rsidR="00A94DA2" w:rsidRDefault="00DC0F69">
      <w:pPr>
        <w:pStyle w:val="PargrafodaLista"/>
        <w:numPr>
          <w:ilvl w:val="0"/>
          <w:numId w:val="3"/>
        </w:numPr>
        <w:tabs>
          <w:tab w:val="left" w:pos="301"/>
        </w:tabs>
        <w:ind w:left="300" w:hanging="194"/>
        <w:rPr>
          <w:sz w:val="16"/>
        </w:rPr>
      </w:pPr>
      <w:r>
        <w:rPr>
          <w:sz w:val="16"/>
        </w:rPr>
        <w:t>R</w:t>
      </w:r>
      <w:r>
        <w:rPr>
          <w:sz w:val="13"/>
        </w:rPr>
        <w:t>EFERÊNCIAS</w:t>
      </w:r>
    </w:p>
    <w:p w:rsidR="00A94DA2" w:rsidRDefault="00DC0F69">
      <w:pPr>
        <w:pStyle w:val="PargrafodaLista"/>
        <w:numPr>
          <w:ilvl w:val="0"/>
          <w:numId w:val="1"/>
        </w:numPr>
        <w:tabs>
          <w:tab w:val="left" w:pos="270"/>
        </w:tabs>
        <w:spacing w:before="1"/>
        <w:ind w:right="124" w:firstLine="0"/>
        <w:rPr>
          <w:sz w:val="16"/>
        </w:rPr>
      </w:pPr>
      <w:r w:rsidRPr="00DC0F69">
        <w:rPr>
          <w:sz w:val="16"/>
          <w:lang w:val="en-US"/>
        </w:rPr>
        <w:t xml:space="preserve">Sesso R, Eisenberg JM, Stabile C, Draibe S, Ajzen H, Ramos O. Cost-effectiveness analysis of the treatment of end-stage renal disease in Brazil. </w:t>
      </w:r>
      <w:r>
        <w:rPr>
          <w:sz w:val="16"/>
        </w:rPr>
        <w:t>Int J Technol Assess Heal</w:t>
      </w:r>
      <w:r>
        <w:rPr>
          <w:sz w:val="16"/>
        </w:rPr>
        <w:t>th Care.</w:t>
      </w:r>
      <w:r>
        <w:rPr>
          <w:spacing w:val="1"/>
          <w:sz w:val="16"/>
        </w:rPr>
        <w:t xml:space="preserve"> </w:t>
      </w:r>
      <w:r>
        <w:rPr>
          <w:sz w:val="16"/>
        </w:rPr>
        <w:t>1990;6(1):107-14.</w:t>
      </w:r>
    </w:p>
    <w:p w:rsidR="00A94DA2" w:rsidRPr="00DC0F69" w:rsidRDefault="00DC0F69">
      <w:pPr>
        <w:pStyle w:val="PargrafodaLista"/>
        <w:numPr>
          <w:ilvl w:val="0"/>
          <w:numId w:val="1"/>
        </w:numPr>
        <w:tabs>
          <w:tab w:val="left" w:pos="268"/>
        </w:tabs>
        <w:ind w:right="119" w:firstLine="0"/>
        <w:rPr>
          <w:sz w:val="16"/>
          <w:lang w:val="en-US"/>
        </w:rPr>
      </w:pPr>
      <w:r>
        <w:rPr>
          <w:sz w:val="16"/>
        </w:rPr>
        <w:t xml:space="preserve">Brasil. Ministério da Saúde. DATASUS: Sistema de Informações Hospitalares do SUS (SIH/SUS); 2014 [26 May, 2014]. </w:t>
      </w:r>
      <w:r w:rsidRPr="00DC0F69">
        <w:rPr>
          <w:sz w:val="16"/>
          <w:lang w:val="en-US"/>
        </w:rPr>
        <w:t>Available from: http://tabnet.datasus.gov.br/cgi/tabcgi.exe?sih/cnv/qiuf.def.</w:t>
      </w:r>
    </w:p>
    <w:p w:rsidR="00A94DA2" w:rsidRPr="00DC0F69" w:rsidRDefault="00DC0F69">
      <w:pPr>
        <w:pStyle w:val="PargrafodaLista"/>
        <w:numPr>
          <w:ilvl w:val="0"/>
          <w:numId w:val="1"/>
        </w:numPr>
        <w:tabs>
          <w:tab w:val="left" w:pos="270"/>
        </w:tabs>
        <w:spacing w:before="1"/>
        <w:ind w:right="123" w:firstLine="0"/>
        <w:rPr>
          <w:sz w:val="16"/>
          <w:lang w:val="en-US"/>
        </w:rPr>
      </w:pPr>
      <w:r w:rsidRPr="00DC0F69">
        <w:rPr>
          <w:sz w:val="16"/>
          <w:lang w:val="en-US"/>
        </w:rPr>
        <w:t>Hardinger K, Brennan DC. Maintenance i</w:t>
      </w:r>
      <w:r w:rsidRPr="00DC0F69">
        <w:rPr>
          <w:sz w:val="16"/>
          <w:lang w:val="en-US"/>
        </w:rPr>
        <w:t>mmunosuppressive therapy in renal transplantation in adults: UpToDate; 2002 [26 May, 2014]. Available from:</w:t>
      </w:r>
      <w:hyperlink r:id="rId7">
        <w:r w:rsidRPr="00DC0F69">
          <w:rPr>
            <w:sz w:val="16"/>
            <w:lang w:val="en-US"/>
          </w:rPr>
          <w:t xml:space="preserve"> http://www.uptodate.com</w:t>
        </w:r>
        <w:r w:rsidRPr="00DC0F69">
          <w:rPr>
            <w:sz w:val="16"/>
            <w:lang w:val="en-US"/>
          </w:rPr>
          <w:t>/contents/maintenance-immunosuppressive-therapy-in-renal-transplantation-in-adults.</w:t>
        </w:r>
      </w:hyperlink>
    </w:p>
    <w:p w:rsidR="00A94DA2" w:rsidRPr="00DC0F69" w:rsidRDefault="00DC0F69">
      <w:pPr>
        <w:pStyle w:val="PargrafodaLista"/>
        <w:numPr>
          <w:ilvl w:val="0"/>
          <w:numId w:val="1"/>
        </w:numPr>
        <w:tabs>
          <w:tab w:val="left" w:pos="270"/>
        </w:tabs>
        <w:ind w:right="124" w:firstLine="0"/>
        <w:rPr>
          <w:sz w:val="16"/>
          <w:lang w:val="en-US"/>
        </w:rPr>
      </w:pPr>
      <w:r w:rsidRPr="00DC0F69">
        <w:rPr>
          <w:sz w:val="16"/>
          <w:lang w:val="en-US"/>
        </w:rPr>
        <w:t>Vella J, Brennan DC. Induction immunosuppressive therapy in renal transplantation in adults: UpToDate; 2011 [26 May, 2014 ]. Available from:</w:t>
      </w:r>
      <w:hyperlink r:id="rId8">
        <w:r w:rsidRPr="00DC0F69">
          <w:rPr>
            <w:sz w:val="16"/>
            <w:lang w:val="en-US"/>
          </w:rPr>
          <w:t xml:space="preserve"> http://www.uptodate.com/contents/induction-immunosuppressive-therapy-in-renal-transplantation-in-adults.</w:t>
        </w:r>
      </w:hyperlink>
    </w:p>
    <w:p w:rsidR="00A94DA2" w:rsidRDefault="00DC0F69">
      <w:pPr>
        <w:pStyle w:val="PargrafodaLista"/>
        <w:numPr>
          <w:ilvl w:val="0"/>
          <w:numId w:val="1"/>
        </w:numPr>
        <w:tabs>
          <w:tab w:val="left" w:pos="270"/>
        </w:tabs>
        <w:ind w:right="125" w:firstLine="0"/>
        <w:rPr>
          <w:sz w:val="16"/>
        </w:rPr>
      </w:pPr>
      <w:r w:rsidRPr="00DC0F69">
        <w:rPr>
          <w:sz w:val="16"/>
          <w:lang w:val="en-US"/>
        </w:rPr>
        <w:t>Lubowitz H, Slatopolsky E, Sh</w:t>
      </w:r>
      <w:r w:rsidRPr="00DC0F69">
        <w:rPr>
          <w:sz w:val="16"/>
          <w:lang w:val="en-US"/>
        </w:rPr>
        <w:t xml:space="preserve">ankel S, Rieselbach RE, Bricker NS. Glomerular filtration rate. Determination in patients with chronic renal disease. </w:t>
      </w:r>
      <w:r>
        <w:rPr>
          <w:sz w:val="16"/>
        </w:rPr>
        <w:t>JAMA. 1967;199(4):252-6.</w:t>
      </w:r>
    </w:p>
    <w:p w:rsidR="00A94DA2" w:rsidRDefault="00DC0F69">
      <w:pPr>
        <w:pStyle w:val="PargrafodaLista"/>
        <w:numPr>
          <w:ilvl w:val="0"/>
          <w:numId w:val="1"/>
        </w:numPr>
        <w:tabs>
          <w:tab w:val="left" w:pos="268"/>
        </w:tabs>
        <w:spacing w:line="183" w:lineRule="exact"/>
        <w:ind w:left="267" w:hanging="161"/>
        <w:rPr>
          <w:sz w:val="16"/>
        </w:rPr>
      </w:pPr>
      <w:r w:rsidRPr="00DC0F69">
        <w:rPr>
          <w:sz w:val="16"/>
          <w:lang w:val="en-US"/>
        </w:rPr>
        <w:t xml:space="preserve">Cockcroft DW, Gault MH. Prediction of creatinine clearance from serum creatinine. </w:t>
      </w:r>
      <w:r>
        <w:rPr>
          <w:sz w:val="16"/>
        </w:rPr>
        <w:t>Nephron.</w:t>
      </w:r>
      <w:r>
        <w:rPr>
          <w:spacing w:val="-9"/>
          <w:sz w:val="16"/>
        </w:rPr>
        <w:t xml:space="preserve"> </w:t>
      </w:r>
      <w:r>
        <w:rPr>
          <w:sz w:val="16"/>
        </w:rPr>
        <w:t>1976;16(1):31-41.</w:t>
      </w:r>
    </w:p>
    <w:p w:rsidR="00A94DA2" w:rsidRPr="00DC0F69" w:rsidRDefault="00DC0F69">
      <w:pPr>
        <w:pStyle w:val="PargrafodaLista"/>
        <w:numPr>
          <w:ilvl w:val="0"/>
          <w:numId w:val="1"/>
        </w:numPr>
        <w:tabs>
          <w:tab w:val="left" w:pos="268"/>
          <w:tab w:val="left" w:pos="914"/>
          <w:tab w:val="left" w:pos="1257"/>
          <w:tab w:val="left" w:pos="1814"/>
          <w:tab w:val="left" w:pos="2260"/>
          <w:tab w:val="left" w:pos="3159"/>
          <w:tab w:val="left" w:pos="3495"/>
          <w:tab w:val="left" w:pos="4658"/>
          <w:tab w:val="left" w:pos="6015"/>
          <w:tab w:val="left" w:pos="6827"/>
          <w:tab w:val="left" w:pos="7748"/>
          <w:tab w:val="left" w:pos="8271"/>
          <w:tab w:val="left" w:pos="8688"/>
          <w:tab w:val="left" w:pos="9225"/>
          <w:tab w:val="left" w:pos="9841"/>
          <w:tab w:val="left" w:pos="10664"/>
        </w:tabs>
        <w:ind w:right="123" w:firstLine="0"/>
        <w:rPr>
          <w:sz w:val="16"/>
          <w:lang w:val="en-US"/>
        </w:rPr>
      </w:pPr>
      <w:r w:rsidRPr="00DC0F69">
        <w:rPr>
          <w:sz w:val="16"/>
          <w:lang w:val="en-US"/>
        </w:rPr>
        <w:t>Ramo</w:t>
      </w:r>
      <w:r w:rsidRPr="00DC0F69">
        <w:rPr>
          <w:sz w:val="16"/>
          <w:lang w:val="en-US"/>
        </w:rPr>
        <w:t>s</w:t>
      </w:r>
      <w:r w:rsidRPr="00DC0F69">
        <w:rPr>
          <w:sz w:val="16"/>
          <w:lang w:val="en-US"/>
        </w:rPr>
        <w:tab/>
        <w:t>E,</w:t>
      </w:r>
      <w:r w:rsidRPr="00DC0F69">
        <w:rPr>
          <w:sz w:val="16"/>
          <w:lang w:val="en-US"/>
        </w:rPr>
        <w:tab/>
        <w:t>Klein</w:t>
      </w:r>
      <w:r w:rsidRPr="00DC0F69">
        <w:rPr>
          <w:sz w:val="16"/>
          <w:lang w:val="en-US"/>
        </w:rPr>
        <w:tab/>
        <w:t>CL.</w:t>
      </w:r>
      <w:r w:rsidRPr="00DC0F69">
        <w:rPr>
          <w:sz w:val="16"/>
          <w:lang w:val="en-US"/>
        </w:rPr>
        <w:tab/>
        <w:t>Evaluation</w:t>
      </w:r>
      <w:r w:rsidRPr="00DC0F69">
        <w:rPr>
          <w:sz w:val="16"/>
          <w:lang w:val="en-US"/>
        </w:rPr>
        <w:tab/>
        <w:t>of</w:t>
      </w:r>
      <w:r w:rsidRPr="00DC0F69">
        <w:rPr>
          <w:sz w:val="16"/>
          <w:lang w:val="en-US"/>
        </w:rPr>
        <w:tab/>
        <w:t xml:space="preserve">the   </w:t>
      </w:r>
      <w:r w:rsidRPr="00DC0F69">
        <w:rPr>
          <w:spacing w:val="37"/>
          <w:sz w:val="16"/>
          <w:lang w:val="en-US"/>
        </w:rPr>
        <w:t xml:space="preserve"> </w:t>
      </w:r>
      <w:r w:rsidRPr="00DC0F69">
        <w:rPr>
          <w:sz w:val="16"/>
          <w:lang w:val="en-US"/>
        </w:rPr>
        <w:t>potential</w:t>
      </w:r>
      <w:r w:rsidRPr="00DC0F69">
        <w:rPr>
          <w:sz w:val="16"/>
          <w:lang w:val="en-US"/>
        </w:rPr>
        <w:tab/>
        <w:t xml:space="preserve">renal   </w:t>
      </w:r>
      <w:r w:rsidRPr="00DC0F69">
        <w:rPr>
          <w:spacing w:val="36"/>
          <w:sz w:val="16"/>
          <w:lang w:val="en-US"/>
        </w:rPr>
        <w:t xml:space="preserve"> </w:t>
      </w:r>
      <w:r w:rsidRPr="00DC0F69">
        <w:rPr>
          <w:sz w:val="16"/>
          <w:lang w:val="en-US"/>
        </w:rPr>
        <w:t>transplant</w:t>
      </w:r>
      <w:r w:rsidRPr="00DC0F69">
        <w:rPr>
          <w:sz w:val="16"/>
          <w:lang w:val="en-US"/>
        </w:rPr>
        <w:tab/>
        <w:t>recipient:</w:t>
      </w:r>
      <w:r w:rsidRPr="00DC0F69">
        <w:rPr>
          <w:sz w:val="16"/>
          <w:lang w:val="en-US"/>
        </w:rPr>
        <w:tab/>
        <w:t>UpToDate;</w:t>
      </w:r>
      <w:r w:rsidRPr="00DC0F69">
        <w:rPr>
          <w:sz w:val="16"/>
          <w:lang w:val="en-US"/>
        </w:rPr>
        <w:tab/>
        <w:t>2012</w:t>
      </w:r>
      <w:r w:rsidRPr="00DC0F69">
        <w:rPr>
          <w:sz w:val="16"/>
          <w:lang w:val="en-US"/>
        </w:rPr>
        <w:tab/>
        <w:t>[26</w:t>
      </w:r>
      <w:r w:rsidRPr="00DC0F69">
        <w:rPr>
          <w:sz w:val="16"/>
          <w:lang w:val="en-US"/>
        </w:rPr>
        <w:tab/>
        <w:t>May,</w:t>
      </w:r>
      <w:r w:rsidRPr="00DC0F69">
        <w:rPr>
          <w:sz w:val="16"/>
          <w:lang w:val="en-US"/>
        </w:rPr>
        <w:tab/>
        <w:t>2014].</w:t>
      </w:r>
      <w:r w:rsidRPr="00DC0F69">
        <w:rPr>
          <w:sz w:val="16"/>
          <w:lang w:val="en-US"/>
        </w:rPr>
        <w:tab/>
        <w:t>Available</w:t>
      </w:r>
      <w:r w:rsidRPr="00DC0F69">
        <w:rPr>
          <w:sz w:val="16"/>
          <w:lang w:val="en-US"/>
        </w:rPr>
        <w:tab/>
        <w:t>from:</w:t>
      </w:r>
      <w:hyperlink r:id="rId9">
        <w:r w:rsidRPr="00DC0F69">
          <w:rPr>
            <w:sz w:val="16"/>
            <w:lang w:val="en-US"/>
          </w:rPr>
          <w:t xml:space="preserve"> http://www.uptodate.com/c</w:t>
        </w:r>
        <w:r w:rsidRPr="00DC0F69">
          <w:rPr>
            <w:sz w:val="16"/>
            <w:lang w:val="en-US"/>
          </w:rPr>
          <w:t>ontents/evaluation-of-the-potential-renal-transplant-recipient.</w:t>
        </w:r>
      </w:hyperlink>
    </w:p>
    <w:p w:rsidR="00A94DA2" w:rsidRDefault="00DC0F69">
      <w:pPr>
        <w:pStyle w:val="PargrafodaLista"/>
        <w:numPr>
          <w:ilvl w:val="0"/>
          <w:numId w:val="1"/>
        </w:numPr>
        <w:tabs>
          <w:tab w:val="left" w:pos="270"/>
        </w:tabs>
        <w:spacing w:before="1"/>
        <w:ind w:right="121" w:firstLine="0"/>
        <w:rPr>
          <w:sz w:val="16"/>
        </w:rPr>
      </w:pPr>
      <w:r w:rsidRPr="00DC0F69">
        <w:rPr>
          <w:sz w:val="16"/>
          <w:lang w:val="en-US"/>
        </w:rPr>
        <w:t xml:space="preserve">Knoll G, Cockfield S, Blydt-Hansen T, Baran D, Kiberd B, Landsberg D, et al. Canadian Society of Transplantation consensus guidelines on eligibility for kidney transplantation. </w:t>
      </w:r>
      <w:r>
        <w:rPr>
          <w:sz w:val="16"/>
        </w:rPr>
        <w:t>CMAJ.</w:t>
      </w:r>
      <w:r>
        <w:rPr>
          <w:spacing w:val="-2"/>
          <w:sz w:val="16"/>
        </w:rPr>
        <w:t xml:space="preserve"> </w:t>
      </w:r>
      <w:r>
        <w:rPr>
          <w:sz w:val="16"/>
        </w:rPr>
        <w:t>2005;173(10):1181-4.</w:t>
      </w:r>
    </w:p>
    <w:p w:rsidR="00A94DA2" w:rsidRDefault="00DC0F69">
      <w:pPr>
        <w:pStyle w:val="PargrafodaLista"/>
        <w:numPr>
          <w:ilvl w:val="0"/>
          <w:numId w:val="1"/>
        </w:numPr>
        <w:tabs>
          <w:tab w:val="left" w:pos="270"/>
        </w:tabs>
        <w:ind w:right="119" w:firstLine="0"/>
        <w:rPr>
          <w:sz w:val="16"/>
        </w:rPr>
      </w:pPr>
      <w:r w:rsidRPr="00DC0F69">
        <w:rPr>
          <w:sz w:val="16"/>
          <w:lang w:val="en-US"/>
        </w:rPr>
        <w:t xml:space="preserve">Solez K, Colvin RB, Racusen LC, Haas M, Sis B, Mengel M, et al. Banff 07 classification of renal allograft pathology: updates and future directions. </w:t>
      </w:r>
      <w:r>
        <w:rPr>
          <w:sz w:val="16"/>
        </w:rPr>
        <w:t>Am J Transplant. 2008;8(4):753-60.</w:t>
      </w:r>
    </w:p>
    <w:p w:rsidR="00A94DA2" w:rsidRPr="00DC0F69" w:rsidRDefault="00DC0F69">
      <w:pPr>
        <w:pStyle w:val="PargrafodaLista"/>
        <w:numPr>
          <w:ilvl w:val="0"/>
          <w:numId w:val="1"/>
        </w:numPr>
        <w:tabs>
          <w:tab w:val="left" w:pos="349"/>
        </w:tabs>
        <w:ind w:right="126" w:firstLine="0"/>
        <w:rPr>
          <w:sz w:val="16"/>
          <w:lang w:val="en-US"/>
        </w:rPr>
      </w:pPr>
      <w:r>
        <w:rPr>
          <w:sz w:val="16"/>
        </w:rPr>
        <w:t>Gomes AM, Pedroso S, Martins LS, Malheiro J, Viscay</w:t>
      </w:r>
      <w:r>
        <w:rPr>
          <w:sz w:val="16"/>
        </w:rPr>
        <w:t xml:space="preserve">no JR, Santos J, et al. </w:t>
      </w:r>
      <w:r w:rsidRPr="00DC0F69">
        <w:rPr>
          <w:sz w:val="16"/>
          <w:lang w:val="en-US"/>
        </w:rPr>
        <w:t>Diagnosis and treatment of acute humoral kidney allograft rejection. Transplant Proc. 2009;41(3):855-8.</w:t>
      </w:r>
    </w:p>
    <w:p w:rsidR="00A94DA2" w:rsidRDefault="00DC0F69">
      <w:pPr>
        <w:pStyle w:val="PargrafodaLista"/>
        <w:numPr>
          <w:ilvl w:val="0"/>
          <w:numId w:val="1"/>
        </w:numPr>
        <w:tabs>
          <w:tab w:val="left" w:pos="347"/>
        </w:tabs>
        <w:ind w:right="129" w:firstLine="0"/>
        <w:rPr>
          <w:sz w:val="16"/>
        </w:rPr>
      </w:pPr>
      <w:r w:rsidRPr="00DC0F69">
        <w:rPr>
          <w:sz w:val="16"/>
          <w:lang w:val="en-US"/>
        </w:rPr>
        <w:t>Monaco AP, Burke JF, Jr., Ferguson RM, Halloran PF, Kahan BD, Light JA, et al. Current thinking on chronic renal allograft rejec</w:t>
      </w:r>
      <w:r w:rsidRPr="00DC0F69">
        <w:rPr>
          <w:sz w:val="16"/>
          <w:lang w:val="en-US"/>
        </w:rPr>
        <w:t xml:space="preserve">tion: issues, concerns, and recommendations from a 1997 roundtable discussion. </w:t>
      </w:r>
      <w:r>
        <w:rPr>
          <w:sz w:val="16"/>
        </w:rPr>
        <w:t>Am J Kidney Dis.</w:t>
      </w:r>
      <w:r>
        <w:rPr>
          <w:spacing w:val="-14"/>
          <w:sz w:val="16"/>
        </w:rPr>
        <w:t xml:space="preserve"> </w:t>
      </w:r>
      <w:r>
        <w:rPr>
          <w:sz w:val="16"/>
        </w:rPr>
        <w:t>1999;33(1):150-60.</w:t>
      </w:r>
    </w:p>
    <w:p w:rsidR="00A94DA2" w:rsidRDefault="00DC0F69">
      <w:pPr>
        <w:pStyle w:val="PargrafodaLista"/>
        <w:numPr>
          <w:ilvl w:val="0"/>
          <w:numId w:val="1"/>
        </w:numPr>
        <w:tabs>
          <w:tab w:val="left" w:pos="349"/>
        </w:tabs>
        <w:ind w:right="126" w:firstLine="0"/>
        <w:rPr>
          <w:sz w:val="16"/>
        </w:rPr>
      </w:pPr>
      <w:r w:rsidRPr="00DC0F69">
        <w:rPr>
          <w:sz w:val="16"/>
          <w:lang w:val="en-US"/>
        </w:rPr>
        <w:t>Yakupoglu U, Baranowska-Daca E, Rosen D, Barrios R, Suki WN, Truong LD. Post-transplant nephrotic syndrome: A comprehensive clinicopathologic</w:t>
      </w:r>
      <w:r w:rsidRPr="00DC0F69">
        <w:rPr>
          <w:sz w:val="16"/>
          <w:lang w:val="en-US"/>
        </w:rPr>
        <w:t xml:space="preserve"> study. </w:t>
      </w:r>
      <w:r>
        <w:rPr>
          <w:sz w:val="16"/>
        </w:rPr>
        <w:t>Kidney Int.</w:t>
      </w:r>
      <w:r>
        <w:rPr>
          <w:spacing w:val="-1"/>
          <w:sz w:val="16"/>
        </w:rPr>
        <w:t xml:space="preserve"> </w:t>
      </w:r>
      <w:r>
        <w:rPr>
          <w:sz w:val="16"/>
        </w:rPr>
        <w:t>2004;65(6):2360-70.</w:t>
      </w:r>
    </w:p>
    <w:p w:rsidR="00A94DA2" w:rsidRPr="00DC0F69" w:rsidRDefault="00DC0F69">
      <w:pPr>
        <w:pStyle w:val="PargrafodaLista"/>
        <w:numPr>
          <w:ilvl w:val="0"/>
          <w:numId w:val="1"/>
        </w:numPr>
        <w:tabs>
          <w:tab w:val="left" w:pos="349"/>
        </w:tabs>
        <w:ind w:right="122" w:firstLine="0"/>
        <w:rPr>
          <w:sz w:val="16"/>
          <w:lang w:val="en-US"/>
        </w:rPr>
      </w:pPr>
      <w:r w:rsidRPr="00DC0F69">
        <w:rPr>
          <w:sz w:val="16"/>
          <w:lang w:val="en-US"/>
        </w:rPr>
        <w:t>Klein CL, Brennan DC. C4d staining in renal allografts and treatment of antibody mediated rejection: UpToDate; 2009 [26 May, 2014 ]. Available from:</w:t>
      </w:r>
      <w:hyperlink r:id="rId10">
        <w:r w:rsidRPr="00DC0F69">
          <w:rPr>
            <w:sz w:val="16"/>
            <w:lang w:val="en-US"/>
          </w:rPr>
          <w:t xml:space="preserve"> http://www.uptodate.com/contents/c4d-staining-in-renal-allografts-and-treatment-of-antibody-mediated-rejection.</w:t>
        </w:r>
      </w:hyperlink>
    </w:p>
    <w:p w:rsidR="00A94DA2" w:rsidRDefault="00DC0F69">
      <w:pPr>
        <w:pStyle w:val="PargrafodaLista"/>
        <w:numPr>
          <w:ilvl w:val="0"/>
          <w:numId w:val="1"/>
        </w:numPr>
        <w:tabs>
          <w:tab w:val="left" w:pos="349"/>
        </w:tabs>
        <w:ind w:right="114" w:firstLine="0"/>
        <w:rPr>
          <w:sz w:val="16"/>
        </w:rPr>
      </w:pPr>
      <w:r w:rsidRPr="00DC0F69">
        <w:rPr>
          <w:sz w:val="16"/>
          <w:lang w:val="en-US"/>
        </w:rPr>
        <w:t xml:space="preserve">Szczech </w:t>
      </w:r>
      <w:r w:rsidRPr="00DC0F69">
        <w:rPr>
          <w:spacing w:val="-3"/>
          <w:sz w:val="16"/>
          <w:lang w:val="en-US"/>
        </w:rPr>
        <w:t xml:space="preserve">LA, </w:t>
      </w:r>
      <w:r w:rsidRPr="00DC0F69">
        <w:rPr>
          <w:sz w:val="16"/>
          <w:lang w:val="en-US"/>
        </w:rPr>
        <w:t>Ber</w:t>
      </w:r>
      <w:r w:rsidRPr="00DC0F69">
        <w:rPr>
          <w:sz w:val="16"/>
          <w:lang w:val="en-US"/>
        </w:rPr>
        <w:t xml:space="preserve">lin JA, Feldman HI. The effect of antilymphocyte induction therapy on renal allograft survival. A meta-analysis of individual patient-level data. Anti- Lymphocyte Antibody Induction Therapy Study Group. </w:t>
      </w:r>
      <w:r>
        <w:rPr>
          <w:sz w:val="16"/>
        </w:rPr>
        <w:t>Ann Intern Med.</w:t>
      </w:r>
      <w:r>
        <w:rPr>
          <w:spacing w:val="-10"/>
          <w:sz w:val="16"/>
        </w:rPr>
        <w:t xml:space="preserve"> </w:t>
      </w:r>
      <w:r>
        <w:rPr>
          <w:sz w:val="16"/>
        </w:rPr>
        <w:t>1998;128(10):817-26.</w:t>
      </w:r>
    </w:p>
    <w:p w:rsidR="00A94DA2" w:rsidRDefault="00DC0F69">
      <w:pPr>
        <w:pStyle w:val="PargrafodaLista"/>
        <w:numPr>
          <w:ilvl w:val="0"/>
          <w:numId w:val="1"/>
        </w:numPr>
        <w:tabs>
          <w:tab w:val="left" w:pos="347"/>
        </w:tabs>
        <w:ind w:right="122" w:firstLine="0"/>
        <w:rPr>
          <w:sz w:val="16"/>
        </w:rPr>
      </w:pPr>
      <w:r w:rsidRPr="00DC0F69">
        <w:rPr>
          <w:sz w:val="16"/>
          <w:lang w:val="en-US"/>
        </w:rPr>
        <w:t>Cardella CJ, Cat</w:t>
      </w:r>
      <w:r w:rsidRPr="00DC0F69">
        <w:rPr>
          <w:sz w:val="16"/>
          <w:lang w:val="en-US"/>
        </w:rPr>
        <w:t xml:space="preserve">tran D, Fenton </w:t>
      </w:r>
      <w:r w:rsidRPr="00DC0F69">
        <w:rPr>
          <w:spacing w:val="-3"/>
          <w:sz w:val="16"/>
          <w:lang w:val="en-US"/>
        </w:rPr>
        <w:t xml:space="preserve">SA, </w:t>
      </w:r>
      <w:r w:rsidRPr="00DC0F69">
        <w:rPr>
          <w:sz w:val="16"/>
          <w:lang w:val="en-US"/>
        </w:rPr>
        <w:t xml:space="preserve">Albert S, Robinette M, Cole E. Induction therapy with rabbit antithymocyte sera reduces rejection episodes in immunologically low-risk living donor renal transplant recipients. </w:t>
      </w:r>
      <w:r>
        <w:rPr>
          <w:sz w:val="16"/>
        </w:rPr>
        <w:t>Transplant Proc.</w:t>
      </w:r>
      <w:r>
        <w:rPr>
          <w:spacing w:val="-10"/>
          <w:sz w:val="16"/>
        </w:rPr>
        <w:t xml:space="preserve"> </w:t>
      </w:r>
      <w:r>
        <w:rPr>
          <w:sz w:val="16"/>
        </w:rPr>
        <w:t>1997;29(7A):29S-31S.</w:t>
      </w:r>
    </w:p>
    <w:p w:rsidR="00A94DA2" w:rsidRDefault="00DC0F69">
      <w:pPr>
        <w:pStyle w:val="PargrafodaLista"/>
        <w:numPr>
          <w:ilvl w:val="0"/>
          <w:numId w:val="1"/>
        </w:numPr>
        <w:tabs>
          <w:tab w:val="left" w:pos="347"/>
        </w:tabs>
        <w:ind w:right="119" w:firstLine="0"/>
        <w:rPr>
          <w:sz w:val="16"/>
        </w:rPr>
      </w:pPr>
      <w:r>
        <w:rPr>
          <w:sz w:val="16"/>
        </w:rPr>
        <w:t>Matas AJ, Kandaswamy R</w:t>
      </w:r>
      <w:r>
        <w:rPr>
          <w:sz w:val="16"/>
        </w:rPr>
        <w:t xml:space="preserve">, Gillingham KJ, McHugh </w:t>
      </w:r>
      <w:r>
        <w:rPr>
          <w:spacing w:val="-3"/>
          <w:sz w:val="16"/>
        </w:rPr>
        <w:t xml:space="preserve">L, </w:t>
      </w:r>
      <w:r>
        <w:rPr>
          <w:sz w:val="16"/>
        </w:rPr>
        <w:t xml:space="preserve">Ibrahim H, Kasiske B, et al. </w:t>
      </w:r>
      <w:r w:rsidRPr="00DC0F69">
        <w:rPr>
          <w:sz w:val="16"/>
          <w:lang w:val="en-US"/>
        </w:rPr>
        <w:t>Prednisone-free maintenance immunosuppression-a 5-year experience. Am J Transplant.</w:t>
      </w:r>
      <w:r w:rsidRPr="00DC0F69">
        <w:rPr>
          <w:spacing w:val="-3"/>
          <w:sz w:val="16"/>
          <w:lang w:val="en-US"/>
        </w:rPr>
        <w:t xml:space="preserve"> </w:t>
      </w:r>
      <w:r>
        <w:rPr>
          <w:sz w:val="16"/>
        </w:rPr>
        <w:t>2005;5(10):2473-8.</w:t>
      </w:r>
    </w:p>
    <w:p w:rsidR="00A94DA2" w:rsidRDefault="00DC0F69">
      <w:pPr>
        <w:pStyle w:val="PargrafodaLista"/>
        <w:numPr>
          <w:ilvl w:val="0"/>
          <w:numId w:val="1"/>
        </w:numPr>
        <w:tabs>
          <w:tab w:val="left" w:pos="349"/>
        </w:tabs>
        <w:spacing w:before="1"/>
        <w:ind w:right="132" w:firstLine="0"/>
        <w:rPr>
          <w:sz w:val="16"/>
        </w:rPr>
      </w:pPr>
      <w:r>
        <w:rPr>
          <w:sz w:val="16"/>
        </w:rPr>
        <w:t xml:space="preserve">Luan FL, Steffick DE, Ojo AO. </w:t>
      </w:r>
      <w:r w:rsidRPr="00DC0F69">
        <w:rPr>
          <w:sz w:val="16"/>
          <w:lang w:val="en-US"/>
        </w:rPr>
        <w:t>Steroid-free maintenance immunosuppression in kidney transplantatio</w:t>
      </w:r>
      <w:r w:rsidRPr="00DC0F69">
        <w:rPr>
          <w:sz w:val="16"/>
          <w:lang w:val="en-US"/>
        </w:rPr>
        <w:t xml:space="preserve">n: is it time to consider it as a standard therapy? </w:t>
      </w:r>
      <w:r>
        <w:rPr>
          <w:sz w:val="16"/>
        </w:rPr>
        <w:t>Kidney Int. 2009;76(8):825-30.</w:t>
      </w:r>
    </w:p>
    <w:p w:rsidR="00A94DA2" w:rsidRDefault="00DC0F69">
      <w:pPr>
        <w:pStyle w:val="PargrafodaLista"/>
        <w:numPr>
          <w:ilvl w:val="0"/>
          <w:numId w:val="1"/>
        </w:numPr>
        <w:tabs>
          <w:tab w:val="left" w:pos="349"/>
        </w:tabs>
        <w:ind w:right="125" w:firstLine="0"/>
        <w:rPr>
          <w:sz w:val="16"/>
        </w:rPr>
      </w:pPr>
      <w:r>
        <w:rPr>
          <w:sz w:val="16"/>
        </w:rPr>
        <w:t xml:space="preserve">Ponticelli C, Yussim A, Cambi V, Legendre C, Rizzo G, Salvadori M, </w:t>
      </w:r>
      <w:r>
        <w:rPr>
          <w:spacing w:val="-3"/>
          <w:sz w:val="16"/>
        </w:rPr>
        <w:t xml:space="preserve">et </w:t>
      </w:r>
      <w:r>
        <w:rPr>
          <w:sz w:val="16"/>
        </w:rPr>
        <w:t xml:space="preserve">al. </w:t>
      </w:r>
      <w:r w:rsidRPr="00DC0F69">
        <w:rPr>
          <w:sz w:val="16"/>
          <w:lang w:val="en-US"/>
        </w:rPr>
        <w:t>A randomized, double-blind trial of basiliximab immunoprophylaxis plus triple therapy in kidney tra</w:t>
      </w:r>
      <w:r w:rsidRPr="00DC0F69">
        <w:rPr>
          <w:sz w:val="16"/>
          <w:lang w:val="en-US"/>
        </w:rPr>
        <w:t xml:space="preserve">nsplant recipients. </w:t>
      </w:r>
      <w:r>
        <w:rPr>
          <w:sz w:val="16"/>
        </w:rPr>
        <w:t>Transplantation.</w:t>
      </w:r>
      <w:r>
        <w:rPr>
          <w:spacing w:val="-7"/>
          <w:sz w:val="16"/>
        </w:rPr>
        <w:t xml:space="preserve"> </w:t>
      </w:r>
      <w:r>
        <w:rPr>
          <w:sz w:val="16"/>
        </w:rPr>
        <w:t>2001;72(7):1261-7.</w:t>
      </w:r>
    </w:p>
    <w:p w:rsidR="00A94DA2" w:rsidRDefault="00DC0F69">
      <w:pPr>
        <w:pStyle w:val="PargrafodaLista"/>
        <w:numPr>
          <w:ilvl w:val="0"/>
          <w:numId w:val="1"/>
        </w:numPr>
        <w:tabs>
          <w:tab w:val="left" w:pos="347"/>
        </w:tabs>
        <w:ind w:left="346" w:hanging="240"/>
        <w:rPr>
          <w:sz w:val="16"/>
        </w:rPr>
      </w:pPr>
      <w:r w:rsidRPr="00DC0F69">
        <w:rPr>
          <w:sz w:val="16"/>
          <w:lang w:val="en-US"/>
        </w:rPr>
        <w:t xml:space="preserve">McKeage K, McCormack PL. Basiliximab: a review of its use as induction therapy in renal transplantation. </w:t>
      </w:r>
      <w:r>
        <w:rPr>
          <w:sz w:val="16"/>
        </w:rPr>
        <w:t>BioDrugs.</w:t>
      </w:r>
      <w:r>
        <w:rPr>
          <w:spacing w:val="-24"/>
          <w:sz w:val="16"/>
        </w:rPr>
        <w:t xml:space="preserve"> </w:t>
      </w:r>
      <w:r>
        <w:rPr>
          <w:sz w:val="16"/>
        </w:rPr>
        <w:t>2010;24(1):55-76.</w:t>
      </w:r>
    </w:p>
    <w:p w:rsidR="00A94DA2" w:rsidRDefault="00DC0F69">
      <w:pPr>
        <w:pStyle w:val="PargrafodaLista"/>
        <w:numPr>
          <w:ilvl w:val="0"/>
          <w:numId w:val="1"/>
        </w:numPr>
        <w:tabs>
          <w:tab w:val="left" w:pos="347"/>
        </w:tabs>
        <w:ind w:right="116" w:firstLine="0"/>
        <w:rPr>
          <w:sz w:val="16"/>
        </w:rPr>
      </w:pPr>
      <w:r w:rsidRPr="00DC0F69">
        <w:rPr>
          <w:sz w:val="16"/>
          <w:lang w:val="en-US"/>
        </w:rPr>
        <w:t>Brennan DC, Daller JA, Lake KD, Cibrik D, Del Castillo D, Thymoglob</w:t>
      </w:r>
      <w:r w:rsidRPr="00DC0F69">
        <w:rPr>
          <w:sz w:val="16"/>
          <w:lang w:val="en-US"/>
        </w:rPr>
        <w:t xml:space="preserve">ulin Induction Study G. Rabbit antithymocyte globulin versus basiliximab in renal transplantation. </w:t>
      </w:r>
      <w:r>
        <w:rPr>
          <w:sz w:val="16"/>
        </w:rPr>
        <w:t>N Engl J Med.</w:t>
      </w:r>
      <w:r>
        <w:rPr>
          <w:spacing w:val="-6"/>
          <w:sz w:val="16"/>
        </w:rPr>
        <w:t xml:space="preserve"> </w:t>
      </w:r>
      <w:r>
        <w:rPr>
          <w:sz w:val="16"/>
        </w:rPr>
        <w:t>2006;355(19):1967-77.</w:t>
      </w:r>
    </w:p>
    <w:p w:rsidR="00A94DA2" w:rsidRDefault="00DC0F69">
      <w:pPr>
        <w:pStyle w:val="PargrafodaLista"/>
        <w:numPr>
          <w:ilvl w:val="0"/>
          <w:numId w:val="1"/>
        </w:numPr>
        <w:tabs>
          <w:tab w:val="left" w:pos="347"/>
        </w:tabs>
        <w:ind w:right="120" w:firstLine="0"/>
        <w:rPr>
          <w:sz w:val="16"/>
        </w:rPr>
      </w:pPr>
      <w:r w:rsidRPr="00DC0F69">
        <w:rPr>
          <w:sz w:val="16"/>
          <w:lang w:val="en-US"/>
        </w:rPr>
        <w:t xml:space="preserve">Mourad G, Rostaing </w:t>
      </w:r>
      <w:r w:rsidRPr="00DC0F69">
        <w:rPr>
          <w:spacing w:val="-3"/>
          <w:sz w:val="16"/>
          <w:lang w:val="en-US"/>
        </w:rPr>
        <w:t xml:space="preserve">L, </w:t>
      </w:r>
      <w:r w:rsidRPr="00DC0F69">
        <w:rPr>
          <w:sz w:val="16"/>
          <w:lang w:val="en-US"/>
        </w:rPr>
        <w:t>Legendre C, Garrigue V, Thervet E, Durand D. Sequential protocols using basiliximab versus antithym</w:t>
      </w:r>
      <w:r w:rsidRPr="00DC0F69">
        <w:rPr>
          <w:sz w:val="16"/>
          <w:lang w:val="en-US"/>
        </w:rPr>
        <w:t xml:space="preserve">ocyte globulins in renal-transplant patients receiving mycophenolate mofetil and steroids. </w:t>
      </w:r>
      <w:r>
        <w:rPr>
          <w:sz w:val="16"/>
        </w:rPr>
        <w:t>Transplantation.</w:t>
      </w:r>
      <w:r>
        <w:rPr>
          <w:spacing w:val="-5"/>
          <w:sz w:val="16"/>
        </w:rPr>
        <w:t xml:space="preserve"> </w:t>
      </w:r>
      <w:r>
        <w:rPr>
          <w:sz w:val="16"/>
        </w:rPr>
        <w:t>2004;78(4):584-90.</w:t>
      </w:r>
    </w:p>
    <w:p w:rsidR="00A94DA2" w:rsidRDefault="00DC0F69">
      <w:pPr>
        <w:pStyle w:val="PargrafodaLista"/>
        <w:numPr>
          <w:ilvl w:val="0"/>
          <w:numId w:val="1"/>
        </w:numPr>
        <w:tabs>
          <w:tab w:val="left" w:pos="349"/>
        </w:tabs>
        <w:ind w:right="121" w:firstLine="0"/>
        <w:rPr>
          <w:sz w:val="16"/>
        </w:rPr>
      </w:pPr>
      <w:r w:rsidRPr="00DC0F69">
        <w:rPr>
          <w:sz w:val="16"/>
          <w:lang w:val="en-US"/>
        </w:rPr>
        <w:t xml:space="preserve">Agha </w:t>
      </w:r>
      <w:r w:rsidRPr="00DC0F69">
        <w:rPr>
          <w:spacing w:val="-3"/>
          <w:sz w:val="16"/>
          <w:lang w:val="en-US"/>
        </w:rPr>
        <w:t xml:space="preserve">IA, </w:t>
      </w:r>
      <w:r w:rsidRPr="00DC0F69">
        <w:rPr>
          <w:sz w:val="16"/>
          <w:lang w:val="en-US"/>
        </w:rPr>
        <w:t xml:space="preserve">Rueda J, Alvarez A, Singer GG, Miller BW, Flavin K, et al. Short course induction immunosuppression with thymoglobulin for renal transplant recipients. </w:t>
      </w:r>
      <w:r>
        <w:rPr>
          <w:sz w:val="16"/>
        </w:rPr>
        <w:t>Transplantation.</w:t>
      </w:r>
      <w:r>
        <w:rPr>
          <w:spacing w:val="-3"/>
          <w:sz w:val="16"/>
        </w:rPr>
        <w:t xml:space="preserve"> </w:t>
      </w:r>
      <w:r>
        <w:rPr>
          <w:sz w:val="16"/>
        </w:rPr>
        <w:t>2002;73(3):473-5.</w:t>
      </w:r>
    </w:p>
    <w:p w:rsidR="00A94DA2" w:rsidRDefault="00DC0F69">
      <w:pPr>
        <w:pStyle w:val="PargrafodaLista"/>
        <w:numPr>
          <w:ilvl w:val="0"/>
          <w:numId w:val="1"/>
        </w:numPr>
        <w:tabs>
          <w:tab w:val="left" w:pos="349"/>
        </w:tabs>
        <w:ind w:right="129" w:firstLine="0"/>
        <w:rPr>
          <w:sz w:val="16"/>
        </w:rPr>
      </w:pPr>
      <w:r w:rsidRPr="00DC0F69">
        <w:rPr>
          <w:sz w:val="16"/>
          <w:lang w:val="en-US"/>
        </w:rPr>
        <w:t>Goggins WC, Pascual MA, Powelson JA, Magee C, Tolkoff-Rubin N, Farrel</w:t>
      </w:r>
      <w:r w:rsidRPr="00DC0F69">
        <w:rPr>
          <w:sz w:val="16"/>
          <w:lang w:val="en-US"/>
        </w:rPr>
        <w:t xml:space="preserve">l ML, et al. A prospective, randomized, clinical trial of intraoperative versus postoperative Thymoglobulin in adult cadaveric renal transplant recipients. </w:t>
      </w:r>
      <w:r>
        <w:rPr>
          <w:sz w:val="16"/>
        </w:rPr>
        <w:t>Transplantation.</w:t>
      </w:r>
      <w:r>
        <w:rPr>
          <w:spacing w:val="-15"/>
          <w:sz w:val="16"/>
        </w:rPr>
        <w:t xml:space="preserve"> </w:t>
      </w:r>
      <w:r>
        <w:rPr>
          <w:sz w:val="16"/>
        </w:rPr>
        <w:t>2003;76(5):798-802.</w:t>
      </w:r>
    </w:p>
    <w:p w:rsidR="00A94DA2" w:rsidRDefault="00DC0F69">
      <w:pPr>
        <w:pStyle w:val="PargrafodaLista"/>
        <w:numPr>
          <w:ilvl w:val="0"/>
          <w:numId w:val="1"/>
        </w:numPr>
        <w:tabs>
          <w:tab w:val="left" w:pos="349"/>
        </w:tabs>
        <w:ind w:right="120" w:firstLine="0"/>
        <w:rPr>
          <w:sz w:val="16"/>
        </w:rPr>
      </w:pPr>
      <w:r w:rsidRPr="00DC0F69">
        <w:rPr>
          <w:sz w:val="16"/>
          <w:lang w:val="en-US"/>
        </w:rPr>
        <w:t xml:space="preserve">Wong W, Agrawal N, Pascual M, Anderson DC, Hirsch HH, Fujimoto </w:t>
      </w:r>
      <w:r w:rsidRPr="00DC0F69">
        <w:rPr>
          <w:sz w:val="16"/>
          <w:lang w:val="en-US"/>
        </w:rPr>
        <w:t xml:space="preserve">K, et al. Comparison of two dosages of thymoglobulin used as a short-course for induction in kidney transplantation. </w:t>
      </w:r>
      <w:r>
        <w:rPr>
          <w:sz w:val="16"/>
        </w:rPr>
        <w:t>Transpl Int.</w:t>
      </w:r>
      <w:r>
        <w:rPr>
          <w:spacing w:val="-3"/>
          <w:sz w:val="16"/>
        </w:rPr>
        <w:t xml:space="preserve"> </w:t>
      </w:r>
      <w:r>
        <w:rPr>
          <w:sz w:val="16"/>
        </w:rPr>
        <w:t>2006;19(8):629-35.</w:t>
      </w:r>
    </w:p>
    <w:p w:rsidR="00A94DA2" w:rsidRDefault="00DC0F69">
      <w:pPr>
        <w:pStyle w:val="PargrafodaLista"/>
        <w:numPr>
          <w:ilvl w:val="0"/>
          <w:numId w:val="1"/>
        </w:numPr>
        <w:tabs>
          <w:tab w:val="left" w:pos="349"/>
        </w:tabs>
        <w:ind w:right="120" w:firstLine="0"/>
        <w:rPr>
          <w:sz w:val="16"/>
        </w:rPr>
      </w:pPr>
      <w:r w:rsidRPr="00DC0F69">
        <w:rPr>
          <w:sz w:val="16"/>
          <w:lang w:val="en-US"/>
        </w:rPr>
        <w:t>Stevens RB, Mercer DF, Grant WJ, Freifeld AG, Lane JT, Groggel GC, et al. Randomized trial of single-dose v</w:t>
      </w:r>
      <w:r w:rsidRPr="00DC0F69">
        <w:rPr>
          <w:sz w:val="16"/>
          <w:lang w:val="en-US"/>
        </w:rPr>
        <w:t xml:space="preserve">ersus divided-dose rabbit anti-thymocyte globulin induction in renal transplantation: an interim report. </w:t>
      </w:r>
      <w:r>
        <w:rPr>
          <w:sz w:val="16"/>
        </w:rPr>
        <w:t>Transplantation.</w:t>
      </w:r>
      <w:r>
        <w:rPr>
          <w:spacing w:val="-12"/>
          <w:sz w:val="16"/>
        </w:rPr>
        <w:t xml:space="preserve"> </w:t>
      </w:r>
      <w:r>
        <w:rPr>
          <w:sz w:val="16"/>
        </w:rPr>
        <w:t>2008;85(10):1391-9.</w:t>
      </w:r>
    </w:p>
    <w:p w:rsidR="00A94DA2" w:rsidRDefault="00DC0F69">
      <w:pPr>
        <w:pStyle w:val="PargrafodaLista"/>
        <w:numPr>
          <w:ilvl w:val="0"/>
          <w:numId w:val="1"/>
        </w:numPr>
        <w:tabs>
          <w:tab w:val="left" w:pos="349"/>
        </w:tabs>
        <w:ind w:right="121" w:firstLine="0"/>
        <w:rPr>
          <w:sz w:val="16"/>
        </w:rPr>
      </w:pPr>
      <w:r w:rsidRPr="00DC0F69">
        <w:rPr>
          <w:sz w:val="16"/>
          <w:lang w:val="en-US"/>
        </w:rPr>
        <w:t xml:space="preserve">Schroeder TJ, First MR, Mansour ME, Alexander JW, Penn </w:t>
      </w:r>
      <w:r w:rsidRPr="00DC0F69">
        <w:rPr>
          <w:spacing w:val="-3"/>
          <w:sz w:val="16"/>
          <w:lang w:val="en-US"/>
        </w:rPr>
        <w:t xml:space="preserve">I. </w:t>
      </w:r>
      <w:r w:rsidRPr="00DC0F69">
        <w:rPr>
          <w:sz w:val="16"/>
          <w:lang w:val="en-US"/>
        </w:rPr>
        <w:t xml:space="preserve">Prophylactic use of OKT3 in immunologic high-risk cadaver renal transplant recipients. </w:t>
      </w:r>
      <w:r>
        <w:rPr>
          <w:sz w:val="16"/>
        </w:rPr>
        <w:t>Am J Kidney Dis. 1989;14(5 Suppl</w:t>
      </w:r>
      <w:r>
        <w:rPr>
          <w:spacing w:val="-5"/>
          <w:sz w:val="16"/>
        </w:rPr>
        <w:t xml:space="preserve"> </w:t>
      </w:r>
      <w:r>
        <w:rPr>
          <w:sz w:val="16"/>
        </w:rPr>
        <w:t>2):14-8.</w:t>
      </w:r>
    </w:p>
    <w:p w:rsidR="00A94DA2" w:rsidRDefault="00DC0F69">
      <w:pPr>
        <w:pStyle w:val="PargrafodaLista"/>
        <w:numPr>
          <w:ilvl w:val="0"/>
          <w:numId w:val="1"/>
        </w:numPr>
        <w:tabs>
          <w:tab w:val="left" w:pos="349"/>
        </w:tabs>
        <w:spacing w:line="183" w:lineRule="exact"/>
        <w:ind w:left="348" w:hanging="242"/>
        <w:rPr>
          <w:sz w:val="16"/>
        </w:rPr>
      </w:pPr>
      <w:r w:rsidRPr="00DC0F69">
        <w:rPr>
          <w:sz w:val="16"/>
          <w:lang w:val="en-US"/>
        </w:rPr>
        <w:t xml:space="preserve">Opelz G. Efficacy of rejection prophylaxis with OKT3 in renal transplantation. </w:t>
      </w:r>
      <w:r>
        <w:rPr>
          <w:sz w:val="16"/>
        </w:rPr>
        <w:t xml:space="preserve">Collaborative Transplant </w:t>
      </w:r>
      <w:r>
        <w:rPr>
          <w:spacing w:val="-2"/>
          <w:sz w:val="16"/>
        </w:rPr>
        <w:t xml:space="preserve">Study. </w:t>
      </w:r>
      <w:r>
        <w:rPr>
          <w:sz w:val="16"/>
        </w:rPr>
        <w:t>Transplantation.</w:t>
      </w:r>
      <w:r>
        <w:rPr>
          <w:spacing w:val="-24"/>
          <w:sz w:val="16"/>
        </w:rPr>
        <w:t xml:space="preserve"> </w:t>
      </w:r>
      <w:r>
        <w:rPr>
          <w:sz w:val="16"/>
        </w:rPr>
        <w:t>1995;60(11):1220-4.</w:t>
      </w:r>
    </w:p>
    <w:p w:rsidR="00A94DA2" w:rsidRDefault="00DC0F69">
      <w:pPr>
        <w:pStyle w:val="PargrafodaLista"/>
        <w:numPr>
          <w:ilvl w:val="0"/>
          <w:numId w:val="1"/>
        </w:numPr>
        <w:tabs>
          <w:tab w:val="left" w:pos="349"/>
        </w:tabs>
        <w:ind w:right="129" w:firstLine="0"/>
        <w:rPr>
          <w:sz w:val="16"/>
        </w:rPr>
      </w:pPr>
      <w:r>
        <w:rPr>
          <w:sz w:val="16"/>
        </w:rPr>
        <w:t xml:space="preserve">Hricik DE, Zarconi J, Schulak JA. </w:t>
      </w:r>
      <w:r w:rsidRPr="00DC0F69">
        <w:rPr>
          <w:sz w:val="16"/>
          <w:lang w:val="en-US"/>
        </w:rPr>
        <w:t xml:space="preserve">Influence of low-dose cyclosporine on the outcome of treatment with OKT3 for acute renal allograft rejection. </w:t>
      </w:r>
      <w:r>
        <w:rPr>
          <w:sz w:val="16"/>
        </w:rPr>
        <w:t>Transplantation. 1989;47(2):272-7.</w:t>
      </w:r>
    </w:p>
    <w:p w:rsidR="00A94DA2" w:rsidRDefault="00DC0F69">
      <w:pPr>
        <w:pStyle w:val="PargrafodaLista"/>
        <w:numPr>
          <w:ilvl w:val="0"/>
          <w:numId w:val="1"/>
        </w:numPr>
        <w:tabs>
          <w:tab w:val="left" w:pos="349"/>
        </w:tabs>
        <w:ind w:right="121" w:firstLine="0"/>
        <w:rPr>
          <w:sz w:val="16"/>
        </w:rPr>
      </w:pPr>
      <w:r w:rsidRPr="00DC0F69">
        <w:rPr>
          <w:sz w:val="16"/>
          <w:lang w:val="en-US"/>
        </w:rPr>
        <w:t>Norman DJ, Shield CF, 3rd, Henell KR, Kimball J, Barry J</w:t>
      </w:r>
      <w:r w:rsidRPr="00DC0F69">
        <w:rPr>
          <w:sz w:val="16"/>
          <w:lang w:val="en-US"/>
        </w:rPr>
        <w:t xml:space="preserve">M, Bennett WM, et al. Effectiveness of a second course of OKT3 monoclonal anti-T cell antibody for treatment of renal allograft rejection. </w:t>
      </w:r>
      <w:r>
        <w:rPr>
          <w:sz w:val="16"/>
        </w:rPr>
        <w:t>Transplantation.</w:t>
      </w:r>
      <w:r>
        <w:rPr>
          <w:spacing w:val="-8"/>
          <w:sz w:val="16"/>
        </w:rPr>
        <w:t xml:space="preserve"> </w:t>
      </w:r>
      <w:r>
        <w:rPr>
          <w:sz w:val="16"/>
        </w:rPr>
        <w:t>1988;46(4):523-9.</w:t>
      </w:r>
    </w:p>
    <w:p w:rsidR="00A94DA2" w:rsidRDefault="00DC0F69">
      <w:pPr>
        <w:pStyle w:val="PargrafodaLista"/>
        <w:numPr>
          <w:ilvl w:val="0"/>
          <w:numId w:val="1"/>
        </w:numPr>
        <w:tabs>
          <w:tab w:val="left" w:pos="347"/>
        </w:tabs>
        <w:ind w:right="122" w:firstLine="0"/>
        <w:rPr>
          <w:sz w:val="16"/>
        </w:rPr>
      </w:pPr>
      <w:r w:rsidRPr="00DC0F69">
        <w:rPr>
          <w:sz w:val="16"/>
          <w:lang w:val="en-US"/>
        </w:rPr>
        <w:t>Broeders N, Wissing KM, Crusiaux A, Kinnaert P, Vereerstraeten P, Abramowicz D. My</w:t>
      </w:r>
      <w:r w:rsidRPr="00DC0F69">
        <w:rPr>
          <w:sz w:val="16"/>
          <w:lang w:val="en-US"/>
        </w:rPr>
        <w:t xml:space="preserve">cophenolate mofetil, together with cyclosporin A, prevents anti-OKT3 antibody response in kidney transplant recipients. </w:t>
      </w:r>
      <w:r>
        <w:rPr>
          <w:sz w:val="16"/>
        </w:rPr>
        <w:t>J Am Soc Nephrol.</w:t>
      </w:r>
      <w:r>
        <w:rPr>
          <w:spacing w:val="-10"/>
          <w:sz w:val="16"/>
        </w:rPr>
        <w:t xml:space="preserve"> </w:t>
      </w:r>
      <w:r>
        <w:rPr>
          <w:sz w:val="16"/>
        </w:rPr>
        <w:t>1998;9(8):1521-5.</w:t>
      </w:r>
    </w:p>
    <w:p w:rsidR="00A94DA2" w:rsidRDefault="00DC0F69">
      <w:pPr>
        <w:pStyle w:val="PargrafodaLista"/>
        <w:numPr>
          <w:ilvl w:val="0"/>
          <w:numId w:val="1"/>
        </w:numPr>
        <w:tabs>
          <w:tab w:val="left" w:pos="349"/>
        </w:tabs>
        <w:spacing w:before="1"/>
        <w:ind w:right="126" w:firstLine="0"/>
        <w:rPr>
          <w:sz w:val="16"/>
        </w:rPr>
      </w:pPr>
      <w:r w:rsidRPr="00DC0F69">
        <w:rPr>
          <w:sz w:val="16"/>
          <w:lang w:val="en-US"/>
        </w:rPr>
        <w:t>Shah S, Collett D, Johnson R, Thuraisingham RC, Raftery MJ, Rudge CJ, et al. Long-term graft outcome</w:t>
      </w:r>
      <w:r w:rsidRPr="00DC0F69">
        <w:rPr>
          <w:sz w:val="16"/>
          <w:lang w:val="en-US"/>
        </w:rPr>
        <w:t xml:space="preserve"> with mycophenolate mofetil and azathioprine: A paired kidney analysis. </w:t>
      </w:r>
      <w:r>
        <w:rPr>
          <w:sz w:val="16"/>
        </w:rPr>
        <w:t>Transplantation.</w:t>
      </w:r>
      <w:r>
        <w:rPr>
          <w:spacing w:val="-5"/>
          <w:sz w:val="16"/>
        </w:rPr>
        <w:t xml:space="preserve"> </w:t>
      </w:r>
      <w:r>
        <w:rPr>
          <w:sz w:val="16"/>
        </w:rPr>
        <w:t>2006;82(12):1634-9.</w:t>
      </w:r>
    </w:p>
    <w:p w:rsidR="00A94DA2" w:rsidRDefault="00DC0F69">
      <w:pPr>
        <w:pStyle w:val="PargrafodaLista"/>
        <w:numPr>
          <w:ilvl w:val="0"/>
          <w:numId w:val="1"/>
        </w:numPr>
        <w:tabs>
          <w:tab w:val="left" w:pos="347"/>
        </w:tabs>
        <w:ind w:right="122" w:firstLine="0"/>
        <w:rPr>
          <w:sz w:val="16"/>
        </w:rPr>
      </w:pPr>
      <w:r w:rsidRPr="00DC0F69">
        <w:rPr>
          <w:sz w:val="16"/>
          <w:lang w:val="en-US"/>
        </w:rPr>
        <w:t>Remuzzi G, Lesti M, Gotti E, Ganeva M, Dimitrov BD, Ene-Iordache B, et al. Mycophenolate mofetil versus azathioprine for prevention of acute reject</w:t>
      </w:r>
      <w:r w:rsidRPr="00DC0F69">
        <w:rPr>
          <w:sz w:val="16"/>
          <w:lang w:val="en-US"/>
        </w:rPr>
        <w:t xml:space="preserve">ion in renal transplantation (MYSS): a randomised trial. </w:t>
      </w:r>
      <w:r>
        <w:rPr>
          <w:sz w:val="16"/>
        </w:rPr>
        <w:t>Lancet.</w:t>
      </w:r>
      <w:r>
        <w:rPr>
          <w:spacing w:val="-1"/>
          <w:sz w:val="16"/>
        </w:rPr>
        <w:t xml:space="preserve"> </w:t>
      </w:r>
      <w:r>
        <w:rPr>
          <w:sz w:val="16"/>
        </w:rPr>
        <w:t>2004;364(9433):503-12.</w:t>
      </w:r>
    </w:p>
    <w:p w:rsidR="00A94DA2" w:rsidRDefault="00A94DA2">
      <w:pPr>
        <w:rPr>
          <w:sz w:val="16"/>
        </w:rPr>
        <w:sectPr w:rsidR="00A94DA2">
          <w:pgSz w:w="11910" w:h="16840"/>
          <w:pgMar w:top="460" w:right="300" w:bottom="280" w:left="460" w:header="720" w:footer="720" w:gutter="0"/>
          <w:cols w:space="720"/>
        </w:sectPr>
      </w:pPr>
    </w:p>
    <w:p w:rsidR="00A94DA2" w:rsidRDefault="00DC0F69">
      <w:pPr>
        <w:pStyle w:val="PargrafodaLista"/>
        <w:numPr>
          <w:ilvl w:val="0"/>
          <w:numId w:val="1"/>
        </w:numPr>
        <w:tabs>
          <w:tab w:val="left" w:pos="347"/>
        </w:tabs>
        <w:spacing w:before="82"/>
        <w:ind w:right="120" w:firstLine="0"/>
        <w:rPr>
          <w:sz w:val="16"/>
        </w:rPr>
      </w:pPr>
      <w:r w:rsidRPr="00DC0F69">
        <w:rPr>
          <w:sz w:val="16"/>
          <w:lang w:val="en-US"/>
        </w:rPr>
        <w:lastRenderedPageBreak/>
        <w:t>McNeil K, Glanville AR, Wahlers T, Knoop C, Speich R, Mamelok RD, et al. Comparison of mycophenolate mofetil and azathioprine for prevention of bronchioli</w:t>
      </w:r>
      <w:r w:rsidRPr="00DC0F69">
        <w:rPr>
          <w:sz w:val="16"/>
          <w:lang w:val="en-US"/>
        </w:rPr>
        <w:t xml:space="preserve">tis obliterans syndrome in de novo lung transplant recipients. </w:t>
      </w:r>
      <w:r>
        <w:rPr>
          <w:sz w:val="16"/>
        </w:rPr>
        <w:t>Transplantation.</w:t>
      </w:r>
      <w:r>
        <w:rPr>
          <w:spacing w:val="-14"/>
          <w:sz w:val="16"/>
        </w:rPr>
        <w:t xml:space="preserve"> </w:t>
      </w:r>
      <w:r>
        <w:rPr>
          <w:sz w:val="16"/>
        </w:rPr>
        <w:t>2006;81(7):998-1003.</w:t>
      </w:r>
    </w:p>
    <w:p w:rsidR="00A94DA2" w:rsidRDefault="00DC0F69">
      <w:pPr>
        <w:pStyle w:val="PargrafodaLista"/>
        <w:numPr>
          <w:ilvl w:val="0"/>
          <w:numId w:val="1"/>
        </w:numPr>
        <w:tabs>
          <w:tab w:val="left" w:pos="349"/>
        </w:tabs>
        <w:spacing w:before="2"/>
        <w:ind w:right="123" w:firstLine="0"/>
        <w:rPr>
          <w:sz w:val="16"/>
        </w:rPr>
      </w:pPr>
      <w:r>
        <w:rPr>
          <w:sz w:val="16"/>
        </w:rPr>
        <w:t xml:space="preserve">Germani G, Pleguezuelo M, Villamil F, Vaghjiani S, Tsochatzis E, Andreana </w:t>
      </w:r>
      <w:r>
        <w:rPr>
          <w:spacing w:val="-3"/>
          <w:sz w:val="16"/>
        </w:rPr>
        <w:t xml:space="preserve">L, </w:t>
      </w:r>
      <w:r>
        <w:rPr>
          <w:sz w:val="16"/>
        </w:rPr>
        <w:t xml:space="preserve">et al. </w:t>
      </w:r>
      <w:r w:rsidRPr="00DC0F69">
        <w:rPr>
          <w:sz w:val="16"/>
          <w:lang w:val="en-US"/>
        </w:rPr>
        <w:t xml:space="preserve">Azathioprine in liver transplantation: a reevaluation of its use and a comparison with mycophenolate mofetil. </w:t>
      </w:r>
      <w:r>
        <w:rPr>
          <w:sz w:val="16"/>
        </w:rPr>
        <w:t>Am J Transplant.</w:t>
      </w:r>
      <w:r>
        <w:rPr>
          <w:spacing w:val="-4"/>
          <w:sz w:val="16"/>
        </w:rPr>
        <w:t xml:space="preserve"> </w:t>
      </w:r>
      <w:r>
        <w:rPr>
          <w:sz w:val="16"/>
        </w:rPr>
        <w:t>2009;9(8):1725-31.</w:t>
      </w:r>
    </w:p>
    <w:p w:rsidR="00A94DA2" w:rsidRDefault="00DC0F69">
      <w:pPr>
        <w:pStyle w:val="PargrafodaLista"/>
        <w:numPr>
          <w:ilvl w:val="0"/>
          <w:numId w:val="1"/>
        </w:numPr>
        <w:tabs>
          <w:tab w:val="left" w:pos="347"/>
        </w:tabs>
        <w:ind w:right="118" w:firstLine="0"/>
        <w:rPr>
          <w:sz w:val="16"/>
        </w:rPr>
      </w:pPr>
      <w:r w:rsidRPr="00DC0F69">
        <w:rPr>
          <w:sz w:val="16"/>
          <w:lang w:val="en-US"/>
        </w:rPr>
        <w:t>Celik MR, Lederer DJ, Wilt J, Eser D, Bacchetta M, D'Ovidio F, et al. Tacrolimus and azathioprine versu</w:t>
      </w:r>
      <w:r w:rsidRPr="00DC0F69">
        <w:rPr>
          <w:sz w:val="16"/>
          <w:lang w:val="en-US"/>
        </w:rPr>
        <w:t xml:space="preserve">s cyclosporine and mycophenolate mofetil after lung transplantation: a retrospective cohort study. </w:t>
      </w:r>
      <w:r>
        <w:rPr>
          <w:sz w:val="16"/>
        </w:rPr>
        <w:t>J Heart Lung Transplant.</w:t>
      </w:r>
      <w:r>
        <w:rPr>
          <w:spacing w:val="-5"/>
          <w:sz w:val="16"/>
        </w:rPr>
        <w:t xml:space="preserve"> </w:t>
      </w:r>
      <w:r>
        <w:rPr>
          <w:sz w:val="16"/>
        </w:rPr>
        <w:t>2009;28(7):697-703.</w:t>
      </w:r>
    </w:p>
    <w:p w:rsidR="00A94DA2" w:rsidRDefault="00DC0F69">
      <w:pPr>
        <w:pStyle w:val="PargrafodaLista"/>
        <w:numPr>
          <w:ilvl w:val="0"/>
          <w:numId w:val="1"/>
        </w:numPr>
        <w:tabs>
          <w:tab w:val="left" w:pos="347"/>
        </w:tabs>
        <w:ind w:right="118" w:firstLine="0"/>
        <w:rPr>
          <w:sz w:val="16"/>
        </w:rPr>
      </w:pPr>
      <w:r>
        <w:rPr>
          <w:sz w:val="16"/>
        </w:rPr>
        <w:t xml:space="preserve">Bernabeu-Wittel M, Naranjo M, Cisneros JM, Canas E, Gentil MA, Algarra G, et al. </w:t>
      </w:r>
      <w:r w:rsidRPr="00DC0F69">
        <w:rPr>
          <w:sz w:val="16"/>
          <w:lang w:val="en-US"/>
        </w:rPr>
        <w:t xml:space="preserve">Infections in renal transplant </w:t>
      </w:r>
      <w:r w:rsidRPr="00DC0F69">
        <w:rPr>
          <w:sz w:val="16"/>
          <w:lang w:val="en-US"/>
        </w:rPr>
        <w:t xml:space="preserve">recipients receiving mycophenolate versus azathioprine-based immunosuppression. </w:t>
      </w:r>
      <w:r>
        <w:rPr>
          <w:sz w:val="16"/>
        </w:rPr>
        <w:t>Eur J Clin Microbiol Infect Dis.</w:t>
      </w:r>
      <w:r>
        <w:rPr>
          <w:spacing w:val="-5"/>
          <w:sz w:val="16"/>
        </w:rPr>
        <w:t xml:space="preserve"> </w:t>
      </w:r>
      <w:r>
        <w:rPr>
          <w:sz w:val="16"/>
        </w:rPr>
        <w:t>2002;21(3):173-80.</w:t>
      </w:r>
    </w:p>
    <w:p w:rsidR="00A94DA2" w:rsidRDefault="00DC0F69">
      <w:pPr>
        <w:pStyle w:val="PargrafodaLista"/>
        <w:numPr>
          <w:ilvl w:val="0"/>
          <w:numId w:val="1"/>
        </w:numPr>
        <w:tabs>
          <w:tab w:val="left" w:pos="347"/>
        </w:tabs>
        <w:ind w:right="119" w:firstLine="0"/>
        <w:rPr>
          <w:sz w:val="16"/>
        </w:rPr>
      </w:pPr>
      <w:r w:rsidRPr="00DC0F69">
        <w:rPr>
          <w:sz w:val="16"/>
          <w:lang w:val="en-US"/>
        </w:rPr>
        <w:t>Clayton PA, McDonald SP, Chapman JR, Chadban SJ. Mycophenolate versus azathioprine for kidney transplantation: a 15-year fol</w:t>
      </w:r>
      <w:r w:rsidRPr="00DC0F69">
        <w:rPr>
          <w:sz w:val="16"/>
          <w:lang w:val="en-US"/>
        </w:rPr>
        <w:t xml:space="preserve">low-up of a randomized trial. </w:t>
      </w:r>
      <w:r>
        <w:rPr>
          <w:sz w:val="16"/>
        </w:rPr>
        <w:t>Transplantation.</w:t>
      </w:r>
      <w:r>
        <w:rPr>
          <w:spacing w:val="-3"/>
          <w:sz w:val="16"/>
        </w:rPr>
        <w:t xml:space="preserve"> </w:t>
      </w:r>
      <w:r>
        <w:rPr>
          <w:sz w:val="16"/>
        </w:rPr>
        <w:t>2012;94(2):152-8.</w:t>
      </w:r>
    </w:p>
    <w:p w:rsidR="00A94DA2" w:rsidRDefault="00DC0F69">
      <w:pPr>
        <w:pStyle w:val="PargrafodaLista"/>
        <w:numPr>
          <w:ilvl w:val="0"/>
          <w:numId w:val="1"/>
        </w:numPr>
        <w:tabs>
          <w:tab w:val="left" w:pos="349"/>
        </w:tabs>
        <w:ind w:right="119" w:firstLine="0"/>
        <w:rPr>
          <w:sz w:val="16"/>
        </w:rPr>
      </w:pPr>
      <w:r w:rsidRPr="00DC0F69">
        <w:rPr>
          <w:sz w:val="16"/>
          <w:lang w:val="en-US"/>
        </w:rPr>
        <w:t>Kwon O, Cho JH, Choi JY, Park SH, Kim YL, Kim HK, et al. Long-term outcome of azathioprine versus mycophenolate mofetil in cyclosporine-based immunosuppression in kidney transplantation: 10 y</w:t>
      </w:r>
      <w:r w:rsidRPr="00DC0F69">
        <w:rPr>
          <w:sz w:val="16"/>
          <w:lang w:val="en-US"/>
        </w:rPr>
        <w:t xml:space="preserve">ears of experience </w:t>
      </w:r>
      <w:r w:rsidRPr="00DC0F69">
        <w:rPr>
          <w:spacing w:val="2"/>
          <w:sz w:val="16"/>
          <w:lang w:val="en-US"/>
        </w:rPr>
        <w:t xml:space="preserve">at </w:t>
      </w:r>
      <w:r w:rsidRPr="00DC0F69">
        <w:rPr>
          <w:sz w:val="16"/>
          <w:lang w:val="en-US"/>
        </w:rPr>
        <w:t xml:space="preserve">a single center. </w:t>
      </w:r>
      <w:r>
        <w:rPr>
          <w:sz w:val="16"/>
        </w:rPr>
        <w:t>Transplant Proc.</w:t>
      </w:r>
      <w:r>
        <w:rPr>
          <w:spacing w:val="-26"/>
          <w:sz w:val="16"/>
        </w:rPr>
        <w:t xml:space="preserve"> </w:t>
      </w:r>
      <w:r>
        <w:rPr>
          <w:sz w:val="16"/>
        </w:rPr>
        <w:t>2013;45(4):1487-90.</w:t>
      </w:r>
    </w:p>
    <w:p w:rsidR="00A94DA2" w:rsidRDefault="00DC0F69">
      <w:pPr>
        <w:pStyle w:val="PargrafodaLista"/>
        <w:numPr>
          <w:ilvl w:val="0"/>
          <w:numId w:val="1"/>
        </w:numPr>
        <w:tabs>
          <w:tab w:val="left" w:pos="347"/>
        </w:tabs>
        <w:ind w:right="121" w:firstLine="0"/>
        <w:rPr>
          <w:sz w:val="16"/>
        </w:rPr>
      </w:pPr>
      <w:r w:rsidRPr="00DC0F69">
        <w:rPr>
          <w:sz w:val="16"/>
          <w:lang w:val="en-US"/>
        </w:rPr>
        <w:t xml:space="preserve">Bansal SB, Saxena V, Pokhariyal S, Gupta P, Kher V, Ahlawat R, et al. Comparison of azathioprine with mycophenolate mofetil </w:t>
      </w:r>
      <w:r w:rsidRPr="00DC0F69">
        <w:rPr>
          <w:spacing w:val="5"/>
          <w:sz w:val="16"/>
          <w:lang w:val="en-US"/>
        </w:rPr>
        <w:t xml:space="preserve">in </w:t>
      </w:r>
      <w:r w:rsidRPr="00DC0F69">
        <w:rPr>
          <w:sz w:val="16"/>
          <w:lang w:val="en-US"/>
        </w:rPr>
        <w:t xml:space="preserve">a living donor kidney transplant programme. </w:t>
      </w:r>
      <w:r>
        <w:rPr>
          <w:sz w:val="16"/>
        </w:rPr>
        <w:t xml:space="preserve">Indian J </w:t>
      </w:r>
      <w:r>
        <w:rPr>
          <w:sz w:val="16"/>
        </w:rPr>
        <w:t>Nephrol.</w:t>
      </w:r>
      <w:r>
        <w:rPr>
          <w:spacing w:val="-1"/>
          <w:sz w:val="16"/>
        </w:rPr>
        <w:t xml:space="preserve"> </w:t>
      </w:r>
      <w:r>
        <w:rPr>
          <w:sz w:val="16"/>
        </w:rPr>
        <w:t>2011;21(4):258-63.</w:t>
      </w:r>
    </w:p>
    <w:p w:rsidR="00A94DA2" w:rsidRDefault="00DC0F69">
      <w:pPr>
        <w:pStyle w:val="PargrafodaLista"/>
        <w:numPr>
          <w:ilvl w:val="0"/>
          <w:numId w:val="1"/>
        </w:numPr>
        <w:tabs>
          <w:tab w:val="left" w:pos="347"/>
        </w:tabs>
        <w:ind w:right="120" w:firstLine="0"/>
        <w:rPr>
          <w:sz w:val="16"/>
        </w:rPr>
      </w:pPr>
      <w:r w:rsidRPr="00DC0F69">
        <w:rPr>
          <w:sz w:val="16"/>
          <w:lang w:val="en-US"/>
        </w:rPr>
        <w:t>Remuzzi G, Cravedi P, Costantini M, Lesti M, Ganeva M, Gherardi G, et al. Mycophenolate mofetil versus azathioprine for prevention of chronic allograft dysfunction in renal transplantation: the MYSS follow-up randomized, control</w:t>
      </w:r>
      <w:r w:rsidRPr="00DC0F69">
        <w:rPr>
          <w:sz w:val="16"/>
          <w:lang w:val="en-US"/>
        </w:rPr>
        <w:t xml:space="preserve">led clinical trial. </w:t>
      </w:r>
      <w:r>
        <w:rPr>
          <w:sz w:val="16"/>
        </w:rPr>
        <w:t>J Am Soc Nephrol.</w:t>
      </w:r>
      <w:r>
        <w:rPr>
          <w:spacing w:val="-16"/>
          <w:sz w:val="16"/>
        </w:rPr>
        <w:t xml:space="preserve"> </w:t>
      </w:r>
      <w:r>
        <w:rPr>
          <w:sz w:val="16"/>
        </w:rPr>
        <w:t>2007;18(6):1973-85.</w:t>
      </w:r>
    </w:p>
    <w:p w:rsidR="00A94DA2" w:rsidRDefault="00DC0F69">
      <w:pPr>
        <w:pStyle w:val="PargrafodaLista"/>
        <w:numPr>
          <w:ilvl w:val="0"/>
          <w:numId w:val="1"/>
        </w:numPr>
        <w:tabs>
          <w:tab w:val="left" w:pos="349"/>
        </w:tabs>
        <w:ind w:right="114" w:firstLine="0"/>
        <w:rPr>
          <w:sz w:val="16"/>
        </w:rPr>
      </w:pPr>
      <w:r w:rsidRPr="00DC0F69">
        <w:rPr>
          <w:sz w:val="16"/>
          <w:lang w:val="en-US"/>
        </w:rPr>
        <w:t xml:space="preserve">Schold JD, Kaplan B. AZA/tacrolimus is associated with similar outcomes as MMF/tacrolimus among renal transplant recipients. </w:t>
      </w:r>
      <w:r>
        <w:rPr>
          <w:sz w:val="16"/>
        </w:rPr>
        <w:t>Am J Transplant. 2009;9(9):2067- 74.</w:t>
      </w:r>
    </w:p>
    <w:p w:rsidR="00A94DA2" w:rsidRDefault="00DC0F69">
      <w:pPr>
        <w:pStyle w:val="PargrafodaLista"/>
        <w:numPr>
          <w:ilvl w:val="0"/>
          <w:numId w:val="1"/>
        </w:numPr>
        <w:tabs>
          <w:tab w:val="left" w:pos="349"/>
        </w:tabs>
        <w:ind w:right="128" w:firstLine="0"/>
        <w:rPr>
          <w:sz w:val="16"/>
        </w:rPr>
      </w:pPr>
      <w:r w:rsidRPr="00DC0F69">
        <w:rPr>
          <w:sz w:val="16"/>
          <w:lang w:val="en-US"/>
        </w:rPr>
        <w:t xml:space="preserve">Pham PT, Pham PC. The impact of mycophenolate mofetil versus azathioprine as adjunctive therapy to cyclosporine on the rates of renal allograft loss due to glomerular disease recurrence. </w:t>
      </w:r>
      <w:r>
        <w:rPr>
          <w:sz w:val="16"/>
        </w:rPr>
        <w:t>Nephrol Dial Transplant.</w:t>
      </w:r>
      <w:r>
        <w:rPr>
          <w:spacing w:val="-8"/>
          <w:sz w:val="16"/>
        </w:rPr>
        <w:t xml:space="preserve"> </w:t>
      </w:r>
      <w:r>
        <w:rPr>
          <w:sz w:val="16"/>
        </w:rPr>
        <w:t>2012;27(7):2965-71.</w:t>
      </w:r>
    </w:p>
    <w:p w:rsidR="00A94DA2" w:rsidRDefault="00DC0F69">
      <w:pPr>
        <w:pStyle w:val="PargrafodaLista"/>
        <w:numPr>
          <w:ilvl w:val="0"/>
          <w:numId w:val="1"/>
        </w:numPr>
        <w:tabs>
          <w:tab w:val="left" w:pos="349"/>
        </w:tabs>
        <w:ind w:right="129" w:firstLine="0"/>
        <w:rPr>
          <w:sz w:val="16"/>
        </w:rPr>
      </w:pPr>
      <w:r w:rsidRPr="00DC0F69">
        <w:rPr>
          <w:sz w:val="16"/>
          <w:lang w:val="en-US"/>
        </w:rPr>
        <w:t>Pascual J, Zamora J, Gal</w:t>
      </w:r>
      <w:r w:rsidRPr="00DC0F69">
        <w:rPr>
          <w:sz w:val="16"/>
          <w:lang w:val="en-US"/>
        </w:rPr>
        <w:t xml:space="preserve">eano C, Royuela A, Quereda C. Steroid avoidance or withdrawal for kidney transplant recipients. </w:t>
      </w:r>
      <w:r>
        <w:rPr>
          <w:sz w:val="16"/>
        </w:rPr>
        <w:t>Cochrane Database Syst Rev. 2009(1):CD005632.</w:t>
      </w:r>
    </w:p>
    <w:p w:rsidR="00A94DA2" w:rsidRDefault="00DC0F69">
      <w:pPr>
        <w:pStyle w:val="PargrafodaLista"/>
        <w:numPr>
          <w:ilvl w:val="0"/>
          <w:numId w:val="1"/>
        </w:numPr>
        <w:tabs>
          <w:tab w:val="left" w:pos="347"/>
        </w:tabs>
        <w:ind w:right="119" w:firstLine="0"/>
        <w:rPr>
          <w:sz w:val="16"/>
        </w:rPr>
      </w:pPr>
      <w:r w:rsidRPr="00DC0F69">
        <w:rPr>
          <w:sz w:val="16"/>
          <w:lang w:val="en-US"/>
        </w:rPr>
        <w:t>Chocair PR, Duley JA, Simmonds HA, Cameron JS. The importance of thiopurine methyltransferase activity for the use</w:t>
      </w:r>
      <w:r w:rsidRPr="00DC0F69">
        <w:rPr>
          <w:sz w:val="16"/>
          <w:lang w:val="en-US"/>
        </w:rPr>
        <w:t xml:space="preserve"> of azathioprine in transplant recipients. </w:t>
      </w:r>
      <w:r>
        <w:rPr>
          <w:sz w:val="16"/>
        </w:rPr>
        <w:t>Transplantation.</w:t>
      </w:r>
      <w:r>
        <w:rPr>
          <w:spacing w:val="-3"/>
          <w:sz w:val="16"/>
        </w:rPr>
        <w:t xml:space="preserve"> </w:t>
      </w:r>
      <w:r>
        <w:rPr>
          <w:sz w:val="16"/>
        </w:rPr>
        <w:t>1992;53(5):1051-6.</w:t>
      </w:r>
    </w:p>
    <w:p w:rsidR="00A94DA2" w:rsidRDefault="00DC0F69">
      <w:pPr>
        <w:pStyle w:val="PargrafodaLista"/>
        <w:numPr>
          <w:ilvl w:val="0"/>
          <w:numId w:val="1"/>
        </w:numPr>
        <w:tabs>
          <w:tab w:val="left" w:pos="349"/>
        </w:tabs>
        <w:ind w:left="348" w:hanging="242"/>
        <w:rPr>
          <w:sz w:val="16"/>
        </w:rPr>
      </w:pPr>
      <w:r w:rsidRPr="00DC0F69">
        <w:rPr>
          <w:sz w:val="16"/>
          <w:lang w:val="en-US"/>
        </w:rPr>
        <w:t xml:space="preserve">Elion GB. Nobel Lecture. The purine path to chemotherapy. </w:t>
      </w:r>
      <w:r>
        <w:rPr>
          <w:sz w:val="16"/>
        </w:rPr>
        <w:t>Biosci Rep.</w:t>
      </w:r>
      <w:r>
        <w:rPr>
          <w:spacing w:val="-10"/>
          <w:sz w:val="16"/>
        </w:rPr>
        <w:t xml:space="preserve"> </w:t>
      </w:r>
      <w:r>
        <w:rPr>
          <w:sz w:val="16"/>
        </w:rPr>
        <w:t>1989;9(5):509-29.</w:t>
      </w:r>
    </w:p>
    <w:p w:rsidR="00A94DA2" w:rsidRDefault="00DC0F69">
      <w:pPr>
        <w:pStyle w:val="PargrafodaLista"/>
        <w:numPr>
          <w:ilvl w:val="0"/>
          <w:numId w:val="1"/>
        </w:numPr>
        <w:tabs>
          <w:tab w:val="left" w:pos="349"/>
        </w:tabs>
        <w:spacing w:before="1"/>
        <w:ind w:right="120" w:firstLine="0"/>
        <w:rPr>
          <w:sz w:val="16"/>
        </w:rPr>
      </w:pPr>
      <w:r w:rsidRPr="00DC0F69">
        <w:rPr>
          <w:sz w:val="16"/>
          <w:lang w:val="en-US"/>
        </w:rPr>
        <w:t>Zimm S, Collins JM, O'</w:t>
      </w:r>
      <w:r w:rsidRPr="00DC0F69">
        <w:rPr>
          <w:sz w:val="16"/>
          <w:lang w:val="en-US"/>
        </w:rPr>
        <w:t xml:space="preserve">Neill D, Chabner BA, Poplack DG. Inhibition of first-pass metabolism in cancer chemotherapy: interaction of 6-mercaptopurine and allopurinol. </w:t>
      </w:r>
      <w:r>
        <w:rPr>
          <w:sz w:val="16"/>
        </w:rPr>
        <w:t>Clin Pharmacol Ther.</w:t>
      </w:r>
      <w:r>
        <w:rPr>
          <w:spacing w:val="-4"/>
          <w:sz w:val="16"/>
        </w:rPr>
        <w:t xml:space="preserve"> </w:t>
      </w:r>
      <w:r>
        <w:rPr>
          <w:sz w:val="16"/>
        </w:rPr>
        <w:t>1983;34(6):810-7.</w:t>
      </w:r>
    </w:p>
    <w:p w:rsidR="00A94DA2" w:rsidRDefault="00DC0F69">
      <w:pPr>
        <w:pStyle w:val="PargrafodaLista"/>
        <w:numPr>
          <w:ilvl w:val="0"/>
          <w:numId w:val="1"/>
        </w:numPr>
        <w:tabs>
          <w:tab w:val="left" w:pos="347"/>
        </w:tabs>
        <w:ind w:right="124" w:firstLine="0"/>
        <w:rPr>
          <w:sz w:val="16"/>
        </w:rPr>
      </w:pPr>
      <w:r w:rsidRPr="00DC0F69">
        <w:rPr>
          <w:sz w:val="16"/>
          <w:lang w:val="en-US"/>
        </w:rPr>
        <w:t xml:space="preserve">Chocair P, Duley J, Simmonds HA, Cameron JS, Ianhez </w:t>
      </w:r>
      <w:r w:rsidRPr="00DC0F69">
        <w:rPr>
          <w:spacing w:val="-3"/>
          <w:sz w:val="16"/>
          <w:lang w:val="en-US"/>
        </w:rPr>
        <w:t xml:space="preserve">L, </w:t>
      </w:r>
      <w:r w:rsidRPr="00DC0F69">
        <w:rPr>
          <w:sz w:val="16"/>
          <w:lang w:val="en-US"/>
        </w:rPr>
        <w:t>Arap S, et al. Low-d</w:t>
      </w:r>
      <w:r w:rsidRPr="00DC0F69">
        <w:rPr>
          <w:sz w:val="16"/>
          <w:lang w:val="en-US"/>
        </w:rPr>
        <w:t xml:space="preserve">ose allopurinol plus azathioprine/cyclosporin/prednisolone, a novel immunosuppressive regimen. </w:t>
      </w:r>
      <w:r>
        <w:rPr>
          <w:sz w:val="16"/>
        </w:rPr>
        <w:t>Lancet.</w:t>
      </w:r>
      <w:r>
        <w:rPr>
          <w:spacing w:val="-4"/>
          <w:sz w:val="16"/>
        </w:rPr>
        <w:t xml:space="preserve"> </w:t>
      </w:r>
      <w:r>
        <w:rPr>
          <w:sz w:val="16"/>
        </w:rPr>
        <w:t>1993;342(8863):83-4.</w:t>
      </w:r>
    </w:p>
    <w:p w:rsidR="00A94DA2" w:rsidRDefault="00DC0F69">
      <w:pPr>
        <w:pStyle w:val="PargrafodaLista"/>
        <w:numPr>
          <w:ilvl w:val="0"/>
          <w:numId w:val="1"/>
        </w:numPr>
        <w:tabs>
          <w:tab w:val="left" w:pos="349"/>
        </w:tabs>
        <w:ind w:right="123" w:firstLine="0"/>
        <w:rPr>
          <w:sz w:val="16"/>
        </w:rPr>
      </w:pPr>
      <w:r w:rsidRPr="00DC0F69">
        <w:rPr>
          <w:sz w:val="16"/>
          <w:lang w:val="en-US"/>
        </w:rPr>
        <w:t>Sparrow MP, Hande SA, Friedman S, Lim WC, Reddy SI, Cao D, et al. Allopurinol safely and effectively optimizes tioguanine metabolite</w:t>
      </w:r>
      <w:r w:rsidRPr="00DC0F69">
        <w:rPr>
          <w:sz w:val="16"/>
          <w:lang w:val="en-US"/>
        </w:rPr>
        <w:t xml:space="preserve">s in inflammatory bowel disease patients not responding to azathioprine and mercaptopurine. </w:t>
      </w:r>
      <w:r>
        <w:rPr>
          <w:sz w:val="16"/>
        </w:rPr>
        <w:t>Aliment Pharmacol Ther.</w:t>
      </w:r>
      <w:r>
        <w:rPr>
          <w:spacing w:val="-14"/>
          <w:sz w:val="16"/>
        </w:rPr>
        <w:t xml:space="preserve"> </w:t>
      </w:r>
      <w:r>
        <w:rPr>
          <w:sz w:val="16"/>
        </w:rPr>
        <w:t>2005;22(5):441-6.</w:t>
      </w:r>
    </w:p>
    <w:p w:rsidR="00A94DA2" w:rsidRDefault="00DC0F69">
      <w:pPr>
        <w:pStyle w:val="PargrafodaLista"/>
        <w:numPr>
          <w:ilvl w:val="0"/>
          <w:numId w:val="1"/>
        </w:numPr>
        <w:tabs>
          <w:tab w:val="left" w:pos="349"/>
        </w:tabs>
        <w:ind w:right="120" w:firstLine="0"/>
        <w:rPr>
          <w:sz w:val="16"/>
        </w:rPr>
      </w:pPr>
      <w:r w:rsidRPr="00DC0F69">
        <w:rPr>
          <w:sz w:val="16"/>
          <w:lang w:val="en-US"/>
        </w:rPr>
        <w:t>Ansari A, Elliott T, Baburajan B, Mayhead P, O'Donohue J, Chocair P, et al. Long-term outcome of using allopurinol co-ther</w:t>
      </w:r>
      <w:r w:rsidRPr="00DC0F69">
        <w:rPr>
          <w:sz w:val="16"/>
          <w:lang w:val="en-US"/>
        </w:rPr>
        <w:t xml:space="preserve">apy as a strategy for overcoming thiopurine hepatotoxicity in treating inflammatory bowel disease. </w:t>
      </w:r>
      <w:r>
        <w:rPr>
          <w:sz w:val="16"/>
        </w:rPr>
        <w:t>Aliment Pharmacol Ther.</w:t>
      </w:r>
      <w:r>
        <w:rPr>
          <w:spacing w:val="-16"/>
          <w:sz w:val="16"/>
        </w:rPr>
        <w:t xml:space="preserve"> </w:t>
      </w:r>
      <w:r>
        <w:rPr>
          <w:sz w:val="16"/>
        </w:rPr>
        <w:t>2008;28(6):734-41.</w:t>
      </w:r>
    </w:p>
    <w:p w:rsidR="00A94DA2" w:rsidRDefault="00DC0F69">
      <w:pPr>
        <w:pStyle w:val="PargrafodaLista"/>
        <w:numPr>
          <w:ilvl w:val="0"/>
          <w:numId w:val="1"/>
        </w:numPr>
        <w:tabs>
          <w:tab w:val="left" w:pos="349"/>
        </w:tabs>
        <w:ind w:right="123" w:firstLine="0"/>
        <w:rPr>
          <w:sz w:val="16"/>
        </w:rPr>
      </w:pPr>
      <w:r>
        <w:rPr>
          <w:sz w:val="16"/>
        </w:rPr>
        <w:t xml:space="preserve">Sonoda T, Takahara S, Takahashi K, Uchida K, Ohshima S, Toma H, et al. </w:t>
      </w:r>
      <w:r w:rsidRPr="00DC0F69">
        <w:rPr>
          <w:sz w:val="16"/>
          <w:lang w:val="en-US"/>
        </w:rPr>
        <w:t>Outcome of 3 years of immunosuppression wit</w:t>
      </w:r>
      <w:r w:rsidRPr="00DC0F69">
        <w:rPr>
          <w:sz w:val="16"/>
          <w:lang w:val="en-US"/>
        </w:rPr>
        <w:t xml:space="preserve">h tacrolimus in more than 1,000 renal transplant recipients in japan. </w:t>
      </w:r>
      <w:r>
        <w:rPr>
          <w:sz w:val="16"/>
        </w:rPr>
        <w:t>Transplantation.</w:t>
      </w:r>
      <w:r>
        <w:rPr>
          <w:spacing w:val="-4"/>
          <w:sz w:val="16"/>
        </w:rPr>
        <w:t xml:space="preserve"> </w:t>
      </w:r>
      <w:r>
        <w:rPr>
          <w:sz w:val="16"/>
        </w:rPr>
        <w:t>2003;75(2):199-204.</w:t>
      </w:r>
    </w:p>
    <w:p w:rsidR="00A94DA2" w:rsidRDefault="00DC0F69">
      <w:pPr>
        <w:pStyle w:val="PargrafodaLista"/>
        <w:numPr>
          <w:ilvl w:val="0"/>
          <w:numId w:val="1"/>
        </w:numPr>
        <w:tabs>
          <w:tab w:val="left" w:pos="347"/>
        </w:tabs>
        <w:ind w:right="119" w:firstLine="0"/>
        <w:rPr>
          <w:sz w:val="16"/>
        </w:rPr>
      </w:pPr>
      <w:r w:rsidRPr="00DC0F69">
        <w:rPr>
          <w:sz w:val="16"/>
          <w:lang w:val="en-US"/>
        </w:rPr>
        <w:t>Mayer AD, Dmitrewski J, Squifflet JP, Besse T, Grabensee B, Klein B, et al. Multicenter randomized trial comparing tacrolimus (FK506) and cyclosporin</w:t>
      </w:r>
      <w:r w:rsidRPr="00DC0F69">
        <w:rPr>
          <w:sz w:val="16"/>
          <w:lang w:val="en-US"/>
        </w:rPr>
        <w:t>e in the prevention</w:t>
      </w:r>
      <w:r w:rsidRPr="00DC0F69">
        <w:rPr>
          <w:spacing w:val="-1"/>
          <w:sz w:val="16"/>
          <w:lang w:val="en-US"/>
        </w:rPr>
        <w:t xml:space="preserve"> </w:t>
      </w:r>
      <w:r w:rsidRPr="00DC0F69">
        <w:rPr>
          <w:sz w:val="16"/>
          <w:lang w:val="en-US"/>
        </w:rPr>
        <w:t>of</w:t>
      </w:r>
      <w:r w:rsidRPr="00DC0F69">
        <w:rPr>
          <w:spacing w:val="-2"/>
          <w:sz w:val="16"/>
          <w:lang w:val="en-US"/>
        </w:rPr>
        <w:t xml:space="preserve"> </w:t>
      </w:r>
      <w:r w:rsidRPr="00DC0F69">
        <w:rPr>
          <w:sz w:val="16"/>
          <w:lang w:val="en-US"/>
        </w:rPr>
        <w:t>renal</w:t>
      </w:r>
      <w:r w:rsidRPr="00DC0F69">
        <w:rPr>
          <w:spacing w:val="-4"/>
          <w:sz w:val="16"/>
          <w:lang w:val="en-US"/>
        </w:rPr>
        <w:t xml:space="preserve"> </w:t>
      </w:r>
      <w:r w:rsidRPr="00DC0F69">
        <w:rPr>
          <w:sz w:val="16"/>
          <w:lang w:val="en-US"/>
        </w:rPr>
        <w:t>allograft rejection:</w:t>
      </w:r>
      <w:r w:rsidRPr="00DC0F69">
        <w:rPr>
          <w:spacing w:val="-2"/>
          <w:sz w:val="16"/>
          <w:lang w:val="en-US"/>
        </w:rPr>
        <w:t xml:space="preserve"> </w:t>
      </w:r>
      <w:r w:rsidRPr="00DC0F69">
        <w:rPr>
          <w:sz w:val="16"/>
          <w:lang w:val="en-US"/>
        </w:rPr>
        <w:t>a report of</w:t>
      </w:r>
      <w:r w:rsidRPr="00DC0F69">
        <w:rPr>
          <w:spacing w:val="-2"/>
          <w:sz w:val="16"/>
          <w:lang w:val="en-US"/>
        </w:rPr>
        <w:t xml:space="preserve"> </w:t>
      </w:r>
      <w:r w:rsidRPr="00DC0F69">
        <w:rPr>
          <w:sz w:val="16"/>
          <w:lang w:val="en-US"/>
        </w:rPr>
        <w:t>the</w:t>
      </w:r>
      <w:r w:rsidRPr="00DC0F69">
        <w:rPr>
          <w:spacing w:val="-3"/>
          <w:sz w:val="16"/>
          <w:lang w:val="en-US"/>
        </w:rPr>
        <w:t xml:space="preserve"> </w:t>
      </w:r>
      <w:r w:rsidRPr="00DC0F69">
        <w:rPr>
          <w:sz w:val="16"/>
          <w:lang w:val="en-US"/>
        </w:rPr>
        <w:t>European</w:t>
      </w:r>
      <w:r w:rsidRPr="00DC0F69">
        <w:rPr>
          <w:spacing w:val="-2"/>
          <w:sz w:val="16"/>
          <w:lang w:val="en-US"/>
        </w:rPr>
        <w:t xml:space="preserve"> </w:t>
      </w:r>
      <w:r w:rsidRPr="00DC0F69">
        <w:rPr>
          <w:sz w:val="16"/>
          <w:lang w:val="en-US"/>
        </w:rPr>
        <w:t>Tacrolimus</w:t>
      </w:r>
      <w:r w:rsidRPr="00DC0F69">
        <w:rPr>
          <w:spacing w:val="-3"/>
          <w:sz w:val="16"/>
          <w:lang w:val="en-US"/>
        </w:rPr>
        <w:t xml:space="preserve"> </w:t>
      </w:r>
      <w:r w:rsidRPr="00DC0F69">
        <w:rPr>
          <w:sz w:val="16"/>
          <w:lang w:val="en-US"/>
        </w:rPr>
        <w:t>Multicenter</w:t>
      </w:r>
      <w:r w:rsidRPr="00DC0F69">
        <w:rPr>
          <w:spacing w:val="-2"/>
          <w:sz w:val="16"/>
          <w:lang w:val="en-US"/>
        </w:rPr>
        <w:t xml:space="preserve"> </w:t>
      </w:r>
      <w:r w:rsidRPr="00DC0F69">
        <w:rPr>
          <w:sz w:val="16"/>
          <w:lang w:val="en-US"/>
        </w:rPr>
        <w:t>Renal</w:t>
      </w:r>
      <w:r w:rsidRPr="00DC0F69">
        <w:rPr>
          <w:spacing w:val="-2"/>
          <w:sz w:val="16"/>
          <w:lang w:val="en-US"/>
        </w:rPr>
        <w:t xml:space="preserve"> </w:t>
      </w:r>
      <w:r w:rsidRPr="00DC0F69">
        <w:rPr>
          <w:sz w:val="16"/>
          <w:lang w:val="en-US"/>
        </w:rPr>
        <w:t>Study</w:t>
      </w:r>
      <w:r w:rsidRPr="00DC0F69">
        <w:rPr>
          <w:spacing w:val="-4"/>
          <w:sz w:val="16"/>
          <w:lang w:val="en-US"/>
        </w:rPr>
        <w:t xml:space="preserve"> </w:t>
      </w:r>
      <w:r w:rsidRPr="00DC0F69">
        <w:rPr>
          <w:sz w:val="16"/>
          <w:lang w:val="en-US"/>
        </w:rPr>
        <w:t xml:space="preserve">Group. </w:t>
      </w:r>
      <w:r>
        <w:rPr>
          <w:sz w:val="16"/>
        </w:rPr>
        <w:t>Transplantation.</w:t>
      </w:r>
      <w:r>
        <w:rPr>
          <w:spacing w:val="-3"/>
          <w:sz w:val="16"/>
        </w:rPr>
        <w:t xml:space="preserve"> </w:t>
      </w:r>
      <w:r>
        <w:rPr>
          <w:sz w:val="16"/>
        </w:rPr>
        <w:t>1997;64(3):436-43.</w:t>
      </w:r>
    </w:p>
    <w:p w:rsidR="00A94DA2" w:rsidRDefault="00DC0F69">
      <w:pPr>
        <w:pStyle w:val="PargrafodaLista"/>
        <w:numPr>
          <w:ilvl w:val="0"/>
          <w:numId w:val="1"/>
        </w:numPr>
        <w:tabs>
          <w:tab w:val="left" w:pos="349"/>
        </w:tabs>
        <w:ind w:right="114" w:firstLine="0"/>
        <w:rPr>
          <w:sz w:val="16"/>
        </w:rPr>
      </w:pPr>
      <w:r w:rsidRPr="00DC0F69">
        <w:rPr>
          <w:sz w:val="16"/>
          <w:lang w:val="en-US"/>
        </w:rPr>
        <w:t>Webster AC, Woodroffe RC, Taylor RS, Chapman JR, Craig JC. Tacrolimus versus ciclosporin as primary imm</w:t>
      </w:r>
      <w:r w:rsidRPr="00DC0F69">
        <w:rPr>
          <w:sz w:val="16"/>
          <w:lang w:val="en-US"/>
        </w:rPr>
        <w:t xml:space="preserve">unosuppression for kidney transplant recipients: meta- analysis and meta-regression of randomised trial data. </w:t>
      </w:r>
      <w:r>
        <w:rPr>
          <w:sz w:val="16"/>
        </w:rPr>
        <w:t>BMJ.</w:t>
      </w:r>
      <w:r>
        <w:rPr>
          <w:spacing w:val="-11"/>
          <w:sz w:val="16"/>
        </w:rPr>
        <w:t xml:space="preserve"> </w:t>
      </w:r>
      <w:r>
        <w:rPr>
          <w:sz w:val="16"/>
        </w:rPr>
        <w:t>2005;331(7520):810.</w:t>
      </w:r>
    </w:p>
    <w:p w:rsidR="00A94DA2" w:rsidRDefault="00DC0F69">
      <w:pPr>
        <w:pStyle w:val="PargrafodaLista"/>
        <w:numPr>
          <w:ilvl w:val="0"/>
          <w:numId w:val="1"/>
        </w:numPr>
        <w:tabs>
          <w:tab w:val="left" w:pos="349"/>
        </w:tabs>
        <w:ind w:right="121" w:firstLine="0"/>
        <w:rPr>
          <w:sz w:val="16"/>
        </w:rPr>
      </w:pPr>
      <w:r w:rsidRPr="00DC0F69">
        <w:rPr>
          <w:sz w:val="16"/>
          <w:lang w:val="en-US"/>
        </w:rPr>
        <w:t>Atkison P, Joubert G, Barron A, Grant D, Paradis K, Seidman E, et al. Hypertrophic cardiomyopathy associated with tacroli</w:t>
      </w:r>
      <w:r w:rsidRPr="00DC0F69">
        <w:rPr>
          <w:sz w:val="16"/>
          <w:lang w:val="en-US"/>
        </w:rPr>
        <w:t xml:space="preserve">mus in paediatric transplant patients. Lancet. </w:t>
      </w:r>
      <w:r>
        <w:rPr>
          <w:sz w:val="16"/>
        </w:rPr>
        <w:t>1995;345(8954):894-6.</w:t>
      </w:r>
    </w:p>
    <w:p w:rsidR="00A94DA2" w:rsidRDefault="00DC0F69">
      <w:pPr>
        <w:pStyle w:val="PargrafodaLista"/>
        <w:numPr>
          <w:ilvl w:val="0"/>
          <w:numId w:val="1"/>
        </w:numPr>
        <w:tabs>
          <w:tab w:val="left" w:pos="347"/>
        </w:tabs>
        <w:ind w:right="121" w:firstLine="0"/>
        <w:rPr>
          <w:sz w:val="16"/>
        </w:rPr>
      </w:pPr>
      <w:r w:rsidRPr="00DC0F69">
        <w:rPr>
          <w:sz w:val="16"/>
          <w:lang w:val="en-US"/>
        </w:rPr>
        <w:t xml:space="preserve">Binet </w:t>
      </w:r>
      <w:r w:rsidRPr="00DC0F69">
        <w:rPr>
          <w:spacing w:val="-3"/>
          <w:sz w:val="16"/>
          <w:lang w:val="en-US"/>
        </w:rPr>
        <w:t xml:space="preserve">I, </w:t>
      </w:r>
      <w:r w:rsidRPr="00DC0F69">
        <w:rPr>
          <w:sz w:val="16"/>
          <w:lang w:val="en-US"/>
        </w:rPr>
        <w:t xml:space="preserve">Nickeleit V, Hirsch HH, Prince O, Dalquen P, Gudat F, et al. Polyomavirus disease under new immunosuppressive drugs: a cause of renal graft dysfunction and graft loss. </w:t>
      </w:r>
      <w:r>
        <w:rPr>
          <w:sz w:val="16"/>
        </w:rPr>
        <w:t>Transplant</w:t>
      </w:r>
      <w:r>
        <w:rPr>
          <w:sz w:val="16"/>
        </w:rPr>
        <w:t>ation.</w:t>
      </w:r>
      <w:r>
        <w:rPr>
          <w:spacing w:val="-1"/>
          <w:sz w:val="16"/>
        </w:rPr>
        <w:t xml:space="preserve"> </w:t>
      </w:r>
      <w:r>
        <w:rPr>
          <w:sz w:val="16"/>
        </w:rPr>
        <w:t>1999;67(6):918-22.</w:t>
      </w:r>
    </w:p>
    <w:p w:rsidR="00A94DA2" w:rsidRDefault="00DC0F69">
      <w:pPr>
        <w:pStyle w:val="PargrafodaLista"/>
        <w:numPr>
          <w:ilvl w:val="0"/>
          <w:numId w:val="1"/>
        </w:numPr>
        <w:tabs>
          <w:tab w:val="left" w:pos="349"/>
        </w:tabs>
        <w:ind w:right="123" w:firstLine="0"/>
        <w:rPr>
          <w:sz w:val="16"/>
        </w:rPr>
      </w:pPr>
      <w:r>
        <w:rPr>
          <w:sz w:val="16"/>
        </w:rPr>
        <w:t xml:space="preserve">Guerra AA, Jr., Cesar CC, Cherchiglia ML, Andrade EI, de Queiroz OV, Silva GD, et al. </w:t>
      </w:r>
      <w:r w:rsidRPr="00DC0F69">
        <w:rPr>
          <w:sz w:val="16"/>
          <w:lang w:val="en-US"/>
        </w:rPr>
        <w:t xml:space="preserve">Cyclosporine versus tacrolimus in immunosuppressive maintenance regimens in renal transplants in Brazil: survival analysis from 2000 to 2004. </w:t>
      </w:r>
      <w:r>
        <w:rPr>
          <w:sz w:val="16"/>
        </w:rPr>
        <w:t>An</w:t>
      </w:r>
      <w:r>
        <w:rPr>
          <w:sz w:val="16"/>
        </w:rPr>
        <w:t>n Pharmacother.</w:t>
      </w:r>
      <w:r>
        <w:rPr>
          <w:spacing w:val="-17"/>
          <w:sz w:val="16"/>
        </w:rPr>
        <w:t xml:space="preserve"> </w:t>
      </w:r>
      <w:r>
        <w:rPr>
          <w:sz w:val="16"/>
        </w:rPr>
        <w:t>2010;44(1):192-201.</w:t>
      </w:r>
    </w:p>
    <w:p w:rsidR="00A94DA2" w:rsidRDefault="00DC0F69">
      <w:pPr>
        <w:pStyle w:val="PargrafodaLista"/>
        <w:numPr>
          <w:ilvl w:val="0"/>
          <w:numId w:val="1"/>
        </w:numPr>
        <w:tabs>
          <w:tab w:val="left" w:pos="349"/>
        </w:tabs>
        <w:ind w:right="119" w:firstLine="0"/>
        <w:rPr>
          <w:sz w:val="16"/>
        </w:rPr>
      </w:pPr>
      <w:r w:rsidRPr="00DC0F69">
        <w:rPr>
          <w:sz w:val="16"/>
          <w:lang w:val="en-US"/>
        </w:rPr>
        <w:t xml:space="preserve">Higgins RM, Hart P, Lam FT, Kashi H. Conversion from tacrolimus to cyclosporine in stable renal transplant patients: safety, metabolic changes, and pharmacokinetic comparison. </w:t>
      </w:r>
      <w:r>
        <w:rPr>
          <w:sz w:val="16"/>
        </w:rPr>
        <w:t>Transplantation.</w:t>
      </w:r>
      <w:r>
        <w:rPr>
          <w:spacing w:val="-4"/>
          <w:sz w:val="16"/>
        </w:rPr>
        <w:t xml:space="preserve"> </w:t>
      </w:r>
      <w:r>
        <w:rPr>
          <w:sz w:val="16"/>
        </w:rPr>
        <w:t>2000;69(8):1736-9.</w:t>
      </w:r>
    </w:p>
    <w:p w:rsidR="00A94DA2" w:rsidRDefault="00DC0F69">
      <w:pPr>
        <w:pStyle w:val="PargrafodaLista"/>
        <w:numPr>
          <w:ilvl w:val="0"/>
          <w:numId w:val="1"/>
        </w:numPr>
        <w:tabs>
          <w:tab w:val="left" w:pos="347"/>
        </w:tabs>
        <w:spacing w:line="183" w:lineRule="exact"/>
        <w:ind w:left="346" w:hanging="240"/>
        <w:rPr>
          <w:sz w:val="16"/>
        </w:rPr>
      </w:pPr>
      <w:r w:rsidRPr="00DC0F69">
        <w:rPr>
          <w:sz w:val="16"/>
          <w:lang w:val="en-US"/>
        </w:rPr>
        <w:t xml:space="preserve">Morris RE. Immunopharmacology of new xenobiotic immunosuppressive molecules. </w:t>
      </w:r>
      <w:r>
        <w:rPr>
          <w:sz w:val="16"/>
        </w:rPr>
        <w:t>Semin Nephrol.</w:t>
      </w:r>
      <w:r>
        <w:rPr>
          <w:spacing w:val="-13"/>
          <w:sz w:val="16"/>
        </w:rPr>
        <w:t xml:space="preserve"> </w:t>
      </w:r>
      <w:r>
        <w:rPr>
          <w:sz w:val="16"/>
        </w:rPr>
        <w:t>1992;12(4):304-14.</w:t>
      </w:r>
    </w:p>
    <w:p w:rsidR="00A94DA2" w:rsidRDefault="00DC0F69">
      <w:pPr>
        <w:pStyle w:val="PargrafodaLista"/>
        <w:numPr>
          <w:ilvl w:val="0"/>
          <w:numId w:val="1"/>
        </w:numPr>
        <w:tabs>
          <w:tab w:val="left" w:pos="349"/>
        </w:tabs>
        <w:ind w:right="123" w:firstLine="0"/>
        <w:rPr>
          <w:sz w:val="16"/>
        </w:rPr>
      </w:pPr>
      <w:r w:rsidRPr="00DC0F69">
        <w:rPr>
          <w:sz w:val="16"/>
          <w:lang w:val="en-US"/>
        </w:rPr>
        <w:t>Irish W, Arcona S, Gifford RJ, Baillie GM, Cooper M. Enteric-coated mycophenolate sodium versus mycophenolate mofetil maintenance immunosuppressi</w:t>
      </w:r>
      <w:r w:rsidRPr="00DC0F69">
        <w:rPr>
          <w:sz w:val="16"/>
          <w:lang w:val="en-US"/>
        </w:rPr>
        <w:t xml:space="preserve">on: outcomes analysis of the United Network for Organ Sharing/Organ Procurement and Transplantation Network database. </w:t>
      </w:r>
      <w:r>
        <w:rPr>
          <w:sz w:val="16"/>
        </w:rPr>
        <w:t>Transplantation.</w:t>
      </w:r>
      <w:r>
        <w:rPr>
          <w:spacing w:val="-21"/>
          <w:sz w:val="16"/>
        </w:rPr>
        <w:t xml:space="preserve"> </w:t>
      </w:r>
      <w:r>
        <w:rPr>
          <w:sz w:val="16"/>
        </w:rPr>
        <w:t>2010;90(1):23-30.</w:t>
      </w:r>
    </w:p>
    <w:p w:rsidR="00A94DA2" w:rsidRDefault="00DC0F69">
      <w:pPr>
        <w:pStyle w:val="PargrafodaLista"/>
        <w:numPr>
          <w:ilvl w:val="0"/>
          <w:numId w:val="1"/>
        </w:numPr>
        <w:tabs>
          <w:tab w:val="left" w:pos="349"/>
        </w:tabs>
        <w:ind w:right="117" w:firstLine="0"/>
        <w:rPr>
          <w:sz w:val="16"/>
        </w:rPr>
      </w:pPr>
      <w:r>
        <w:rPr>
          <w:sz w:val="16"/>
        </w:rPr>
        <w:t xml:space="preserve">Doria C, Ramirez CB, Frank AM, Vaccino S, Fraser N, Marino IR. </w:t>
      </w:r>
      <w:r w:rsidRPr="00DC0F69">
        <w:rPr>
          <w:sz w:val="16"/>
          <w:lang w:val="en-US"/>
        </w:rPr>
        <w:t>Use of enteric-coated mycophenolate sodi</w:t>
      </w:r>
      <w:r w:rsidRPr="00DC0F69">
        <w:rPr>
          <w:sz w:val="16"/>
          <w:lang w:val="en-US"/>
        </w:rPr>
        <w:t xml:space="preserve">um in liver transplant patients with intestinal intolerance caused by mycophenolate mofetil. </w:t>
      </w:r>
      <w:r>
        <w:rPr>
          <w:sz w:val="16"/>
        </w:rPr>
        <w:t>Clin Transplant.</w:t>
      </w:r>
      <w:r>
        <w:rPr>
          <w:spacing w:val="-8"/>
          <w:sz w:val="16"/>
        </w:rPr>
        <w:t xml:space="preserve"> </w:t>
      </w:r>
      <w:r>
        <w:rPr>
          <w:sz w:val="16"/>
        </w:rPr>
        <w:t>2009;23(6):882-6.</w:t>
      </w:r>
    </w:p>
    <w:p w:rsidR="00A94DA2" w:rsidRDefault="00DC0F69">
      <w:pPr>
        <w:pStyle w:val="PargrafodaLista"/>
        <w:numPr>
          <w:ilvl w:val="0"/>
          <w:numId w:val="1"/>
        </w:numPr>
        <w:tabs>
          <w:tab w:val="left" w:pos="347"/>
        </w:tabs>
        <w:spacing w:before="1"/>
        <w:ind w:right="118" w:firstLine="0"/>
        <w:rPr>
          <w:sz w:val="16"/>
        </w:rPr>
      </w:pPr>
      <w:r w:rsidRPr="00DC0F69">
        <w:rPr>
          <w:sz w:val="16"/>
          <w:lang w:val="en-US"/>
        </w:rPr>
        <w:t>Beckebaum S, Armstrong VW, Cicinnati VR, Streit F, Klein CG, Gerken G, et al. Pharmacokinetics of mycophenolic acid and its gluc</w:t>
      </w:r>
      <w:r w:rsidRPr="00DC0F69">
        <w:rPr>
          <w:sz w:val="16"/>
          <w:lang w:val="en-US"/>
        </w:rPr>
        <w:t>uronide metabolites in stable adult</w:t>
      </w:r>
      <w:r w:rsidRPr="00DC0F69">
        <w:rPr>
          <w:spacing w:val="-2"/>
          <w:sz w:val="16"/>
          <w:lang w:val="en-US"/>
        </w:rPr>
        <w:t xml:space="preserve"> </w:t>
      </w:r>
      <w:r w:rsidRPr="00DC0F69">
        <w:rPr>
          <w:sz w:val="16"/>
          <w:lang w:val="en-US"/>
        </w:rPr>
        <w:t>liver</w:t>
      </w:r>
      <w:r w:rsidRPr="00DC0F69">
        <w:rPr>
          <w:spacing w:val="-4"/>
          <w:sz w:val="16"/>
          <w:lang w:val="en-US"/>
        </w:rPr>
        <w:t xml:space="preserve"> </w:t>
      </w:r>
      <w:r w:rsidRPr="00DC0F69">
        <w:rPr>
          <w:sz w:val="16"/>
          <w:lang w:val="en-US"/>
        </w:rPr>
        <w:t>transplant</w:t>
      </w:r>
      <w:r w:rsidRPr="00DC0F69">
        <w:rPr>
          <w:spacing w:val="-3"/>
          <w:sz w:val="16"/>
          <w:lang w:val="en-US"/>
        </w:rPr>
        <w:t xml:space="preserve"> </w:t>
      </w:r>
      <w:r w:rsidRPr="00DC0F69">
        <w:rPr>
          <w:sz w:val="16"/>
          <w:lang w:val="en-US"/>
        </w:rPr>
        <w:t>recipients</w:t>
      </w:r>
      <w:r w:rsidRPr="00DC0F69">
        <w:rPr>
          <w:spacing w:val="-5"/>
          <w:sz w:val="16"/>
          <w:lang w:val="en-US"/>
        </w:rPr>
        <w:t xml:space="preserve"> </w:t>
      </w:r>
      <w:r w:rsidRPr="00DC0F69">
        <w:rPr>
          <w:sz w:val="16"/>
          <w:lang w:val="en-US"/>
        </w:rPr>
        <w:t>with</w:t>
      </w:r>
      <w:r w:rsidRPr="00DC0F69">
        <w:rPr>
          <w:spacing w:val="-3"/>
          <w:sz w:val="16"/>
          <w:lang w:val="en-US"/>
        </w:rPr>
        <w:t xml:space="preserve"> </w:t>
      </w:r>
      <w:r w:rsidRPr="00DC0F69">
        <w:rPr>
          <w:sz w:val="16"/>
          <w:lang w:val="en-US"/>
        </w:rPr>
        <w:t>renal</w:t>
      </w:r>
      <w:r w:rsidRPr="00DC0F69">
        <w:rPr>
          <w:spacing w:val="-4"/>
          <w:sz w:val="16"/>
          <w:lang w:val="en-US"/>
        </w:rPr>
        <w:t xml:space="preserve"> </w:t>
      </w:r>
      <w:r w:rsidRPr="00DC0F69">
        <w:rPr>
          <w:sz w:val="16"/>
          <w:lang w:val="en-US"/>
        </w:rPr>
        <w:t>dysfunction</w:t>
      </w:r>
      <w:r w:rsidRPr="00DC0F69">
        <w:rPr>
          <w:spacing w:val="-3"/>
          <w:sz w:val="16"/>
          <w:lang w:val="en-US"/>
        </w:rPr>
        <w:t xml:space="preserve"> </w:t>
      </w:r>
      <w:r w:rsidRPr="00DC0F69">
        <w:rPr>
          <w:sz w:val="16"/>
          <w:lang w:val="en-US"/>
        </w:rPr>
        <w:t>on</w:t>
      </w:r>
      <w:r w:rsidRPr="00DC0F69">
        <w:rPr>
          <w:spacing w:val="-4"/>
          <w:sz w:val="16"/>
          <w:lang w:val="en-US"/>
        </w:rPr>
        <w:t xml:space="preserve"> </w:t>
      </w:r>
      <w:r w:rsidRPr="00DC0F69">
        <w:rPr>
          <w:sz w:val="16"/>
          <w:lang w:val="en-US"/>
        </w:rPr>
        <w:t>a</w:t>
      </w:r>
      <w:r w:rsidRPr="00DC0F69">
        <w:rPr>
          <w:spacing w:val="-2"/>
          <w:sz w:val="16"/>
          <w:lang w:val="en-US"/>
        </w:rPr>
        <w:t xml:space="preserve"> </w:t>
      </w:r>
      <w:r w:rsidRPr="00DC0F69">
        <w:rPr>
          <w:sz w:val="16"/>
          <w:lang w:val="en-US"/>
        </w:rPr>
        <w:t>low-dose</w:t>
      </w:r>
      <w:r w:rsidRPr="00DC0F69">
        <w:rPr>
          <w:spacing w:val="-4"/>
          <w:sz w:val="16"/>
          <w:lang w:val="en-US"/>
        </w:rPr>
        <w:t xml:space="preserve"> </w:t>
      </w:r>
      <w:r w:rsidRPr="00DC0F69">
        <w:rPr>
          <w:sz w:val="16"/>
          <w:lang w:val="en-US"/>
        </w:rPr>
        <w:t>calcineurin</w:t>
      </w:r>
      <w:r w:rsidRPr="00DC0F69">
        <w:rPr>
          <w:spacing w:val="-4"/>
          <w:sz w:val="16"/>
          <w:lang w:val="en-US"/>
        </w:rPr>
        <w:t xml:space="preserve"> </w:t>
      </w:r>
      <w:r w:rsidRPr="00DC0F69">
        <w:rPr>
          <w:sz w:val="16"/>
          <w:lang w:val="en-US"/>
        </w:rPr>
        <w:t>inhibitor</w:t>
      </w:r>
      <w:r w:rsidRPr="00DC0F69">
        <w:rPr>
          <w:spacing w:val="-3"/>
          <w:sz w:val="16"/>
          <w:lang w:val="en-US"/>
        </w:rPr>
        <w:t xml:space="preserve"> </w:t>
      </w:r>
      <w:r w:rsidRPr="00DC0F69">
        <w:rPr>
          <w:sz w:val="16"/>
          <w:lang w:val="en-US"/>
        </w:rPr>
        <w:t>regimen</w:t>
      </w:r>
      <w:r w:rsidRPr="00DC0F69">
        <w:rPr>
          <w:spacing w:val="-2"/>
          <w:sz w:val="16"/>
          <w:lang w:val="en-US"/>
        </w:rPr>
        <w:t xml:space="preserve"> </w:t>
      </w:r>
      <w:r w:rsidRPr="00DC0F69">
        <w:rPr>
          <w:sz w:val="16"/>
          <w:lang w:val="en-US"/>
        </w:rPr>
        <w:t>and</w:t>
      </w:r>
      <w:r w:rsidRPr="00DC0F69">
        <w:rPr>
          <w:spacing w:val="-1"/>
          <w:sz w:val="16"/>
          <w:lang w:val="en-US"/>
        </w:rPr>
        <w:t xml:space="preserve"> </w:t>
      </w:r>
      <w:r w:rsidRPr="00DC0F69">
        <w:rPr>
          <w:sz w:val="16"/>
          <w:lang w:val="en-US"/>
        </w:rPr>
        <w:t>mycophenolate</w:t>
      </w:r>
      <w:r w:rsidRPr="00DC0F69">
        <w:rPr>
          <w:spacing w:val="-5"/>
          <w:sz w:val="16"/>
          <w:lang w:val="en-US"/>
        </w:rPr>
        <w:t xml:space="preserve"> </w:t>
      </w:r>
      <w:r w:rsidRPr="00DC0F69">
        <w:rPr>
          <w:sz w:val="16"/>
          <w:lang w:val="en-US"/>
        </w:rPr>
        <w:t>mofetil.</w:t>
      </w:r>
      <w:r w:rsidRPr="00DC0F69">
        <w:rPr>
          <w:spacing w:val="-2"/>
          <w:sz w:val="16"/>
          <w:lang w:val="en-US"/>
        </w:rPr>
        <w:t xml:space="preserve"> </w:t>
      </w:r>
      <w:r>
        <w:rPr>
          <w:sz w:val="16"/>
        </w:rPr>
        <w:t>Ther</w:t>
      </w:r>
      <w:r>
        <w:rPr>
          <w:spacing w:val="-3"/>
          <w:sz w:val="16"/>
        </w:rPr>
        <w:t xml:space="preserve"> </w:t>
      </w:r>
      <w:r>
        <w:rPr>
          <w:sz w:val="16"/>
        </w:rPr>
        <w:t>Drug</w:t>
      </w:r>
      <w:r>
        <w:rPr>
          <w:spacing w:val="-4"/>
          <w:sz w:val="16"/>
        </w:rPr>
        <w:t xml:space="preserve"> </w:t>
      </w:r>
      <w:r>
        <w:rPr>
          <w:sz w:val="16"/>
        </w:rPr>
        <w:t>Monit.</w:t>
      </w:r>
      <w:r>
        <w:rPr>
          <w:spacing w:val="-4"/>
          <w:sz w:val="16"/>
        </w:rPr>
        <w:t xml:space="preserve"> </w:t>
      </w:r>
      <w:r>
        <w:rPr>
          <w:sz w:val="16"/>
        </w:rPr>
        <w:t>2009;31(2):205-10.</w:t>
      </w:r>
    </w:p>
    <w:p w:rsidR="00A94DA2" w:rsidRDefault="00DC0F69">
      <w:pPr>
        <w:pStyle w:val="PargrafodaLista"/>
        <w:numPr>
          <w:ilvl w:val="0"/>
          <w:numId w:val="1"/>
        </w:numPr>
        <w:tabs>
          <w:tab w:val="left" w:pos="349"/>
        </w:tabs>
        <w:ind w:right="123" w:firstLine="0"/>
        <w:rPr>
          <w:sz w:val="16"/>
        </w:rPr>
      </w:pPr>
      <w:r>
        <w:rPr>
          <w:sz w:val="16"/>
        </w:rPr>
        <w:t>Nashan B, Saliba F, Durand F, Barcena R, Herrero JI, Mentha G,</w:t>
      </w:r>
      <w:r>
        <w:rPr>
          <w:sz w:val="16"/>
        </w:rPr>
        <w:t xml:space="preserve"> et al. </w:t>
      </w:r>
      <w:r w:rsidRPr="00DC0F69">
        <w:rPr>
          <w:sz w:val="16"/>
          <w:lang w:val="en-US"/>
        </w:rPr>
        <w:t xml:space="preserve">Pharmacokinetics, efficacy, and safety of mycophenolate mofetil in combination with standard-dose or reduced-dose tacrolimus in liver transplant recipients. </w:t>
      </w:r>
      <w:r>
        <w:rPr>
          <w:sz w:val="16"/>
        </w:rPr>
        <w:t>Liver Transpl.</w:t>
      </w:r>
      <w:r>
        <w:rPr>
          <w:spacing w:val="-10"/>
          <w:sz w:val="16"/>
        </w:rPr>
        <w:t xml:space="preserve"> </w:t>
      </w:r>
      <w:r>
        <w:rPr>
          <w:sz w:val="16"/>
        </w:rPr>
        <w:t>2009;15(2):136-47.</w:t>
      </w:r>
    </w:p>
    <w:p w:rsidR="00A94DA2" w:rsidRDefault="00DC0F69">
      <w:pPr>
        <w:pStyle w:val="PargrafodaLista"/>
        <w:numPr>
          <w:ilvl w:val="0"/>
          <w:numId w:val="1"/>
        </w:numPr>
        <w:tabs>
          <w:tab w:val="left" w:pos="349"/>
        </w:tabs>
        <w:ind w:right="124" w:firstLine="0"/>
        <w:rPr>
          <w:sz w:val="16"/>
        </w:rPr>
      </w:pPr>
      <w:r>
        <w:rPr>
          <w:sz w:val="16"/>
        </w:rPr>
        <w:t xml:space="preserve">Salvadori M, Holzer H, de Mattos A, Sollinger H, Arns W, </w:t>
      </w:r>
      <w:r>
        <w:rPr>
          <w:sz w:val="16"/>
        </w:rPr>
        <w:t xml:space="preserve">Oppenheimer F, et al. </w:t>
      </w:r>
      <w:r w:rsidRPr="00DC0F69">
        <w:rPr>
          <w:sz w:val="16"/>
          <w:lang w:val="en-US"/>
        </w:rPr>
        <w:t xml:space="preserve">Enteric-coated mycophenolate sodium is therapeutically equivalent to mycophenolate mofetil in de novo renal transplant patients. </w:t>
      </w:r>
      <w:r>
        <w:rPr>
          <w:sz w:val="16"/>
        </w:rPr>
        <w:t>Am J Transplant.</w:t>
      </w:r>
      <w:r>
        <w:rPr>
          <w:spacing w:val="-13"/>
          <w:sz w:val="16"/>
        </w:rPr>
        <w:t xml:space="preserve"> </w:t>
      </w:r>
      <w:r>
        <w:rPr>
          <w:sz w:val="16"/>
        </w:rPr>
        <w:t>2004;4(2):231-6.</w:t>
      </w:r>
    </w:p>
    <w:p w:rsidR="00A94DA2" w:rsidRDefault="00DC0F69">
      <w:pPr>
        <w:pStyle w:val="PargrafodaLista"/>
        <w:numPr>
          <w:ilvl w:val="0"/>
          <w:numId w:val="1"/>
        </w:numPr>
        <w:tabs>
          <w:tab w:val="left" w:pos="347"/>
        </w:tabs>
        <w:ind w:right="123" w:firstLine="0"/>
        <w:rPr>
          <w:sz w:val="16"/>
        </w:rPr>
      </w:pPr>
      <w:r>
        <w:rPr>
          <w:sz w:val="16"/>
        </w:rPr>
        <w:t xml:space="preserve">Budde K, Curtis J, Knoll G, Chan </w:t>
      </w:r>
      <w:r>
        <w:rPr>
          <w:spacing w:val="-3"/>
          <w:sz w:val="16"/>
        </w:rPr>
        <w:t xml:space="preserve">L, </w:t>
      </w:r>
      <w:r>
        <w:rPr>
          <w:sz w:val="16"/>
        </w:rPr>
        <w:t>Neumayer HH, Seifu Y, et al. Enteri</w:t>
      </w:r>
      <w:r>
        <w:rPr>
          <w:sz w:val="16"/>
        </w:rPr>
        <w:t>c-coated mycophenolate sodium can be safely administered in maintenance renal transplant patients: results of a 1-year study. Am J Transplant.</w:t>
      </w:r>
      <w:r>
        <w:rPr>
          <w:spacing w:val="-6"/>
          <w:sz w:val="16"/>
        </w:rPr>
        <w:t xml:space="preserve"> </w:t>
      </w:r>
      <w:r>
        <w:rPr>
          <w:sz w:val="16"/>
        </w:rPr>
        <w:t>2004;4(2):237-43.</w:t>
      </w:r>
    </w:p>
    <w:p w:rsidR="00A94DA2" w:rsidRDefault="00DC0F69">
      <w:pPr>
        <w:pStyle w:val="PargrafodaLista"/>
        <w:numPr>
          <w:ilvl w:val="0"/>
          <w:numId w:val="1"/>
        </w:numPr>
        <w:tabs>
          <w:tab w:val="left" w:pos="347"/>
        </w:tabs>
        <w:ind w:right="122" w:firstLine="0"/>
        <w:rPr>
          <w:sz w:val="16"/>
        </w:rPr>
      </w:pPr>
      <w:r>
        <w:rPr>
          <w:sz w:val="16"/>
        </w:rPr>
        <w:t>Bunnapradist S, Lentine KL, Burroughs TE, Pinsky BW, Hardinger KL, Brennan DC, et al. Mycopheno</w:t>
      </w:r>
      <w:r>
        <w:rPr>
          <w:sz w:val="16"/>
        </w:rPr>
        <w:t>late mofetil dose reductions and discontinuations after gastrointestinal complications are associated with renal transplant graft failure. Transplantation.</w:t>
      </w:r>
      <w:r>
        <w:rPr>
          <w:spacing w:val="-13"/>
          <w:sz w:val="16"/>
        </w:rPr>
        <w:t xml:space="preserve"> </w:t>
      </w:r>
      <w:r>
        <w:rPr>
          <w:sz w:val="16"/>
        </w:rPr>
        <w:t>2006;82(1):102-7.</w:t>
      </w:r>
    </w:p>
    <w:p w:rsidR="00A94DA2" w:rsidRDefault="00DC0F69">
      <w:pPr>
        <w:pStyle w:val="PargrafodaLista"/>
        <w:numPr>
          <w:ilvl w:val="0"/>
          <w:numId w:val="1"/>
        </w:numPr>
        <w:tabs>
          <w:tab w:val="left" w:pos="347"/>
        </w:tabs>
        <w:ind w:right="121" w:firstLine="0"/>
        <w:rPr>
          <w:sz w:val="16"/>
        </w:rPr>
      </w:pPr>
      <w:r>
        <w:rPr>
          <w:sz w:val="16"/>
        </w:rPr>
        <w:t xml:space="preserve">Maes BD, Dalle </w:t>
      </w:r>
      <w:r>
        <w:rPr>
          <w:spacing w:val="-3"/>
          <w:sz w:val="16"/>
        </w:rPr>
        <w:t xml:space="preserve">I, </w:t>
      </w:r>
      <w:r>
        <w:rPr>
          <w:sz w:val="16"/>
        </w:rPr>
        <w:t>Geboes K, Oellerich M, Armstrong VW, Evenepoel P, et al. Erosive enterocolitis in mycophenolate mofetil-treated renal-transplant recipients with persistent afebrile diarrhea. Transplantation.</w:t>
      </w:r>
      <w:r>
        <w:rPr>
          <w:spacing w:val="-5"/>
          <w:sz w:val="16"/>
        </w:rPr>
        <w:t xml:space="preserve"> </w:t>
      </w:r>
      <w:r>
        <w:rPr>
          <w:sz w:val="16"/>
        </w:rPr>
        <w:t>2003;75(5):665-72.</w:t>
      </w:r>
    </w:p>
    <w:p w:rsidR="00A94DA2" w:rsidRDefault="00DC0F69">
      <w:pPr>
        <w:pStyle w:val="PargrafodaLista"/>
        <w:numPr>
          <w:ilvl w:val="0"/>
          <w:numId w:val="1"/>
        </w:numPr>
        <w:tabs>
          <w:tab w:val="left" w:pos="349"/>
        </w:tabs>
        <w:spacing w:before="1" w:line="183" w:lineRule="exact"/>
        <w:ind w:left="348" w:hanging="242"/>
        <w:rPr>
          <w:sz w:val="16"/>
        </w:rPr>
      </w:pPr>
      <w:r>
        <w:rPr>
          <w:sz w:val="16"/>
        </w:rPr>
        <w:t>Hardinger KL, Koch MJ, Brennan DC. Current and future immunosuppressive strategies in renal transplantation. Pharmacotherapy.</w:t>
      </w:r>
      <w:r>
        <w:rPr>
          <w:spacing w:val="-21"/>
          <w:sz w:val="16"/>
        </w:rPr>
        <w:t xml:space="preserve"> </w:t>
      </w:r>
      <w:r>
        <w:rPr>
          <w:sz w:val="16"/>
        </w:rPr>
        <w:t>2004;24(9):1159-76.</w:t>
      </w:r>
    </w:p>
    <w:p w:rsidR="00A94DA2" w:rsidRDefault="00DC0F69">
      <w:pPr>
        <w:pStyle w:val="PargrafodaLista"/>
        <w:numPr>
          <w:ilvl w:val="0"/>
          <w:numId w:val="1"/>
        </w:numPr>
        <w:tabs>
          <w:tab w:val="left" w:pos="347"/>
        </w:tabs>
        <w:spacing w:line="183" w:lineRule="exact"/>
        <w:ind w:left="346" w:hanging="240"/>
        <w:rPr>
          <w:sz w:val="16"/>
        </w:rPr>
      </w:pPr>
      <w:r>
        <w:rPr>
          <w:sz w:val="16"/>
        </w:rPr>
        <w:t>Buell JF, Gross TG, Woodle ES. Malignancy after transplantation. Transplantation. 2005;80(2</w:t>
      </w:r>
      <w:r>
        <w:rPr>
          <w:spacing w:val="-10"/>
          <w:sz w:val="16"/>
        </w:rPr>
        <w:t xml:space="preserve"> </w:t>
      </w:r>
      <w:r>
        <w:rPr>
          <w:sz w:val="16"/>
        </w:rPr>
        <w:t>Suppl):S254-64.</w:t>
      </w:r>
    </w:p>
    <w:p w:rsidR="00A94DA2" w:rsidRDefault="00DC0F69">
      <w:pPr>
        <w:pStyle w:val="PargrafodaLista"/>
        <w:numPr>
          <w:ilvl w:val="0"/>
          <w:numId w:val="1"/>
        </w:numPr>
        <w:tabs>
          <w:tab w:val="left" w:pos="347"/>
        </w:tabs>
        <w:spacing w:before="1"/>
        <w:ind w:right="120" w:firstLine="0"/>
        <w:rPr>
          <w:sz w:val="16"/>
        </w:rPr>
      </w:pPr>
      <w:r>
        <w:rPr>
          <w:sz w:val="16"/>
        </w:rPr>
        <w:t>Ca</w:t>
      </w:r>
      <w:r>
        <w:rPr>
          <w:sz w:val="16"/>
        </w:rPr>
        <w:t>mpistol JM, Gutierrez-Dalmau A, Torregrosa JV. Conversion to sirolimus: a successful treatment for posttransplantation Kaposi's sarcoma. Transplantation. 2004;77(5):760-2.</w:t>
      </w:r>
    </w:p>
    <w:p w:rsidR="00A94DA2" w:rsidRDefault="00DC0F69">
      <w:pPr>
        <w:pStyle w:val="PargrafodaLista"/>
        <w:numPr>
          <w:ilvl w:val="0"/>
          <w:numId w:val="1"/>
        </w:numPr>
        <w:tabs>
          <w:tab w:val="left" w:pos="349"/>
        </w:tabs>
        <w:ind w:right="128" w:firstLine="0"/>
        <w:rPr>
          <w:sz w:val="16"/>
        </w:rPr>
      </w:pPr>
      <w:r>
        <w:rPr>
          <w:sz w:val="16"/>
        </w:rPr>
        <w:t>Lebbe C, Euvrard S, Barrou B, Pouteil-Noble C, Garnier JL, Glotz D, et al. Sirolimus</w:t>
      </w:r>
      <w:r>
        <w:rPr>
          <w:sz w:val="16"/>
        </w:rPr>
        <w:t xml:space="preserve"> conversion for patients with posttransplant Kaposi's sarcoma. Am J Transplant. 2006;6(9):2164-8.</w:t>
      </w:r>
    </w:p>
    <w:p w:rsidR="00A94DA2" w:rsidRDefault="00DC0F69">
      <w:pPr>
        <w:pStyle w:val="PargrafodaLista"/>
        <w:numPr>
          <w:ilvl w:val="0"/>
          <w:numId w:val="1"/>
        </w:numPr>
        <w:tabs>
          <w:tab w:val="left" w:pos="349"/>
        </w:tabs>
        <w:ind w:right="120" w:firstLine="0"/>
        <w:rPr>
          <w:sz w:val="16"/>
        </w:rPr>
      </w:pPr>
      <w:r>
        <w:rPr>
          <w:sz w:val="16"/>
        </w:rPr>
        <w:t>Webster A, Pankhurst T, Rinaldi F, Chapman JR, Craig JC. Polyclonal and monoclonal antibodies for treating acute rejection episodes in kidney transplant recip</w:t>
      </w:r>
      <w:r>
        <w:rPr>
          <w:sz w:val="16"/>
        </w:rPr>
        <w:t>ients. Cochrane Database Syst Rev.</w:t>
      </w:r>
      <w:r>
        <w:rPr>
          <w:spacing w:val="-3"/>
          <w:sz w:val="16"/>
        </w:rPr>
        <w:t xml:space="preserve"> </w:t>
      </w:r>
      <w:r>
        <w:rPr>
          <w:sz w:val="16"/>
        </w:rPr>
        <w:t>2006(2):CD004756.</w:t>
      </w:r>
    </w:p>
    <w:p w:rsidR="00A94DA2" w:rsidRDefault="00DC0F69">
      <w:pPr>
        <w:pStyle w:val="PargrafodaLista"/>
        <w:numPr>
          <w:ilvl w:val="0"/>
          <w:numId w:val="1"/>
        </w:numPr>
        <w:tabs>
          <w:tab w:val="left" w:pos="349"/>
        </w:tabs>
        <w:ind w:right="114" w:firstLine="0"/>
        <w:jc w:val="both"/>
        <w:rPr>
          <w:sz w:val="16"/>
        </w:rPr>
      </w:pPr>
      <w:r>
        <w:rPr>
          <w:sz w:val="16"/>
        </w:rPr>
        <w:t>Harden PN, Hoogendijk-van den Akker JM, Bouwes-Bavinck JN, Proby CM, Hoitsma AJ, Wolterbeck R, et al. Reduced rate of cutaneous squamous cell carcinoma in a randomised, prospective, multi-centre controll</w:t>
      </w:r>
      <w:r>
        <w:rPr>
          <w:sz w:val="16"/>
        </w:rPr>
        <w:t>ed trial of conversion to sirolimus-based immunosuppression: the rescue trial. Transpl Int. 2011;24(S2, LB-O-006):94- 5.</w:t>
      </w:r>
    </w:p>
    <w:p w:rsidR="00A94DA2" w:rsidRDefault="00DC0F69">
      <w:pPr>
        <w:pStyle w:val="PargrafodaLista"/>
        <w:numPr>
          <w:ilvl w:val="0"/>
          <w:numId w:val="1"/>
        </w:numPr>
        <w:tabs>
          <w:tab w:val="left" w:pos="349"/>
        </w:tabs>
        <w:ind w:right="122" w:firstLine="0"/>
        <w:rPr>
          <w:sz w:val="16"/>
        </w:rPr>
      </w:pPr>
      <w:r>
        <w:rPr>
          <w:sz w:val="16"/>
        </w:rPr>
        <w:t>Webster AC, Lee VW, Chapman JR, Craig JC. Target of rapamycin inhibitors (TOR-I; sirolimus and everolimus) for primary immunosuppressio</w:t>
      </w:r>
      <w:r>
        <w:rPr>
          <w:sz w:val="16"/>
        </w:rPr>
        <w:t>n in kidney transplant recipients. Cochrane Database Syst Rev.</w:t>
      </w:r>
      <w:r>
        <w:rPr>
          <w:spacing w:val="-2"/>
          <w:sz w:val="16"/>
        </w:rPr>
        <w:t xml:space="preserve"> </w:t>
      </w:r>
      <w:r>
        <w:rPr>
          <w:sz w:val="16"/>
        </w:rPr>
        <w:t>2006(2):CD004290.</w:t>
      </w:r>
    </w:p>
    <w:p w:rsidR="00A94DA2" w:rsidRDefault="00DC0F69">
      <w:pPr>
        <w:pStyle w:val="PargrafodaLista"/>
        <w:numPr>
          <w:ilvl w:val="0"/>
          <w:numId w:val="1"/>
        </w:numPr>
        <w:tabs>
          <w:tab w:val="left" w:pos="349"/>
        </w:tabs>
        <w:ind w:right="126" w:firstLine="0"/>
        <w:rPr>
          <w:sz w:val="16"/>
        </w:rPr>
      </w:pPr>
      <w:r>
        <w:rPr>
          <w:sz w:val="16"/>
        </w:rPr>
        <w:t xml:space="preserve">Guerra G, Ciancio G, Gaynor JJ, Zarak A, Brown R, Hanson </w:t>
      </w:r>
      <w:r>
        <w:rPr>
          <w:spacing w:val="-3"/>
          <w:sz w:val="16"/>
        </w:rPr>
        <w:t xml:space="preserve">L, </w:t>
      </w:r>
      <w:r>
        <w:rPr>
          <w:sz w:val="16"/>
        </w:rPr>
        <w:t>et al. Randomized trial of immunosuppressive regimens in renal transplantation. J Am Soc Nephrol. 2011;22(9):1758-6</w:t>
      </w:r>
      <w:r>
        <w:rPr>
          <w:sz w:val="16"/>
        </w:rPr>
        <w:t>8.</w:t>
      </w:r>
    </w:p>
    <w:p w:rsidR="00A94DA2" w:rsidRDefault="00DC0F69">
      <w:pPr>
        <w:pStyle w:val="PargrafodaLista"/>
        <w:numPr>
          <w:ilvl w:val="0"/>
          <w:numId w:val="1"/>
        </w:numPr>
        <w:tabs>
          <w:tab w:val="left" w:pos="349"/>
        </w:tabs>
        <w:spacing w:line="183" w:lineRule="exact"/>
        <w:ind w:left="348" w:hanging="242"/>
        <w:rPr>
          <w:sz w:val="16"/>
        </w:rPr>
      </w:pPr>
      <w:r>
        <w:rPr>
          <w:sz w:val="16"/>
        </w:rPr>
        <w:t>US Transplant. Arbor research collaborative fo health; 2010 [26 May, 2014]. Available from:</w:t>
      </w:r>
      <w:r>
        <w:rPr>
          <w:spacing w:val="-22"/>
          <w:sz w:val="16"/>
        </w:rPr>
        <w:t xml:space="preserve"> </w:t>
      </w:r>
      <w:hyperlink r:id="rId11">
        <w:r>
          <w:rPr>
            <w:sz w:val="16"/>
          </w:rPr>
          <w:t>http://www.ustransplant.org/Index.aspx.</w:t>
        </w:r>
      </w:hyperlink>
    </w:p>
    <w:p w:rsidR="00A94DA2" w:rsidRDefault="00DC0F69">
      <w:pPr>
        <w:pStyle w:val="PargrafodaLista"/>
        <w:numPr>
          <w:ilvl w:val="0"/>
          <w:numId w:val="1"/>
        </w:numPr>
        <w:tabs>
          <w:tab w:val="left" w:pos="349"/>
        </w:tabs>
        <w:ind w:right="126" w:firstLine="0"/>
        <w:rPr>
          <w:sz w:val="16"/>
        </w:rPr>
      </w:pPr>
      <w:r>
        <w:rPr>
          <w:sz w:val="16"/>
        </w:rPr>
        <w:t>Gray D, Shepherd H, Daar A, Oliver DO, Morris PJ. Oral versus intravenous high-dose steroid treatment of renal allograft rejection. The big shot or not? Lancet. 1978;1(8056):117-8.</w:t>
      </w:r>
    </w:p>
    <w:p w:rsidR="00A94DA2" w:rsidRDefault="00DC0F69">
      <w:pPr>
        <w:pStyle w:val="PargrafodaLista"/>
        <w:numPr>
          <w:ilvl w:val="0"/>
          <w:numId w:val="1"/>
        </w:numPr>
        <w:tabs>
          <w:tab w:val="left" w:pos="349"/>
        </w:tabs>
        <w:spacing w:line="183" w:lineRule="exact"/>
        <w:ind w:left="348" w:hanging="242"/>
        <w:rPr>
          <w:sz w:val="16"/>
        </w:rPr>
      </w:pPr>
      <w:r>
        <w:rPr>
          <w:sz w:val="16"/>
        </w:rPr>
        <w:t>Leunissen</w:t>
      </w:r>
      <w:r>
        <w:rPr>
          <w:spacing w:val="-1"/>
          <w:sz w:val="16"/>
        </w:rPr>
        <w:t xml:space="preserve"> </w:t>
      </w:r>
      <w:r>
        <w:rPr>
          <w:sz w:val="16"/>
        </w:rPr>
        <w:t>KM,</w:t>
      </w:r>
      <w:r>
        <w:rPr>
          <w:spacing w:val="-1"/>
          <w:sz w:val="16"/>
        </w:rPr>
        <w:t xml:space="preserve"> </w:t>
      </w:r>
      <w:r>
        <w:rPr>
          <w:sz w:val="16"/>
        </w:rPr>
        <w:t>Kooststra</w:t>
      </w:r>
      <w:r>
        <w:rPr>
          <w:spacing w:val="-1"/>
          <w:sz w:val="16"/>
        </w:rPr>
        <w:t xml:space="preserve"> </w:t>
      </w:r>
      <w:r>
        <w:rPr>
          <w:sz w:val="16"/>
        </w:rPr>
        <w:t>G,</w:t>
      </w:r>
      <w:r>
        <w:rPr>
          <w:spacing w:val="-1"/>
          <w:sz w:val="16"/>
        </w:rPr>
        <w:t xml:space="preserve"> </w:t>
      </w:r>
      <w:r>
        <w:rPr>
          <w:sz w:val="16"/>
        </w:rPr>
        <w:t>Mooy</w:t>
      </w:r>
      <w:r>
        <w:rPr>
          <w:spacing w:val="-3"/>
          <w:sz w:val="16"/>
        </w:rPr>
        <w:t xml:space="preserve"> </w:t>
      </w:r>
      <w:r>
        <w:rPr>
          <w:sz w:val="16"/>
        </w:rPr>
        <w:t>JM, van</w:t>
      </w:r>
      <w:r>
        <w:rPr>
          <w:spacing w:val="-3"/>
          <w:sz w:val="16"/>
        </w:rPr>
        <w:t xml:space="preserve"> </w:t>
      </w:r>
      <w:r>
        <w:rPr>
          <w:sz w:val="16"/>
        </w:rPr>
        <w:t>der</w:t>
      </w:r>
      <w:r>
        <w:rPr>
          <w:spacing w:val="-3"/>
          <w:sz w:val="16"/>
        </w:rPr>
        <w:t xml:space="preserve"> </w:t>
      </w:r>
      <w:r>
        <w:rPr>
          <w:sz w:val="16"/>
        </w:rPr>
        <w:t>Berg-van</w:t>
      </w:r>
      <w:r>
        <w:rPr>
          <w:spacing w:val="-1"/>
          <w:sz w:val="16"/>
        </w:rPr>
        <w:t xml:space="preserve"> </w:t>
      </w:r>
      <w:r>
        <w:rPr>
          <w:sz w:val="16"/>
        </w:rPr>
        <w:t>LP,</w:t>
      </w:r>
      <w:r>
        <w:rPr>
          <w:spacing w:val="-1"/>
          <w:sz w:val="16"/>
        </w:rPr>
        <w:t xml:space="preserve"> </w:t>
      </w:r>
      <w:r>
        <w:rPr>
          <w:sz w:val="16"/>
        </w:rPr>
        <w:t>van Hooff</w:t>
      </w:r>
      <w:r>
        <w:rPr>
          <w:spacing w:val="-3"/>
          <w:sz w:val="16"/>
        </w:rPr>
        <w:t xml:space="preserve"> </w:t>
      </w:r>
      <w:r>
        <w:rPr>
          <w:sz w:val="16"/>
        </w:rPr>
        <w:t>JP.</w:t>
      </w:r>
      <w:r>
        <w:rPr>
          <w:spacing w:val="-1"/>
          <w:sz w:val="16"/>
        </w:rPr>
        <w:t xml:space="preserve"> </w:t>
      </w:r>
      <w:r>
        <w:rPr>
          <w:sz w:val="16"/>
        </w:rPr>
        <w:t>Plas</w:t>
      </w:r>
      <w:r>
        <w:rPr>
          <w:sz w:val="16"/>
        </w:rPr>
        <w:t>mapheresis</w:t>
      </w:r>
      <w:r>
        <w:rPr>
          <w:spacing w:val="-2"/>
          <w:sz w:val="16"/>
        </w:rPr>
        <w:t xml:space="preserve"> </w:t>
      </w:r>
      <w:r>
        <w:rPr>
          <w:sz w:val="16"/>
        </w:rPr>
        <w:t>and</w:t>
      </w:r>
      <w:r>
        <w:rPr>
          <w:spacing w:val="-2"/>
          <w:sz w:val="16"/>
        </w:rPr>
        <w:t xml:space="preserve"> </w:t>
      </w:r>
      <w:r>
        <w:rPr>
          <w:sz w:val="16"/>
        </w:rPr>
        <w:t>RATG-induced</w:t>
      </w:r>
      <w:r>
        <w:rPr>
          <w:spacing w:val="-1"/>
          <w:sz w:val="16"/>
        </w:rPr>
        <w:t xml:space="preserve"> </w:t>
      </w:r>
      <w:r>
        <w:rPr>
          <w:sz w:val="16"/>
        </w:rPr>
        <w:t>serum</w:t>
      </w:r>
      <w:r>
        <w:rPr>
          <w:spacing w:val="-2"/>
          <w:sz w:val="16"/>
        </w:rPr>
        <w:t xml:space="preserve"> </w:t>
      </w:r>
      <w:r>
        <w:rPr>
          <w:sz w:val="16"/>
        </w:rPr>
        <w:t>sickness.</w:t>
      </w:r>
      <w:r>
        <w:rPr>
          <w:spacing w:val="-4"/>
          <w:sz w:val="16"/>
        </w:rPr>
        <w:t xml:space="preserve"> </w:t>
      </w:r>
      <w:r>
        <w:rPr>
          <w:sz w:val="16"/>
        </w:rPr>
        <w:t>Clin</w:t>
      </w:r>
      <w:r>
        <w:rPr>
          <w:spacing w:val="-1"/>
          <w:sz w:val="16"/>
        </w:rPr>
        <w:t xml:space="preserve"> </w:t>
      </w:r>
      <w:r>
        <w:rPr>
          <w:sz w:val="16"/>
        </w:rPr>
        <w:t>Transplant.</w:t>
      </w:r>
      <w:r>
        <w:rPr>
          <w:spacing w:val="-5"/>
          <w:sz w:val="16"/>
        </w:rPr>
        <w:t xml:space="preserve"> </w:t>
      </w:r>
      <w:r>
        <w:rPr>
          <w:sz w:val="16"/>
        </w:rPr>
        <w:t>1988;2:5-8.</w:t>
      </w:r>
    </w:p>
    <w:p w:rsidR="00A94DA2" w:rsidRDefault="00DC0F69">
      <w:pPr>
        <w:pStyle w:val="PargrafodaLista"/>
        <w:numPr>
          <w:ilvl w:val="0"/>
          <w:numId w:val="1"/>
        </w:numPr>
        <w:tabs>
          <w:tab w:val="left" w:pos="347"/>
        </w:tabs>
        <w:spacing w:before="1"/>
        <w:ind w:left="346" w:hanging="240"/>
        <w:rPr>
          <w:sz w:val="16"/>
        </w:rPr>
      </w:pPr>
      <w:r>
        <w:rPr>
          <w:sz w:val="16"/>
        </w:rPr>
        <w:t>Christiaans MH, van Hooff JP. Plasmapheresis and RATG-induced serum sickness. Transplantation.</w:t>
      </w:r>
      <w:r>
        <w:rPr>
          <w:spacing w:val="-15"/>
          <w:sz w:val="16"/>
        </w:rPr>
        <w:t xml:space="preserve"> </w:t>
      </w:r>
      <w:r>
        <w:rPr>
          <w:sz w:val="16"/>
        </w:rPr>
        <w:t>2006;81(2):296.</w:t>
      </w:r>
    </w:p>
    <w:p w:rsidR="00A94DA2" w:rsidRDefault="00DC0F69">
      <w:pPr>
        <w:pStyle w:val="PargrafodaLista"/>
        <w:numPr>
          <w:ilvl w:val="0"/>
          <w:numId w:val="1"/>
        </w:numPr>
        <w:tabs>
          <w:tab w:val="left" w:pos="349"/>
        </w:tabs>
        <w:spacing w:before="1"/>
        <w:ind w:left="348" w:hanging="242"/>
        <w:rPr>
          <w:sz w:val="16"/>
        </w:rPr>
      </w:pPr>
      <w:r>
        <w:rPr>
          <w:sz w:val="16"/>
        </w:rPr>
        <w:t>Schroeder TJ, First MR. Monoclonal antibodies in organ transplantation. Am J Kidney Dis.</w:t>
      </w:r>
      <w:r>
        <w:rPr>
          <w:spacing w:val="-12"/>
          <w:sz w:val="16"/>
        </w:rPr>
        <w:t xml:space="preserve"> </w:t>
      </w:r>
      <w:r>
        <w:rPr>
          <w:sz w:val="16"/>
        </w:rPr>
        <w:t>1994;23(1):138-47.</w:t>
      </w:r>
    </w:p>
    <w:p w:rsidR="00A94DA2" w:rsidRDefault="00A94DA2">
      <w:pPr>
        <w:rPr>
          <w:sz w:val="16"/>
        </w:rPr>
        <w:sectPr w:rsidR="00A94DA2">
          <w:pgSz w:w="11910" w:h="16840"/>
          <w:pgMar w:top="460" w:right="300" w:bottom="280" w:left="460" w:header="720" w:footer="720" w:gutter="0"/>
          <w:cols w:space="720"/>
        </w:sectPr>
      </w:pPr>
    </w:p>
    <w:p w:rsidR="00A94DA2" w:rsidRDefault="00DC0F69">
      <w:pPr>
        <w:pStyle w:val="PargrafodaLista"/>
        <w:numPr>
          <w:ilvl w:val="0"/>
          <w:numId w:val="1"/>
        </w:numPr>
        <w:tabs>
          <w:tab w:val="left" w:pos="349"/>
        </w:tabs>
        <w:spacing w:before="82"/>
        <w:ind w:right="121" w:firstLine="0"/>
        <w:rPr>
          <w:sz w:val="16"/>
        </w:rPr>
      </w:pPr>
      <w:r>
        <w:rPr>
          <w:sz w:val="16"/>
        </w:rPr>
        <w:lastRenderedPageBreak/>
        <w:t>A randomized clinical trial of OKT3 monoclonal antibody for acute rejection of cadaveric renal transplants. Ortho Multicenter Transpla</w:t>
      </w:r>
      <w:r>
        <w:rPr>
          <w:sz w:val="16"/>
        </w:rPr>
        <w:t>nt Study Group. N Engl J Med.</w:t>
      </w:r>
      <w:r>
        <w:rPr>
          <w:spacing w:val="-2"/>
          <w:sz w:val="16"/>
        </w:rPr>
        <w:t xml:space="preserve"> </w:t>
      </w:r>
      <w:r>
        <w:rPr>
          <w:sz w:val="16"/>
        </w:rPr>
        <w:t>1985;313(6):337-42.</w:t>
      </w:r>
    </w:p>
    <w:p w:rsidR="00A94DA2" w:rsidRDefault="00DC0F69">
      <w:pPr>
        <w:pStyle w:val="PargrafodaLista"/>
        <w:numPr>
          <w:ilvl w:val="0"/>
          <w:numId w:val="1"/>
        </w:numPr>
        <w:tabs>
          <w:tab w:val="left" w:pos="349"/>
        </w:tabs>
        <w:spacing w:before="2"/>
        <w:ind w:right="121" w:firstLine="0"/>
        <w:rPr>
          <w:sz w:val="16"/>
        </w:rPr>
      </w:pPr>
      <w:r>
        <w:rPr>
          <w:sz w:val="16"/>
        </w:rPr>
        <w:t>Norman DJ, Barry JM, Bennett WM, Leone M, Henell K, Funnell B, et al. The use of OKT3 in cadaveric renal transplantation for rejection that is unresponsive to conventional anti-rejection therapy. Am J Kidne</w:t>
      </w:r>
      <w:r>
        <w:rPr>
          <w:sz w:val="16"/>
        </w:rPr>
        <w:t>y Dis.</w:t>
      </w:r>
      <w:r>
        <w:rPr>
          <w:spacing w:val="-3"/>
          <w:sz w:val="16"/>
        </w:rPr>
        <w:t xml:space="preserve"> </w:t>
      </w:r>
      <w:r>
        <w:rPr>
          <w:sz w:val="16"/>
        </w:rPr>
        <w:t>1988;11(2):90-3.</w:t>
      </w:r>
    </w:p>
    <w:p w:rsidR="00A94DA2" w:rsidRDefault="00DC0F69">
      <w:pPr>
        <w:pStyle w:val="PargrafodaLista"/>
        <w:numPr>
          <w:ilvl w:val="0"/>
          <w:numId w:val="1"/>
        </w:numPr>
        <w:tabs>
          <w:tab w:val="left" w:pos="347"/>
        </w:tabs>
        <w:ind w:right="117" w:firstLine="0"/>
        <w:rPr>
          <w:sz w:val="16"/>
        </w:rPr>
      </w:pPr>
      <w:r>
        <w:rPr>
          <w:sz w:val="16"/>
        </w:rPr>
        <w:t xml:space="preserve">Chon WJ, Brennan DC. Acute renal allograft rejection: Treatment 2009 [26 May, 2014]. Available from: </w:t>
      </w:r>
      <w:hyperlink r:id="rId12">
        <w:r>
          <w:rPr>
            <w:sz w:val="16"/>
          </w:rPr>
          <w:t>http://www.uptodate.com/contents/acute-renal-allograft-</w:t>
        </w:r>
      </w:hyperlink>
      <w:r>
        <w:rPr>
          <w:sz w:val="16"/>
        </w:rPr>
        <w:t xml:space="preserve"> </w:t>
      </w:r>
      <w:r>
        <w:rPr>
          <w:sz w:val="16"/>
        </w:rPr>
        <w:t>rejection-treatment.</w:t>
      </w:r>
    </w:p>
    <w:p w:rsidR="00A94DA2" w:rsidRDefault="00DC0F69">
      <w:pPr>
        <w:pStyle w:val="PargrafodaLista"/>
        <w:numPr>
          <w:ilvl w:val="0"/>
          <w:numId w:val="1"/>
        </w:numPr>
        <w:tabs>
          <w:tab w:val="left" w:pos="349"/>
        </w:tabs>
        <w:spacing w:line="184" w:lineRule="exact"/>
        <w:ind w:left="348" w:hanging="242"/>
        <w:rPr>
          <w:sz w:val="16"/>
        </w:rPr>
      </w:pPr>
      <w:r>
        <w:rPr>
          <w:sz w:val="16"/>
        </w:rPr>
        <w:t>Nankivell BJ, Alexander SI. Rejection of the kidney allograft. N Engl J Med.</w:t>
      </w:r>
      <w:r>
        <w:rPr>
          <w:spacing w:val="-16"/>
          <w:sz w:val="16"/>
        </w:rPr>
        <w:t xml:space="preserve"> </w:t>
      </w:r>
      <w:r>
        <w:rPr>
          <w:sz w:val="16"/>
        </w:rPr>
        <w:t>2010;363(15):1451-62.</w:t>
      </w:r>
    </w:p>
    <w:p w:rsidR="00A94DA2" w:rsidRDefault="00DC0F69">
      <w:pPr>
        <w:pStyle w:val="PargrafodaLista"/>
        <w:numPr>
          <w:ilvl w:val="0"/>
          <w:numId w:val="1"/>
        </w:numPr>
        <w:tabs>
          <w:tab w:val="left" w:pos="349"/>
        </w:tabs>
        <w:ind w:right="118" w:firstLine="0"/>
        <w:rPr>
          <w:sz w:val="16"/>
        </w:rPr>
      </w:pPr>
      <w:r>
        <w:rPr>
          <w:sz w:val="16"/>
        </w:rPr>
        <w:t>Lefaucheur C, Nochy D, Andrade J, Verine J, Gautreau C, Charron D, et al. Comparison of combination Plasmapheresis/IVIg/anti-CD20 versus high-dose IVIg in the treatment of antibody-mediated rejection. Am J Transplant.</w:t>
      </w:r>
      <w:r>
        <w:rPr>
          <w:spacing w:val="-4"/>
          <w:sz w:val="16"/>
        </w:rPr>
        <w:t xml:space="preserve"> </w:t>
      </w:r>
      <w:r>
        <w:rPr>
          <w:sz w:val="16"/>
        </w:rPr>
        <w:t>2009;9(5):1099-107.</w:t>
      </w:r>
    </w:p>
    <w:p w:rsidR="00A94DA2" w:rsidRDefault="00DC0F69">
      <w:pPr>
        <w:pStyle w:val="PargrafodaLista"/>
        <w:numPr>
          <w:ilvl w:val="0"/>
          <w:numId w:val="1"/>
        </w:numPr>
        <w:tabs>
          <w:tab w:val="left" w:pos="349"/>
        </w:tabs>
        <w:ind w:right="122" w:firstLine="0"/>
        <w:rPr>
          <w:sz w:val="16"/>
        </w:rPr>
      </w:pPr>
      <w:r>
        <w:rPr>
          <w:sz w:val="16"/>
        </w:rPr>
        <w:t>Shah A, Nadasdy T,</w:t>
      </w:r>
      <w:r>
        <w:rPr>
          <w:sz w:val="16"/>
        </w:rPr>
        <w:t xml:space="preserve"> Arend </w:t>
      </w:r>
      <w:r>
        <w:rPr>
          <w:spacing w:val="-3"/>
          <w:sz w:val="16"/>
        </w:rPr>
        <w:t xml:space="preserve">L, </w:t>
      </w:r>
      <w:r>
        <w:rPr>
          <w:sz w:val="16"/>
        </w:rPr>
        <w:t>Brennan J, Leong N, Coppage M, et al. Treatment of C4d-positive acute humoral rejection with plasmapheresis and rabbit polyclonal antithymocyte globulin. Transplantation.</w:t>
      </w:r>
      <w:r>
        <w:rPr>
          <w:spacing w:val="-4"/>
          <w:sz w:val="16"/>
        </w:rPr>
        <w:t xml:space="preserve"> </w:t>
      </w:r>
      <w:r>
        <w:rPr>
          <w:sz w:val="16"/>
        </w:rPr>
        <w:t>2004;77(9):1399-405.</w:t>
      </w:r>
    </w:p>
    <w:p w:rsidR="00A94DA2" w:rsidRDefault="00DC0F69">
      <w:pPr>
        <w:pStyle w:val="PargrafodaLista"/>
        <w:numPr>
          <w:ilvl w:val="0"/>
          <w:numId w:val="1"/>
        </w:numPr>
        <w:tabs>
          <w:tab w:val="left" w:pos="349"/>
        </w:tabs>
        <w:spacing w:before="1"/>
        <w:ind w:right="118" w:firstLine="0"/>
        <w:rPr>
          <w:sz w:val="16"/>
        </w:rPr>
      </w:pPr>
      <w:r>
        <w:rPr>
          <w:sz w:val="16"/>
        </w:rPr>
        <w:t xml:space="preserve">White NB, Greenstein SM, Cantafio </w:t>
      </w:r>
      <w:r>
        <w:rPr>
          <w:spacing w:val="-3"/>
          <w:sz w:val="16"/>
        </w:rPr>
        <w:t xml:space="preserve">AW, </w:t>
      </w:r>
      <w:r>
        <w:rPr>
          <w:sz w:val="16"/>
        </w:rPr>
        <w:t>Schechner R, Gli</w:t>
      </w:r>
      <w:r>
        <w:rPr>
          <w:sz w:val="16"/>
        </w:rPr>
        <w:t>cklich D, McDonough P, et al. Successful rescue therapy with plasmapheresis and intravenous immunoglobulin for acute humoral renal transplant rejection. Transplantation.</w:t>
      </w:r>
      <w:r>
        <w:rPr>
          <w:spacing w:val="-14"/>
          <w:sz w:val="16"/>
        </w:rPr>
        <w:t xml:space="preserve"> </w:t>
      </w:r>
      <w:r>
        <w:rPr>
          <w:sz w:val="16"/>
        </w:rPr>
        <w:t>2004;78(5):772-4.</w:t>
      </w:r>
    </w:p>
    <w:p w:rsidR="00A94DA2" w:rsidRDefault="00DC0F69">
      <w:pPr>
        <w:pStyle w:val="PargrafodaLista"/>
        <w:numPr>
          <w:ilvl w:val="0"/>
          <w:numId w:val="1"/>
        </w:numPr>
        <w:tabs>
          <w:tab w:val="left" w:pos="349"/>
        </w:tabs>
        <w:ind w:right="118" w:firstLine="0"/>
        <w:rPr>
          <w:sz w:val="16"/>
        </w:rPr>
      </w:pPr>
      <w:r>
        <w:rPr>
          <w:sz w:val="16"/>
        </w:rPr>
        <w:t xml:space="preserve">Lehrich RW, Rocha PN, Reinsmoen N, Greenberg A, Butterly DW, Howell </w:t>
      </w:r>
      <w:r>
        <w:rPr>
          <w:sz w:val="16"/>
        </w:rPr>
        <w:t>DN, et al. Intravenous immunoglobulin and plasmapheresis in acute humoral rejection: experience in renal allograft transplantation. Hum Immunol.</w:t>
      </w:r>
      <w:r>
        <w:rPr>
          <w:spacing w:val="-9"/>
          <w:sz w:val="16"/>
        </w:rPr>
        <w:t xml:space="preserve"> </w:t>
      </w:r>
      <w:r>
        <w:rPr>
          <w:sz w:val="16"/>
        </w:rPr>
        <w:t>2005;66(4):350-8.</w:t>
      </w:r>
    </w:p>
    <w:p w:rsidR="00A94DA2" w:rsidRDefault="00DC0F69">
      <w:pPr>
        <w:pStyle w:val="PargrafodaLista"/>
        <w:numPr>
          <w:ilvl w:val="0"/>
          <w:numId w:val="1"/>
        </w:numPr>
        <w:tabs>
          <w:tab w:val="left" w:pos="349"/>
        </w:tabs>
        <w:ind w:right="122" w:firstLine="0"/>
        <w:rPr>
          <w:sz w:val="16"/>
        </w:rPr>
      </w:pPr>
      <w:r>
        <w:rPr>
          <w:sz w:val="16"/>
        </w:rPr>
        <w:t>Slatinska J, Honsova E, Burgelova M, Slavcev A, Viklicky O. Plasmapheresis and intravenous im</w:t>
      </w:r>
      <w:r>
        <w:rPr>
          <w:sz w:val="16"/>
        </w:rPr>
        <w:t>munoglobulin in early antibody-mediated rejection of the renal allograft: a single-center experience. Ther Apher Dial.</w:t>
      </w:r>
      <w:r>
        <w:rPr>
          <w:spacing w:val="-3"/>
          <w:sz w:val="16"/>
        </w:rPr>
        <w:t xml:space="preserve"> </w:t>
      </w:r>
      <w:r>
        <w:rPr>
          <w:sz w:val="16"/>
        </w:rPr>
        <w:t>2009;13(2):108-12.</w:t>
      </w:r>
    </w:p>
    <w:p w:rsidR="00A94DA2" w:rsidRDefault="00DC0F69">
      <w:pPr>
        <w:pStyle w:val="PargrafodaLista"/>
        <w:numPr>
          <w:ilvl w:val="0"/>
          <w:numId w:val="1"/>
        </w:numPr>
        <w:tabs>
          <w:tab w:val="left" w:pos="349"/>
        </w:tabs>
        <w:ind w:right="126" w:firstLine="0"/>
        <w:rPr>
          <w:sz w:val="16"/>
        </w:rPr>
      </w:pPr>
      <w:r>
        <w:rPr>
          <w:sz w:val="16"/>
        </w:rPr>
        <w:t>Faguer S, Kamar N, Guilbeaud-Frugier C, Fort M, Modesto A, Mari A, et al. Rituximab therapy for acute humoral rejectio</w:t>
      </w:r>
      <w:r>
        <w:rPr>
          <w:sz w:val="16"/>
        </w:rPr>
        <w:t>n after kidney transplantation. Transplantation.</w:t>
      </w:r>
      <w:r>
        <w:rPr>
          <w:spacing w:val="-3"/>
          <w:sz w:val="16"/>
        </w:rPr>
        <w:t xml:space="preserve"> </w:t>
      </w:r>
      <w:r>
        <w:rPr>
          <w:sz w:val="16"/>
        </w:rPr>
        <w:t>2007;83(9):1277-80.</w:t>
      </w:r>
    </w:p>
    <w:p w:rsidR="00A94DA2" w:rsidRDefault="00DC0F69">
      <w:pPr>
        <w:pStyle w:val="PargrafodaLista"/>
        <w:numPr>
          <w:ilvl w:val="0"/>
          <w:numId w:val="1"/>
        </w:numPr>
        <w:tabs>
          <w:tab w:val="left" w:pos="349"/>
        </w:tabs>
        <w:ind w:right="120" w:firstLine="0"/>
        <w:rPr>
          <w:sz w:val="16"/>
        </w:rPr>
      </w:pPr>
      <w:r>
        <w:rPr>
          <w:sz w:val="16"/>
        </w:rPr>
        <w:t>Vo AA, Lukovsky M, Toyoda M, Wang J, Reinsmoen NL, Lai CH, et al. Rituximab and intravenous immune globulin for desensitization during renal transplantation. N Engl J Med.</w:t>
      </w:r>
      <w:r>
        <w:rPr>
          <w:spacing w:val="-7"/>
          <w:sz w:val="16"/>
        </w:rPr>
        <w:t xml:space="preserve"> </w:t>
      </w:r>
      <w:r>
        <w:rPr>
          <w:sz w:val="16"/>
        </w:rPr>
        <w:t>2008;359(3):242</w:t>
      </w:r>
      <w:r>
        <w:rPr>
          <w:sz w:val="16"/>
        </w:rPr>
        <w:t>-51.</w:t>
      </w:r>
    </w:p>
    <w:p w:rsidR="00A94DA2" w:rsidRDefault="00DC0F69">
      <w:pPr>
        <w:pStyle w:val="PargrafodaLista"/>
        <w:numPr>
          <w:ilvl w:val="0"/>
          <w:numId w:val="1"/>
        </w:numPr>
        <w:tabs>
          <w:tab w:val="left" w:pos="349"/>
        </w:tabs>
        <w:ind w:right="121" w:firstLine="0"/>
        <w:rPr>
          <w:sz w:val="16"/>
        </w:rPr>
      </w:pPr>
      <w:r>
        <w:rPr>
          <w:sz w:val="16"/>
        </w:rPr>
        <w:t>Schena FP, Pascoe MD, Alberu J, del Carmen Rial M, Oberbauer R, Brennan DC, et al. Conversion from calcineurin inhibitors to sirolimus maintenance therapy in renal allograft recipients: 24-month efficacy and safety results from the CONVERT trial. Tran</w:t>
      </w:r>
      <w:r>
        <w:rPr>
          <w:sz w:val="16"/>
        </w:rPr>
        <w:t>splantation.</w:t>
      </w:r>
      <w:r>
        <w:rPr>
          <w:spacing w:val="-22"/>
          <w:sz w:val="16"/>
        </w:rPr>
        <w:t xml:space="preserve"> </w:t>
      </w:r>
      <w:r>
        <w:rPr>
          <w:sz w:val="16"/>
        </w:rPr>
        <w:t>2009;87(2):233-42.</w:t>
      </w:r>
    </w:p>
    <w:p w:rsidR="00A94DA2" w:rsidRDefault="00DC0F69">
      <w:pPr>
        <w:pStyle w:val="PargrafodaLista"/>
        <w:numPr>
          <w:ilvl w:val="0"/>
          <w:numId w:val="1"/>
        </w:numPr>
        <w:tabs>
          <w:tab w:val="left" w:pos="349"/>
        </w:tabs>
        <w:ind w:right="127" w:firstLine="0"/>
        <w:rPr>
          <w:sz w:val="16"/>
        </w:rPr>
      </w:pPr>
      <w:r>
        <w:rPr>
          <w:sz w:val="16"/>
        </w:rPr>
        <w:t>Theruvath TP, Saidman SL, Mauiyyedi S, Delmonico FL, Williams WW, Tolkoff-Rubin N, et al. Control of antidonor antibody production with tacrolimus and mycophenolate mofetil in renal allograft recipients with chronic rejectio</w:t>
      </w:r>
      <w:r>
        <w:rPr>
          <w:sz w:val="16"/>
        </w:rPr>
        <w:t>n. Transplantation.</w:t>
      </w:r>
      <w:r>
        <w:rPr>
          <w:spacing w:val="-7"/>
          <w:sz w:val="16"/>
        </w:rPr>
        <w:t xml:space="preserve"> </w:t>
      </w:r>
      <w:r>
        <w:rPr>
          <w:sz w:val="16"/>
        </w:rPr>
        <w:t>2001;72(1):77-83.</w:t>
      </w:r>
    </w:p>
    <w:p w:rsidR="00A94DA2" w:rsidRDefault="00DC0F69">
      <w:pPr>
        <w:pStyle w:val="PargrafodaLista"/>
        <w:numPr>
          <w:ilvl w:val="0"/>
          <w:numId w:val="1"/>
        </w:numPr>
        <w:tabs>
          <w:tab w:val="left" w:pos="347"/>
        </w:tabs>
        <w:ind w:right="117" w:firstLine="0"/>
        <w:rPr>
          <w:sz w:val="16"/>
        </w:rPr>
      </w:pPr>
      <w:r>
        <w:rPr>
          <w:sz w:val="16"/>
        </w:rPr>
        <w:t xml:space="preserve">Brennan DC, Ramos E. Renal transplantation and the older adult patient: UpToDate; 2013 [26 May 2014]. Available from: </w:t>
      </w:r>
      <w:hyperlink r:id="rId13">
        <w:r>
          <w:rPr>
            <w:sz w:val="16"/>
          </w:rPr>
          <w:t>http://www.uptodate.com/contents/renal-</w:t>
        </w:r>
      </w:hyperlink>
      <w:r>
        <w:rPr>
          <w:sz w:val="16"/>
        </w:rPr>
        <w:t xml:space="preserve"> t</w:t>
      </w:r>
      <w:r>
        <w:rPr>
          <w:sz w:val="16"/>
        </w:rPr>
        <w:t>ransplantation-and-the-older-adult-patient.</w:t>
      </w:r>
    </w:p>
    <w:p w:rsidR="00A94DA2" w:rsidRDefault="00DC0F69">
      <w:pPr>
        <w:pStyle w:val="PargrafodaLista"/>
        <w:numPr>
          <w:ilvl w:val="0"/>
          <w:numId w:val="1"/>
        </w:numPr>
        <w:tabs>
          <w:tab w:val="left" w:pos="347"/>
          <w:tab w:val="left" w:pos="1274"/>
          <w:tab w:val="left" w:pos="1780"/>
          <w:tab w:val="left" w:pos="3319"/>
          <w:tab w:val="left" w:pos="3686"/>
          <w:tab w:val="left" w:pos="4247"/>
          <w:tab w:val="left" w:pos="5443"/>
          <w:tab w:val="left" w:pos="5810"/>
          <w:tab w:val="left" w:pos="6620"/>
          <w:tab w:val="left" w:pos="7582"/>
          <w:tab w:val="left" w:pos="8145"/>
          <w:tab w:val="left" w:pos="8603"/>
          <w:tab w:val="left" w:pos="9136"/>
          <w:tab w:val="left" w:pos="9795"/>
          <w:tab w:val="left" w:pos="10655"/>
        </w:tabs>
        <w:ind w:right="131" w:firstLine="0"/>
        <w:rPr>
          <w:sz w:val="16"/>
        </w:rPr>
      </w:pPr>
      <w:r>
        <w:rPr>
          <w:sz w:val="16"/>
        </w:rPr>
        <w:t>McDonald</w:t>
      </w:r>
      <w:r>
        <w:rPr>
          <w:sz w:val="16"/>
        </w:rPr>
        <w:tab/>
        <w:t>RA.</w:t>
      </w:r>
      <w:r>
        <w:rPr>
          <w:sz w:val="16"/>
        </w:rPr>
        <w:tab/>
        <w:t>Immunosuppression</w:t>
      </w:r>
      <w:r>
        <w:rPr>
          <w:sz w:val="16"/>
        </w:rPr>
        <w:tab/>
        <w:t>in</w:t>
      </w:r>
      <w:r>
        <w:rPr>
          <w:sz w:val="16"/>
        </w:rPr>
        <w:tab/>
        <w:t>renal</w:t>
      </w:r>
      <w:r>
        <w:rPr>
          <w:sz w:val="16"/>
        </w:rPr>
        <w:tab/>
        <w:t>transplantation</w:t>
      </w:r>
      <w:r>
        <w:rPr>
          <w:sz w:val="16"/>
        </w:rPr>
        <w:tab/>
        <w:t>in</w:t>
      </w:r>
      <w:r>
        <w:rPr>
          <w:sz w:val="16"/>
        </w:rPr>
        <w:tab/>
        <w:t>children:</w:t>
      </w:r>
      <w:r>
        <w:rPr>
          <w:sz w:val="16"/>
        </w:rPr>
        <w:tab/>
        <w:t>UpToDate;</w:t>
      </w:r>
      <w:r>
        <w:rPr>
          <w:sz w:val="16"/>
        </w:rPr>
        <w:tab/>
        <w:t>2013</w:t>
      </w:r>
      <w:r>
        <w:rPr>
          <w:sz w:val="16"/>
        </w:rPr>
        <w:tab/>
        <w:t>[26</w:t>
      </w:r>
      <w:r>
        <w:rPr>
          <w:sz w:val="16"/>
        </w:rPr>
        <w:tab/>
        <w:t>May</w:t>
      </w:r>
      <w:r>
        <w:rPr>
          <w:sz w:val="16"/>
        </w:rPr>
        <w:tab/>
        <w:t>2014].</w:t>
      </w:r>
      <w:r>
        <w:rPr>
          <w:sz w:val="16"/>
        </w:rPr>
        <w:tab/>
        <w:t>Available</w:t>
      </w:r>
      <w:r>
        <w:rPr>
          <w:sz w:val="16"/>
        </w:rPr>
        <w:tab/>
        <w:t>from:</w:t>
      </w:r>
      <w:hyperlink r:id="rId14">
        <w:r>
          <w:rPr>
            <w:sz w:val="16"/>
          </w:rPr>
          <w:t xml:space="preserve"> http://www.uptodate.com/contents/immunosuppression-in-renal-transplantation-in-children.</w:t>
        </w:r>
      </w:hyperlink>
    </w:p>
    <w:p w:rsidR="00A94DA2" w:rsidRDefault="00DC0F69">
      <w:pPr>
        <w:pStyle w:val="PargrafodaLista"/>
        <w:numPr>
          <w:ilvl w:val="0"/>
          <w:numId w:val="1"/>
        </w:numPr>
        <w:tabs>
          <w:tab w:val="left" w:pos="349"/>
        </w:tabs>
        <w:spacing w:line="183" w:lineRule="exact"/>
        <w:ind w:left="348" w:hanging="242"/>
        <w:rPr>
          <w:sz w:val="16"/>
        </w:rPr>
      </w:pPr>
      <w:r>
        <w:rPr>
          <w:sz w:val="16"/>
        </w:rPr>
        <w:t xml:space="preserve">Penn </w:t>
      </w:r>
      <w:r>
        <w:rPr>
          <w:spacing w:val="-3"/>
          <w:sz w:val="16"/>
        </w:rPr>
        <w:t xml:space="preserve">I. </w:t>
      </w:r>
      <w:r>
        <w:rPr>
          <w:sz w:val="16"/>
        </w:rPr>
        <w:t>Cancers complicating organ transplantation. N Engl J Med.</w:t>
      </w:r>
      <w:r>
        <w:rPr>
          <w:spacing w:val="-3"/>
          <w:sz w:val="16"/>
        </w:rPr>
        <w:t xml:space="preserve"> </w:t>
      </w:r>
      <w:r>
        <w:rPr>
          <w:sz w:val="16"/>
        </w:rPr>
        <w:t>1990;323(25):1767-9.</w:t>
      </w:r>
    </w:p>
    <w:p w:rsidR="00A94DA2" w:rsidRDefault="00DC0F69">
      <w:pPr>
        <w:pStyle w:val="PargrafodaLista"/>
        <w:numPr>
          <w:ilvl w:val="0"/>
          <w:numId w:val="1"/>
        </w:numPr>
        <w:tabs>
          <w:tab w:val="left" w:pos="349"/>
        </w:tabs>
        <w:ind w:left="348" w:hanging="242"/>
        <w:rPr>
          <w:sz w:val="16"/>
        </w:rPr>
      </w:pPr>
      <w:r>
        <w:rPr>
          <w:sz w:val="16"/>
        </w:rPr>
        <w:t>Kasiske BL, Snyder JJ, Gilbertson DT, Wang C. Cancer after kidney transplantation in the United States. Am J Transplant.</w:t>
      </w:r>
      <w:r>
        <w:rPr>
          <w:spacing w:val="-26"/>
          <w:sz w:val="16"/>
        </w:rPr>
        <w:t xml:space="preserve"> </w:t>
      </w:r>
      <w:r>
        <w:rPr>
          <w:sz w:val="16"/>
        </w:rPr>
        <w:t>2004;4(6):905-13.</w:t>
      </w:r>
    </w:p>
    <w:p w:rsidR="00A94DA2" w:rsidRDefault="00DC0F69">
      <w:pPr>
        <w:pStyle w:val="PargrafodaLista"/>
        <w:numPr>
          <w:ilvl w:val="0"/>
          <w:numId w:val="1"/>
        </w:numPr>
        <w:tabs>
          <w:tab w:val="left" w:pos="349"/>
        </w:tabs>
        <w:spacing w:before="1" w:line="183" w:lineRule="exact"/>
        <w:ind w:left="348" w:hanging="242"/>
        <w:rPr>
          <w:sz w:val="16"/>
        </w:rPr>
      </w:pPr>
      <w:r>
        <w:rPr>
          <w:sz w:val="16"/>
        </w:rPr>
        <w:t xml:space="preserve">Penn </w:t>
      </w:r>
      <w:r>
        <w:rPr>
          <w:spacing w:val="-3"/>
          <w:sz w:val="16"/>
        </w:rPr>
        <w:t xml:space="preserve">I. </w:t>
      </w:r>
      <w:r>
        <w:rPr>
          <w:sz w:val="16"/>
        </w:rPr>
        <w:t>The effect of immunosuppressio</w:t>
      </w:r>
      <w:r>
        <w:rPr>
          <w:sz w:val="16"/>
        </w:rPr>
        <w:t>n on pre-existing cancers. Transplantation.</w:t>
      </w:r>
      <w:r>
        <w:rPr>
          <w:spacing w:val="-3"/>
          <w:sz w:val="16"/>
        </w:rPr>
        <w:t xml:space="preserve"> </w:t>
      </w:r>
      <w:r>
        <w:rPr>
          <w:sz w:val="16"/>
        </w:rPr>
        <w:t>1993;55(4):742-7.</w:t>
      </w:r>
    </w:p>
    <w:p w:rsidR="00A94DA2" w:rsidRDefault="00DC0F69">
      <w:pPr>
        <w:pStyle w:val="PargrafodaLista"/>
        <w:numPr>
          <w:ilvl w:val="0"/>
          <w:numId w:val="1"/>
        </w:numPr>
        <w:tabs>
          <w:tab w:val="left" w:pos="349"/>
        </w:tabs>
        <w:ind w:right="120" w:firstLine="0"/>
        <w:rPr>
          <w:sz w:val="16"/>
        </w:rPr>
      </w:pPr>
      <w:r>
        <w:rPr>
          <w:sz w:val="16"/>
        </w:rPr>
        <w:t>Trofe J, Buell JF, Woodle ES, Beebe TM, Hanaway MJ, First MR, et al. Recurrence risk after organ transplantation in patients with a history of Hodgkin disease or non-Hodgkin lymphoma. Transplant</w:t>
      </w:r>
      <w:r>
        <w:rPr>
          <w:sz w:val="16"/>
        </w:rPr>
        <w:t>ation.</w:t>
      </w:r>
      <w:r>
        <w:rPr>
          <w:spacing w:val="-3"/>
          <w:sz w:val="16"/>
        </w:rPr>
        <w:t xml:space="preserve"> </w:t>
      </w:r>
      <w:r>
        <w:rPr>
          <w:sz w:val="16"/>
        </w:rPr>
        <w:t>2004;78(7):972-7.</w:t>
      </w:r>
    </w:p>
    <w:p w:rsidR="00A94DA2" w:rsidRDefault="00DC0F69">
      <w:pPr>
        <w:pStyle w:val="PargrafodaLista"/>
        <w:numPr>
          <w:ilvl w:val="0"/>
          <w:numId w:val="1"/>
        </w:numPr>
        <w:tabs>
          <w:tab w:val="left" w:pos="347"/>
        </w:tabs>
        <w:spacing w:before="1"/>
        <w:ind w:right="119" w:firstLine="0"/>
        <w:jc w:val="both"/>
        <w:rPr>
          <w:sz w:val="16"/>
        </w:rPr>
      </w:pPr>
      <w:r>
        <w:rPr>
          <w:sz w:val="16"/>
        </w:rPr>
        <w:t xml:space="preserve">Majewski M, Korecka M, Kossev P, </w:t>
      </w:r>
      <w:r>
        <w:rPr>
          <w:spacing w:val="-3"/>
          <w:sz w:val="16"/>
        </w:rPr>
        <w:t xml:space="preserve">Li </w:t>
      </w:r>
      <w:r>
        <w:rPr>
          <w:sz w:val="16"/>
        </w:rPr>
        <w:t xml:space="preserve">S, Goldman J, Moore J, et al. The immunosuppressive macrolide RAD inhibits growth of </w:t>
      </w:r>
      <w:r>
        <w:rPr>
          <w:spacing w:val="2"/>
          <w:sz w:val="16"/>
        </w:rPr>
        <w:t xml:space="preserve">human </w:t>
      </w:r>
      <w:r>
        <w:rPr>
          <w:sz w:val="16"/>
        </w:rPr>
        <w:t>Epstein-Barr virus- transformed B lymphocytes in vitro and in vivo: A potential approach to prevention a</w:t>
      </w:r>
      <w:r>
        <w:rPr>
          <w:sz w:val="16"/>
        </w:rPr>
        <w:t>nd treatment of posttransplant lymphoproliferative disorders. Proc Natl Acad Sci U S A. 2000;97(8):4285-90.</w:t>
      </w:r>
    </w:p>
    <w:p w:rsidR="00A94DA2" w:rsidRDefault="00DC0F69">
      <w:pPr>
        <w:pStyle w:val="PargrafodaLista"/>
        <w:numPr>
          <w:ilvl w:val="0"/>
          <w:numId w:val="1"/>
        </w:numPr>
        <w:tabs>
          <w:tab w:val="left" w:pos="347"/>
        </w:tabs>
        <w:ind w:right="123" w:firstLine="0"/>
        <w:rPr>
          <w:sz w:val="16"/>
        </w:rPr>
      </w:pPr>
      <w:r>
        <w:rPr>
          <w:sz w:val="16"/>
        </w:rPr>
        <w:t>McDonald RA, Smith JM, Ho M, Lindblad R, Ikle D, Grimm P, et al. Incidence of PTLD in pediatric renal transplant recipients receiving basiliximab, c</w:t>
      </w:r>
      <w:r>
        <w:rPr>
          <w:sz w:val="16"/>
        </w:rPr>
        <w:t>alcineurin inhibitor, sirolimus and steroids. Am J Transplant.</w:t>
      </w:r>
      <w:r>
        <w:rPr>
          <w:spacing w:val="-5"/>
          <w:sz w:val="16"/>
        </w:rPr>
        <w:t xml:space="preserve"> </w:t>
      </w:r>
      <w:r>
        <w:rPr>
          <w:sz w:val="16"/>
        </w:rPr>
        <w:t>2008;8(5):984-9.</w:t>
      </w:r>
    </w:p>
    <w:p w:rsidR="00A94DA2" w:rsidRDefault="00DC0F69">
      <w:pPr>
        <w:pStyle w:val="PargrafodaLista"/>
        <w:numPr>
          <w:ilvl w:val="0"/>
          <w:numId w:val="1"/>
        </w:numPr>
        <w:tabs>
          <w:tab w:val="left" w:pos="428"/>
        </w:tabs>
        <w:ind w:right="120" w:firstLine="0"/>
        <w:rPr>
          <w:sz w:val="16"/>
        </w:rPr>
      </w:pPr>
      <w:r>
        <w:rPr>
          <w:sz w:val="16"/>
        </w:rPr>
        <w:t>Kirk AD, Cherikh WS, Ring M, Burke G, Kaufman D, Knechtle SJ, et al. Dissociation of depletional induction and posttransplant lymphoproliferative disease in kidney recipients t</w:t>
      </w:r>
      <w:r>
        <w:rPr>
          <w:sz w:val="16"/>
        </w:rPr>
        <w:t>reated with alemtuzumab. Am J Transplant.</w:t>
      </w:r>
      <w:r>
        <w:rPr>
          <w:spacing w:val="-11"/>
          <w:sz w:val="16"/>
        </w:rPr>
        <w:t xml:space="preserve"> </w:t>
      </w:r>
      <w:r>
        <w:rPr>
          <w:sz w:val="16"/>
        </w:rPr>
        <w:t>2007;7(11):2619-25.</w:t>
      </w:r>
    </w:p>
    <w:p w:rsidR="00A94DA2" w:rsidRDefault="00DC0F69">
      <w:pPr>
        <w:pStyle w:val="PargrafodaLista"/>
        <w:numPr>
          <w:ilvl w:val="0"/>
          <w:numId w:val="1"/>
        </w:numPr>
        <w:tabs>
          <w:tab w:val="left" w:pos="428"/>
        </w:tabs>
        <w:ind w:right="128" w:firstLine="0"/>
        <w:rPr>
          <w:sz w:val="16"/>
        </w:rPr>
      </w:pPr>
      <w:r>
        <w:rPr>
          <w:sz w:val="16"/>
        </w:rPr>
        <w:t xml:space="preserve">2007 OPTN / SRTR Annual Report: Transplant Data 1997-2006: United States Department of Health &amp; Human Services; 2007 [May 26, 2014]. Available from: </w:t>
      </w:r>
      <w:hyperlink r:id="rId15">
        <w:r>
          <w:rPr>
            <w:sz w:val="16"/>
          </w:rPr>
          <w:t>http://www.srtr.org/annual_reports/archives/2007/2007_Annual_Report/default.htm.</w:t>
        </w:r>
      </w:hyperlink>
    </w:p>
    <w:p w:rsidR="00A94DA2" w:rsidRDefault="00DC0F69">
      <w:pPr>
        <w:pStyle w:val="PargrafodaLista"/>
        <w:numPr>
          <w:ilvl w:val="0"/>
          <w:numId w:val="1"/>
        </w:numPr>
        <w:tabs>
          <w:tab w:val="left" w:pos="428"/>
        </w:tabs>
        <w:spacing w:line="183" w:lineRule="exact"/>
        <w:ind w:left="428" w:hanging="322"/>
        <w:rPr>
          <w:sz w:val="16"/>
        </w:rPr>
      </w:pPr>
      <w:r>
        <w:rPr>
          <w:sz w:val="16"/>
        </w:rPr>
        <w:t>Gebel</w:t>
      </w:r>
      <w:r>
        <w:rPr>
          <w:spacing w:val="-3"/>
          <w:sz w:val="16"/>
        </w:rPr>
        <w:t xml:space="preserve"> </w:t>
      </w:r>
      <w:r>
        <w:rPr>
          <w:sz w:val="16"/>
        </w:rPr>
        <w:t>HM,</w:t>
      </w:r>
      <w:r>
        <w:rPr>
          <w:spacing w:val="-3"/>
          <w:sz w:val="16"/>
        </w:rPr>
        <w:t xml:space="preserve"> </w:t>
      </w:r>
      <w:r>
        <w:rPr>
          <w:sz w:val="16"/>
        </w:rPr>
        <w:t>Bray</w:t>
      </w:r>
      <w:r>
        <w:rPr>
          <w:spacing w:val="-4"/>
          <w:sz w:val="16"/>
        </w:rPr>
        <w:t xml:space="preserve"> </w:t>
      </w:r>
      <w:r>
        <w:rPr>
          <w:sz w:val="16"/>
        </w:rPr>
        <w:t>RA.</w:t>
      </w:r>
      <w:r>
        <w:rPr>
          <w:spacing w:val="-1"/>
          <w:sz w:val="16"/>
        </w:rPr>
        <w:t xml:space="preserve"> </w:t>
      </w:r>
      <w:r>
        <w:rPr>
          <w:sz w:val="16"/>
        </w:rPr>
        <w:t>Approaches</w:t>
      </w:r>
      <w:r>
        <w:rPr>
          <w:spacing w:val="-1"/>
          <w:sz w:val="16"/>
        </w:rPr>
        <w:t xml:space="preserve"> </w:t>
      </w:r>
      <w:r>
        <w:rPr>
          <w:sz w:val="16"/>
        </w:rPr>
        <w:t>for</w:t>
      </w:r>
      <w:r>
        <w:rPr>
          <w:spacing w:val="-3"/>
          <w:sz w:val="16"/>
        </w:rPr>
        <w:t xml:space="preserve"> </w:t>
      </w:r>
      <w:r>
        <w:rPr>
          <w:sz w:val="16"/>
        </w:rPr>
        <w:t>transplanting</w:t>
      </w:r>
      <w:r>
        <w:rPr>
          <w:spacing w:val="-4"/>
          <w:sz w:val="16"/>
        </w:rPr>
        <w:t xml:space="preserve"> </w:t>
      </w:r>
      <w:r>
        <w:rPr>
          <w:sz w:val="16"/>
        </w:rPr>
        <w:t>the</w:t>
      </w:r>
      <w:r>
        <w:rPr>
          <w:spacing w:val="-3"/>
          <w:sz w:val="16"/>
        </w:rPr>
        <w:t xml:space="preserve"> </w:t>
      </w:r>
      <w:r>
        <w:rPr>
          <w:sz w:val="16"/>
        </w:rPr>
        <w:t>sensitized</w:t>
      </w:r>
      <w:r>
        <w:rPr>
          <w:spacing w:val="-1"/>
          <w:sz w:val="16"/>
        </w:rPr>
        <w:t xml:space="preserve"> </w:t>
      </w:r>
      <w:r>
        <w:rPr>
          <w:sz w:val="16"/>
        </w:rPr>
        <w:t>patient:</w:t>
      </w:r>
      <w:r>
        <w:rPr>
          <w:spacing w:val="-4"/>
          <w:sz w:val="16"/>
        </w:rPr>
        <w:t xml:space="preserve"> </w:t>
      </w:r>
      <w:r>
        <w:rPr>
          <w:sz w:val="16"/>
        </w:rPr>
        <w:t>biolog</w:t>
      </w:r>
      <w:r>
        <w:rPr>
          <w:sz w:val="16"/>
        </w:rPr>
        <w:t>y</w:t>
      </w:r>
      <w:r>
        <w:rPr>
          <w:spacing w:val="-4"/>
          <w:sz w:val="16"/>
        </w:rPr>
        <w:t xml:space="preserve"> </w:t>
      </w:r>
      <w:r>
        <w:rPr>
          <w:sz w:val="16"/>
        </w:rPr>
        <w:t>versus</w:t>
      </w:r>
      <w:r>
        <w:rPr>
          <w:spacing w:val="-2"/>
          <w:sz w:val="16"/>
        </w:rPr>
        <w:t xml:space="preserve"> </w:t>
      </w:r>
      <w:r>
        <w:rPr>
          <w:sz w:val="16"/>
        </w:rPr>
        <w:t>pharmacology. Nephrol</w:t>
      </w:r>
      <w:r>
        <w:rPr>
          <w:spacing w:val="-3"/>
          <w:sz w:val="16"/>
        </w:rPr>
        <w:t xml:space="preserve"> </w:t>
      </w:r>
      <w:r>
        <w:rPr>
          <w:sz w:val="16"/>
        </w:rPr>
        <w:t>Dial</w:t>
      </w:r>
      <w:r>
        <w:rPr>
          <w:spacing w:val="-2"/>
          <w:sz w:val="16"/>
        </w:rPr>
        <w:t xml:space="preserve"> </w:t>
      </w:r>
      <w:r>
        <w:rPr>
          <w:sz w:val="16"/>
        </w:rPr>
        <w:t>Transplant.</w:t>
      </w:r>
      <w:r>
        <w:rPr>
          <w:spacing w:val="7"/>
          <w:sz w:val="16"/>
        </w:rPr>
        <w:t xml:space="preserve"> </w:t>
      </w:r>
      <w:r>
        <w:rPr>
          <w:sz w:val="16"/>
        </w:rPr>
        <w:t>2008;23(8):2454-7.</w:t>
      </w:r>
    </w:p>
    <w:p w:rsidR="00A94DA2" w:rsidRDefault="00DC0F69">
      <w:pPr>
        <w:pStyle w:val="PargrafodaLista"/>
        <w:numPr>
          <w:ilvl w:val="0"/>
          <w:numId w:val="1"/>
        </w:numPr>
        <w:tabs>
          <w:tab w:val="left" w:pos="428"/>
        </w:tabs>
        <w:spacing w:line="183" w:lineRule="exact"/>
        <w:ind w:left="428" w:hanging="322"/>
        <w:rPr>
          <w:sz w:val="16"/>
        </w:rPr>
      </w:pPr>
      <w:r>
        <w:rPr>
          <w:sz w:val="16"/>
        </w:rPr>
        <w:t>Woodward RS, Kutinova A, Schnitzler MA, Brennan DC. Renal graft survival and calcineurin inhibitor. Transplantation.</w:t>
      </w:r>
      <w:r>
        <w:rPr>
          <w:spacing w:val="-21"/>
          <w:sz w:val="16"/>
        </w:rPr>
        <w:t xml:space="preserve"> </w:t>
      </w:r>
      <w:r>
        <w:rPr>
          <w:sz w:val="16"/>
        </w:rPr>
        <w:t>2005;80(5):629-33.</w:t>
      </w:r>
    </w:p>
    <w:p w:rsidR="00A94DA2" w:rsidRDefault="00DC0F69">
      <w:pPr>
        <w:pStyle w:val="PargrafodaLista"/>
        <w:numPr>
          <w:ilvl w:val="0"/>
          <w:numId w:val="1"/>
        </w:numPr>
        <w:tabs>
          <w:tab w:val="left" w:pos="428"/>
        </w:tabs>
        <w:spacing w:before="1"/>
        <w:ind w:right="118" w:firstLine="0"/>
        <w:rPr>
          <w:sz w:val="16"/>
        </w:rPr>
      </w:pPr>
      <w:r>
        <w:rPr>
          <w:sz w:val="16"/>
        </w:rPr>
        <w:t>Pascual M, Curtis J, Delmonico FL, Farrell ML, Williams WW, Jr., Kalil R, et al. A prospective, randomized clinical trial of cyclosporine reduction in stable  patients greater than 12 months after renal transplantation. Transplantation.</w:t>
      </w:r>
      <w:r>
        <w:rPr>
          <w:spacing w:val="-14"/>
          <w:sz w:val="16"/>
        </w:rPr>
        <w:t xml:space="preserve"> </w:t>
      </w:r>
      <w:r>
        <w:rPr>
          <w:sz w:val="16"/>
        </w:rPr>
        <w:t>2003;75(9):1501-5.</w:t>
      </w:r>
    </w:p>
    <w:p w:rsidR="00A94DA2" w:rsidRDefault="00DC0F69">
      <w:pPr>
        <w:pStyle w:val="PargrafodaLista"/>
        <w:numPr>
          <w:ilvl w:val="0"/>
          <w:numId w:val="1"/>
        </w:numPr>
        <w:tabs>
          <w:tab w:val="left" w:pos="428"/>
        </w:tabs>
        <w:ind w:right="119" w:firstLine="0"/>
        <w:rPr>
          <w:sz w:val="16"/>
        </w:rPr>
      </w:pPr>
      <w:r>
        <w:rPr>
          <w:sz w:val="16"/>
        </w:rPr>
        <w:t>Gebel HM, Bray RA, Nickerson P. Pre-transplant assessment of donor-reactive, HLA-specific antibodies in renal transplantation: contraindication vs. risk. Am J Transplant.</w:t>
      </w:r>
      <w:r>
        <w:rPr>
          <w:spacing w:val="-3"/>
          <w:sz w:val="16"/>
        </w:rPr>
        <w:t xml:space="preserve"> </w:t>
      </w:r>
      <w:r>
        <w:rPr>
          <w:sz w:val="16"/>
        </w:rPr>
        <w:t>2003;3(12):1488-500.</w:t>
      </w:r>
    </w:p>
    <w:p w:rsidR="00A94DA2" w:rsidRDefault="00DC0F69">
      <w:pPr>
        <w:pStyle w:val="PargrafodaLista"/>
        <w:numPr>
          <w:ilvl w:val="0"/>
          <w:numId w:val="1"/>
        </w:numPr>
        <w:tabs>
          <w:tab w:val="left" w:pos="428"/>
        </w:tabs>
        <w:spacing w:before="1" w:line="183" w:lineRule="exact"/>
        <w:ind w:left="428" w:hanging="322"/>
        <w:rPr>
          <w:sz w:val="16"/>
        </w:rPr>
      </w:pPr>
      <w:r>
        <w:rPr>
          <w:sz w:val="16"/>
        </w:rPr>
        <w:t>Schiff</w:t>
      </w:r>
      <w:r>
        <w:rPr>
          <w:spacing w:val="-2"/>
          <w:sz w:val="16"/>
        </w:rPr>
        <w:t xml:space="preserve"> </w:t>
      </w:r>
      <w:r>
        <w:rPr>
          <w:sz w:val="16"/>
        </w:rPr>
        <w:t>J,</w:t>
      </w:r>
      <w:r>
        <w:rPr>
          <w:spacing w:val="-3"/>
          <w:sz w:val="16"/>
        </w:rPr>
        <w:t xml:space="preserve"> </w:t>
      </w:r>
      <w:r>
        <w:rPr>
          <w:sz w:val="16"/>
        </w:rPr>
        <w:t>Cole</w:t>
      </w:r>
      <w:r>
        <w:rPr>
          <w:spacing w:val="-3"/>
          <w:sz w:val="16"/>
        </w:rPr>
        <w:t xml:space="preserve"> </w:t>
      </w:r>
      <w:r>
        <w:rPr>
          <w:sz w:val="16"/>
        </w:rPr>
        <w:t>E,</w:t>
      </w:r>
      <w:r>
        <w:rPr>
          <w:spacing w:val="-2"/>
          <w:sz w:val="16"/>
        </w:rPr>
        <w:t xml:space="preserve"> </w:t>
      </w:r>
      <w:r>
        <w:rPr>
          <w:sz w:val="16"/>
        </w:rPr>
        <w:t>Cantarovich</w:t>
      </w:r>
      <w:r>
        <w:rPr>
          <w:spacing w:val="-2"/>
          <w:sz w:val="16"/>
        </w:rPr>
        <w:t xml:space="preserve"> </w:t>
      </w:r>
      <w:r>
        <w:rPr>
          <w:sz w:val="16"/>
        </w:rPr>
        <w:t>M.</w:t>
      </w:r>
      <w:r>
        <w:rPr>
          <w:spacing w:val="-3"/>
          <w:sz w:val="16"/>
        </w:rPr>
        <w:t xml:space="preserve"> </w:t>
      </w:r>
      <w:r>
        <w:rPr>
          <w:sz w:val="16"/>
        </w:rPr>
        <w:t>Therapeutic monitoring</w:t>
      </w:r>
      <w:r>
        <w:rPr>
          <w:spacing w:val="-2"/>
          <w:sz w:val="16"/>
        </w:rPr>
        <w:t xml:space="preserve"> </w:t>
      </w:r>
      <w:r>
        <w:rPr>
          <w:sz w:val="16"/>
        </w:rPr>
        <w:t>of</w:t>
      </w:r>
      <w:r>
        <w:rPr>
          <w:spacing w:val="-4"/>
          <w:sz w:val="16"/>
        </w:rPr>
        <w:t xml:space="preserve"> </w:t>
      </w:r>
      <w:r>
        <w:rPr>
          <w:sz w:val="16"/>
        </w:rPr>
        <w:t>calci</w:t>
      </w:r>
      <w:r>
        <w:rPr>
          <w:sz w:val="16"/>
        </w:rPr>
        <w:t>neurin inhibitors</w:t>
      </w:r>
      <w:r>
        <w:rPr>
          <w:spacing w:val="-1"/>
          <w:sz w:val="16"/>
        </w:rPr>
        <w:t xml:space="preserve"> </w:t>
      </w:r>
      <w:r>
        <w:rPr>
          <w:sz w:val="16"/>
        </w:rPr>
        <w:t>for</w:t>
      </w:r>
      <w:r>
        <w:rPr>
          <w:spacing w:val="-2"/>
          <w:sz w:val="16"/>
        </w:rPr>
        <w:t xml:space="preserve"> </w:t>
      </w:r>
      <w:r>
        <w:rPr>
          <w:sz w:val="16"/>
        </w:rPr>
        <w:t>the</w:t>
      </w:r>
      <w:r>
        <w:rPr>
          <w:spacing w:val="-5"/>
          <w:sz w:val="16"/>
        </w:rPr>
        <w:t xml:space="preserve"> </w:t>
      </w:r>
      <w:r>
        <w:rPr>
          <w:sz w:val="16"/>
        </w:rPr>
        <w:t>nephrologist. Clin</w:t>
      </w:r>
      <w:r>
        <w:rPr>
          <w:spacing w:val="-2"/>
          <w:sz w:val="16"/>
        </w:rPr>
        <w:t xml:space="preserve"> </w:t>
      </w:r>
      <w:r>
        <w:rPr>
          <w:sz w:val="16"/>
        </w:rPr>
        <w:t>J</w:t>
      </w:r>
      <w:r>
        <w:rPr>
          <w:spacing w:val="-1"/>
          <w:sz w:val="16"/>
        </w:rPr>
        <w:t xml:space="preserve"> </w:t>
      </w:r>
      <w:r>
        <w:rPr>
          <w:sz w:val="16"/>
        </w:rPr>
        <w:t>Am</w:t>
      </w:r>
      <w:r>
        <w:rPr>
          <w:spacing w:val="-1"/>
          <w:sz w:val="16"/>
        </w:rPr>
        <w:t xml:space="preserve"> </w:t>
      </w:r>
      <w:r>
        <w:rPr>
          <w:sz w:val="16"/>
        </w:rPr>
        <w:t>Soc Nephrol. 2007;2(2):374-84.</w:t>
      </w:r>
    </w:p>
    <w:p w:rsidR="00A94DA2" w:rsidRDefault="00DC0F69">
      <w:pPr>
        <w:pStyle w:val="PargrafodaLista"/>
        <w:numPr>
          <w:ilvl w:val="0"/>
          <w:numId w:val="1"/>
        </w:numPr>
        <w:tabs>
          <w:tab w:val="left" w:pos="428"/>
        </w:tabs>
        <w:ind w:right="128" w:firstLine="0"/>
        <w:rPr>
          <w:sz w:val="16"/>
        </w:rPr>
      </w:pPr>
      <w:r>
        <w:rPr>
          <w:sz w:val="16"/>
        </w:rPr>
        <w:t>Levy G, Thervet E, Lake J, Uchida K, Consensus on Neoral CERiTG. Patient management by Neoral C(2) monitoring: an international consensus statement. Transplantation. 2002;73(9</w:t>
      </w:r>
      <w:r>
        <w:rPr>
          <w:spacing w:val="-2"/>
          <w:sz w:val="16"/>
        </w:rPr>
        <w:t xml:space="preserve"> </w:t>
      </w:r>
      <w:r>
        <w:rPr>
          <w:sz w:val="16"/>
        </w:rPr>
        <w:t>Suppl):S12-8.</w:t>
      </w:r>
    </w:p>
    <w:p w:rsidR="00A94DA2" w:rsidRDefault="00DC0F69">
      <w:pPr>
        <w:pStyle w:val="PargrafodaLista"/>
        <w:numPr>
          <w:ilvl w:val="0"/>
          <w:numId w:val="1"/>
        </w:numPr>
        <w:tabs>
          <w:tab w:val="left" w:pos="428"/>
        </w:tabs>
        <w:spacing w:before="1"/>
        <w:ind w:right="123" w:firstLine="0"/>
        <w:rPr>
          <w:sz w:val="16"/>
        </w:rPr>
      </w:pPr>
      <w:r>
        <w:rPr>
          <w:sz w:val="16"/>
        </w:rPr>
        <w:t xml:space="preserve">Thervet E, Pfeffer P, Scolari MP, Toselli </w:t>
      </w:r>
      <w:r>
        <w:rPr>
          <w:spacing w:val="-3"/>
          <w:sz w:val="16"/>
        </w:rPr>
        <w:t xml:space="preserve">L, </w:t>
      </w:r>
      <w:r>
        <w:rPr>
          <w:sz w:val="16"/>
        </w:rPr>
        <w:t xml:space="preserve">Pallardo LM, Chadban S, et al. Clinical outcomes during </w:t>
      </w:r>
      <w:r>
        <w:rPr>
          <w:spacing w:val="2"/>
          <w:sz w:val="16"/>
        </w:rPr>
        <w:t xml:space="preserve">the </w:t>
      </w:r>
      <w:r>
        <w:rPr>
          <w:sz w:val="16"/>
        </w:rPr>
        <w:t>first three months posttransplant in renal allograft recipients managed by C2 monitoring of cyclosporine microemulsion. Transplantation.</w:t>
      </w:r>
      <w:r>
        <w:rPr>
          <w:spacing w:val="-12"/>
          <w:sz w:val="16"/>
        </w:rPr>
        <w:t xml:space="preserve"> </w:t>
      </w:r>
      <w:r>
        <w:rPr>
          <w:sz w:val="16"/>
        </w:rPr>
        <w:t>2003;76(6):903-8.</w:t>
      </w:r>
    </w:p>
    <w:p w:rsidR="00A94DA2" w:rsidRDefault="00DC0F69">
      <w:pPr>
        <w:pStyle w:val="PargrafodaLista"/>
        <w:numPr>
          <w:ilvl w:val="0"/>
          <w:numId w:val="1"/>
        </w:numPr>
        <w:tabs>
          <w:tab w:val="left" w:pos="428"/>
        </w:tabs>
        <w:ind w:right="121" w:firstLine="0"/>
        <w:rPr>
          <w:sz w:val="16"/>
        </w:rPr>
      </w:pPr>
      <w:r>
        <w:rPr>
          <w:sz w:val="16"/>
        </w:rPr>
        <w:t>Cole E, Maham N, Cardella C, Cattran D, Fenton S, Hamel J, et al. Clinical benefits of neoral C2 monitoring in the long-term management of renal transplant recipients. Transplantation.</w:t>
      </w:r>
      <w:r>
        <w:rPr>
          <w:spacing w:val="-2"/>
          <w:sz w:val="16"/>
        </w:rPr>
        <w:t xml:space="preserve"> </w:t>
      </w:r>
      <w:r>
        <w:rPr>
          <w:sz w:val="16"/>
        </w:rPr>
        <w:t>2003;75(12):2086-90.</w:t>
      </w:r>
    </w:p>
    <w:p w:rsidR="00A94DA2" w:rsidRDefault="00DC0F69">
      <w:pPr>
        <w:pStyle w:val="PargrafodaLista"/>
        <w:numPr>
          <w:ilvl w:val="0"/>
          <w:numId w:val="1"/>
        </w:numPr>
        <w:tabs>
          <w:tab w:val="left" w:pos="428"/>
        </w:tabs>
        <w:ind w:right="120" w:firstLine="0"/>
        <w:rPr>
          <w:sz w:val="16"/>
        </w:rPr>
      </w:pPr>
      <w:r>
        <w:rPr>
          <w:sz w:val="16"/>
        </w:rPr>
        <w:t xml:space="preserve">Einecke G, Schutz M, Mai </w:t>
      </w:r>
      <w:r>
        <w:rPr>
          <w:spacing w:val="-3"/>
          <w:sz w:val="16"/>
        </w:rPr>
        <w:t xml:space="preserve">I, </w:t>
      </w:r>
      <w:r>
        <w:rPr>
          <w:sz w:val="16"/>
        </w:rPr>
        <w:t>Fri</w:t>
      </w:r>
      <w:r>
        <w:rPr>
          <w:sz w:val="16"/>
        </w:rPr>
        <w:t xml:space="preserve">tsche </w:t>
      </w:r>
      <w:r>
        <w:rPr>
          <w:spacing w:val="-3"/>
          <w:sz w:val="16"/>
        </w:rPr>
        <w:t xml:space="preserve">L, </w:t>
      </w:r>
      <w:r>
        <w:rPr>
          <w:sz w:val="16"/>
        </w:rPr>
        <w:t>Giessing M, Glander P, et al. Limitations of C2 monitoring in renal transplant recipients. Nephrol Dial Transplant. 2005;20(7):1463-70.</w:t>
      </w:r>
    </w:p>
    <w:p w:rsidR="00A94DA2" w:rsidRDefault="00DC0F69">
      <w:pPr>
        <w:pStyle w:val="PargrafodaLista"/>
        <w:numPr>
          <w:ilvl w:val="0"/>
          <w:numId w:val="1"/>
        </w:numPr>
        <w:tabs>
          <w:tab w:val="left" w:pos="428"/>
        </w:tabs>
        <w:ind w:right="118" w:firstLine="0"/>
        <w:rPr>
          <w:sz w:val="16"/>
        </w:rPr>
      </w:pPr>
      <w:r>
        <w:rPr>
          <w:sz w:val="16"/>
        </w:rPr>
        <w:t xml:space="preserve">Einecke G, Mai </w:t>
      </w:r>
      <w:r>
        <w:rPr>
          <w:spacing w:val="-3"/>
          <w:sz w:val="16"/>
        </w:rPr>
        <w:t xml:space="preserve">I, </w:t>
      </w:r>
      <w:r>
        <w:rPr>
          <w:sz w:val="16"/>
        </w:rPr>
        <w:t xml:space="preserve">Fritsche </w:t>
      </w:r>
      <w:r>
        <w:rPr>
          <w:spacing w:val="-3"/>
          <w:sz w:val="16"/>
        </w:rPr>
        <w:t xml:space="preserve">L, </w:t>
      </w:r>
      <w:r>
        <w:rPr>
          <w:sz w:val="16"/>
        </w:rPr>
        <w:t>Slowinski T, Waiser J, Neumayer HH, et al. The value of C2 monitoring in stable renal allograft recipients on maintenance immunosuppression. Nephrol Dial Transplant.</w:t>
      </w:r>
      <w:r>
        <w:rPr>
          <w:spacing w:val="-7"/>
          <w:sz w:val="16"/>
        </w:rPr>
        <w:t xml:space="preserve"> </w:t>
      </w:r>
      <w:r>
        <w:rPr>
          <w:sz w:val="16"/>
        </w:rPr>
        <w:t>2004;19(1):215-22.</w:t>
      </w:r>
    </w:p>
    <w:p w:rsidR="00A94DA2" w:rsidRDefault="00DC0F69">
      <w:pPr>
        <w:pStyle w:val="PargrafodaLista"/>
        <w:numPr>
          <w:ilvl w:val="0"/>
          <w:numId w:val="1"/>
        </w:numPr>
        <w:tabs>
          <w:tab w:val="left" w:pos="428"/>
        </w:tabs>
        <w:ind w:right="123" w:firstLine="0"/>
        <w:rPr>
          <w:sz w:val="16"/>
        </w:rPr>
      </w:pPr>
      <w:r>
        <w:rPr>
          <w:sz w:val="16"/>
        </w:rPr>
        <w:t xml:space="preserve">Weir MR, Mulgaonkar S, Chan </w:t>
      </w:r>
      <w:r>
        <w:rPr>
          <w:spacing w:val="-3"/>
          <w:sz w:val="16"/>
        </w:rPr>
        <w:t xml:space="preserve">L, </w:t>
      </w:r>
      <w:r>
        <w:rPr>
          <w:sz w:val="16"/>
        </w:rPr>
        <w:t>Shidban H, Waid TH, Preston D, et al. My</w:t>
      </w:r>
      <w:r>
        <w:rPr>
          <w:sz w:val="16"/>
        </w:rPr>
        <w:t>cophenolate mofetil-based immunosuppression with sirolimus in renal transplantation: a randomized, controlled Spare-the-Nephron trial. Kidney Int.</w:t>
      </w:r>
      <w:r>
        <w:rPr>
          <w:spacing w:val="2"/>
          <w:sz w:val="16"/>
        </w:rPr>
        <w:t xml:space="preserve"> </w:t>
      </w:r>
      <w:r>
        <w:rPr>
          <w:sz w:val="16"/>
        </w:rPr>
        <w:t>2011;79(8):897-907.</w:t>
      </w:r>
    </w:p>
    <w:p w:rsidR="00A94DA2" w:rsidRDefault="00A94DA2">
      <w:pPr>
        <w:rPr>
          <w:sz w:val="16"/>
        </w:rPr>
        <w:sectPr w:rsidR="00A94DA2">
          <w:pgSz w:w="11910" w:h="16840"/>
          <w:pgMar w:top="460" w:right="300" w:bottom="280" w:left="460" w:header="720" w:footer="720" w:gutter="0"/>
          <w:cols w:space="720"/>
        </w:sectPr>
      </w:pPr>
    </w:p>
    <w:p w:rsidR="00A94DA2" w:rsidRDefault="00DC0F69">
      <w:pPr>
        <w:spacing w:before="82"/>
        <w:ind w:left="3856" w:right="3875"/>
        <w:jc w:val="center"/>
        <w:rPr>
          <w:sz w:val="13"/>
        </w:rPr>
      </w:pPr>
      <w:r>
        <w:rPr>
          <w:sz w:val="16"/>
        </w:rPr>
        <w:lastRenderedPageBreak/>
        <w:t>T</w:t>
      </w:r>
      <w:r>
        <w:rPr>
          <w:sz w:val="13"/>
        </w:rPr>
        <w:t>ERMO DE ESCLARECIMENTO E RESPONSABILIDADE</w:t>
      </w:r>
    </w:p>
    <w:p w:rsidR="00A94DA2" w:rsidRDefault="00DC0F69">
      <w:pPr>
        <w:spacing w:before="1"/>
        <w:ind w:left="1021"/>
        <w:rPr>
          <w:sz w:val="16"/>
        </w:rPr>
      </w:pPr>
      <w:r>
        <w:rPr>
          <w:sz w:val="16"/>
        </w:rPr>
        <w:t>A</w:t>
      </w:r>
      <w:r>
        <w:rPr>
          <w:sz w:val="13"/>
        </w:rPr>
        <w:t>ZATIOPRINA</w:t>
      </w:r>
      <w:r>
        <w:rPr>
          <w:sz w:val="16"/>
        </w:rPr>
        <w:t xml:space="preserve">, </w:t>
      </w:r>
      <w:r>
        <w:rPr>
          <w:sz w:val="13"/>
        </w:rPr>
        <w:t>CICLOSPORINA</w:t>
      </w:r>
      <w:r>
        <w:rPr>
          <w:sz w:val="16"/>
        </w:rPr>
        <w:t xml:space="preserve">, </w:t>
      </w:r>
      <w:r>
        <w:rPr>
          <w:sz w:val="13"/>
        </w:rPr>
        <w:t>MICOFENOLATO DE MOFETILA OU DE SÓDIO</w:t>
      </w:r>
      <w:r>
        <w:rPr>
          <w:sz w:val="16"/>
        </w:rPr>
        <w:t xml:space="preserve">, </w:t>
      </w:r>
      <w:r>
        <w:rPr>
          <w:sz w:val="13"/>
        </w:rPr>
        <w:t>SIROLIMO</w:t>
      </w:r>
      <w:r>
        <w:rPr>
          <w:sz w:val="16"/>
        </w:rPr>
        <w:t xml:space="preserve">, </w:t>
      </w:r>
      <w:r>
        <w:rPr>
          <w:sz w:val="13"/>
        </w:rPr>
        <w:t>EVEROLIMO</w:t>
      </w:r>
      <w:r>
        <w:rPr>
          <w:sz w:val="16"/>
        </w:rPr>
        <w:t xml:space="preserve">, </w:t>
      </w:r>
      <w:r>
        <w:rPr>
          <w:sz w:val="13"/>
        </w:rPr>
        <w:t>TACROLIMO</w:t>
      </w:r>
      <w:r>
        <w:rPr>
          <w:sz w:val="16"/>
        </w:rPr>
        <w:t xml:space="preserve">, </w:t>
      </w:r>
      <w:r>
        <w:rPr>
          <w:sz w:val="13"/>
        </w:rPr>
        <w:t>IMUNOGLOBULINA HUMANA</w:t>
      </w:r>
      <w:r>
        <w:rPr>
          <w:sz w:val="16"/>
        </w:rPr>
        <w:t>.</w:t>
      </w:r>
    </w:p>
    <w:p w:rsidR="00A94DA2" w:rsidRDefault="00A94DA2">
      <w:pPr>
        <w:pStyle w:val="Corpodetexto"/>
        <w:spacing w:before="11"/>
        <w:ind w:left="0"/>
        <w:jc w:val="left"/>
        <w:rPr>
          <w:sz w:val="15"/>
        </w:rPr>
      </w:pPr>
    </w:p>
    <w:p w:rsidR="00A94DA2" w:rsidRDefault="00DC0F69">
      <w:pPr>
        <w:pStyle w:val="Corpodetexto"/>
        <w:tabs>
          <w:tab w:val="left" w:pos="4167"/>
        </w:tabs>
        <w:ind w:right="120"/>
      </w:pPr>
      <w:r>
        <w:t>Eu,</w:t>
      </w:r>
      <w:r>
        <w:rPr>
          <w:u w:val="single"/>
        </w:rPr>
        <w:t xml:space="preserve"> </w:t>
      </w:r>
      <w:r>
        <w:rPr>
          <w:u w:val="single"/>
        </w:rPr>
        <w:tab/>
      </w:r>
      <w:r>
        <w:t>(nome do(a) paciente), declaro ter sido informado(a) claramente sobre todas as indicações, contraindicações, principais efeitos colaterais e riscos relaciona</w:t>
      </w:r>
      <w:r>
        <w:t>dos ao uso de medicamentos imunossupressores para o tratamento preventivo ou terapêutico da rejeição do transplante</w:t>
      </w:r>
      <w:r>
        <w:rPr>
          <w:spacing w:val="-3"/>
        </w:rPr>
        <w:t xml:space="preserve"> </w:t>
      </w:r>
      <w:r>
        <w:t>renal.</w:t>
      </w:r>
    </w:p>
    <w:p w:rsidR="00A94DA2" w:rsidRDefault="00DC0F69">
      <w:pPr>
        <w:pStyle w:val="Corpodetexto"/>
        <w:ind w:right="117"/>
      </w:pPr>
      <w:r>
        <w:t>Expresso também minha concordância e espontânea vontade em submeter-me ao referido tratamento, assumindo a responsabilidade e os risc</w:t>
      </w:r>
      <w:r>
        <w:t>os por eventuais efeitos indesejáveis. Fui devidamente esclarecido(a) sobre o fato de que o transplante renal é uma das formas de tratamento, que a diálise é outra e que concordei em submeter- me ao transplante renal.</w:t>
      </w:r>
    </w:p>
    <w:p w:rsidR="00A94DA2" w:rsidRDefault="00DC0F69">
      <w:pPr>
        <w:pStyle w:val="Corpodetexto"/>
        <w:tabs>
          <w:tab w:val="left" w:pos="8766"/>
        </w:tabs>
        <w:ind w:right="235"/>
        <w:jc w:val="left"/>
      </w:pPr>
      <w:r>
        <w:t>Os</w:t>
      </w:r>
      <w:r>
        <w:rPr>
          <w:spacing w:val="-2"/>
        </w:rPr>
        <w:t xml:space="preserve"> </w:t>
      </w:r>
      <w:r>
        <w:t>termos</w:t>
      </w:r>
      <w:r>
        <w:rPr>
          <w:spacing w:val="-2"/>
        </w:rPr>
        <w:t xml:space="preserve"> </w:t>
      </w:r>
      <w:r>
        <w:t>médicos</w:t>
      </w:r>
      <w:r>
        <w:rPr>
          <w:spacing w:val="-3"/>
        </w:rPr>
        <w:t xml:space="preserve"> </w:t>
      </w:r>
      <w:r>
        <w:t>foram</w:t>
      </w:r>
      <w:r>
        <w:rPr>
          <w:spacing w:val="-2"/>
        </w:rPr>
        <w:t xml:space="preserve"> </w:t>
      </w:r>
      <w:r>
        <w:t>explicados</w:t>
      </w:r>
      <w:r>
        <w:rPr>
          <w:spacing w:val="-3"/>
        </w:rPr>
        <w:t xml:space="preserve"> </w:t>
      </w:r>
      <w:r>
        <w:t>e</w:t>
      </w:r>
      <w:r>
        <w:rPr>
          <w:spacing w:val="-4"/>
        </w:rPr>
        <w:t xml:space="preserve"> </w:t>
      </w:r>
      <w:r>
        <w:t>t</w:t>
      </w:r>
      <w:r>
        <w:t>odas</w:t>
      </w:r>
      <w:r>
        <w:rPr>
          <w:spacing w:val="-4"/>
        </w:rPr>
        <w:t xml:space="preserve"> </w:t>
      </w:r>
      <w:r>
        <w:t>as</w:t>
      </w:r>
      <w:r>
        <w:rPr>
          <w:spacing w:val="-4"/>
        </w:rPr>
        <w:t xml:space="preserve"> </w:t>
      </w:r>
      <w:r>
        <w:t>dúvidas</w:t>
      </w:r>
      <w:r>
        <w:rPr>
          <w:spacing w:val="-2"/>
        </w:rPr>
        <w:t xml:space="preserve"> </w:t>
      </w:r>
      <w:r>
        <w:t>foram</w:t>
      </w:r>
      <w:r>
        <w:rPr>
          <w:spacing w:val="-2"/>
        </w:rPr>
        <w:t xml:space="preserve"> </w:t>
      </w:r>
      <w:r>
        <w:t>resolvidas</w:t>
      </w:r>
      <w:r>
        <w:rPr>
          <w:spacing w:val="-4"/>
        </w:rPr>
        <w:t xml:space="preserve"> </w:t>
      </w:r>
      <w:r>
        <w:t>pelo</w:t>
      </w:r>
      <w:r>
        <w:rPr>
          <w:spacing w:val="-3"/>
        </w:rPr>
        <w:t xml:space="preserve"> </w:t>
      </w:r>
      <w:r>
        <w:t>médico</w:t>
      </w:r>
      <w:r>
        <w:rPr>
          <w:u w:val="single"/>
        </w:rPr>
        <w:t xml:space="preserve"> </w:t>
      </w:r>
      <w:r>
        <w:rPr>
          <w:u w:val="single"/>
        </w:rPr>
        <w:tab/>
      </w:r>
      <w:r>
        <w:t>(nome do médico que prescreve). Assim, declaro que fui claramente informado(a) de que os medicamentos que passo a receber podem trazer as seguintes</w:t>
      </w:r>
      <w:r>
        <w:rPr>
          <w:spacing w:val="-27"/>
        </w:rPr>
        <w:t xml:space="preserve"> </w:t>
      </w:r>
      <w:r>
        <w:t>melhoras:</w:t>
      </w:r>
    </w:p>
    <w:p w:rsidR="00A94DA2" w:rsidRDefault="00DC0F69">
      <w:pPr>
        <w:pStyle w:val="PargrafodaLista"/>
        <w:numPr>
          <w:ilvl w:val="0"/>
          <w:numId w:val="8"/>
        </w:numPr>
        <w:tabs>
          <w:tab w:val="left" w:pos="200"/>
        </w:tabs>
        <w:spacing w:before="2" w:line="183" w:lineRule="exact"/>
        <w:ind w:firstLine="0"/>
        <w:jc w:val="both"/>
        <w:rPr>
          <w:sz w:val="16"/>
        </w:rPr>
      </w:pPr>
      <w:r>
        <w:rPr>
          <w:sz w:val="16"/>
        </w:rPr>
        <w:t>diminuição das chances de rejeição aguda do</w:t>
      </w:r>
      <w:r>
        <w:rPr>
          <w:spacing w:val="-10"/>
          <w:sz w:val="16"/>
        </w:rPr>
        <w:t xml:space="preserve"> </w:t>
      </w:r>
      <w:r>
        <w:rPr>
          <w:sz w:val="16"/>
        </w:rPr>
        <w:t>transpla</w:t>
      </w:r>
      <w:r>
        <w:rPr>
          <w:sz w:val="16"/>
        </w:rPr>
        <w:t>nte;</w:t>
      </w:r>
    </w:p>
    <w:p w:rsidR="00A94DA2" w:rsidRDefault="00DC0F69">
      <w:pPr>
        <w:pStyle w:val="PargrafodaLista"/>
        <w:numPr>
          <w:ilvl w:val="0"/>
          <w:numId w:val="8"/>
        </w:numPr>
        <w:tabs>
          <w:tab w:val="left" w:pos="200"/>
        </w:tabs>
        <w:spacing w:line="183" w:lineRule="exact"/>
        <w:ind w:firstLine="0"/>
        <w:jc w:val="both"/>
        <w:rPr>
          <w:sz w:val="16"/>
        </w:rPr>
      </w:pPr>
      <w:r>
        <w:rPr>
          <w:sz w:val="16"/>
        </w:rPr>
        <w:t>diminuição das chances de rejeição crônica do</w:t>
      </w:r>
      <w:r>
        <w:rPr>
          <w:spacing w:val="-10"/>
          <w:sz w:val="16"/>
        </w:rPr>
        <w:t xml:space="preserve"> </w:t>
      </w:r>
      <w:r>
        <w:rPr>
          <w:sz w:val="16"/>
        </w:rPr>
        <w:t>transplante;</w:t>
      </w:r>
    </w:p>
    <w:p w:rsidR="00A94DA2" w:rsidRDefault="00DC0F69">
      <w:pPr>
        <w:pStyle w:val="PargrafodaLista"/>
        <w:numPr>
          <w:ilvl w:val="0"/>
          <w:numId w:val="8"/>
        </w:numPr>
        <w:tabs>
          <w:tab w:val="left" w:pos="200"/>
        </w:tabs>
        <w:spacing w:before="1" w:line="183" w:lineRule="exact"/>
        <w:ind w:firstLine="0"/>
        <w:jc w:val="both"/>
        <w:rPr>
          <w:sz w:val="16"/>
        </w:rPr>
      </w:pPr>
      <w:r>
        <w:rPr>
          <w:sz w:val="16"/>
        </w:rPr>
        <w:t>aumento da sobrevida do órgão</w:t>
      </w:r>
      <w:r>
        <w:rPr>
          <w:spacing w:val="-7"/>
          <w:sz w:val="16"/>
        </w:rPr>
        <w:t xml:space="preserve"> </w:t>
      </w:r>
      <w:r>
        <w:rPr>
          <w:sz w:val="16"/>
        </w:rPr>
        <w:t>transplantado.</w:t>
      </w:r>
    </w:p>
    <w:p w:rsidR="00A94DA2" w:rsidRDefault="00DC0F69">
      <w:pPr>
        <w:pStyle w:val="Corpodetexto"/>
        <w:spacing w:line="183" w:lineRule="exact"/>
      </w:pPr>
      <w:r>
        <w:t>Fui também claramente informado(a) a respeito das seguintes contraindicações, potenciais efeitos colaterais e riscos do uso destes medicamentos:</w:t>
      </w:r>
    </w:p>
    <w:p w:rsidR="00A94DA2" w:rsidRDefault="00DC0F69">
      <w:pPr>
        <w:pStyle w:val="PargrafodaLista"/>
        <w:numPr>
          <w:ilvl w:val="0"/>
          <w:numId w:val="8"/>
        </w:numPr>
        <w:tabs>
          <w:tab w:val="left" w:pos="212"/>
        </w:tabs>
        <w:spacing w:before="1"/>
        <w:ind w:right="121" w:firstLine="0"/>
        <w:jc w:val="both"/>
        <w:rPr>
          <w:sz w:val="16"/>
        </w:rPr>
      </w:pPr>
      <w:r>
        <w:rPr>
          <w:sz w:val="16"/>
        </w:rPr>
        <w:t>medicamentos classificados como categoria C (pesquisas em animais mostraram anormalidades nos descendentes, porém não há estudos em humanos; o risco para o bebê não pode ser descartado, mas um benefício potencial pode ser maior do que os riscos): ciclospor</w:t>
      </w:r>
      <w:r>
        <w:rPr>
          <w:sz w:val="16"/>
        </w:rPr>
        <w:t>ina, micofenolato (de mofetila ou de sódio), sirolimo, everolimo, tacrolimo;</w:t>
      </w:r>
    </w:p>
    <w:p w:rsidR="00A94DA2" w:rsidRDefault="00DC0F69">
      <w:pPr>
        <w:pStyle w:val="PargrafodaLista"/>
        <w:numPr>
          <w:ilvl w:val="0"/>
          <w:numId w:val="8"/>
        </w:numPr>
        <w:tabs>
          <w:tab w:val="left" w:pos="200"/>
        </w:tabs>
        <w:ind w:firstLine="0"/>
        <w:jc w:val="both"/>
        <w:rPr>
          <w:sz w:val="16"/>
        </w:rPr>
      </w:pPr>
      <w:r>
        <w:rPr>
          <w:sz w:val="16"/>
        </w:rPr>
        <w:t>medicamento</w:t>
      </w:r>
      <w:r>
        <w:rPr>
          <w:spacing w:val="-4"/>
          <w:sz w:val="16"/>
        </w:rPr>
        <w:t xml:space="preserve"> </w:t>
      </w:r>
      <w:r>
        <w:rPr>
          <w:sz w:val="16"/>
        </w:rPr>
        <w:t>classificado</w:t>
      </w:r>
      <w:r>
        <w:rPr>
          <w:spacing w:val="-2"/>
          <w:sz w:val="16"/>
        </w:rPr>
        <w:t xml:space="preserve"> </w:t>
      </w:r>
      <w:r>
        <w:rPr>
          <w:sz w:val="16"/>
        </w:rPr>
        <w:t>como</w:t>
      </w:r>
      <w:r>
        <w:rPr>
          <w:spacing w:val="-4"/>
          <w:sz w:val="16"/>
        </w:rPr>
        <w:t xml:space="preserve"> </w:t>
      </w:r>
      <w:r>
        <w:rPr>
          <w:sz w:val="16"/>
        </w:rPr>
        <w:t>categoria D</w:t>
      </w:r>
      <w:r>
        <w:rPr>
          <w:spacing w:val="-1"/>
          <w:sz w:val="16"/>
        </w:rPr>
        <w:t xml:space="preserve"> </w:t>
      </w:r>
      <w:r>
        <w:rPr>
          <w:sz w:val="16"/>
        </w:rPr>
        <w:t>(há</w:t>
      </w:r>
      <w:r>
        <w:rPr>
          <w:spacing w:val="-3"/>
          <w:sz w:val="16"/>
        </w:rPr>
        <w:t xml:space="preserve"> </w:t>
      </w:r>
      <w:r>
        <w:rPr>
          <w:sz w:val="16"/>
        </w:rPr>
        <w:t>evidências</w:t>
      </w:r>
      <w:r>
        <w:rPr>
          <w:spacing w:val="-3"/>
          <w:sz w:val="16"/>
        </w:rPr>
        <w:t xml:space="preserve"> </w:t>
      </w:r>
      <w:r>
        <w:rPr>
          <w:sz w:val="16"/>
        </w:rPr>
        <w:t>de</w:t>
      </w:r>
      <w:r>
        <w:rPr>
          <w:spacing w:val="-3"/>
          <w:sz w:val="16"/>
        </w:rPr>
        <w:t xml:space="preserve"> </w:t>
      </w:r>
      <w:r>
        <w:rPr>
          <w:sz w:val="16"/>
        </w:rPr>
        <w:t>riscos ao</w:t>
      </w:r>
      <w:r>
        <w:rPr>
          <w:spacing w:val="-2"/>
          <w:sz w:val="16"/>
        </w:rPr>
        <w:t xml:space="preserve"> </w:t>
      </w:r>
      <w:r>
        <w:rPr>
          <w:sz w:val="16"/>
        </w:rPr>
        <w:t>feto, mas</w:t>
      </w:r>
      <w:r>
        <w:rPr>
          <w:spacing w:val="-3"/>
          <w:sz w:val="16"/>
        </w:rPr>
        <w:t xml:space="preserve"> </w:t>
      </w:r>
      <w:r>
        <w:rPr>
          <w:sz w:val="16"/>
        </w:rPr>
        <w:t>um</w:t>
      </w:r>
      <w:r>
        <w:rPr>
          <w:spacing w:val="-3"/>
          <w:sz w:val="16"/>
        </w:rPr>
        <w:t xml:space="preserve"> </w:t>
      </w:r>
      <w:r>
        <w:rPr>
          <w:sz w:val="16"/>
        </w:rPr>
        <w:t>benefício</w:t>
      </w:r>
      <w:r>
        <w:rPr>
          <w:spacing w:val="-1"/>
          <w:sz w:val="16"/>
        </w:rPr>
        <w:t xml:space="preserve"> </w:t>
      </w:r>
      <w:r>
        <w:rPr>
          <w:sz w:val="16"/>
        </w:rPr>
        <w:t>potencial</w:t>
      </w:r>
      <w:r>
        <w:rPr>
          <w:spacing w:val="-2"/>
          <w:sz w:val="16"/>
        </w:rPr>
        <w:t xml:space="preserve"> </w:t>
      </w:r>
      <w:r>
        <w:rPr>
          <w:sz w:val="16"/>
        </w:rPr>
        <w:t>pode</w:t>
      </w:r>
      <w:r>
        <w:rPr>
          <w:spacing w:val="-3"/>
          <w:sz w:val="16"/>
        </w:rPr>
        <w:t xml:space="preserve"> </w:t>
      </w:r>
      <w:r>
        <w:rPr>
          <w:sz w:val="16"/>
        </w:rPr>
        <w:t>ser</w:t>
      </w:r>
      <w:r>
        <w:rPr>
          <w:spacing w:val="-2"/>
          <w:sz w:val="16"/>
        </w:rPr>
        <w:t xml:space="preserve"> </w:t>
      </w:r>
      <w:r>
        <w:rPr>
          <w:sz w:val="16"/>
        </w:rPr>
        <w:t>maior</w:t>
      </w:r>
      <w:r>
        <w:rPr>
          <w:spacing w:val="-3"/>
          <w:sz w:val="16"/>
        </w:rPr>
        <w:t xml:space="preserve"> </w:t>
      </w:r>
      <w:r>
        <w:rPr>
          <w:sz w:val="16"/>
        </w:rPr>
        <w:t>do</w:t>
      </w:r>
      <w:r>
        <w:rPr>
          <w:spacing w:val="-2"/>
          <w:sz w:val="16"/>
        </w:rPr>
        <w:t xml:space="preserve"> </w:t>
      </w:r>
      <w:r>
        <w:rPr>
          <w:sz w:val="16"/>
        </w:rPr>
        <w:t>que</w:t>
      </w:r>
      <w:r>
        <w:rPr>
          <w:spacing w:val="-3"/>
          <w:sz w:val="16"/>
        </w:rPr>
        <w:t xml:space="preserve"> </w:t>
      </w:r>
      <w:r>
        <w:rPr>
          <w:sz w:val="16"/>
        </w:rPr>
        <w:t>os</w:t>
      </w:r>
      <w:r>
        <w:rPr>
          <w:spacing w:val="-1"/>
          <w:sz w:val="16"/>
        </w:rPr>
        <w:t xml:space="preserve"> </w:t>
      </w:r>
      <w:r>
        <w:rPr>
          <w:sz w:val="16"/>
        </w:rPr>
        <w:t>riscos):</w:t>
      </w:r>
      <w:r>
        <w:rPr>
          <w:spacing w:val="-2"/>
          <w:sz w:val="16"/>
        </w:rPr>
        <w:t xml:space="preserve"> </w:t>
      </w:r>
      <w:r>
        <w:rPr>
          <w:sz w:val="16"/>
        </w:rPr>
        <w:t>azatioprina;</w:t>
      </w:r>
    </w:p>
    <w:p w:rsidR="00A94DA2" w:rsidRDefault="00DC0F69">
      <w:pPr>
        <w:pStyle w:val="PargrafodaLista"/>
        <w:numPr>
          <w:ilvl w:val="0"/>
          <w:numId w:val="8"/>
        </w:numPr>
        <w:tabs>
          <w:tab w:val="left" w:pos="200"/>
        </w:tabs>
        <w:spacing w:line="183" w:lineRule="exact"/>
        <w:ind w:firstLine="0"/>
        <w:jc w:val="both"/>
        <w:rPr>
          <w:sz w:val="16"/>
        </w:rPr>
      </w:pPr>
      <w:r>
        <w:rPr>
          <w:sz w:val="16"/>
        </w:rPr>
        <w:t>aumento</w:t>
      </w:r>
      <w:r>
        <w:rPr>
          <w:spacing w:val="-4"/>
          <w:sz w:val="16"/>
        </w:rPr>
        <w:t xml:space="preserve"> </w:t>
      </w:r>
      <w:r>
        <w:rPr>
          <w:sz w:val="16"/>
        </w:rPr>
        <w:t>do</w:t>
      </w:r>
      <w:r>
        <w:rPr>
          <w:spacing w:val="-2"/>
          <w:sz w:val="16"/>
        </w:rPr>
        <w:t xml:space="preserve"> </w:t>
      </w:r>
      <w:r>
        <w:rPr>
          <w:sz w:val="16"/>
        </w:rPr>
        <w:t>risco</w:t>
      </w:r>
      <w:r>
        <w:rPr>
          <w:spacing w:val="-4"/>
          <w:sz w:val="16"/>
        </w:rPr>
        <w:t xml:space="preserve"> </w:t>
      </w:r>
      <w:r>
        <w:rPr>
          <w:sz w:val="16"/>
        </w:rPr>
        <w:t>de</w:t>
      </w:r>
      <w:r>
        <w:rPr>
          <w:spacing w:val="-2"/>
          <w:sz w:val="16"/>
        </w:rPr>
        <w:t xml:space="preserve"> </w:t>
      </w:r>
      <w:r>
        <w:rPr>
          <w:sz w:val="16"/>
        </w:rPr>
        <w:t>infecções</w:t>
      </w:r>
      <w:r>
        <w:rPr>
          <w:spacing w:val="-1"/>
          <w:sz w:val="16"/>
        </w:rPr>
        <w:t xml:space="preserve"> </w:t>
      </w:r>
      <w:r>
        <w:rPr>
          <w:sz w:val="16"/>
        </w:rPr>
        <w:t>de</w:t>
      </w:r>
      <w:r>
        <w:rPr>
          <w:spacing w:val="-3"/>
          <w:sz w:val="16"/>
        </w:rPr>
        <w:t xml:space="preserve"> </w:t>
      </w:r>
      <w:r>
        <w:rPr>
          <w:sz w:val="16"/>
        </w:rPr>
        <w:t>várias</w:t>
      </w:r>
      <w:r>
        <w:rPr>
          <w:spacing w:val="-1"/>
          <w:sz w:val="16"/>
        </w:rPr>
        <w:t xml:space="preserve"> </w:t>
      </w:r>
      <w:r>
        <w:rPr>
          <w:sz w:val="16"/>
        </w:rPr>
        <w:t>etiologias</w:t>
      </w:r>
      <w:r>
        <w:rPr>
          <w:spacing w:val="-1"/>
          <w:sz w:val="16"/>
        </w:rPr>
        <w:t xml:space="preserve"> </w:t>
      </w:r>
      <w:r>
        <w:rPr>
          <w:sz w:val="16"/>
        </w:rPr>
        <w:t>e</w:t>
      </w:r>
      <w:r>
        <w:rPr>
          <w:spacing w:val="-1"/>
          <w:sz w:val="16"/>
        </w:rPr>
        <w:t xml:space="preserve"> </w:t>
      </w:r>
      <w:r>
        <w:rPr>
          <w:sz w:val="16"/>
        </w:rPr>
        <w:t>alguns</w:t>
      </w:r>
      <w:r>
        <w:rPr>
          <w:spacing w:val="-3"/>
          <w:sz w:val="16"/>
        </w:rPr>
        <w:t xml:space="preserve"> </w:t>
      </w:r>
      <w:r>
        <w:rPr>
          <w:sz w:val="16"/>
        </w:rPr>
        <w:t>tipos</w:t>
      </w:r>
      <w:r>
        <w:rPr>
          <w:spacing w:val="-3"/>
          <w:sz w:val="16"/>
        </w:rPr>
        <w:t xml:space="preserve"> </w:t>
      </w:r>
      <w:r>
        <w:rPr>
          <w:sz w:val="16"/>
        </w:rPr>
        <w:t>de</w:t>
      </w:r>
      <w:r>
        <w:rPr>
          <w:spacing w:val="-3"/>
          <w:sz w:val="16"/>
        </w:rPr>
        <w:t xml:space="preserve"> </w:t>
      </w:r>
      <w:r>
        <w:rPr>
          <w:sz w:val="16"/>
        </w:rPr>
        <w:t>neoplasias</w:t>
      </w:r>
      <w:r>
        <w:rPr>
          <w:spacing w:val="-2"/>
          <w:sz w:val="16"/>
        </w:rPr>
        <w:t xml:space="preserve"> </w:t>
      </w:r>
      <w:r>
        <w:rPr>
          <w:sz w:val="16"/>
        </w:rPr>
        <w:t>(câncer),</w:t>
      </w:r>
      <w:r>
        <w:rPr>
          <w:spacing w:val="-3"/>
          <w:sz w:val="16"/>
        </w:rPr>
        <w:t xml:space="preserve"> </w:t>
      </w:r>
      <w:r>
        <w:rPr>
          <w:sz w:val="16"/>
        </w:rPr>
        <w:t>principalmente</w:t>
      </w:r>
      <w:r>
        <w:rPr>
          <w:spacing w:val="-3"/>
          <w:sz w:val="16"/>
        </w:rPr>
        <w:t xml:space="preserve"> </w:t>
      </w:r>
      <w:r>
        <w:rPr>
          <w:sz w:val="16"/>
        </w:rPr>
        <w:t>com</w:t>
      </w:r>
      <w:r>
        <w:rPr>
          <w:spacing w:val="-1"/>
          <w:sz w:val="16"/>
        </w:rPr>
        <w:t xml:space="preserve"> </w:t>
      </w:r>
      <w:r>
        <w:rPr>
          <w:sz w:val="16"/>
        </w:rPr>
        <w:t>o</w:t>
      </w:r>
      <w:r>
        <w:rPr>
          <w:spacing w:val="-3"/>
          <w:sz w:val="16"/>
        </w:rPr>
        <w:t xml:space="preserve"> </w:t>
      </w:r>
      <w:r>
        <w:rPr>
          <w:sz w:val="16"/>
        </w:rPr>
        <w:t>uso</w:t>
      </w:r>
      <w:r>
        <w:rPr>
          <w:spacing w:val="-2"/>
          <w:sz w:val="16"/>
        </w:rPr>
        <w:t xml:space="preserve"> </w:t>
      </w:r>
      <w:r>
        <w:rPr>
          <w:sz w:val="16"/>
        </w:rPr>
        <w:t>associado</w:t>
      </w:r>
      <w:r>
        <w:rPr>
          <w:spacing w:val="4"/>
          <w:sz w:val="16"/>
        </w:rPr>
        <w:t xml:space="preserve"> </w:t>
      </w:r>
      <w:r>
        <w:rPr>
          <w:sz w:val="16"/>
        </w:rPr>
        <w:t>destes medicamentos;</w:t>
      </w:r>
    </w:p>
    <w:p w:rsidR="00A94DA2" w:rsidRDefault="00DC0F69">
      <w:pPr>
        <w:pStyle w:val="PargrafodaLista"/>
        <w:numPr>
          <w:ilvl w:val="0"/>
          <w:numId w:val="8"/>
        </w:numPr>
        <w:tabs>
          <w:tab w:val="left" w:pos="200"/>
        </w:tabs>
        <w:spacing w:line="183" w:lineRule="exact"/>
        <w:ind w:firstLine="0"/>
        <w:jc w:val="both"/>
        <w:rPr>
          <w:sz w:val="16"/>
        </w:rPr>
      </w:pPr>
      <w:r>
        <w:rPr>
          <w:sz w:val="16"/>
        </w:rPr>
        <w:t>necessidade de dosar os níveis sanguíneos de alguns dos</w:t>
      </w:r>
      <w:r>
        <w:rPr>
          <w:spacing w:val="-14"/>
          <w:sz w:val="16"/>
        </w:rPr>
        <w:t xml:space="preserve"> </w:t>
      </w:r>
      <w:r>
        <w:rPr>
          <w:sz w:val="16"/>
        </w:rPr>
        <w:t>medicamentos;</w:t>
      </w:r>
    </w:p>
    <w:p w:rsidR="00A94DA2" w:rsidRDefault="00DC0F69">
      <w:pPr>
        <w:pStyle w:val="PargrafodaLista"/>
        <w:numPr>
          <w:ilvl w:val="0"/>
          <w:numId w:val="8"/>
        </w:numPr>
        <w:tabs>
          <w:tab w:val="left" w:pos="222"/>
        </w:tabs>
        <w:spacing w:before="1"/>
        <w:ind w:right="119" w:firstLine="0"/>
        <w:jc w:val="both"/>
        <w:rPr>
          <w:sz w:val="16"/>
        </w:rPr>
      </w:pPr>
      <w:r>
        <w:rPr>
          <w:sz w:val="16"/>
        </w:rPr>
        <w:t>principais efeitos tóxicos da azatioprina: comprometimento dos sistem</w:t>
      </w:r>
      <w:r>
        <w:rPr>
          <w:sz w:val="16"/>
        </w:rPr>
        <w:t>as hematológico e gastrointestinal, podendo também ocorrer anemia, diminuição das células brancas, vermelhas e plaquetas do sangue, náuseas, vômitos, diarreia, dor abdominal, fezes com sangue, pancreatite, toxicidade para o fígado, febre, calafrios, diminu</w:t>
      </w:r>
      <w:r>
        <w:rPr>
          <w:sz w:val="16"/>
        </w:rPr>
        <w:t>ição de apetite, vermelhidão de pele, queda de cabelo, aftas, dores articulares, retinopatia, falta de ar, pressão baixa, reações de hipersensibilidade, predisposição para câncer de pele e de outros</w:t>
      </w:r>
      <w:r>
        <w:rPr>
          <w:spacing w:val="-9"/>
          <w:sz w:val="16"/>
        </w:rPr>
        <w:t xml:space="preserve"> </w:t>
      </w:r>
      <w:r>
        <w:rPr>
          <w:sz w:val="16"/>
        </w:rPr>
        <w:t>órgãos;</w:t>
      </w:r>
    </w:p>
    <w:p w:rsidR="00A94DA2" w:rsidRDefault="00DC0F69">
      <w:pPr>
        <w:pStyle w:val="PargrafodaLista"/>
        <w:numPr>
          <w:ilvl w:val="0"/>
          <w:numId w:val="8"/>
        </w:numPr>
        <w:tabs>
          <w:tab w:val="left" w:pos="205"/>
        </w:tabs>
        <w:spacing w:before="2"/>
        <w:ind w:right="117" w:firstLine="0"/>
        <w:jc w:val="both"/>
        <w:rPr>
          <w:sz w:val="16"/>
        </w:rPr>
      </w:pPr>
      <w:r>
        <w:rPr>
          <w:sz w:val="16"/>
        </w:rPr>
        <w:t>principais reações adversas da ciclosporina: disf</w:t>
      </w:r>
      <w:r>
        <w:rPr>
          <w:sz w:val="16"/>
        </w:rPr>
        <w:t xml:space="preserve">unção renal, tremores, aumento da quantidade de pelos no corpo, pressão alta, hipertrofia gengival, aumento dos níveis de colesterol e triglicerídios, podendo também ocorrer formigamentos, dor no peito, infarto do miocárdio, batimentos rápidos do coração, </w:t>
      </w:r>
      <w:r>
        <w:rPr>
          <w:sz w:val="16"/>
        </w:rPr>
        <w:t>convulsões, confusão, ansiedade, depressão, fraqueza, dores de cabeça, unhas e cabelos quebradiços, coceira, espinhas, náuseas, vômitos, perda de apetite, gastrite, úlcera péptica, soluços, inflamação na boca, dificuldade para engolir, hemorragias, inflama</w:t>
      </w:r>
      <w:r>
        <w:rPr>
          <w:sz w:val="16"/>
        </w:rPr>
        <w:t>ção do pâncreas, prisão de ventre, desconforto abdominal, síndrome hemolítico-urêmica, diminuição das células brancas do sangue, linfoma, calorões, hiperpotassemia, hipomagnesemia, hiperuricemia, toxicidade para os músculos, disfunção respiratória, sensibi</w:t>
      </w:r>
      <w:r>
        <w:rPr>
          <w:sz w:val="16"/>
        </w:rPr>
        <w:t>lidade aumentada à temperatura, reações alérgicas, toxicidade renal e hepática,</w:t>
      </w:r>
      <w:r>
        <w:rPr>
          <w:spacing w:val="-17"/>
          <w:sz w:val="16"/>
        </w:rPr>
        <w:t xml:space="preserve"> </w:t>
      </w:r>
      <w:r>
        <w:rPr>
          <w:sz w:val="16"/>
        </w:rPr>
        <w:t>ginecomastia;</w:t>
      </w:r>
    </w:p>
    <w:p w:rsidR="00A94DA2" w:rsidRDefault="00DC0F69">
      <w:pPr>
        <w:pStyle w:val="PargrafodaLista"/>
        <w:numPr>
          <w:ilvl w:val="0"/>
          <w:numId w:val="8"/>
        </w:numPr>
        <w:tabs>
          <w:tab w:val="left" w:pos="208"/>
        </w:tabs>
        <w:ind w:right="117" w:firstLine="0"/>
        <w:jc w:val="both"/>
        <w:rPr>
          <w:sz w:val="16"/>
        </w:rPr>
      </w:pPr>
      <w:r>
        <w:rPr>
          <w:sz w:val="16"/>
        </w:rPr>
        <w:t>principais reações adversas da prednisona/prednisolona: insônia, nervosismo, vertigem, convulsões, psicose, pseudotumor cerebral, dor de cabeça, delírio, alucinações, euforia, úlcera péptica, náuseas, vômitos, distensão abdominal, esofagite ulcerativa, pan</w:t>
      </w:r>
      <w:r>
        <w:rPr>
          <w:sz w:val="16"/>
        </w:rPr>
        <w:t xml:space="preserve">creatite, catarata, glaucoma, aumento da quantidade de pelos no corpo, espinha, atrofia de pele, hiperpigmentação, síndrome de Cushing, aumento do apetite, diabete mélito, edema, supressão adrenal, supressão do crescimento, retenção de líquidos, parada da </w:t>
      </w:r>
      <w:r>
        <w:rPr>
          <w:sz w:val="16"/>
        </w:rPr>
        <w:t>menstruação, dores articulares, sangramentos nasais, pressão alta, hipopotassemia, alcalose, fraqueza muscular, osteoporose, fraturas, reações de hipersensibilidade;</w:t>
      </w:r>
    </w:p>
    <w:p w:rsidR="00A94DA2" w:rsidRDefault="00DC0F69">
      <w:pPr>
        <w:pStyle w:val="PargrafodaLista"/>
        <w:numPr>
          <w:ilvl w:val="0"/>
          <w:numId w:val="8"/>
        </w:numPr>
        <w:tabs>
          <w:tab w:val="left" w:pos="212"/>
        </w:tabs>
        <w:ind w:right="119" w:firstLine="0"/>
        <w:jc w:val="both"/>
        <w:rPr>
          <w:sz w:val="16"/>
        </w:rPr>
      </w:pPr>
      <w:r>
        <w:rPr>
          <w:sz w:val="16"/>
        </w:rPr>
        <w:t>principais reações adversas do micofenolato (de mofetila ou de sódio): diarreia, diminuiçã</w:t>
      </w:r>
      <w:r>
        <w:rPr>
          <w:sz w:val="16"/>
        </w:rPr>
        <w:t>o das células brancas do sangue, infecção generalizada e vômitos, podendo também ocorrer dor no peito, palpitações, pressão baixa, trombose, insuficiência cardíaca, hipertensão pulmonar, morte súbita, desmaio, ansiedade, depressão, rigidez muscular, formig</w:t>
      </w:r>
      <w:r>
        <w:rPr>
          <w:sz w:val="16"/>
        </w:rPr>
        <w:t>amentos, sonolência, neuropatia, convulsões, alucinações, vertigens, tremores, insônia, tonturas, queda de cabelo, aumento da quantidade de pelos no corpo, coceiras, ulcerações na pele, espinhas, vermelhidão da pele, prisão de ventre, náuseas, azia e dor d</w:t>
      </w:r>
      <w:r>
        <w:rPr>
          <w:sz w:val="16"/>
        </w:rPr>
        <w:t>e estômago, perda de apetite, gases, gastrite, gengivite, hipertrofia gengival, hepatite, sangue na urina, aumento da frequência ou retenção urinária, insuficiência renal, desconforto para urinar, impotência sexual, anemia, diminuição das plaquetas do sang</w:t>
      </w:r>
      <w:r>
        <w:rPr>
          <w:sz w:val="16"/>
        </w:rPr>
        <w:t>ue, diabetes melito, síndrome de Cushing, hipotireoidismo, inchaço, alteração de eletrólitos (hipofosfatemia, hiperpotassemia, hipocloremia), hiperglicemia, hipercolesterolemia, alteração de enzimas hepáticas, febre, dor de cabeça, fraqueza, dor nas costas</w:t>
      </w:r>
      <w:r>
        <w:rPr>
          <w:sz w:val="16"/>
        </w:rPr>
        <w:t xml:space="preserve"> e no abdômen, pressão alta, falta de ar, tosse;</w:t>
      </w:r>
    </w:p>
    <w:p w:rsidR="00A94DA2" w:rsidRDefault="00DC0F69">
      <w:pPr>
        <w:pStyle w:val="PargrafodaLista"/>
        <w:numPr>
          <w:ilvl w:val="0"/>
          <w:numId w:val="8"/>
        </w:numPr>
        <w:tabs>
          <w:tab w:val="left" w:pos="234"/>
        </w:tabs>
        <w:ind w:right="119" w:firstLine="0"/>
        <w:jc w:val="both"/>
        <w:rPr>
          <w:sz w:val="16"/>
        </w:rPr>
      </w:pPr>
      <w:r>
        <w:rPr>
          <w:sz w:val="16"/>
        </w:rPr>
        <w:t>principais reações adversas do sirolimo: pressão baixa, palpitação, insuficiência cardíaca, desmaios, hemorragias, trombose, microangiopatia trombótica, doença vascular periférica, insônia, tremores, ansiedade, confusão, depressão, tontura, fraqueza ou rig</w:t>
      </w:r>
      <w:r>
        <w:rPr>
          <w:sz w:val="16"/>
        </w:rPr>
        <w:t>idez muscular, neuropatia, formigamento, sonolência, aumento da quantidade de pelos, espinhas, vermelhidão na pele, coceiras no corpo, ulcerações na pele, arrotos, gases, gastrites, gengivites, inflamação na boca, diarreia, prisão de ventre, náuseas, vômit</w:t>
      </w:r>
      <w:r>
        <w:rPr>
          <w:sz w:val="16"/>
        </w:rPr>
        <w:t xml:space="preserve">os, perda de apetite, perda de peso, hipertrofia gengival, alteração de enzimas hepáticas, diminuição </w:t>
      </w:r>
      <w:r>
        <w:rPr>
          <w:spacing w:val="3"/>
          <w:sz w:val="16"/>
        </w:rPr>
        <w:t xml:space="preserve">das </w:t>
      </w:r>
      <w:r>
        <w:rPr>
          <w:sz w:val="16"/>
        </w:rPr>
        <w:t xml:space="preserve">células brancas, vermelhas e das plaquetas do sangue, retardamento na cicatrização, síndrome hemolítico-urêmica, acúmulo de linfa, aumento dos níveis </w:t>
      </w:r>
      <w:r>
        <w:rPr>
          <w:sz w:val="16"/>
        </w:rPr>
        <w:t>de colesterol e de triglicerídios, alteração de eletrólitos no sangue (cálcio, fósforo, sódio, potássio e magnésio), síndrome de Cushing, diabetes melito, febre, sangramento nasal, toxicidade renal, edema facial, dores no corpo, osteoporose, catarata, alte</w:t>
      </w:r>
      <w:r>
        <w:rPr>
          <w:sz w:val="16"/>
        </w:rPr>
        <w:t>rações</w:t>
      </w:r>
      <w:r>
        <w:rPr>
          <w:spacing w:val="-2"/>
          <w:sz w:val="16"/>
        </w:rPr>
        <w:t xml:space="preserve"> </w:t>
      </w:r>
      <w:r>
        <w:rPr>
          <w:sz w:val="16"/>
        </w:rPr>
        <w:t>visuais;</w:t>
      </w:r>
    </w:p>
    <w:p w:rsidR="00A94DA2" w:rsidRDefault="00DC0F69">
      <w:pPr>
        <w:pStyle w:val="PargrafodaLista"/>
        <w:numPr>
          <w:ilvl w:val="0"/>
          <w:numId w:val="8"/>
        </w:numPr>
        <w:tabs>
          <w:tab w:val="left" w:pos="253"/>
        </w:tabs>
        <w:ind w:right="118" w:firstLine="0"/>
        <w:jc w:val="both"/>
        <w:rPr>
          <w:sz w:val="16"/>
        </w:rPr>
      </w:pPr>
      <w:r>
        <w:rPr>
          <w:sz w:val="16"/>
        </w:rPr>
        <w:t>principais reações adversas do everolimo: leucopenia, hipercolesterolemia, hiperlipemia, hipertrigliceridemia, infecções virais, fúngicas e bacterianas, sepse, trombocitopenia, anemia, coagulopatia, púrpura trombocitopênica trombótica/síndr</w:t>
      </w:r>
      <w:r>
        <w:rPr>
          <w:sz w:val="16"/>
        </w:rPr>
        <w:t>ome hemolítico-urêmica, pressão alta, linfocele, tromboembolia venosa, dor abdominal, diarreia, náuseas, vômitos, acne, complicações de ferimentos cirúrgicos, edema, artralgias. Não se sabe se o medicamento é excretado pelo leite materno. Não há experiênci</w:t>
      </w:r>
      <w:r>
        <w:rPr>
          <w:sz w:val="16"/>
        </w:rPr>
        <w:t>a suficiente para recomendar seu uso em crianças e adolescentes. A experiência clínica em indivíduos com mais de 65 anos de idade é limitada. Pacientes  em uso de everolimo são mais sucetíveis a desenvolver linfomas e outras doenças malignas, particularmen</w:t>
      </w:r>
      <w:r>
        <w:rPr>
          <w:sz w:val="16"/>
        </w:rPr>
        <w:t>te de pele. Em pacientes com insuficiência hepática, a concentração sanguínea mínima deve ser monitorizada com cautela. Os pacientes devem ser acompanhados quanto ao risco de rabdomiólise e outras adversidades decorrentes do aumento da biodisponibilidade d</w:t>
      </w:r>
      <w:r>
        <w:rPr>
          <w:sz w:val="16"/>
        </w:rPr>
        <w:t>o medicamento. Métodos contraceptivos devem ser utilizados por pacientes de ambos os sexos sob regime imunossupressor até que informações mais conclusivas estejam</w:t>
      </w:r>
      <w:r>
        <w:rPr>
          <w:spacing w:val="-14"/>
          <w:sz w:val="16"/>
        </w:rPr>
        <w:t xml:space="preserve"> </w:t>
      </w:r>
      <w:r>
        <w:rPr>
          <w:sz w:val="16"/>
        </w:rPr>
        <w:t>disponíveis;</w:t>
      </w:r>
    </w:p>
    <w:p w:rsidR="00A94DA2" w:rsidRDefault="00DC0F69">
      <w:pPr>
        <w:pStyle w:val="PargrafodaLista"/>
        <w:numPr>
          <w:ilvl w:val="0"/>
          <w:numId w:val="8"/>
        </w:numPr>
        <w:tabs>
          <w:tab w:val="left" w:pos="200"/>
        </w:tabs>
        <w:ind w:right="120" w:firstLine="0"/>
        <w:jc w:val="both"/>
        <w:rPr>
          <w:sz w:val="16"/>
        </w:rPr>
      </w:pPr>
      <w:r>
        <w:rPr>
          <w:sz w:val="16"/>
        </w:rPr>
        <w:t>principais reações adversas do tacrolimo: tremores, dor de cabeça, diarreia, pre</w:t>
      </w:r>
      <w:r>
        <w:rPr>
          <w:sz w:val="16"/>
        </w:rPr>
        <w:t>ssão alta, náuseas e disfunção renal, podendo também ocorrer dor no peito, pressão baixa, palpitações, formigamentos, falta de ar, colangite, amarelão, diarreia, prisão de ventre, vômitos, diminuição do apetite, azia e dor no estômago, gases, hemorragia, d</w:t>
      </w:r>
      <w:r>
        <w:rPr>
          <w:sz w:val="16"/>
        </w:rPr>
        <w:t>ano hepático, agitação, ansiedade, convulsão, depressão, tontura, alucinações, incoordenação, psicose, sonolência, neuropatia, queda de cabelo, aumento da quantidade de pelos no corpo, vermelhidão de pele, coceiras, anemia, aumento ou diminuição das célula</w:t>
      </w:r>
      <w:r>
        <w:rPr>
          <w:sz w:val="16"/>
        </w:rPr>
        <w:t>s brancas do sangue, diminuição das plaquetas do sangue, desordens na coagulação, síndrome hemolítico-urêmica, edema periférico, alterações metabólicas (hipo/hiperpotassemia, hiperglicemia, hipomagnesemia, hiperuricemia), diabetes melito, elevação de enzim</w:t>
      </w:r>
      <w:r>
        <w:rPr>
          <w:sz w:val="16"/>
        </w:rPr>
        <w:t>as hepáticas, toxicidade renal, diminuição importante do volume da urina, febre, acúmulo de líquido no abdômen e na pleura, fraqueza, dor lombar, atelectasias, osteoporose, dores no corpo, peritonite, fotossensibilidade, alterações</w:t>
      </w:r>
      <w:r>
        <w:rPr>
          <w:spacing w:val="-1"/>
          <w:sz w:val="16"/>
        </w:rPr>
        <w:t xml:space="preserve"> </w:t>
      </w:r>
      <w:r>
        <w:rPr>
          <w:sz w:val="16"/>
        </w:rPr>
        <w:t>visuais;</w:t>
      </w:r>
    </w:p>
    <w:p w:rsidR="00A94DA2" w:rsidRDefault="00DC0F69">
      <w:pPr>
        <w:pStyle w:val="PargrafodaLista"/>
        <w:numPr>
          <w:ilvl w:val="0"/>
          <w:numId w:val="8"/>
        </w:numPr>
        <w:tabs>
          <w:tab w:val="left" w:pos="200"/>
        </w:tabs>
        <w:spacing w:before="1" w:line="183" w:lineRule="exact"/>
        <w:ind w:firstLine="0"/>
        <w:jc w:val="both"/>
        <w:rPr>
          <w:sz w:val="16"/>
        </w:rPr>
      </w:pPr>
      <w:r>
        <w:rPr>
          <w:sz w:val="16"/>
        </w:rPr>
        <w:t>efeitos</w:t>
      </w:r>
      <w:r>
        <w:rPr>
          <w:spacing w:val="-1"/>
          <w:sz w:val="16"/>
        </w:rPr>
        <w:t xml:space="preserve"> </w:t>
      </w:r>
      <w:r>
        <w:rPr>
          <w:sz w:val="16"/>
        </w:rPr>
        <w:t>colater</w:t>
      </w:r>
      <w:r>
        <w:rPr>
          <w:sz w:val="16"/>
        </w:rPr>
        <w:t>ais</w:t>
      </w:r>
      <w:r>
        <w:rPr>
          <w:spacing w:val="-1"/>
          <w:sz w:val="16"/>
        </w:rPr>
        <w:t xml:space="preserve"> </w:t>
      </w:r>
      <w:r>
        <w:rPr>
          <w:sz w:val="16"/>
        </w:rPr>
        <w:t>mais comuns</w:t>
      </w:r>
      <w:r>
        <w:rPr>
          <w:spacing w:val="-3"/>
          <w:sz w:val="16"/>
        </w:rPr>
        <w:t xml:space="preserve"> </w:t>
      </w:r>
      <w:r>
        <w:rPr>
          <w:sz w:val="16"/>
        </w:rPr>
        <w:t>da</w:t>
      </w:r>
      <w:r>
        <w:rPr>
          <w:spacing w:val="-2"/>
          <w:sz w:val="16"/>
        </w:rPr>
        <w:t xml:space="preserve"> </w:t>
      </w:r>
      <w:r>
        <w:rPr>
          <w:sz w:val="16"/>
        </w:rPr>
        <w:t>imunoglobulina</w:t>
      </w:r>
      <w:r>
        <w:rPr>
          <w:spacing w:val="-3"/>
          <w:sz w:val="16"/>
        </w:rPr>
        <w:t xml:space="preserve"> </w:t>
      </w:r>
      <w:r>
        <w:rPr>
          <w:sz w:val="16"/>
        </w:rPr>
        <w:t>humana:</w:t>
      </w:r>
      <w:r>
        <w:rPr>
          <w:spacing w:val="-4"/>
          <w:sz w:val="16"/>
        </w:rPr>
        <w:t xml:space="preserve"> </w:t>
      </w:r>
      <w:r>
        <w:rPr>
          <w:sz w:val="16"/>
        </w:rPr>
        <w:t>dor</w:t>
      </w:r>
      <w:r>
        <w:rPr>
          <w:spacing w:val="-2"/>
          <w:sz w:val="16"/>
        </w:rPr>
        <w:t xml:space="preserve"> </w:t>
      </w:r>
      <w:r>
        <w:rPr>
          <w:sz w:val="16"/>
        </w:rPr>
        <w:t>de</w:t>
      </w:r>
      <w:r>
        <w:rPr>
          <w:spacing w:val="-4"/>
          <w:sz w:val="16"/>
        </w:rPr>
        <w:t xml:space="preserve"> </w:t>
      </w:r>
      <w:r>
        <w:rPr>
          <w:sz w:val="16"/>
        </w:rPr>
        <w:t>cabeça,</w:t>
      </w:r>
      <w:r>
        <w:rPr>
          <w:spacing w:val="-3"/>
          <w:sz w:val="16"/>
        </w:rPr>
        <w:t xml:space="preserve"> </w:t>
      </w:r>
      <w:r>
        <w:rPr>
          <w:sz w:val="16"/>
        </w:rPr>
        <w:t>febre, dor</w:t>
      </w:r>
      <w:r>
        <w:rPr>
          <w:spacing w:val="-1"/>
          <w:sz w:val="16"/>
        </w:rPr>
        <w:t xml:space="preserve"> </w:t>
      </w:r>
      <w:r>
        <w:rPr>
          <w:sz w:val="16"/>
        </w:rPr>
        <w:t>muscular, respiração</w:t>
      </w:r>
      <w:r>
        <w:rPr>
          <w:spacing w:val="-1"/>
          <w:sz w:val="16"/>
        </w:rPr>
        <w:t xml:space="preserve"> </w:t>
      </w:r>
      <w:r>
        <w:rPr>
          <w:sz w:val="16"/>
        </w:rPr>
        <w:t>curta</w:t>
      </w:r>
      <w:r>
        <w:rPr>
          <w:spacing w:val="-3"/>
          <w:sz w:val="16"/>
        </w:rPr>
        <w:t xml:space="preserve"> </w:t>
      </w:r>
      <w:r>
        <w:rPr>
          <w:sz w:val="16"/>
        </w:rPr>
        <w:t>e</w:t>
      </w:r>
      <w:r>
        <w:rPr>
          <w:spacing w:val="-2"/>
          <w:sz w:val="16"/>
        </w:rPr>
        <w:t xml:space="preserve"> </w:t>
      </w:r>
      <w:r>
        <w:rPr>
          <w:sz w:val="16"/>
        </w:rPr>
        <w:t>desconforto</w:t>
      </w:r>
      <w:r>
        <w:rPr>
          <w:spacing w:val="-2"/>
          <w:sz w:val="16"/>
        </w:rPr>
        <w:t xml:space="preserve"> </w:t>
      </w:r>
      <w:r>
        <w:rPr>
          <w:sz w:val="16"/>
        </w:rPr>
        <w:t>no</w:t>
      </w:r>
      <w:r>
        <w:rPr>
          <w:spacing w:val="-1"/>
          <w:sz w:val="16"/>
        </w:rPr>
        <w:t xml:space="preserve"> </w:t>
      </w:r>
      <w:r>
        <w:rPr>
          <w:sz w:val="16"/>
        </w:rPr>
        <w:t>tórax;</w:t>
      </w:r>
    </w:p>
    <w:p w:rsidR="00A94DA2" w:rsidRDefault="00DC0F69">
      <w:pPr>
        <w:pStyle w:val="Corpodetexto"/>
        <w:spacing w:line="183" w:lineRule="exact"/>
      </w:pPr>
      <w:r>
        <w:t>-medicamentos contraindicados em casos de hipersensibilidade (alergia) aos fármacos;</w:t>
      </w:r>
    </w:p>
    <w:p w:rsidR="00A94DA2" w:rsidRDefault="00DC0F69">
      <w:pPr>
        <w:pStyle w:val="PargrafodaLista"/>
        <w:numPr>
          <w:ilvl w:val="0"/>
          <w:numId w:val="8"/>
        </w:numPr>
        <w:tabs>
          <w:tab w:val="left" w:pos="200"/>
        </w:tabs>
        <w:ind w:firstLine="0"/>
        <w:jc w:val="both"/>
        <w:rPr>
          <w:sz w:val="16"/>
        </w:rPr>
      </w:pPr>
      <w:r>
        <w:rPr>
          <w:sz w:val="16"/>
        </w:rPr>
        <w:t xml:space="preserve">risco da ocorrência de efeitos adversos aumenta com </w:t>
      </w:r>
      <w:r>
        <w:rPr>
          <w:sz w:val="16"/>
        </w:rPr>
        <w:t>a</w:t>
      </w:r>
      <w:r>
        <w:rPr>
          <w:spacing w:val="-11"/>
          <w:sz w:val="16"/>
        </w:rPr>
        <w:t xml:space="preserve"> </w:t>
      </w:r>
      <w:r>
        <w:rPr>
          <w:sz w:val="16"/>
        </w:rPr>
        <w:t>superdosagem.</w:t>
      </w:r>
    </w:p>
    <w:p w:rsidR="00A94DA2" w:rsidRDefault="00DC0F69">
      <w:pPr>
        <w:pStyle w:val="Corpodetexto"/>
        <w:spacing w:before="1"/>
        <w:ind w:right="120"/>
      </w:pPr>
      <w:r>
        <w:t>Estou ciente de que estes medicamentos somente podem ser utilizados por mim, comprometendo-me a devolvê-los caso não queira e não possa utilizá-los ou se o tratamento for interrompido. E de que, se o tratamento for suspenso sem orientação m</w:t>
      </w:r>
      <w:r>
        <w:t>édica, corro o risco de perder o transplante e de voltar a necessitar de diálise. Sei também que continuarei a ser atendido(a), inclusive em caso de desistir de usar os medicamentos.</w:t>
      </w:r>
    </w:p>
    <w:p w:rsidR="00A94DA2" w:rsidRDefault="00DC0F69">
      <w:pPr>
        <w:pStyle w:val="Corpodetexto"/>
        <w:spacing w:line="183" w:lineRule="exact"/>
      </w:pPr>
      <w:r>
        <w:t xml:space="preserve">Estou da mesma forma ciente de que pode haver necessidade de mudança das </w:t>
      </w:r>
      <w:r>
        <w:t>doses, assim como de medicamento imunossupressor ao longo do meu tratamento.</w:t>
      </w:r>
    </w:p>
    <w:p w:rsidR="00A94DA2" w:rsidRDefault="00DC0F69">
      <w:pPr>
        <w:pStyle w:val="Corpodetexto"/>
        <w:tabs>
          <w:tab w:val="left" w:pos="965"/>
          <w:tab w:val="left" w:pos="10781"/>
        </w:tabs>
        <w:ind w:right="117"/>
      </w:pPr>
      <w:r>
        <w:t>Autorizo</w:t>
      </w:r>
      <w:r>
        <w:rPr>
          <w:spacing w:val="4"/>
        </w:rPr>
        <w:t xml:space="preserve"> </w:t>
      </w:r>
      <w:r>
        <w:t>o</w:t>
      </w:r>
      <w:r>
        <w:rPr>
          <w:spacing w:val="5"/>
        </w:rPr>
        <w:t xml:space="preserve"> </w:t>
      </w:r>
      <w:r>
        <w:t>Ministério</w:t>
      </w:r>
      <w:r>
        <w:rPr>
          <w:spacing w:val="4"/>
        </w:rPr>
        <w:t xml:space="preserve"> </w:t>
      </w:r>
      <w:r>
        <w:t>da</w:t>
      </w:r>
      <w:r>
        <w:rPr>
          <w:spacing w:val="7"/>
        </w:rPr>
        <w:t xml:space="preserve"> </w:t>
      </w:r>
      <w:r>
        <w:t>Saúde</w:t>
      </w:r>
      <w:r>
        <w:rPr>
          <w:spacing w:val="4"/>
        </w:rPr>
        <w:t xml:space="preserve"> </w:t>
      </w:r>
      <w:r>
        <w:t>e</w:t>
      </w:r>
      <w:r>
        <w:rPr>
          <w:spacing w:val="5"/>
        </w:rPr>
        <w:t xml:space="preserve"> </w:t>
      </w:r>
      <w:r>
        <w:t>as</w:t>
      </w:r>
      <w:r>
        <w:rPr>
          <w:spacing w:val="5"/>
        </w:rPr>
        <w:t xml:space="preserve"> </w:t>
      </w:r>
      <w:r>
        <w:t>Secretarias</w:t>
      </w:r>
      <w:r>
        <w:rPr>
          <w:spacing w:val="6"/>
        </w:rPr>
        <w:t xml:space="preserve"> </w:t>
      </w:r>
      <w:r>
        <w:t>de</w:t>
      </w:r>
      <w:r>
        <w:rPr>
          <w:spacing w:val="4"/>
        </w:rPr>
        <w:t xml:space="preserve"> </w:t>
      </w:r>
      <w:r>
        <w:t>Saúde</w:t>
      </w:r>
      <w:r>
        <w:rPr>
          <w:spacing w:val="5"/>
        </w:rPr>
        <w:t xml:space="preserve"> </w:t>
      </w:r>
      <w:r>
        <w:t>a</w:t>
      </w:r>
      <w:r>
        <w:rPr>
          <w:spacing w:val="6"/>
        </w:rPr>
        <w:t xml:space="preserve"> </w:t>
      </w:r>
      <w:r>
        <w:t>fazerem</w:t>
      </w:r>
      <w:r>
        <w:rPr>
          <w:spacing w:val="6"/>
        </w:rPr>
        <w:t xml:space="preserve"> </w:t>
      </w:r>
      <w:r>
        <w:t>uso</w:t>
      </w:r>
      <w:r>
        <w:rPr>
          <w:spacing w:val="4"/>
        </w:rPr>
        <w:t xml:space="preserve"> </w:t>
      </w:r>
      <w:r>
        <w:t>de</w:t>
      </w:r>
      <w:r>
        <w:rPr>
          <w:spacing w:val="5"/>
        </w:rPr>
        <w:t xml:space="preserve"> </w:t>
      </w:r>
      <w:r>
        <w:t>informações</w:t>
      </w:r>
      <w:r>
        <w:rPr>
          <w:spacing w:val="5"/>
        </w:rPr>
        <w:t xml:space="preserve"> </w:t>
      </w:r>
      <w:r>
        <w:t>relativas</w:t>
      </w:r>
      <w:r>
        <w:rPr>
          <w:spacing w:val="6"/>
        </w:rPr>
        <w:t xml:space="preserve"> </w:t>
      </w:r>
      <w:r>
        <w:t>ao</w:t>
      </w:r>
      <w:r>
        <w:rPr>
          <w:spacing w:val="4"/>
        </w:rPr>
        <w:t xml:space="preserve"> </w:t>
      </w:r>
      <w:r>
        <w:t>meu</w:t>
      </w:r>
      <w:r>
        <w:rPr>
          <w:spacing w:val="7"/>
        </w:rPr>
        <w:t xml:space="preserve"> </w:t>
      </w:r>
      <w:r>
        <w:t>tratamento,</w:t>
      </w:r>
      <w:r>
        <w:rPr>
          <w:spacing w:val="6"/>
        </w:rPr>
        <w:t xml:space="preserve"> </w:t>
      </w:r>
      <w:r>
        <w:t>desde</w:t>
      </w:r>
      <w:r>
        <w:rPr>
          <w:spacing w:val="5"/>
        </w:rPr>
        <w:t xml:space="preserve"> </w:t>
      </w:r>
      <w:r>
        <w:t>que</w:t>
      </w:r>
      <w:r>
        <w:rPr>
          <w:spacing w:val="4"/>
        </w:rPr>
        <w:t xml:space="preserve"> </w:t>
      </w:r>
      <w:r>
        <w:t>assegurado</w:t>
      </w:r>
      <w:r>
        <w:rPr>
          <w:spacing w:val="5"/>
        </w:rPr>
        <w:t xml:space="preserve"> </w:t>
      </w:r>
      <w:r>
        <w:t>o</w:t>
      </w:r>
      <w:r>
        <w:rPr>
          <w:spacing w:val="4"/>
        </w:rPr>
        <w:t xml:space="preserve"> </w:t>
      </w:r>
      <w:r>
        <w:t>anonimato.</w:t>
      </w:r>
      <w:r>
        <w:tab/>
        <w:t>( ) Sim</w:t>
      </w:r>
      <w:r>
        <w:tab/>
        <w:t>( )</w:t>
      </w:r>
      <w:r>
        <w:rPr>
          <w:spacing w:val="-1"/>
        </w:rPr>
        <w:t xml:space="preserve"> </w:t>
      </w:r>
      <w:r>
        <w:t>Não</w:t>
      </w:r>
    </w:p>
    <w:p w:rsidR="00A94DA2" w:rsidRDefault="00DC0F69">
      <w:pPr>
        <w:pStyle w:val="Corpodetexto"/>
        <w:spacing w:before="1"/>
        <w:ind w:right="5092"/>
        <w:jc w:val="left"/>
      </w:pPr>
      <w:r>
        <w:t>Meu tratamento imunossupressor constará de uma combinação dos seguintes medicamentos: ( ) azatioprina</w:t>
      </w:r>
    </w:p>
    <w:p w:rsidR="00A94DA2" w:rsidRDefault="00DC0F69">
      <w:pPr>
        <w:pStyle w:val="Corpodetexto"/>
        <w:spacing w:line="184" w:lineRule="exact"/>
      </w:pPr>
      <w:r>
        <w:t>( ) ciclosporina</w:t>
      </w:r>
    </w:p>
    <w:p w:rsidR="00A94DA2" w:rsidRDefault="00DC0F69">
      <w:pPr>
        <w:pStyle w:val="Corpodetexto"/>
        <w:spacing w:before="1" w:line="183" w:lineRule="exact"/>
      </w:pPr>
      <w:r>
        <w:t>( ) corticosteroide</w:t>
      </w:r>
    </w:p>
    <w:p w:rsidR="00A94DA2" w:rsidRDefault="00DC0F69">
      <w:pPr>
        <w:pStyle w:val="Corpodetexto"/>
        <w:ind w:right="9195"/>
        <w:jc w:val="left"/>
      </w:pPr>
      <w:r>
        <w:t>( ) micofenolato de mofetila ( ) micofenolato de</w:t>
      </w:r>
      <w:r>
        <w:rPr>
          <w:spacing w:val="-8"/>
        </w:rPr>
        <w:t xml:space="preserve"> </w:t>
      </w:r>
      <w:r>
        <w:t>sódio</w:t>
      </w:r>
    </w:p>
    <w:p w:rsidR="00A94DA2" w:rsidRDefault="00DC0F69">
      <w:pPr>
        <w:pStyle w:val="Corpodetexto"/>
        <w:spacing w:before="1"/>
        <w:ind w:right="10156"/>
        <w:jc w:val="left"/>
      </w:pPr>
      <w:r>
        <w:t>(  )  sirolimo (   )</w:t>
      </w:r>
      <w:r>
        <w:rPr>
          <w:spacing w:val="-4"/>
        </w:rPr>
        <w:t xml:space="preserve"> </w:t>
      </w:r>
      <w:r>
        <w:t>tacrolimo</w:t>
      </w:r>
    </w:p>
    <w:p w:rsidR="00A94DA2" w:rsidRDefault="00DC0F69">
      <w:pPr>
        <w:pStyle w:val="Corpodetexto"/>
        <w:spacing w:line="183" w:lineRule="exact"/>
      </w:pPr>
      <w:r>
        <w:t>(   )</w:t>
      </w:r>
      <w:r>
        <w:rPr>
          <w:spacing w:val="-6"/>
        </w:rPr>
        <w:t xml:space="preserve"> </w:t>
      </w:r>
      <w:r>
        <w:t>everolimo</w:t>
      </w:r>
    </w:p>
    <w:p w:rsidR="00A94DA2" w:rsidRDefault="00DC0F69">
      <w:pPr>
        <w:pStyle w:val="Corpodetexto"/>
        <w:spacing w:before="1"/>
      </w:pPr>
      <w:r>
        <w:t>( ) imunoglobulina humana</w:t>
      </w:r>
    </w:p>
    <w:p w:rsidR="00A94DA2" w:rsidRDefault="00DC0F69">
      <w:pPr>
        <w:pStyle w:val="Corpodetexto"/>
        <w:spacing w:before="11"/>
        <w:ind w:left="0"/>
        <w:jc w:val="left"/>
        <w:rPr>
          <w:sz w:val="12"/>
        </w:rPr>
      </w:pPr>
      <w:r>
        <w:pict>
          <v:shapetype id="_x0000_t202" coordsize="21600,21600" o:spt="202" path="m,l,21600r21600,l21600,xe">
            <v:stroke joinstyle="miter"/>
            <v:path gradientshapeok="t" o:connecttype="rect"/>
          </v:shapetype>
          <v:shape id="_x0000_s1026" type="#_x0000_t202" style="position:absolute;margin-left:187.8pt;margin-top:9.65pt;width:226.85pt;height:7.45pt;z-index:-251650560;mso-wrap-distance-left:0;mso-wrap-distance-right:0;mso-position-horizontal-relative:page" filled="f" strokeweight=".48pt">
            <v:textbox inset="0,0,0,0">
              <w:txbxContent>
                <w:p w:rsidR="00A94DA2" w:rsidRDefault="00DC0F69">
                  <w:pPr>
                    <w:tabs>
                      <w:tab w:val="left" w:pos="2136"/>
                    </w:tabs>
                    <w:spacing w:line="134" w:lineRule="exact"/>
                    <w:ind w:left="2"/>
                    <w:rPr>
                      <w:sz w:val="12"/>
                    </w:rPr>
                  </w:pPr>
                  <w:r>
                    <w:rPr>
                      <w:sz w:val="12"/>
                    </w:rPr>
                    <w:t>Local:</w:t>
                  </w:r>
                  <w:r>
                    <w:rPr>
                      <w:sz w:val="12"/>
                    </w:rPr>
                    <w:tab/>
                    <w:t>Data:</w:t>
                  </w:r>
                </w:p>
              </w:txbxContent>
            </v:textbox>
            <w10:wrap type="topAndBottom" anchorx="page"/>
          </v:shape>
        </w:pict>
      </w:r>
    </w:p>
    <w:p w:rsidR="00A94DA2" w:rsidRDefault="00A94DA2">
      <w:pPr>
        <w:rPr>
          <w:sz w:val="12"/>
        </w:rPr>
        <w:sectPr w:rsidR="00A94DA2">
          <w:pgSz w:w="11910" w:h="16840"/>
          <w:pgMar w:top="460" w:right="300" w:bottom="0" w:left="460" w:header="720" w:footer="720" w:gutter="0"/>
          <w:cols w:space="720"/>
        </w:sectPr>
      </w:pPr>
    </w:p>
    <w:tbl>
      <w:tblPr>
        <w:tblStyle w:val="TableNormal"/>
        <w:tblW w:w="0" w:type="auto"/>
        <w:tblInd w:w="3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327"/>
        <w:gridCol w:w="273"/>
        <w:gridCol w:w="551"/>
        <w:gridCol w:w="1760"/>
      </w:tblGrid>
      <w:tr w:rsidR="00A94DA2">
        <w:trPr>
          <w:trHeight w:val="138"/>
        </w:trPr>
        <w:tc>
          <w:tcPr>
            <w:tcW w:w="4538" w:type="dxa"/>
            <w:gridSpan w:val="5"/>
          </w:tcPr>
          <w:p w:rsidR="00A94DA2" w:rsidRDefault="00DC0F69">
            <w:pPr>
              <w:pStyle w:val="TableParagraph"/>
              <w:spacing w:line="119" w:lineRule="exact"/>
              <w:rPr>
                <w:sz w:val="12"/>
              </w:rPr>
            </w:pPr>
            <w:r>
              <w:rPr>
                <w:sz w:val="12"/>
              </w:rPr>
              <w:lastRenderedPageBreak/>
              <w:t>Nome do paciente:</w:t>
            </w:r>
          </w:p>
        </w:tc>
      </w:tr>
      <w:tr w:rsidR="00A94DA2">
        <w:trPr>
          <w:trHeight w:val="138"/>
        </w:trPr>
        <w:tc>
          <w:tcPr>
            <w:tcW w:w="4538" w:type="dxa"/>
            <w:gridSpan w:val="5"/>
          </w:tcPr>
          <w:p w:rsidR="00A94DA2" w:rsidRDefault="00DC0F69">
            <w:pPr>
              <w:pStyle w:val="TableParagraph"/>
              <w:spacing w:line="119" w:lineRule="exact"/>
              <w:rPr>
                <w:sz w:val="12"/>
              </w:rPr>
            </w:pPr>
            <w:r>
              <w:rPr>
                <w:sz w:val="12"/>
              </w:rPr>
              <w:t>Cartão Nacional de Saúde:</w:t>
            </w:r>
          </w:p>
        </w:tc>
      </w:tr>
      <w:tr w:rsidR="00A94DA2">
        <w:trPr>
          <w:trHeight w:val="136"/>
        </w:trPr>
        <w:tc>
          <w:tcPr>
            <w:tcW w:w="4538" w:type="dxa"/>
            <w:gridSpan w:val="5"/>
          </w:tcPr>
          <w:p w:rsidR="00A94DA2" w:rsidRDefault="00DC0F69">
            <w:pPr>
              <w:pStyle w:val="TableParagraph"/>
              <w:spacing w:line="116" w:lineRule="exact"/>
              <w:rPr>
                <w:sz w:val="12"/>
              </w:rPr>
            </w:pPr>
            <w:r>
              <w:rPr>
                <w:sz w:val="12"/>
              </w:rPr>
              <w:t>Nome do responsável legal:</w:t>
            </w:r>
          </w:p>
        </w:tc>
      </w:tr>
      <w:tr w:rsidR="00A94DA2">
        <w:trPr>
          <w:trHeight w:val="138"/>
        </w:trPr>
        <w:tc>
          <w:tcPr>
            <w:tcW w:w="4538" w:type="dxa"/>
            <w:gridSpan w:val="5"/>
          </w:tcPr>
          <w:p w:rsidR="00A94DA2" w:rsidRDefault="00DC0F69">
            <w:pPr>
              <w:pStyle w:val="TableParagraph"/>
              <w:spacing w:line="119" w:lineRule="exact"/>
              <w:rPr>
                <w:sz w:val="12"/>
              </w:rPr>
            </w:pPr>
            <w:r>
              <w:rPr>
                <w:sz w:val="12"/>
              </w:rPr>
              <w:t>Documento de identificação do responsável legal:</w:t>
            </w:r>
          </w:p>
        </w:tc>
      </w:tr>
      <w:tr w:rsidR="00A94DA2">
        <w:trPr>
          <w:trHeight w:val="268"/>
        </w:trPr>
        <w:tc>
          <w:tcPr>
            <w:tcW w:w="2227" w:type="dxa"/>
            <w:gridSpan w:val="3"/>
            <w:tcBorders>
              <w:bottom w:val="single" w:sz="2" w:space="0" w:color="000000"/>
              <w:right w:val="nil"/>
            </w:tcBorders>
          </w:tcPr>
          <w:p w:rsidR="00A94DA2" w:rsidRDefault="00A94DA2">
            <w:pPr>
              <w:pStyle w:val="TableParagraph"/>
              <w:ind w:left="0"/>
              <w:rPr>
                <w:sz w:val="14"/>
              </w:rPr>
            </w:pPr>
          </w:p>
        </w:tc>
        <w:tc>
          <w:tcPr>
            <w:tcW w:w="2311" w:type="dxa"/>
            <w:gridSpan w:val="2"/>
            <w:tcBorders>
              <w:left w:val="nil"/>
              <w:bottom w:val="nil"/>
            </w:tcBorders>
          </w:tcPr>
          <w:p w:rsidR="00A94DA2" w:rsidRDefault="00A94DA2">
            <w:pPr>
              <w:pStyle w:val="TableParagraph"/>
              <w:ind w:left="0"/>
              <w:rPr>
                <w:sz w:val="14"/>
              </w:rPr>
            </w:pPr>
          </w:p>
        </w:tc>
      </w:tr>
      <w:tr w:rsidR="00A94DA2">
        <w:trPr>
          <w:trHeight w:val="141"/>
        </w:trPr>
        <w:tc>
          <w:tcPr>
            <w:tcW w:w="4538" w:type="dxa"/>
            <w:gridSpan w:val="5"/>
            <w:tcBorders>
              <w:top w:val="nil"/>
            </w:tcBorders>
          </w:tcPr>
          <w:p w:rsidR="00A94DA2" w:rsidRDefault="00DC0F69">
            <w:pPr>
              <w:pStyle w:val="TableParagraph"/>
              <w:spacing w:line="122" w:lineRule="exact"/>
              <w:rPr>
                <w:sz w:val="12"/>
              </w:rPr>
            </w:pPr>
            <w:r>
              <w:rPr>
                <w:sz w:val="12"/>
              </w:rPr>
              <w:t>Assinatura do paciente ou do responsável legal</w:t>
            </w:r>
          </w:p>
        </w:tc>
      </w:tr>
      <w:tr w:rsidR="00A94DA2">
        <w:trPr>
          <w:trHeight w:val="136"/>
        </w:trPr>
        <w:tc>
          <w:tcPr>
            <w:tcW w:w="1954" w:type="dxa"/>
            <w:gridSpan w:val="2"/>
          </w:tcPr>
          <w:p w:rsidR="00A94DA2" w:rsidRDefault="00DC0F69">
            <w:pPr>
              <w:pStyle w:val="TableParagraph"/>
              <w:spacing w:line="117" w:lineRule="exact"/>
              <w:rPr>
                <w:sz w:val="12"/>
              </w:rPr>
            </w:pPr>
            <w:r>
              <w:rPr>
                <w:sz w:val="12"/>
              </w:rPr>
              <w:t>Médico responsável:</w:t>
            </w:r>
          </w:p>
        </w:tc>
        <w:tc>
          <w:tcPr>
            <w:tcW w:w="824" w:type="dxa"/>
            <w:gridSpan w:val="2"/>
          </w:tcPr>
          <w:p w:rsidR="00A94DA2" w:rsidRDefault="00DC0F69">
            <w:pPr>
              <w:pStyle w:val="TableParagraph"/>
              <w:spacing w:line="117" w:lineRule="exact"/>
              <w:ind w:left="4"/>
              <w:rPr>
                <w:sz w:val="12"/>
              </w:rPr>
            </w:pPr>
            <w:r>
              <w:rPr>
                <w:sz w:val="12"/>
              </w:rPr>
              <w:t>CRM:</w:t>
            </w:r>
          </w:p>
        </w:tc>
        <w:tc>
          <w:tcPr>
            <w:tcW w:w="1760" w:type="dxa"/>
          </w:tcPr>
          <w:p w:rsidR="00A94DA2" w:rsidRDefault="00DC0F69">
            <w:pPr>
              <w:pStyle w:val="TableParagraph"/>
              <w:spacing w:line="117" w:lineRule="exact"/>
              <w:ind w:left="4"/>
              <w:rPr>
                <w:sz w:val="12"/>
              </w:rPr>
            </w:pPr>
            <w:r>
              <w:rPr>
                <w:sz w:val="12"/>
              </w:rPr>
              <w:t>UF:</w:t>
            </w:r>
          </w:p>
        </w:tc>
      </w:tr>
      <w:tr w:rsidR="00A94DA2">
        <w:trPr>
          <w:trHeight w:val="265"/>
        </w:trPr>
        <w:tc>
          <w:tcPr>
            <w:tcW w:w="1627" w:type="dxa"/>
            <w:tcBorders>
              <w:bottom w:val="single" w:sz="2" w:space="0" w:color="000000"/>
              <w:right w:val="nil"/>
            </w:tcBorders>
          </w:tcPr>
          <w:p w:rsidR="00A94DA2" w:rsidRDefault="00A94DA2">
            <w:pPr>
              <w:pStyle w:val="TableParagraph"/>
              <w:ind w:left="0"/>
              <w:rPr>
                <w:sz w:val="14"/>
              </w:rPr>
            </w:pPr>
          </w:p>
        </w:tc>
        <w:tc>
          <w:tcPr>
            <w:tcW w:w="2911" w:type="dxa"/>
            <w:gridSpan w:val="4"/>
            <w:vMerge w:val="restart"/>
            <w:tcBorders>
              <w:left w:val="nil"/>
            </w:tcBorders>
          </w:tcPr>
          <w:p w:rsidR="00A94DA2" w:rsidRDefault="00A94DA2">
            <w:pPr>
              <w:pStyle w:val="TableParagraph"/>
              <w:ind w:left="0"/>
              <w:rPr>
                <w:sz w:val="14"/>
              </w:rPr>
            </w:pPr>
          </w:p>
        </w:tc>
      </w:tr>
      <w:tr w:rsidR="00A94DA2">
        <w:trPr>
          <w:trHeight w:val="278"/>
        </w:trPr>
        <w:tc>
          <w:tcPr>
            <w:tcW w:w="1627" w:type="dxa"/>
            <w:tcBorders>
              <w:top w:val="single" w:sz="2" w:space="0" w:color="000000"/>
              <w:right w:val="nil"/>
            </w:tcBorders>
          </w:tcPr>
          <w:p w:rsidR="00A94DA2" w:rsidRDefault="00DC0F69">
            <w:pPr>
              <w:pStyle w:val="TableParagraph"/>
              <w:spacing w:line="134" w:lineRule="exact"/>
              <w:rPr>
                <w:sz w:val="12"/>
              </w:rPr>
            </w:pPr>
            <w:r>
              <w:rPr>
                <w:sz w:val="12"/>
              </w:rPr>
              <w:t>Assinatura e carimbo do médico</w:t>
            </w:r>
          </w:p>
          <w:p w:rsidR="00A94DA2" w:rsidRDefault="00DC0F69">
            <w:pPr>
              <w:pStyle w:val="TableParagraph"/>
              <w:tabs>
                <w:tab w:val="left" w:pos="1493"/>
              </w:tabs>
              <w:spacing w:before="1" w:line="123" w:lineRule="exact"/>
              <w:rPr>
                <w:sz w:val="12"/>
              </w:rPr>
            </w:pPr>
            <w:r>
              <w:rPr>
                <w:sz w:val="12"/>
              </w:rPr>
              <w:t>Data:</w:t>
            </w:r>
            <w:r>
              <w:rPr>
                <w:sz w:val="12"/>
                <w:u w:val="single"/>
              </w:rPr>
              <w:t xml:space="preserve"> </w:t>
            </w:r>
            <w:r>
              <w:rPr>
                <w:sz w:val="12"/>
                <w:u w:val="single"/>
              </w:rPr>
              <w:tab/>
            </w:r>
          </w:p>
        </w:tc>
        <w:tc>
          <w:tcPr>
            <w:tcW w:w="2911" w:type="dxa"/>
            <w:gridSpan w:val="4"/>
            <w:vMerge/>
            <w:tcBorders>
              <w:top w:val="nil"/>
              <w:left w:val="nil"/>
            </w:tcBorders>
          </w:tcPr>
          <w:p w:rsidR="00A94DA2" w:rsidRDefault="00A94DA2">
            <w:pPr>
              <w:rPr>
                <w:sz w:val="2"/>
                <w:szCs w:val="2"/>
              </w:rPr>
            </w:pPr>
          </w:p>
        </w:tc>
      </w:tr>
    </w:tbl>
    <w:p w:rsidR="00A94DA2" w:rsidRDefault="00DC0F69">
      <w:pPr>
        <w:pStyle w:val="Corpodetexto"/>
        <w:spacing w:before="2"/>
        <w:ind w:right="125"/>
      </w:pPr>
      <w:r>
        <w:t xml:space="preserve">Observação: Este Termo é obrigatório ao se solicitar o fornecimento de medicamento do Componente Especializado de Assistência Farmacêutica (CEAF) e deverá ser preenchido em duas vias: uma será arquivada na farmácia, e a outra, entregue ao usuário ou a seu </w:t>
      </w:r>
      <w:r>
        <w:t>responsável legal.</w:t>
      </w:r>
    </w:p>
    <w:p w:rsidR="00A94DA2" w:rsidRDefault="00A94DA2">
      <w:pPr>
        <w:pStyle w:val="Corpodetexto"/>
        <w:ind w:left="0"/>
        <w:jc w:val="left"/>
      </w:pPr>
    </w:p>
    <w:p w:rsidR="00A94DA2" w:rsidRDefault="00DC0F69">
      <w:pPr>
        <w:pStyle w:val="Corpodetexto"/>
        <w:ind w:right="119"/>
      </w:pPr>
      <w:r>
        <w:t>Nota 1: Verificar na Relação Nacional de Medicamentos Essenciais (RENAME) vigente em qual componente da Assistência Farmacêutica se encontram os medicamentos preconizados neste</w:t>
      </w:r>
      <w:r>
        <w:rPr>
          <w:spacing w:val="-7"/>
        </w:rPr>
        <w:t xml:space="preserve"> </w:t>
      </w:r>
      <w:r>
        <w:t>Protocolo.</w:t>
      </w:r>
    </w:p>
    <w:p w:rsidR="00A94DA2" w:rsidRDefault="00A94DA2">
      <w:pPr>
        <w:pStyle w:val="Corpodetexto"/>
        <w:spacing w:before="9"/>
        <w:ind w:left="0"/>
        <w:jc w:val="left"/>
        <w:rPr>
          <w:sz w:val="15"/>
        </w:rPr>
      </w:pPr>
    </w:p>
    <w:p w:rsidR="00A94DA2" w:rsidRDefault="00DC0F69">
      <w:pPr>
        <w:pStyle w:val="Corpodetexto"/>
        <w:spacing w:before="1"/>
        <w:ind w:right="116"/>
      </w:pPr>
      <w:r>
        <w:t>Nota 2: Os seguintes medicamentos integram proc</w:t>
      </w:r>
      <w:r>
        <w:t>edimentos hospitalares da Tabela de Procedimentos, Medicamentos, Órteses, Próteses e Materiais do SUS: 06.03.02.005-4 Ciclosporina 50 mg injetável (por frasco-ampola), 06.03.02.007-0 - Imunoglobulina obtida/coelho antitimócitos 200 mg injetável (por frasco</w:t>
      </w:r>
      <w:r>
        <w:t>-ampola de</w:t>
      </w:r>
    </w:p>
    <w:p w:rsidR="00A94DA2" w:rsidRDefault="00DC0F69">
      <w:pPr>
        <w:pStyle w:val="Corpodetexto"/>
        <w:spacing w:before="1"/>
        <w:ind w:right="114"/>
      </w:pPr>
      <w:r>
        <w:t>10 ml), 06.03.02.008-9 - Imunoglobulina obtida/coelho antitimócitos humanos 100 mg injetável (por frasco-ampola 0,5 ml), 06.03.02.009-7 - Imunoglobulina obtida/coelho antitimócitos humanos 25 mg injetável (por frasco-ampola 0,5 ml), 06.03.08.001</w:t>
      </w:r>
      <w:r>
        <w:t>-4 – Basiliximabe 20 mg injetável (por frasco ampola), 06.03.08.002-2 Ciclosporina 10 mg p/ transplante (por cápsula), 06.03.08.003-0 Ciclosporina 100 mg p/ transplante (por cápsula), 06.03.08.004-9 Ciclosporina 25 mg p/ transplante (por cápsula), 06.03.08</w:t>
      </w:r>
      <w:r>
        <w:t>.005-7 Ciclosporina 50 mg p/ transplante (por cápsula), 06.03.08.012-0 Metilprednisolona 500 mg injetável p/ transplante (por frasco ampola), 06.03.08.013-8 Micofenolato de mofetila 500mg p/ transplante (por comprimido), 06.03.08.014-6 Micofenolato de sódi</w:t>
      </w:r>
      <w:r>
        <w:t>o 360mg p/ transplante (por comprimido),</w:t>
      </w:r>
      <w:hyperlink r:id="rId16">
        <w:r>
          <w:t xml:space="preserve"> 06.03.08.015-4 - Muromonabe CD3 5 mg injetável p/transplante (por frasco ampola de 0,5 ml), </w:t>
        </w:r>
      </w:hyperlink>
      <w:hyperlink r:id="rId17">
        <w:r>
          <w:t xml:space="preserve">06.03.08.016-2 - Sirolimo 1mg p/ transplante (por drágea), </w:t>
        </w:r>
      </w:hyperlink>
      <w:hyperlink r:id="rId18">
        <w:r>
          <w:t>06.03.08.017-</w:t>
        </w:r>
      </w:hyperlink>
      <w:hyperlink r:id="rId19">
        <w:r>
          <w:t xml:space="preserve"> 0 - Sirolimo 1mg/ml solução oral p/ transplante (por frasco de 60ml), </w:t>
        </w:r>
      </w:hyperlink>
      <w:hyperlink r:id="rId20">
        <w:r>
          <w:t xml:space="preserve">06.03.08.018-9 - Sirolimo 2 mg p/ transplante (por drágea), </w:t>
        </w:r>
      </w:hyperlink>
      <w:r>
        <w:t xml:space="preserve">06.03.08.019-7 Tacrolimo 0,5 mg p/ transplante (frasco-ampola), 06.03.08.020-0 - Tacrolimo 1 mg p/ transplante (por cápsula), </w:t>
      </w:r>
      <w:hyperlink r:id="rId21">
        <w:r>
          <w:t xml:space="preserve">06.03.08.021-9 - Tacrolimo 5 mg p/ transplante (por cápsula), </w:t>
        </w:r>
      </w:hyperlink>
      <w:r>
        <w:t xml:space="preserve">06.03.08.022-7 Micofenolato de sódio 180mg p/transplante (por comprimido), </w:t>
      </w:r>
      <w:hyperlink r:id="rId22">
        <w:r>
          <w:t xml:space="preserve">06.03.08.024-3 - Everolimo 0,5 mg para transplante (por comprimido), </w:t>
        </w:r>
      </w:hyperlink>
      <w:hyperlink r:id="rId23">
        <w:r>
          <w:t>06.03.08.025-1 - Everolimo 1 mg</w:t>
        </w:r>
      </w:hyperlink>
      <w:hyperlink r:id="rId24">
        <w:r>
          <w:t xml:space="preserve"> para transplante (por comprimido) </w:t>
        </w:r>
      </w:hyperlink>
      <w:r>
        <w:t xml:space="preserve">e </w:t>
      </w:r>
      <w:hyperlink r:id="rId25">
        <w:r>
          <w:t>06.03.08.026-0 - Eeverolimo 0,75 mg para transplante (por comprimido).</w:t>
        </w:r>
      </w:hyperlink>
    </w:p>
    <w:sectPr w:rsidR="00A94DA2">
      <w:pgSz w:w="11910" w:h="16840"/>
      <w:pgMar w:top="540" w:right="3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36D"/>
    <w:multiLevelType w:val="hybridMultilevel"/>
    <w:tmpl w:val="E19CCE8C"/>
    <w:lvl w:ilvl="0" w:tplc="58C01ABC">
      <w:numFmt w:val="bullet"/>
      <w:lvlText w:val="-"/>
      <w:lvlJc w:val="left"/>
      <w:pPr>
        <w:ind w:left="106" w:hanging="94"/>
      </w:pPr>
      <w:rPr>
        <w:rFonts w:ascii="Times New Roman" w:eastAsia="Times New Roman" w:hAnsi="Times New Roman" w:cs="Times New Roman" w:hint="default"/>
        <w:w w:val="100"/>
        <w:sz w:val="16"/>
        <w:szCs w:val="16"/>
        <w:lang w:val="pt-BR" w:eastAsia="pt-BR" w:bidi="pt-BR"/>
      </w:rPr>
    </w:lvl>
    <w:lvl w:ilvl="1" w:tplc="FE10437C">
      <w:numFmt w:val="bullet"/>
      <w:lvlText w:val="•"/>
      <w:lvlJc w:val="left"/>
      <w:pPr>
        <w:ind w:left="1204" w:hanging="94"/>
      </w:pPr>
      <w:rPr>
        <w:rFonts w:hint="default"/>
        <w:lang w:val="pt-BR" w:eastAsia="pt-BR" w:bidi="pt-BR"/>
      </w:rPr>
    </w:lvl>
    <w:lvl w:ilvl="2" w:tplc="56B02880">
      <w:numFmt w:val="bullet"/>
      <w:lvlText w:val="•"/>
      <w:lvlJc w:val="left"/>
      <w:pPr>
        <w:ind w:left="2309" w:hanging="94"/>
      </w:pPr>
      <w:rPr>
        <w:rFonts w:hint="default"/>
        <w:lang w:val="pt-BR" w:eastAsia="pt-BR" w:bidi="pt-BR"/>
      </w:rPr>
    </w:lvl>
    <w:lvl w:ilvl="3" w:tplc="31363DF0">
      <w:numFmt w:val="bullet"/>
      <w:lvlText w:val="•"/>
      <w:lvlJc w:val="left"/>
      <w:pPr>
        <w:ind w:left="3413" w:hanging="94"/>
      </w:pPr>
      <w:rPr>
        <w:rFonts w:hint="default"/>
        <w:lang w:val="pt-BR" w:eastAsia="pt-BR" w:bidi="pt-BR"/>
      </w:rPr>
    </w:lvl>
    <w:lvl w:ilvl="4" w:tplc="736A2FD6">
      <w:numFmt w:val="bullet"/>
      <w:lvlText w:val="•"/>
      <w:lvlJc w:val="left"/>
      <w:pPr>
        <w:ind w:left="4518" w:hanging="94"/>
      </w:pPr>
      <w:rPr>
        <w:rFonts w:hint="default"/>
        <w:lang w:val="pt-BR" w:eastAsia="pt-BR" w:bidi="pt-BR"/>
      </w:rPr>
    </w:lvl>
    <w:lvl w:ilvl="5" w:tplc="71AC2E48">
      <w:numFmt w:val="bullet"/>
      <w:lvlText w:val="•"/>
      <w:lvlJc w:val="left"/>
      <w:pPr>
        <w:ind w:left="5623" w:hanging="94"/>
      </w:pPr>
      <w:rPr>
        <w:rFonts w:hint="default"/>
        <w:lang w:val="pt-BR" w:eastAsia="pt-BR" w:bidi="pt-BR"/>
      </w:rPr>
    </w:lvl>
    <w:lvl w:ilvl="6" w:tplc="10B4489E">
      <w:numFmt w:val="bullet"/>
      <w:lvlText w:val="•"/>
      <w:lvlJc w:val="left"/>
      <w:pPr>
        <w:ind w:left="6727" w:hanging="94"/>
      </w:pPr>
      <w:rPr>
        <w:rFonts w:hint="default"/>
        <w:lang w:val="pt-BR" w:eastAsia="pt-BR" w:bidi="pt-BR"/>
      </w:rPr>
    </w:lvl>
    <w:lvl w:ilvl="7" w:tplc="3B12729C">
      <w:numFmt w:val="bullet"/>
      <w:lvlText w:val="•"/>
      <w:lvlJc w:val="left"/>
      <w:pPr>
        <w:ind w:left="7832" w:hanging="94"/>
      </w:pPr>
      <w:rPr>
        <w:rFonts w:hint="default"/>
        <w:lang w:val="pt-BR" w:eastAsia="pt-BR" w:bidi="pt-BR"/>
      </w:rPr>
    </w:lvl>
    <w:lvl w:ilvl="8" w:tplc="3438DA18">
      <w:numFmt w:val="bullet"/>
      <w:lvlText w:val="•"/>
      <w:lvlJc w:val="left"/>
      <w:pPr>
        <w:ind w:left="8937" w:hanging="94"/>
      </w:pPr>
      <w:rPr>
        <w:rFonts w:hint="default"/>
        <w:lang w:val="pt-BR" w:eastAsia="pt-BR" w:bidi="pt-BR"/>
      </w:rPr>
    </w:lvl>
  </w:abstractNum>
  <w:abstractNum w:abstractNumId="1">
    <w:nsid w:val="1D870868"/>
    <w:multiLevelType w:val="hybridMultilevel"/>
    <w:tmpl w:val="77EAAAD8"/>
    <w:lvl w:ilvl="0" w:tplc="BA08673C">
      <w:start w:val="1"/>
      <w:numFmt w:val="decimal"/>
      <w:lvlText w:val="%1."/>
      <w:lvlJc w:val="left"/>
      <w:pPr>
        <w:ind w:left="106" w:hanging="164"/>
        <w:jc w:val="left"/>
      </w:pPr>
      <w:rPr>
        <w:rFonts w:ascii="Times New Roman" w:eastAsia="Times New Roman" w:hAnsi="Times New Roman" w:cs="Times New Roman" w:hint="default"/>
        <w:spacing w:val="0"/>
        <w:w w:val="100"/>
        <w:sz w:val="16"/>
        <w:szCs w:val="16"/>
        <w:lang w:val="pt-BR" w:eastAsia="pt-BR" w:bidi="pt-BR"/>
      </w:rPr>
    </w:lvl>
    <w:lvl w:ilvl="1" w:tplc="EE0CFE42">
      <w:numFmt w:val="bullet"/>
      <w:lvlText w:val="•"/>
      <w:lvlJc w:val="left"/>
      <w:pPr>
        <w:ind w:left="1204" w:hanging="164"/>
      </w:pPr>
      <w:rPr>
        <w:rFonts w:hint="default"/>
        <w:lang w:val="pt-BR" w:eastAsia="pt-BR" w:bidi="pt-BR"/>
      </w:rPr>
    </w:lvl>
    <w:lvl w:ilvl="2" w:tplc="E9BC53C2">
      <w:numFmt w:val="bullet"/>
      <w:lvlText w:val="•"/>
      <w:lvlJc w:val="left"/>
      <w:pPr>
        <w:ind w:left="2309" w:hanging="164"/>
      </w:pPr>
      <w:rPr>
        <w:rFonts w:hint="default"/>
        <w:lang w:val="pt-BR" w:eastAsia="pt-BR" w:bidi="pt-BR"/>
      </w:rPr>
    </w:lvl>
    <w:lvl w:ilvl="3" w:tplc="B164B94C">
      <w:numFmt w:val="bullet"/>
      <w:lvlText w:val="•"/>
      <w:lvlJc w:val="left"/>
      <w:pPr>
        <w:ind w:left="3413" w:hanging="164"/>
      </w:pPr>
      <w:rPr>
        <w:rFonts w:hint="default"/>
        <w:lang w:val="pt-BR" w:eastAsia="pt-BR" w:bidi="pt-BR"/>
      </w:rPr>
    </w:lvl>
    <w:lvl w:ilvl="4" w:tplc="43D0115E">
      <w:numFmt w:val="bullet"/>
      <w:lvlText w:val="•"/>
      <w:lvlJc w:val="left"/>
      <w:pPr>
        <w:ind w:left="4518" w:hanging="164"/>
      </w:pPr>
      <w:rPr>
        <w:rFonts w:hint="default"/>
        <w:lang w:val="pt-BR" w:eastAsia="pt-BR" w:bidi="pt-BR"/>
      </w:rPr>
    </w:lvl>
    <w:lvl w:ilvl="5" w:tplc="99BEA850">
      <w:numFmt w:val="bullet"/>
      <w:lvlText w:val="•"/>
      <w:lvlJc w:val="left"/>
      <w:pPr>
        <w:ind w:left="5623" w:hanging="164"/>
      </w:pPr>
      <w:rPr>
        <w:rFonts w:hint="default"/>
        <w:lang w:val="pt-BR" w:eastAsia="pt-BR" w:bidi="pt-BR"/>
      </w:rPr>
    </w:lvl>
    <w:lvl w:ilvl="6" w:tplc="A9FA64DC">
      <w:numFmt w:val="bullet"/>
      <w:lvlText w:val="•"/>
      <w:lvlJc w:val="left"/>
      <w:pPr>
        <w:ind w:left="6727" w:hanging="164"/>
      </w:pPr>
      <w:rPr>
        <w:rFonts w:hint="default"/>
        <w:lang w:val="pt-BR" w:eastAsia="pt-BR" w:bidi="pt-BR"/>
      </w:rPr>
    </w:lvl>
    <w:lvl w:ilvl="7" w:tplc="A6CED58E">
      <w:numFmt w:val="bullet"/>
      <w:lvlText w:val="•"/>
      <w:lvlJc w:val="left"/>
      <w:pPr>
        <w:ind w:left="7832" w:hanging="164"/>
      </w:pPr>
      <w:rPr>
        <w:rFonts w:hint="default"/>
        <w:lang w:val="pt-BR" w:eastAsia="pt-BR" w:bidi="pt-BR"/>
      </w:rPr>
    </w:lvl>
    <w:lvl w:ilvl="8" w:tplc="2F202FA8">
      <w:numFmt w:val="bullet"/>
      <w:lvlText w:val="•"/>
      <w:lvlJc w:val="left"/>
      <w:pPr>
        <w:ind w:left="8937" w:hanging="164"/>
      </w:pPr>
      <w:rPr>
        <w:rFonts w:hint="default"/>
        <w:lang w:val="pt-BR" w:eastAsia="pt-BR" w:bidi="pt-BR"/>
      </w:rPr>
    </w:lvl>
  </w:abstractNum>
  <w:abstractNum w:abstractNumId="2">
    <w:nsid w:val="21DB131D"/>
    <w:multiLevelType w:val="hybridMultilevel"/>
    <w:tmpl w:val="DD5CA912"/>
    <w:lvl w:ilvl="0" w:tplc="8AB4BC12">
      <w:start w:val="1"/>
      <w:numFmt w:val="decimal"/>
      <w:lvlText w:val="%1"/>
      <w:lvlJc w:val="left"/>
      <w:pPr>
        <w:ind w:left="252" w:hanging="147"/>
        <w:jc w:val="left"/>
      </w:pPr>
      <w:rPr>
        <w:rFonts w:ascii="Times New Roman" w:eastAsia="Times New Roman" w:hAnsi="Times New Roman" w:cs="Times New Roman" w:hint="default"/>
        <w:w w:val="100"/>
        <w:sz w:val="16"/>
        <w:szCs w:val="16"/>
        <w:lang w:val="pt-BR" w:eastAsia="pt-BR" w:bidi="pt-BR"/>
      </w:rPr>
    </w:lvl>
    <w:lvl w:ilvl="1" w:tplc="9B1E6FBE">
      <w:numFmt w:val="bullet"/>
      <w:lvlText w:val="•"/>
      <w:lvlJc w:val="left"/>
      <w:pPr>
        <w:ind w:left="1348" w:hanging="147"/>
      </w:pPr>
      <w:rPr>
        <w:rFonts w:hint="default"/>
        <w:lang w:val="pt-BR" w:eastAsia="pt-BR" w:bidi="pt-BR"/>
      </w:rPr>
    </w:lvl>
    <w:lvl w:ilvl="2" w:tplc="2CFAC1A8">
      <w:numFmt w:val="bullet"/>
      <w:lvlText w:val="•"/>
      <w:lvlJc w:val="left"/>
      <w:pPr>
        <w:ind w:left="2437" w:hanging="147"/>
      </w:pPr>
      <w:rPr>
        <w:rFonts w:hint="default"/>
        <w:lang w:val="pt-BR" w:eastAsia="pt-BR" w:bidi="pt-BR"/>
      </w:rPr>
    </w:lvl>
    <w:lvl w:ilvl="3" w:tplc="CAB4E2BE">
      <w:numFmt w:val="bullet"/>
      <w:lvlText w:val="•"/>
      <w:lvlJc w:val="left"/>
      <w:pPr>
        <w:ind w:left="3525" w:hanging="147"/>
      </w:pPr>
      <w:rPr>
        <w:rFonts w:hint="default"/>
        <w:lang w:val="pt-BR" w:eastAsia="pt-BR" w:bidi="pt-BR"/>
      </w:rPr>
    </w:lvl>
    <w:lvl w:ilvl="4" w:tplc="0EECAEEE">
      <w:numFmt w:val="bullet"/>
      <w:lvlText w:val="•"/>
      <w:lvlJc w:val="left"/>
      <w:pPr>
        <w:ind w:left="4614" w:hanging="147"/>
      </w:pPr>
      <w:rPr>
        <w:rFonts w:hint="default"/>
        <w:lang w:val="pt-BR" w:eastAsia="pt-BR" w:bidi="pt-BR"/>
      </w:rPr>
    </w:lvl>
    <w:lvl w:ilvl="5" w:tplc="5FEE929E">
      <w:numFmt w:val="bullet"/>
      <w:lvlText w:val="•"/>
      <w:lvlJc w:val="left"/>
      <w:pPr>
        <w:ind w:left="5703" w:hanging="147"/>
      </w:pPr>
      <w:rPr>
        <w:rFonts w:hint="default"/>
        <w:lang w:val="pt-BR" w:eastAsia="pt-BR" w:bidi="pt-BR"/>
      </w:rPr>
    </w:lvl>
    <w:lvl w:ilvl="6" w:tplc="55A02C22">
      <w:numFmt w:val="bullet"/>
      <w:lvlText w:val="•"/>
      <w:lvlJc w:val="left"/>
      <w:pPr>
        <w:ind w:left="6791" w:hanging="147"/>
      </w:pPr>
      <w:rPr>
        <w:rFonts w:hint="default"/>
        <w:lang w:val="pt-BR" w:eastAsia="pt-BR" w:bidi="pt-BR"/>
      </w:rPr>
    </w:lvl>
    <w:lvl w:ilvl="7" w:tplc="62C48E46">
      <w:numFmt w:val="bullet"/>
      <w:lvlText w:val="•"/>
      <w:lvlJc w:val="left"/>
      <w:pPr>
        <w:ind w:left="7880" w:hanging="147"/>
      </w:pPr>
      <w:rPr>
        <w:rFonts w:hint="default"/>
        <w:lang w:val="pt-BR" w:eastAsia="pt-BR" w:bidi="pt-BR"/>
      </w:rPr>
    </w:lvl>
    <w:lvl w:ilvl="8" w:tplc="AD900FDA">
      <w:numFmt w:val="bullet"/>
      <w:lvlText w:val="•"/>
      <w:lvlJc w:val="left"/>
      <w:pPr>
        <w:ind w:left="8969" w:hanging="147"/>
      </w:pPr>
      <w:rPr>
        <w:rFonts w:hint="default"/>
        <w:lang w:val="pt-BR" w:eastAsia="pt-BR" w:bidi="pt-BR"/>
      </w:rPr>
    </w:lvl>
  </w:abstractNum>
  <w:abstractNum w:abstractNumId="3">
    <w:nsid w:val="35042872"/>
    <w:multiLevelType w:val="hybridMultilevel"/>
    <w:tmpl w:val="B1907D5C"/>
    <w:lvl w:ilvl="0" w:tplc="C186EBF0">
      <w:start w:val="1"/>
      <w:numFmt w:val="lowerLetter"/>
      <w:lvlText w:val="%1)"/>
      <w:lvlJc w:val="left"/>
      <w:pPr>
        <w:ind w:left="106" w:hanging="166"/>
        <w:jc w:val="left"/>
      </w:pPr>
      <w:rPr>
        <w:rFonts w:ascii="Times New Roman" w:eastAsia="Times New Roman" w:hAnsi="Times New Roman" w:cs="Times New Roman" w:hint="default"/>
        <w:w w:val="100"/>
        <w:sz w:val="16"/>
        <w:szCs w:val="16"/>
        <w:lang w:val="pt-BR" w:eastAsia="pt-BR" w:bidi="pt-BR"/>
      </w:rPr>
    </w:lvl>
    <w:lvl w:ilvl="1" w:tplc="1A4E9A20">
      <w:numFmt w:val="bullet"/>
      <w:lvlText w:val="•"/>
      <w:lvlJc w:val="left"/>
      <w:pPr>
        <w:ind w:left="1204" w:hanging="166"/>
      </w:pPr>
      <w:rPr>
        <w:rFonts w:hint="default"/>
        <w:lang w:val="pt-BR" w:eastAsia="pt-BR" w:bidi="pt-BR"/>
      </w:rPr>
    </w:lvl>
    <w:lvl w:ilvl="2" w:tplc="663A37CC">
      <w:numFmt w:val="bullet"/>
      <w:lvlText w:val="•"/>
      <w:lvlJc w:val="left"/>
      <w:pPr>
        <w:ind w:left="2309" w:hanging="166"/>
      </w:pPr>
      <w:rPr>
        <w:rFonts w:hint="default"/>
        <w:lang w:val="pt-BR" w:eastAsia="pt-BR" w:bidi="pt-BR"/>
      </w:rPr>
    </w:lvl>
    <w:lvl w:ilvl="3" w:tplc="ED8806A4">
      <w:numFmt w:val="bullet"/>
      <w:lvlText w:val="•"/>
      <w:lvlJc w:val="left"/>
      <w:pPr>
        <w:ind w:left="3413" w:hanging="166"/>
      </w:pPr>
      <w:rPr>
        <w:rFonts w:hint="default"/>
        <w:lang w:val="pt-BR" w:eastAsia="pt-BR" w:bidi="pt-BR"/>
      </w:rPr>
    </w:lvl>
    <w:lvl w:ilvl="4" w:tplc="11460236">
      <w:numFmt w:val="bullet"/>
      <w:lvlText w:val="•"/>
      <w:lvlJc w:val="left"/>
      <w:pPr>
        <w:ind w:left="4518" w:hanging="166"/>
      </w:pPr>
      <w:rPr>
        <w:rFonts w:hint="default"/>
        <w:lang w:val="pt-BR" w:eastAsia="pt-BR" w:bidi="pt-BR"/>
      </w:rPr>
    </w:lvl>
    <w:lvl w:ilvl="5" w:tplc="2DA8F27A">
      <w:numFmt w:val="bullet"/>
      <w:lvlText w:val="•"/>
      <w:lvlJc w:val="left"/>
      <w:pPr>
        <w:ind w:left="5623" w:hanging="166"/>
      </w:pPr>
      <w:rPr>
        <w:rFonts w:hint="default"/>
        <w:lang w:val="pt-BR" w:eastAsia="pt-BR" w:bidi="pt-BR"/>
      </w:rPr>
    </w:lvl>
    <w:lvl w:ilvl="6" w:tplc="B30A0C0C">
      <w:numFmt w:val="bullet"/>
      <w:lvlText w:val="•"/>
      <w:lvlJc w:val="left"/>
      <w:pPr>
        <w:ind w:left="6727" w:hanging="166"/>
      </w:pPr>
      <w:rPr>
        <w:rFonts w:hint="default"/>
        <w:lang w:val="pt-BR" w:eastAsia="pt-BR" w:bidi="pt-BR"/>
      </w:rPr>
    </w:lvl>
    <w:lvl w:ilvl="7" w:tplc="937EE79E">
      <w:numFmt w:val="bullet"/>
      <w:lvlText w:val="•"/>
      <w:lvlJc w:val="left"/>
      <w:pPr>
        <w:ind w:left="7832" w:hanging="166"/>
      </w:pPr>
      <w:rPr>
        <w:rFonts w:hint="default"/>
        <w:lang w:val="pt-BR" w:eastAsia="pt-BR" w:bidi="pt-BR"/>
      </w:rPr>
    </w:lvl>
    <w:lvl w:ilvl="8" w:tplc="21004D02">
      <w:numFmt w:val="bullet"/>
      <w:lvlText w:val="•"/>
      <w:lvlJc w:val="left"/>
      <w:pPr>
        <w:ind w:left="8937" w:hanging="166"/>
      </w:pPr>
      <w:rPr>
        <w:rFonts w:hint="default"/>
        <w:lang w:val="pt-BR" w:eastAsia="pt-BR" w:bidi="pt-BR"/>
      </w:rPr>
    </w:lvl>
  </w:abstractNum>
  <w:abstractNum w:abstractNumId="4">
    <w:nsid w:val="3E5221E1"/>
    <w:multiLevelType w:val="multilevel"/>
    <w:tmpl w:val="9B00B676"/>
    <w:lvl w:ilvl="0">
      <w:start w:val="7"/>
      <w:numFmt w:val="decimal"/>
      <w:lvlText w:val="%1"/>
      <w:lvlJc w:val="left"/>
      <w:pPr>
        <w:ind w:left="351" w:hanging="245"/>
        <w:jc w:val="left"/>
      </w:pPr>
      <w:rPr>
        <w:rFonts w:hint="default"/>
        <w:lang w:val="pt-BR" w:eastAsia="pt-BR" w:bidi="pt-BR"/>
      </w:rPr>
    </w:lvl>
    <w:lvl w:ilvl="1">
      <w:start w:val="1"/>
      <w:numFmt w:val="decimal"/>
      <w:lvlText w:val="%1.%2"/>
      <w:lvlJc w:val="left"/>
      <w:pPr>
        <w:ind w:left="351" w:hanging="245"/>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2517" w:hanging="245"/>
      </w:pPr>
      <w:rPr>
        <w:rFonts w:hint="default"/>
        <w:lang w:val="pt-BR" w:eastAsia="pt-BR" w:bidi="pt-BR"/>
      </w:rPr>
    </w:lvl>
    <w:lvl w:ilvl="3">
      <w:numFmt w:val="bullet"/>
      <w:lvlText w:val="•"/>
      <w:lvlJc w:val="left"/>
      <w:pPr>
        <w:ind w:left="3595" w:hanging="245"/>
      </w:pPr>
      <w:rPr>
        <w:rFonts w:hint="default"/>
        <w:lang w:val="pt-BR" w:eastAsia="pt-BR" w:bidi="pt-BR"/>
      </w:rPr>
    </w:lvl>
    <w:lvl w:ilvl="4">
      <w:numFmt w:val="bullet"/>
      <w:lvlText w:val="•"/>
      <w:lvlJc w:val="left"/>
      <w:pPr>
        <w:ind w:left="4674" w:hanging="245"/>
      </w:pPr>
      <w:rPr>
        <w:rFonts w:hint="default"/>
        <w:lang w:val="pt-BR" w:eastAsia="pt-BR" w:bidi="pt-BR"/>
      </w:rPr>
    </w:lvl>
    <w:lvl w:ilvl="5">
      <w:numFmt w:val="bullet"/>
      <w:lvlText w:val="•"/>
      <w:lvlJc w:val="left"/>
      <w:pPr>
        <w:ind w:left="5753" w:hanging="245"/>
      </w:pPr>
      <w:rPr>
        <w:rFonts w:hint="default"/>
        <w:lang w:val="pt-BR" w:eastAsia="pt-BR" w:bidi="pt-BR"/>
      </w:rPr>
    </w:lvl>
    <w:lvl w:ilvl="6">
      <w:numFmt w:val="bullet"/>
      <w:lvlText w:val="•"/>
      <w:lvlJc w:val="left"/>
      <w:pPr>
        <w:ind w:left="6831" w:hanging="245"/>
      </w:pPr>
      <w:rPr>
        <w:rFonts w:hint="default"/>
        <w:lang w:val="pt-BR" w:eastAsia="pt-BR" w:bidi="pt-BR"/>
      </w:rPr>
    </w:lvl>
    <w:lvl w:ilvl="7">
      <w:numFmt w:val="bullet"/>
      <w:lvlText w:val="•"/>
      <w:lvlJc w:val="left"/>
      <w:pPr>
        <w:ind w:left="7910" w:hanging="245"/>
      </w:pPr>
      <w:rPr>
        <w:rFonts w:hint="default"/>
        <w:lang w:val="pt-BR" w:eastAsia="pt-BR" w:bidi="pt-BR"/>
      </w:rPr>
    </w:lvl>
    <w:lvl w:ilvl="8">
      <w:numFmt w:val="bullet"/>
      <w:lvlText w:val="•"/>
      <w:lvlJc w:val="left"/>
      <w:pPr>
        <w:ind w:left="8989" w:hanging="245"/>
      </w:pPr>
      <w:rPr>
        <w:rFonts w:hint="default"/>
        <w:lang w:val="pt-BR" w:eastAsia="pt-BR" w:bidi="pt-BR"/>
      </w:rPr>
    </w:lvl>
  </w:abstractNum>
  <w:abstractNum w:abstractNumId="5">
    <w:nsid w:val="5DF412E5"/>
    <w:multiLevelType w:val="hybridMultilevel"/>
    <w:tmpl w:val="00CC0286"/>
    <w:lvl w:ilvl="0" w:tplc="1EBA4490">
      <w:start w:val="3"/>
      <w:numFmt w:val="decimal"/>
      <w:lvlText w:val="%1"/>
      <w:lvlJc w:val="left"/>
      <w:pPr>
        <w:ind w:left="106" w:hanging="132"/>
        <w:jc w:val="left"/>
      </w:pPr>
      <w:rPr>
        <w:rFonts w:ascii="Times New Roman" w:eastAsia="Times New Roman" w:hAnsi="Times New Roman" w:cs="Times New Roman" w:hint="default"/>
        <w:w w:val="100"/>
        <w:sz w:val="16"/>
        <w:szCs w:val="16"/>
        <w:lang w:val="pt-BR" w:eastAsia="pt-BR" w:bidi="pt-BR"/>
      </w:rPr>
    </w:lvl>
    <w:lvl w:ilvl="1" w:tplc="9B163F5C">
      <w:numFmt w:val="bullet"/>
      <w:lvlText w:val="•"/>
      <w:lvlJc w:val="left"/>
      <w:pPr>
        <w:ind w:left="1204" w:hanging="132"/>
      </w:pPr>
      <w:rPr>
        <w:rFonts w:hint="default"/>
        <w:lang w:val="pt-BR" w:eastAsia="pt-BR" w:bidi="pt-BR"/>
      </w:rPr>
    </w:lvl>
    <w:lvl w:ilvl="2" w:tplc="24147E50">
      <w:numFmt w:val="bullet"/>
      <w:lvlText w:val="•"/>
      <w:lvlJc w:val="left"/>
      <w:pPr>
        <w:ind w:left="2309" w:hanging="132"/>
      </w:pPr>
      <w:rPr>
        <w:rFonts w:hint="default"/>
        <w:lang w:val="pt-BR" w:eastAsia="pt-BR" w:bidi="pt-BR"/>
      </w:rPr>
    </w:lvl>
    <w:lvl w:ilvl="3" w:tplc="69F09F70">
      <w:numFmt w:val="bullet"/>
      <w:lvlText w:val="•"/>
      <w:lvlJc w:val="left"/>
      <w:pPr>
        <w:ind w:left="3413" w:hanging="132"/>
      </w:pPr>
      <w:rPr>
        <w:rFonts w:hint="default"/>
        <w:lang w:val="pt-BR" w:eastAsia="pt-BR" w:bidi="pt-BR"/>
      </w:rPr>
    </w:lvl>
    <w:lvl w:ilvl="4" w:tplc="FC144F1E">
      <w:numFmt w:val="bullet"/>
      <w:lvlText w:val="•"/>
      <w:lvlJc w:val="left"/>
      <w:pPr>
        <w:ind w:left="4518" w:hanging="132"/>
      </w:pPr>
      <w:rPr>
        <w:rFonts w:hint="default"/>
        <w:lang w:val="pt-BR" w:eastAsia="pt-BR" w:bidi="pt-BR"/>
      </w:rPr>
    </w:lvl>
    <w:lvl w:ilvl="5" w:tplc="C010DC42">
      <w:numFmt w:val="bullet"/>
      <w:lvlText w:val="•"/>
      <w:lvlJc w:val="left"/>
      <w:pPr>
        <w:ind w:left="5623" w:hanging="132"/>
      </w:pPr>
      <w:rPr>
        <w:rFonts w:hint="default"/>
        <w:lang w:val="pt-BR" w:eastAsia="pt-BR" w:bidi="pt-BR"/>
      </w:rPr>
    </w:lvl>
    <w:lvl w:ilvl="6" w:tplc="6A4C81EA">
      <w:numFmt w:val="bullet"/>
      <w:lvlText w:val="•"/>
      <w:lvlJc w:val="left"/>
      <w:pPr>
        <w:ind w:left="6727" w:hanging="132"/>
      </w:pPr>
      <w:rPr>
        <w:rFonts w:hint="default"/>
        <w:lang w:val="pt-BR" w:eastAsia="pt-BR" w:bidi="pt-BR"/>
      </w:rPr>
    </w:lvl>
    <w:lvl w:ilvl="7" w:tplc="70862E6C">
      <w:numFmt w:val="bullet"/>
      <w:lvlText w:val="•"/>
      <w:lvlJc w:val="left"/>
      <w:pPr>
        <w:ind w:left="7832" w:hanging="132"/>
      </w:pPr>
      <w:rPr>
        <w:rFonts w:hint="default"/>
        <w:lang w:val="pt-BR" w:eastAsia="pt-BR" w:bidi="pt-BR"/>
      </w:rPr>
    </w:lvl>
    <w:lvl w:ilvl="8" w:tplc="37681F48">
      <w:numFmt w:val="bullet"/>
      <w:lvlText w:val="•"/>
      <w:lvlJc w:val="left"/>
      <w:pPr>
        <w:ind w:left="8937" w:hanging="132"/>
      </w:pPr>
      <w:rPr>
        <w:rFonts w:hint="default"/>
        <w:lang w:val="pt-BR" w:eastAsia="pt-BR" w:bidi="pt-BR"/>
      </w:rPr>
    </w:lvl>
  </w:abstractNum>
  <w:abstractNum w:abstractNumId="6">
    <w:nsid w:val="69D56E08"/>
    <w:multiLevelType w:val="hybridMultilevel"/>
    <w:tmpl w:val="F1781FFC"/>
    <w:lvl w:ilvl="0" w:tplc="5988443E">
      <w:start w:val="5"/>
      <w:numFmt w:val="decimal"/>
      <w:lvlText w:val="%1"/>
      <w:lvlJc w:val="left"/>
      <w:pPr>
        <w:ind w:left="252" w:hanging="147"/>
        <w:jc w:val="left"/>
      </w:pPr>
      <w:rPr>
        <w:rFonts w:ascii="Times New Roman" w:eastAsia="Times New Roman" w:hAnsi="Times New Roman" w:cs="Times New Roman" w:hint="default"/>
        <w:w w:val="100"/>
        <w:sz w:val="16"/>
        <w:szCs w:val="16"/>
        <w:lang w:val="pt-BR" w:eastAsia="pt-BR" w:bidi="pt-BR"/>
      </w:rPr>
    </w:lvl>
    <w:lvl w:ilvl="1" w:tplc="8BA8238A">
      <w:numFmt w:val="bullet"/>
      <w:lvlText w:val="•"/>
      <w:lvlJc w:val="left"/>
      <w:pPr>
        <w:ind w:left="1348" w:hanging="147"/>
      </w:pPr>
      <w:rPr>
        <w:rFonts w:hint="default"/>
        <w:lang w:val="pt-BR" w:eastAsia="pt-BR" w:bidi="pt-BR"/>
      </w:rPr>
    </w:lvl>
    <w:lvl w:ilvl="2" w:tplc="D8E2DE26">
      <w:numFmt w:val="bullet"/>
      <w:lvlText w:val="•"/>
      <w:lvlJc w:val="left"/>
      <w:pPr>
        <w:ind w:left="2437" w:hanging="147"/>
      </w:pPr>
      <w:rPr>
        <w:rFonts w:hint="default"/>
        <w:lang w:val="pt-BR" w:eastAsia="pt-BR" w:bidi="pt-BR"/>
      </w:rPr>
    </w:lvl>
    <w:lvl w:ilvl="3" w:tplc="D60AF260">
      <w:numFmt w:val="bullet"/>
      <w:lvlText w:val="•"/>
      <w:lvlJc w:val="left"/>
      <w:pPr>
        <w:ind w:left="3525" w:hanging="147"/>
      </w:pPr>
      <w:rPr>
        <w:rFonts w:hint="default"/>
        <w:lang w:val="pt-BR" w:eastAsia="pt-BR" w:bidi="pt-BR"/>
      </w:rPr>
    </w:lvl>
    <w:lvl w:ilvl="4" w:tplc="DB28232C">
      <w:numFmt w:val="bullet"/>
      <w:lvlText w:val="•"/>
      <w:lvlJc w:val="left"/>
      <w:pPr>
        <w:ind w:left="4614" w:hanging="147"/>
      </w:pPr>
      <w:rPr>
        <w:rFonts w:hint="default"/>
        <w:lang w:val="pt-BR" w:eastAsia="pt-BR" w:bidi="pt-BR"/>
      </w:rPr>
    </w:lvl>
    <w:lvl w:ilvl="5" w:tplc="B75010DC">
      <w:numFmt w:val="bullet"/>
      <w:lvlText w:val="•"/>
      <w:lvlJc w:val="left"/>
      <w:pPr>
        <w:ind w:left="5703" w:hanging="147"/>
      </w:pPr>
      <w:rPr>
        <w:rFonts w:hint="default"/>
        <w:lang w:val="pt-BR" w:eastAsia="pt-BR" w:bidi="pt-BR"/>
      </w:rPr>
    </w:lvl>
    <w:lvl w:ilvl="6" w:tplc="21FC17A4">
      <w:numFmt w:val="bullet"/>
      <w:lvlText w:val="•"/>
      <w:lvlJc w:val="left"/>
      <w:pPr>
        <w:ind w:left="6791" w:hanging="147"/>
      </w:pPr>
      <w:rPr>
        <w:rFonts w:hint="default"/>
        <w:lang w:val="pt-BR" w:eastAsia="pt-BR" w:bidi="pt-BR"/>
      </w:rPr>
    </w:lvl>
    <w:lvl w:ilvl="7" w:tplc="409E6EC4">
      <w:numFmt w:val="bullet"/>
      <w:lvlText w:val="•"/>
      <w:lvlJc w:val="left"/>
      <w:pPr>
        <w:ind w:left="7880" w:hanging="147"/>
      </w:pPr>
      <w:rPr>
        <w:rFonts w:hint="default"/>
        <w:lang w:val="pt-BR" w:eastAsia="pt-BR" w:bidi="pt-BR"/>
      </w:rPr>
    </w:lvl>
    <w:lvl w:ilvl="8" w:tplc="C5A28F5A">
      <w:numFmt w:val="bullet"/>
      <w:lvlText w:val="•"/>
      <w:lvlJc w:val="left"/>
      <w:pPr>
        <w:ind w:left="8969" w:hanging="147"/>
      </w:pPr>
      <w:rPr>
        <w:rFonts w:hint="default"/>
        <w:lang w:val="pt-BR" w:eastAsia="pt-BR" w:bidi="pt-BR"/>
      </w:rPr>
    </w:lvl>
  </w:abstractNum>
  <w:abstractNum w:abstractNumId="7">
    <w:nsid w:val="6FF0168F"/>
    <w:multiLevelType w:val="hybridMultilevel"/>
    <w:tmpl w:val="5704B1C6"/>
    <w:lvl w:ilvl="0" w:tplc="973EB93A">
      <w:start w:val="1"/>
      <w:numFmt w:val="lowerLetter"/>
      <w:lvlText w:val="%1)"/>
      <w:lvlJc w:val="left"/>
      <w:pPr>
        <w:ind w:left="272" w:hanging="166"/>
        <w:jc w:val="left"/>
      </w:pPr>
      <w:rPr>
        <w:rFonts w:ascii="Times New Roman" w:eastAsia="Times New Roman" w:hAnsi="Times New Roman" w:cs="Times New Roman" w:hint="default"/>
        <w:w w:val="100"/>
        <w:sz w:val="16"/>
        <w:szCs w:val="16"/>
        <w:lang w:val="pt-BR" w:eastAsia="pt-BR" w:bidi="pt-BR"/>
      </w:rPr>
    </w:lvl>
    <w:lvl w:ilvl="1" w:tplc="9F04FD88">
      <w:numFmt w:val="bullet"/>
      <w:lvlText w:val="•"/>
      <w:lvlJc w:val="left"/>
      <w:pPr>
        <w:ind w:left="1366" w:hanging="166"/>
      </w:pPr>
      <w:rPr>
        <w:rFonts w:hint="default"/>
        <w:lang w:val="pt-BR" w:eastAsia="pt-BR" w:bidi="pt-BR"/>
      </w:rPr>
    </w:lvl>
    <w:lvl w:ilvl="2" w:tplc="DF62393A">
      <w:numFmt w:val="bullet"/>
      <w:lvlText w:val="•"/>
      <w:lvlJc w:val="left"/>
      <w:pPr>
        <w:ind w:left="2453" w:hanging="166"/>
      </w:pPr>
      <w:rPr>
        <w:rFonts w:hint="default"/>
        <w:lang w:val="pt-BR" w:eastAsia="pt-BR" w:bidi="pt-BR"/>
      </w:rPr>
    </w:lvl>
    <w:lvl w:ilvl="3" w:tplc="EDD6BC4E">
      <w:numFmt w:val="bullet"/>
      <w:lvlText w:val="•"/>
      <w:lvlJc w:val="left"/>
      <w:pPr>
        <w:ind w:left="3539" w:hanging="166"/>
      </w:pPr>
      <w:rPr>
        <w:rFonts w:hint="default"/>
        <w:lang w:val="pt-BR" w:eastAsia="pt-BR" w:bidi="pt-BR"/>
      </w:rPr>
    </w:lvl>
    <w:lvl w:ilvl="4" w:tplc="A3B02A18">
      <w:numFmt w:val="bullet"/>
      <w:lvlText w:val="•"/>
      <w:lvlJc w:val="left"/>
      <w:pPr>
        <w:ind w:left="4626" w:hanging="166"/>
      </w:pPr>
      <w:rPr>
        <w:rFonts w:hint="default"/>
        <w:lang w:val="pt-BR" w:eastAsia="pt-BR" w:bidi="pt-BR"/>
      </w:rPr>
    </w:lvl>
    <w:lvl w:ilvl="5" w:tplc="5CE068EC">
      <w:numFmt w:val="bullet"/>
      <w:lvlText w:val="•"/>
      <w:lvlJc w:val="left"/>
      <w:pPr>
        <w:ind w:left="5713" w:hanging="166"/>
      </w:pPr>
      <w:rPr>
        <w:rFonts w:hint="default"/>
        <w:lang w:val="pt-BR" w:eastAsia="pt-BR" w:bidi="pt-BR"/>
      </w:rPr>
    </w:lvl>
    <w:lvl w:ilvl="6" w:tplc="AFEC7854">
      <w:numFmt w:val="bullet"/>
      <w:lvlText w:val="•"/>
      <w:lvlJc w:val="left"/>
      <w:pPr>
        <w:ind w:left="6799" w:hanging="166"/>
      </w:pPr>
      <w:rPr>
        <w:rFonts w:hint="default"/>
        <w:lang w:val="pt-BR" w:eastAsia="pt-BR" w:bidi="pt-BR"/>
      </w:rPr>
    </w:lvl>
    <w:lvl w:ilvl="7" w:tplc="A90CA800">
      <w:numFmt w:val="bullet"/>
      <w:lvlText w:val="•"/>
      <w:lvlJc w:val="left"/>
      <w:pPr>
        <w:ind w:left="7886" w:hanging="166"/>
      </w:pPr>
      <w:rPr>
        <w:rFonts w:hint="default"/>
        <w:lang w:val="pt-BR" w:eastAsia="pt-BR" w:bidi="pt-BR"/>
      </w:rPr>
    </w:lvl>
    <w:lvl w:ilvl="8" w:tplc="84868824">
      <w:numFmt w:val="bullet"/>
      <w:lvlText w:val="•"/>
      <w:lvlJc w:val="left"/>
      <w:pPr>
        <w:ind w:left="8973" w:hanging="166"/>
      </w:pPr>
      <w:rPr>
        <w:rFonts w:hint="default"/>
        <w:lang w:val="pt-BR" w:eastAsia="pt-BR" w:bidi="pt-BR"/>
      </w:rPr>
    </w:lvl>
  </w:abstractNum>
  <w:abstractNum w:abstractNumId="8">
    <w:nsid w:val="7FCF7560"/>
    <w:multiLevelType w:val="hybridMultilevel"/>
    <w:tmpl w:val="516E630E"/>
    <w:lvl w:ilvl="0" w:tplc="B07C255A">
      <w:start w:val="1"/>
      <w:numFmt w:val="decimal"/>
      <w:lvlText w:val="%1)"/>
      <w:lvlJc w:val="left"/>
      <w:pPr>
        <w:ind w:left="106" w:hanging="175"/>
        <w:jc w:val="left"/>
      </w:pPr>
      <w:rPr>
        <w:rFonts w:ascii="Times New Roman" w:eastAsia="Times New Roman" w:hAnsi="Times New Roman" w:cs="Times New Roman" w:hint="default"/>
        <w:w w:val="100"/>
        <w:sz w:val="16"/>
        <w:szCs w:val="16"/>
        <w:lang w:val="pt-BR" w:eastAsia="pt-BR" w:bidi="pt-BR"/>
      </w:rPr>
    </w:lvl>
    <w:lvl w:ilvl="1" w:tplc="46D0144E">
      <w:numFmt w:val="bullet"/>
      <w:lvlText w:val="•"/>
      <w:lvlJc w:val="left"/>
      <w:pPr>
        <w:ind w:left="1204" w:hanging="175"/>
      </w:pPr>
      <w:rPr>
        <w:rFonts w:hint="default"/>
        <w:lang w:val="pt-BR" w:eastAsia="pt-BR" w:bidi="pt-BR"/>
      </w:rPr>
    </w:lvl>
    <w:lvl w:ilvl="2" w:tplc="79A8B6F0">
      <w:numFmt w:val="bullet"/>
      <w:lvlText w:val="•"/>
      <w:lvlJc w:val="left"/>
      <w:pPr>
        <w:ind w:left="2309" w:hanging="175"/>
      </w:pPr>
      <w:rPr>
        <w:rFonts w:hint="default"/>
        <w:lang w:val="pt-BR" w:eastAsia="pt-BR" w:bidi="pt-BR"/>
      </w:rPr>
    </w:lvl>
    <w:lvl w:ilvl="3" w:tplc="BF546CEE">
      <w:numFmt w:val="bullet"/>
      <w:lvlText w:val="•"/>
      <w:lvlJc w:val="left"/>
      <w:pPr>
        <w:ind w:left="3413" w:hanging="175"/>
      </w:pPr>
      <w:rPr>
        <w:rFonts w:hint="default"/>
        <w:lang w:val="pt-BR" w:eastAsia="pt-BR" w:bidi="pt-BR"/>
      </w:rPr>
    </w:lvl>
    <w:lvl w:ilvl="4" w:tplc="87F8BE76">
      <w:numFmt w:val="bullet"/>
      <w:lvlText w:val="•"/>
      <w:lvlJc w:val="left"/>
      <w:pPr>
        <w:ind w:left="4518" w:hanging="175"/>
      </w:pPr>
      <w:rPr>
        <w:rFonts w:hint="default"/>
        <w:lang w:val="pt-BR" w:eastAsia="pt-BR" w:bidi="pt-BR"/>
      </w:rPr>
    </w:lvl>
    <w:lvl w:ilvl="5" w:tplc="2E90B4E6">
      <w:numFmt w:val="bullet"/>
      <w:lvlText w:val="•"/>
      <w:lvlJc w:val="left"/>
      <w:pPr>
        <w:ind w:left="5623" w:hanging="175"/>
      </w:pPr>
      <w:rPr>
        <w:rFonts w:hint="default"/>
        <w:lang w:val="pt-BR" w:eastAsia="pt-BR" w:bidi="pt-BR"/>
      </w:rPr>
    </w:lvl>
    <w:lvl w:ilvl="6" w:tplc="5E0A0E36">
      <w:numFmt w:val="bullet"/>
      <w:lvlText w:val="•"/>
      <w:lvlJc w:val="left"/>
      <w:pPr>
        <w:ind w:left="6727" w:hanging="175"/>
      </w:pPr>
      <w:rPr>
        <w:rFonts w:hint="default"/>
        <w:lang w:val="pt-BR" w:eastAsia="pt-BR" w:bidi="pt-BR"/>
      </w:rPr>
    </w:lvl>
    <w:lvl w:ilvl="7" w:tplc="B3F8AC60">
      <w:numFmt w:val="bullet"/>
      <w:lvlText w:val="•"/>
      <w:lvlJc w:val="left"/>
      <w:pPr>
        <w:ind w:left="7832" w:hanging="175"/>
      </w:pPr>
      <w:rPr>
        <w:rFonts w:hint="default"/>
        <w:lang w:val="pt-BR" w:eastAsia="pt-BR" w:bidi="pt-BR"/>
      </w:rPr>
    </w:lvl>
    <w:lvl w:ilvl="8" w:tplc="6248CED4">
      <w:numFmt w:val="bullet"/>
      <w:lvlText w:val="•"/>
      <w:lvlJc w:val="left"/>
      <w:pPr>
        <w:ind w:left="8937" w:hanging="175"/>
      </w:pPr>
      <w:rPr>
        <w:rFonts w:hint="default"/>
        <w:lang w:val="pt-BR" w:eastAsia="pt-BR" w:bidi="pt-BR"/>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A94DA2"/>
    <w:rsid w:val="00A94DA2"/>
    <w:rsid w:val="00DC0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6"/>
      <w:jc w:val="both"/>
    </w:pPr>
    <w:rPr>
      <w:sz w:val="16"/>
      <w:szCs w:val="16"/>
    </w:rPr>
  </w:style>
  <w:style w:type="paragraph" w:styleId="PargrafodaLista">
    <w:name w:val="List Paragraph"/>
    <w:basedOn w:val="Normal"/>
    <w:uiPriority w:val="1"/>
    <w:qFormat/>
    <w:pPr>
      <w:ind w:left="106"/>
    </w:pPr>
  </w:style>
  <w:style w:type="paragraph" w:customStyle="1" w:styleId="TableParagraph">
    <w:name w:val="Table Paragraph"/>
    <w:basedOn w:val="Normal"/>
    <w:uiPriority w:val="1"/>
    <w:qFormat/>
    <w:pPr>
      <w:ind w:left="7"/>
    </w:pPr>
  </w:style>
  <w:style w:type="paragraph" w:styleId="Textodebalo">
    <w:name w:val="Balloon Text"/>
    <w:basedOn w:val="Normal"/>
    <w:link w:val="TextodebaloChar"/>
    <w:uiPriority w:val="99"/>
    <w:semiHidden/>
    <w:unhideWhenUsed/>
    <w:rsid w:val="00DC0F69"/>
    <w:rPr>
      <w:rFonts w:ascii="Tahoma" w:hAnsi="Tahoma" w:cs="Tahoma"/>
      <w:sz w:val="16"/>
      <w:szCs w:val="16"/>
    </w:rPr>
  </w:style>
  <w:style w:type="character" w:customStyle="1" w:styleId="TextodebaloChar">
    <w:name w:val="Texto de balão Char"/>
    <w:basedOn w:val="Fontepargpadro"/>
    <w:link w:val="Textodebalo"/>
    <w:uiPriority w:val="99"/>
    <w:semiHidden/>
    <w:rsid w:val="00DC0F69"/>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todate.com/contents/induction-immunosuppressive-therapy-in-renal-transplantation-in-adults" TargetMode="External"/><Relationship Id="rId13" Type="http://schemas.openxmlformats.org/officeDocument/2006/relationships/hyperlink" Target="http://www.uptodate.com/contents/renal-" TargetMode="External"/><Relationship Id="rId18" Type="http://schemas.openxmlformats.org/officeDocument/2006/relationships/hyperlink" Target="http://sigtap.datasus.gov.br/tabela-unificada/app/sec/procedimento/exibir/0603080170/11/201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gtap.datasus.gov.br/tabela-unificada/app/sec/procedimento/exibir/0603080219/11/2013" TargetMode="External"/><Relationship Id="rId7" Type="http://schemas.openxmlformats.org/officeDocument/2006/relationships/hyperlink" Target="http://www.uptodate.com/contents/maintenance-immunosuppressive-therapy-in-renal-transplantation-in-adults" TargetMode="External"/><Relationship Id="rId12" Type="http://schemas.openxmlformats.org/officeDocument/2006/relationships/hyperlink" Target="http://www.uptodate.com/contents/acute-renal-allograft-" TargetMode="External"/><Relationship Id="rId17" Type="http://schemas.openxmlformats.org/officeDocument/2006/relationships/hyperlink" Target="http://sigtap.datasus.gov.br/tabela-unificada/app/sec/procedimento/exibir/0603080162/11/2013" TargetMode="External"/><Relationship Id="rId25" Type="http://schemas.openxmlformats.org/officeDocument/2006/relationships/hyperlink" Target="http://sigtap.datasus.gov.br/tabela-unificada/app/sec/procedimento/exibir/0603080260/11/2013" TargetMode="External"/><Relationship Id="rId2" Type="http://schemas.openxmlformats.org/officeDocument/2006/relationships/styles" Target="styles.xml"/><Relationship Id="rId16" Type="http://schemas.openxmlformats.org/officeDocument/2006/relationships/hyperlink" Target="http://sigtap.datasus.gov.br/tabela-unificada/app/sec/procedimento/exibir/0603080154/04/2012" TargetMode="External"/><Relationship Id="rId20" Type="http://schemas.openxmlformats.org/officeDocument/2006/relationships/hyperlink" Target="http://sigtap.datasus.gov.br/tabela-unificada/app/sec/procedimento/exibir/0603080189/11/201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transplant.org/Index.aspx" TargetMode="External"/><Relationship Id="rId24" Type="http://schemas.openxmlformats.org/officeDocument/2006/relationships/hyperlink" Target="http://sigtap.datasus.gov.br/tabela-unificada/app/sec/procedimento/exibir/0603080251/11/2013" TargetMode="External"/><Relationship Id="rId5" Type="http://schemas.openxmlformats.org/officeDocument/2006/relationships/webSettings" Target="webSettings.xml"/><Relationship Id="rId15" Type="http://schemas.openxmlformats.org/officeDocument/2006/relationships/hyperlink" Target="http://www.srtr.org/annual_reports/archives/2007/2007_Annual_Report/default.htm" TargetMode="External"/><Relationship Id="rId23" Type="http://schemas.openxmlformats.org/officeDocument/2006/relationships/hyperlink" Target="http://sigtap.datasus.gov.br/tabela-unificada/app/sec/procedimento/exibir/0603080251/11/2013" TargetMode="External"/><Relationship Id="rId10" Type="http://schemas.openxmlformats.org/officeDocument/2006/relationships/hyperlink" Target="http://www.uptodate.com/contents/c4d-staining-in-renal-allografts-and-treatment-of-antibody-mediated-rejection" TargetMode="External"/><Relationship Id="rId19" Type="http://schemas.openxmlformats.org/officeDocument/2006/relationships/hyperlink" Target="http://sigtap.datasus.gov.br/tabela-unificada/app/sec/procedimento/exibir/0603080170/11/2013" TargetMode="External"/><Relationship Id="rId4" Type="http://schemas.openxmlformats.org/officeDocument/2006/relationships/settings" Target="settings.xml"/><Relationship Id="rId9" Type="http://schemas.openxmlformats.org/officeDocument/2006/relationships/hyperlink" Target="http://www.uptodate.com/contents/evaluation-of-the-potential-renal-transplant-recipient" TargetMode="External"/><Relationship Id="rId14" Type="http://schemas.openxmlformats.org/officeDocument/2006/relationships/hyperlink" Target="http://www.uptodate.com/contents/immunosuppression-in-renal-transplantation-in-children" TargetMode="External"/><Relationship Id="rId22" Type="http://schemas.openxmlformats.org/officeDocument/2006/relationships/hyperlink" Target="http://sigtap.datasus.gov.br/tabela-unificada/app/sec/procedimento/exibir/0603080243/11/20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17247</Words>
  <Characters>93138</Characters>
  <Application>Microsoft Office Word</Application>
  <DocSecurity>0</DocSecurity>
  <Lines>776</Lines>
  <Paragraphs>220</Paragraphs>
  <ScaleCrop>false</ScaleCrop>
  <Company/>
  <LinksUpToDate>false</LinksUpToDate>
  <CharactersWithSpaces>110165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Pietra</dc:creator>
  <cp:lastModifiedBy>VANESSA ALVES DE OLIVEIRA</cp:lastModifiedBy>
  <cp:revision>2</cp:revision>
  <dcterms:created xsi:type="dcterms:W3CDTF">2019-07-22T12:40:00Z</dcterms:created>
  <dcterms:modified xsi:type="dcterms:W3CDTF">2019-07-22T12:51:00Z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Microsoft® Word 2010</vt:lpwstr>
  </property>
  <property fmtid="{D5CDD505-2E9C-101B-9397-08002B2CF9AE}" pid="4" name="LastSaved">
    <vt:filetime>2019-07-22T00:00:00Z</vt:filetime>
  </property>
</Properties>
</file>