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AF" w:rsidRDefault="00421CAF" w:rsidP="00421CAF">
      <w:pPr>
        <w:pStyle w:val="Corpodetexto"/>
        <w:spacing w:before="72"/>
        <w:ind w:right="3518"/>
      </w:pPr>
      <w:bookmarkStart w:id="0" w:name="_GoBack"/>
      <w:bookmarkEnd w:id="0"/>
      <w:r>
        <w:rPr>
          <w:noProof/>
          <w:lang w:bidi="ar-SA"/>
        </w:rPr>
        <w:drawing>
          <wp:inline distT="0" distB="0" distL="0" distR="0" wp14:anchorId="50CBE85A" wp14:editId="399DADAC">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8"/>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A74668" w:rsidRDefault="00421CAF">
      <w:pPr>
        <w:pStyle w:val="Corpodetexto"/>
        <w:spacing w:before="72"/>
        <w:ind w:left="3167" w:right="3518"/>
        <w:jc w:val="center"/>
      </w:pPr>
      <w:r>
        <w:t>ANEXO</w:t>
      </w:r>
    </w:p>
    <w:p w:rsidR="00A74668" w:rsidRDefault="00A74668">
      <w:pPr>
        <w:pStyle w:val="Corpodetexto"/>
        <w:spacing w:before="1"/>
        <w:ind w:left="0"/>
        <w:jc w:val="left"/>
      </w:pPr>
    </w:p>
    <w:p w:rsidR="00A74668" w:rsidRDefault="00421CAF">
      <w:pPr>
        <w:spacing w:line="480" w:lineRule="auto"/>
        <w:ind w:left="2806" w:right="3154"/>
        <w:jc w:val="center"/>
        <w:rPr>
          <w:sz w:val="20"/>
        </w:rPr>
      </w:pPr>
      <w:proofErr w:type="gramStart"/>
      <w:r>
        <w:rPr>
          <w:sz w:val="20"/>
        </w:rPr>
        <w:t>P</w:t>
      </w:r>
      <w:r>
        <w:rPr>
          <w:sz w:val="16"/>
        </w:rPr>
        <w:t xml:space="preserve">ROTOCOLO </w:t>
      </w:r>
      <w:r>
        <w:rPr>
          <w:sz w:val="20"/>
        </w:rPr>
        <w:t>C</w:t>
      </w:r>
      <w:r>
        <w:rPr>
          <w:sz w:val="16"/>
        </w:rPr>
        <w:t xml:space="preserve">LÍNICO E </w:t>
      </w:r>
      <w:r>
        <w:rPr>
          <w:sz w:val="20"/>
        </w:rPr>
        <w:t>D</w:t>
      </w:r>
      <w:r>
        <w:rPr>
          <w:sz w:val="16"/>
        </w:rPr>
        <w:t xml:space="preserve">IRETRIZES </w:t>
      </w:r>
      <w:r>
        <w:rPr>
          <w:sz w:val="20"/>
        </w:rPr>
        <w:t>T</w:t>
      </w:r>
      <w:r>
        <w:rPr>
          <w:sz w:val="16"/>
        </w:rPr>
        <w:t>ERAPÊUTICAS</w:t>
      </w:r>
      <w:proofErr w:type="gramEnd"/>
      <w:r>
        <w:rPr>
          <w:sz w:val="16"/>
        </w:rPr>
        <w:t xml:space="preserve"> </w:t>
      </w:r>
      <w:r>
        <w:rPr>
          <w:sz w:val="20"/>
        </w:rPr>
        <w:t>M</w:t>
      </w:r>
      <w:r>
        <w:rPr>
          <w:sz w:val="16"/>
        </w:rPr>
        <w:t>UCOPOLISSA</w:t>
      </w:r>
      <w:r>
        <w:rPr>
          <w:sz w:val="16"/>
        </w:rPr>
        <w:t xml:space="preserve">CARIDOSE DO TIPO </w:t>
      </w:r>
      <w:r>
        <w:rPr>
          <w:sz w:val="20"/>
        </w:rPr>
        <w:t>II</w:t>
      </w:r>
    </w:p>
    <w:p w:rsidR="00A74668" w:rsidRDefault="00A74668">
      <w:pPr>
        <w:pStyle w:val="Corpodetexto"/>
        <w:spacing w:before="5"/>
        <w:ind w:left="0"/>
        <w:jc w:val="left"/>
      </w:pPr>
    </w:p>
    <w:p w:rsidR="00A74668" w:rsidRDefault="00421CAF">
      <w:pPr>
        <w:pStyle w:val="PargrafodaLista"/>
        <w:numPr>
          <w:ilvl w:val="0"/>
          <w:numId w:val="16"/>
        </w:numPr>
        <w:tabs>
          <w:tab w:val="left" w:pos="593"/>
          <w:tab w:val="left" w:pos="594"/>
        </w:tabs>
        <w:spacing w:line="228" w:lineRule="exact"/>
        <w:ind w:firstLine="0"/>
        <w:jc w:val="left"/>
        <w:rPr>
          <w:b/>
          <w:sz w:val="16"/>
        </w:rPr>
      </w:pPr>
      <w:r>
        <w:rPr>
          <w:b/>
          <w:sz w:val="20"/>
        </w:rPr>
        <w:t>I</w:t>
      </w:r>
      <w:r>
        <w:rPr>
          <w:b/>
          <w:sz w:val="16"/>
        </w:rPr>
        <w:t>NTRODUÇÃO</w:t>
      </w:r>
    </w:p>
    <w:p w:rsidR="00A74668" w:rsidRDefault="00421CAF">
      <w:pPr>
        <w:pStyle w:val="Corpodetexto"/>
        <w:ind w:right="581" w:firstLine="1418"/>
      </w:pPr>
      <w:r>
        <w:t xml:space="preserve">A </w:t>
      </w:r>
      <w:proofErr w:type="spellStart"/>
      <w:r>
        <w:t>mucopolissacaridose</w:t>
      </w:r>
      <w:proofErr w:type="spellEnd"/>
      <w:r>
        <w:t xml:space="preserve"> do tipo II (MPS II), ou síndrome de Hunter, é a única MPS com herança recessiva ligada ao cromossomo X, sendo causada pela atividade deficiente da iduronato-2-sulfatase (IDS). Essa enzima catalisa o primeiro passo da degradação dos </w:t>
      </w:r>
      <w:proofErr w:type="spellStart"/>
      <w:r>
        <w:t>gl</w:t>
      </w:r>
      <w:r>
        <w:t>icosaminoglicanos</w:t>
      </w:r>
      <w:proofErr w:type="spellEnd"/>
      <w:r>
        <w:t xml:space="preserve"> (</w:t>
      </w:r>
      <w:proofErr w:type="spellStart"/>
      <w:proofErr w:type="gramStart"/>
      <w:r>
        <w:t>GAGs</w:t>
      </w:r>
      <w:proofErr w:type="spellEnd"/>
      <w:proofErr w:type="gramEnd"/>
      <w:r>
        <w:t xml:space="preserve">) sulfato de </w:t>
      </w:r>
      <w:proofErr w:type="spellStart"/>
      <w:r>
        <w:t>dermatan</w:t>
      </w:r>
      <w:proofErr w:type="spellEnd"/>
      <w:r>
        <w:t xml:space="preserve"> e sulfato de </w:t>
      </w:r>
      <w:proofErr w:type="spellStart"/>
      <w:r>
        <w:t>heparan</w:t>
      </w:r>
      <w:proofErr w:type="spellEnd"/>
      <w:r>
        <w:t xml:space="preserve"> e sua deficiência leva ao acúmulo desses </w:t>
      </w:r>
      <w:proofErr w:type="spellStart"/>
      <w:r>
        <w:t>GAGs</w:t>
      </w:r>
      <w:proofErr w:type="spellEnd"/>
      <w:r>
        <w:t xml:space="preserve"> nos tecidos e aumento da sua excreção urinária</w:t>
      </w:r>
      <w:hyperlink r:id="rId9">
        <w:r>
          <w:rPr>
            <w:vertAlign w:val="superscript"/>
          </w:rPr>
          <w:t>1</w:t>
        </w:r>
        <w:r>
          <w:t>.</w:t>
        </w:r>
      </w:hyperlink>
    </w:p>
    <w:p w:rsidR="00A74668" w:rsidRDefault="00421CAF">
      <w:pPr>
        <w:pStyle w:val="Corpodetexto"/>
        <w:ind w:right="580" w:firstLine="1418"/>
      </w:pPr>
      <w:r>
        <w:t>Dado seu padrão de herança, os paciente</w:t>
      </w:r>
      <w:r>
        <w:t>s são principalmente do sexo</w:t>
      </w:r>
      <w:hyperlink r:id="rId10">
        <w:r>
          <w:rPr>
            <w:vertAlign w:val="superscript"/>
          </w:rPr>
          <w:t>2–5</w:t>
        </w:r>
        <w:r>
          <w:t xml:space="preserve"> </w:t>
        </w:r>
      </w:hyperlink>
      <w:r>
        <w:t>masculino; as mulheres heterozigotas são, geralmente, assintomáticas</w:t>
      </w:r>
      <w:hyperlink r:id="rId11">
        <w:r>
          <w:rPr>
            <w:vertAlign w:val="superscript"/>
          </w:rPr>
          <w:t>6–9</w:t>
        </w:r>
        <w:r>
          <w:t xml:space="preserve">. </w:t>
        </w:r>
      </w:hyperlink>
      <w:r>
        <w:t>As manifestações clínicas são heterogêneas e progressivas e, de acordo com a ocorrência de regressão neurológica, classifica-se a doença em grave ou atenuada</w:t>
      </w:r>
      <w:hyperlink r:id="rId12">
        <w:proofErr w:type="gramStart"/>
        <w:r>
          <w:rPr>
            <w:vertAlign w:val="superscript"/>
          </w:rPr>
          <w:t>10</w:t>
        </w:r>
        <w:r>
          <w:t>.</w:t>
        </w:r>
        <w:proofErr w:type="gramEnd"/>
      </w:hyperlink>
      <w:r>
        <w:t xml:space="preserve"> As manifestações comuns incluem fá</w:t>
      </w:r>
      <w:r>
        <w:t xml:space="preserve">cies típica, obstrução de vias aéreas superiores, regurgitação valvular cardíaca, doença pulmonar restritiva, </w:t>
      </w:r>
      <w:proofErr w:type="spellStart"/>
      <w:r>
        <w:t>hepatoesplenomegalia</w:t>
      </w:r>
      <w:proofErr w:type="spellEnd"/>
      <w:r>
        <w:t>, hérnias, contraturas articulares, irritabilidade, apneia obstrutiva do sono e redução da qualidade de vida. Achados adiciona</w:t>
      </w:r>
      <w:r>
        <w:t xml:space="preserve">is incluem baixa estatura, macrocefalia com ou sem hidrocefalia comunicante, </w:t>
      </w:r>
      <w:proofErr w:type="spellStart"/>
      <w:r>
        <w:t>macroglossia</w:t>
      </w:r>
      <w:proofErr w:type="spellEnd"/>
      <w:r>
        <w:t>, perda auditiva e síndrome do túnel do carpo</w:t>
      </w:r>
      <w:hyperlink r:id="rId13">
        <w:proofErr w:type="gramStart"/>
        <w:r>
          <w:rPr>
            <w:vertAlign w:val="superscript"/>
          </w:rPr>
          <w:t>10</w:t>
        </w:r>
        <w:r>
          <w:t>.</w:t>
        </w:r>
        <w:proofErr w:type="gramEnd"/>
      </w:hyperlink>
      <w:r>
        <w:t xml:space="preserve"> Na forma grave, as manifestações iniciam até os dois anos de i</w:t>
      </w:r>
      <w:r>
        <w:t>dade, progredindo para sintomas somáticos e deficiência cognitiva durante a infância; a regressão neurológica inicia, em média, aos 6 anos de idade</w:t>
      </w:r>
      <w:hyperlink r:id="rId14">
        <w:r>
          <w:rPr>
            <w:vertAlign w:val="superscript"/>
          </w:rPr>
          <w:t>10</w:t>
        </w:r>
        <w:r>
          <w:t xml:space="preserve">. </w:t>
        </w:r>
      </w:hyperlink>
      <w:r>
        <w:t>Os pacientes com a forma atenuada apresentam os p</w:t>
      </w:r>
      <w:r>
        <w:t>rimeiros sintomas na infância tardia, com progressão da doença somática mais lenta e branda; esses podem vir a apresentar pouca ou nenhuma deficiência cognitiva, mas não ocorre regressão neurológica</w:t>
      </w:r>
      <w:hyperlink r:id="rId15">
        <w:r>
          <w:rPr>
            <w:vertAlign w:val="superscript"/>
          </w:rPr>
          <w:t>10,11</w:t>
        </w:r>
        <w:r>
          <w:t xml:space="preserve">. </w:t>
        </w:r>
      </w:hyperlink>
      <w:r>
        <w:t xml:space="preserve">Não há como predizer, em idade precoce, se o paciente apresentará regressão neurológica (forma grave da doença) ou não apresentará (forma atenuada). O óbito acontece em média na segunda década de vida na forma grave, mas alguns indivíduos podem sobreviver </w:t>
      </w:r>
      <w:r>
        <w:t>até a 4ª ou 5ª décadas na forma atenuada</w:t>
      </w:r>
      <w:hyperlink r:id="rId16">
        <w:r>
          <w:rPr>
            <w:vertAlign w:val="superscript"/>
          </w:rPr>
          <w:t>10</w:t>
        </w:r>
        <w:r>
          <w:t xml:space="preserve">. </w:t>
        </w:r>
      </w:hyperlink>
      <w:r>
        <w:t xml:space="preserve">Na literatura são relatados menos de 20 pacientes do sexo feminino com MPS II </w:t>
      </w:r>
      <w:hyperlink r:id="rId17">
        <w:r>
          <w:rPr>
            <w:vertAlign w:val="superscript"/>
          </w:rPr>
          <w:t>10,</w:t>
        </w:r>
        <w:r>
          <w:t xml:space="preserve"> </w:t>
        </w:r>
        <w:proofErr w:type="gramStart"/>
        <w:r>
          <w:rPr>
            <w:vertAlign w:val="superscript"/>
          </w:rPr>
          <w:t>12</w:t>
        </w:r>
        <w:r>
          <w:rPr>
            <w:vertAlign w:val="superscript"/>
          </w:rPr>
          <w:t>,13</w:t>
        </w:r>
        <w:r>
          <w:t>.</w:t>
        </w:r>
        <w:proofErr w:type="gramEnd"/>
      </w:hyperlink>
      <w:r>
        <w:t xml:space="preserve"> A chance de um novo filho (sexo masculino), do mesmo casal, apresentar MPS II é de 50% se a mãe for heterozigota. Em cerca de um terço dos casos sem história familial, acontece mutação nova (ou seja, a mãe não é heterozigota), com chance virtualmente </w:t>
      </w:r>
      <w:r>
        <w:t>nula de recorrência familiar</w:t>
      </w:r>
      <w:hyperlink r:id="rId18">
        <w:proofErr w:type="gramStart"/>
        <w:r>
          <w:rPr>
            <w:vertAlign w:val="superscript"/>
          </w:rPr>
          <w:t>8</w:t>
        </w:r>
        <w:proofErr w:type="gramEnd"/>
        <w:r>
          <w:t>.</w:t>
        </w:r>
      </w:hyperlink>
      <w:r>
        <w:t xml:space="preserve"> Assim, é importante que a família dos pacientes com MPS II receba adequado aconselhamento genético.</w:t>
      </w:r>
    </w:p>
    <w:p w:rsidR="00A74668" w:rsidRDefault="00421CAF">
      <w:pPr>
        <w:pStyle w:val="Corpodetexto"/>
        <w:ind w:right="579" w:firstLine="1418"/>
      </w:pPr>
      <w:r>
        <w:t xml:space="preserve">Inexiste tratamento curativo para a MPS II. A conduta terapêutica dos </w:t>
      </w:r>
      <w:r>
        <w:t>pacientes envolve equipe multidisciplinar e inclui intervenções realizadas para amenizar o fenótipo (como cirurgias) ou específicas, como o transplante de células tronco-hematopoiéticas (TCTH) ou da terapia de reposição enzimática (TRE) intravenosa (IV)</w:t>
      </w:r>
      <w:hyperlink r:id="rId19">
        <w:proofErr w:type="gramStart"/>
        <w:r>
          <w:rPr>
            <w:vertAlign w:val="superscript"/>
          </w:rPr>
          <w:t>14,15</w:t>
        </w:r>
        <w:r>
          <w:t>.</w:t>
        </w:r>
        <w:proofErr w:type="gramEnd"/>
      </w:hyperlink>
      <w:r>
        <w:t xml:space="preserve"> Outras possibilidades, tais como uso de TRE </w:t>
      </w:r>
      <w:proofErr w:type="spellStart"/>
      <w:r>
        <w:t>intratecal</w:t>
      </w:r>
      <w:proofErr w:type="spellEnd"/>
      <w:r>
        <w:t xml:space="preserve"> e terapia gênica, estão ainda em fase de desenvolvimento</w:t>
      </w:r>
      <w:hyperlink r:id="rId20">
        <w:r>
          <w:rPr>
            <w:vertAlign w:val="superscript"/>
          </w:rPr>
          <w:t>16,17</w:t>
        </w:r>
        <w:r>
          <w:t>.</w:t>
        </w:r>
      </w:hyperlink>
    </w:p>
    <w:p w:rsidR="00A74668" w:rsidRDefault="00421CAF">
      <w:pPr>
        <w:pStyle w:val="Corpodetexto"/>
        <w:ind w:right="578" w:firstLine="1418"/>
      </w:pPr>
      <w:r>
        <w:t>Estudo</w:t>
      </w:r>
      <w:r>
        <w:t xml:space="preserve">s internacionais estimam que a incidência geral de MPS II esteja entre </w:t>
      </w:r>
      <w:proofErr w:type="gramStart"/>
      <w:r>
        <w:t>1:77.</w:t>
      </w:r>
      <w:proofErr w:type="gramEnd"/>
      <w:r>
        <w:t>000 e 110.000 nascidos vivos do sexo masculino</w:t>
      </w:r>
      <w:hyperlink r:id="rId21">
        <w:r>
          <w:rPr>
            <w:vertAlign w:val="superscript"/>
          </w:rPr>
          <w:t>18,19</w:t>
        </w:r>
        <w:r>
          <w:t xml:space="preserve"> </w:t>
        </w:r>
      </w:hyperlink>
      <w:r>
        <w:t>ou 1:156.000 recém-nascidos vivos (masculino e feminino)</w:t>
      </w:r>
      <w:hyperlink r:id="rId22">
        <w:r>
          <w:rPr>
            <w:vertAlign w:val="superscript"/>
          </w:rPr>
          <w:t>20</w:t>
        </w:r>
        <w:r>
          <w:t xml:space="preserve">. </w:t>
        </w:r>
      </w:hyperlink>
      <w:r>
        <w:t>Não foram localizados dados sobre a prevalência na população geral. O fenótipo grave (com regressão neurológica) pode ser cerca de duas vezes mais prevalente que a forma atenuada da doença</w:t>
      </w:r>
      <w:hyperlink r:id="rId23">
        <w:proofErr w:type="gramStart"/>
        <w:r>
          <w:rPr>
            <w:vertAlign w:val="superscript"/>
          </w:rPr>
          <w:t>21</w:t>
        </w:r>
        <w:r>
          <w:t>;</w:t>
        </w:r>
        <w:proofErr w:type="gramEnd"/>
      </w:hyperlink>
      <w:r>
        <w:t xml:space="preserve"> estima-se que alguma forma de envolvimento neurológico esteja presente em até 84% dos pacientes</w:t>
      </w:r>
      <w:hyperlink r:id="rId24">
        <w:r>
          <w:rPr>
            <w:vertAlign w:val="superscript"/>
          </w:rPr>
          <w:t>22</w:t>
        </w:r>
        <w:r>
          <w:t>.</w:t>
        </w:r>
      </w:hyperlink>
    </w:p>
    <w:p w:rsidR="00A74668" w:rsidRDefault="00421CAF">
      <w:pPr>
        <w:pStyle w:val="Corpodetexto"/>
        <w:ind w:right="581" w:firstLine="1418"/>
      </w:pPr>
      <w:r>
        <w:t>Os dados da Rede MPS Brasil indicam que a MPS II é o tipo</w:t>
      </w:r>
      <w:r>
        <w:t xml:space="preserve"> de MPS mais frequente em nosso país, com 343 casos diagnosticados entre 1982 e 2015 (em torno 10 pacientes/ano). A incidência mínima da MPS II no País seria estimada, portanto, em </w:t>
      </w:r>
      <w:proofErr w:type="gramStart"/>
      <w:r>
        <w:t>1:140</w:t>
      </w:r>
      <w:proofErr w:type="gramEnd"/>
      <w:r>
        <w:t>.000 recém-nascidos vivos</w:t>
      </w:r>
      <w:hyperlink r:id="rId25">
        <w:r>
          <w:rPr>
            <w:vertAlign w:val="superscript"/>
          </w:rPr>
          <w:t>23</w:t>
        </w:r>
        <w:r>
          <w:t xml:space="preserve">. </w:t>
        </w:r>
      </w:hyperlink>
      <w:r>
        <w:t>Atualmente, 229 pacientes com MPS II estão cadastrados pelo Instituto Vidas Raras, organização não governamental formada por pais e pacientes com MPS (comunicação pessoal,</w:t>
      </w:r>
      <w:r>
        <w:rPr>
          <w:spacing w:val="-1"/>
        </w:rPr>
        <w:t xml:space="preserve"> </w:t>
      </w:r>
      <w:r>
        <w:t>2016).</w:t>
      </w:r>
    </w:p>
    <w:p w:rsidR="00A74668" w:rsidRDefault="00421CAF">
      <w:pPr>
        <w:pStyle w:val="Corpodetexto"/>
        <w:ind w:right="579" w:firstLine="1418"/>
      </w:pPr>
      <w:r>
        <w:t>A identificação da doença em seu estágio inicial e o encaminha</w:t>
      </w:r>
      <w:r>
        <w:t xml:space="preserve">mento ágil e adequado para o atendimento especializado </w:t>
      </w:r>
      <w:proofErr w:type="gramStart"/>
      <w:r>
        <w:t>dão</w:t>
      </w:r>
      <w:proofErr w:type="gramEnd"/>
      <w:r>
        <w:t xml:space="preserve"> à Atenção Básica um caráter essencial para um melhor resultado terapêutico e prognóstico dos casos.</w:t>
      </w:r>
    </w:p>
    <w:p w:rsidR="00A74668" w:rsidRDefault="00421CAF">
      <w:pPr>
        <w:pStyle w:val="Corpodetexto"/>
        <w:ind w:right="575" w:firstLine="1418"/>
      </w:pPr>
      <w:r>
        <w:t>Este PCDT visa a definir critérios de diagnóstico, acompanhamento e tratamento, incluindo terapia</w:t>
      </w:r>
      <w:r>
        <w:t xml:space="preserve"> de reposição enzimática intravenosa (TRE IV) com </w:t>
      </w:r>
      <w:proofErr w:type="spellStart"/>
      <w:r>
        <w:t>Idursulfase</w:t>
      </w:r>
      <w:proofErr w:type="spellEnd"/>
      <w:r>
        <w:t xml:space="preserve"> alfa e o TCTH, de pacientes com MPS II. A metodologia de busca e avaliação das evidências estão detalhadas no </w:t>
      </w:r>
      <w:r>
        <w:rPr>
          <w:b/>
        </w:rPr>
        <w:t xml:space="preserve">Apêndice </w:t>
      </w:r>
      <w:proofErr w:type="gramStart"/>
      <w:r>
        <w:rPr>
          <w:b/>
        </w:rPr>
        <w:t>1</w:t>
      </w:r>
      <w:proofErr w:type="gramEnd"/>
      <w:r>
        <w:t>.</w:t>
      </w:r>
    </w:p>
    <w:p w:rsidR="00A74668" w:rsidRDefault="00A74668">
      <w:pPr>
        <w:pStyle w:val="Corpodetexto"/>
        <w:spacing w:before="4"/>
        <w:ind w:left="0"/>
        <w:jc w:val="left"/>
      </w:pPr>
    </w:p>
    <w:p w:rsidR="00A74668" w:rsidRDefault="00421CAF">
      <w:pPr>
        <w:pStyle w:val="PargrafodaLista"/>
        <w:numPr>
          <w:ilvl w:val="0"/>
          <w:numId w:val="16"/>
        </w:numPr>
        <w:tabs>
          <w:tab w:val="left" w:pos="2357"/>
          <w:tab w:val="left" w:pos="2358"/>
        </w:tabs>
        <w:ind w:right="576" w:firstLine="1418"/>
        <w:jc w:val="both"/>
        <w:rPr>
          <w:b/>
          <w:sz w:val="20"/>
        </w:rPr>
      </w:pPr>
      <w:r>
        <w:rPr>
          <w:b/>
          <w:sz w:val="20"/>
        </w:rPr>
        <w:t>C</w:t>
      </w:r>
      <w:r>
        <w:rPr>
          <w:b/>
          <w:sz w:val="16"/>
        </w:rPr>
        <w:t>LASSIFICAÇÃO ESTATÍSTICA INTERNACIONAL DE DOENÇAS E PROBLEMAS RELACION</w:t>
      </w:r>
      <w:r>
        <w:rPr>
          <w:b/>
          <w:sz w:val="16"/>
        </w:rPr>
        <w:t>ADOS À SAÚDE</w:t>
      </w:r>
      <w:r>
        <w:rPr>
          <w:b/>
          <w:spacing w:val="-4"/>
          <w:sz w:val="16"/>
        </w:rPr>
        <w:t xml:space="preserve"> </w:t>
      </w:r>
      <w:r>
        <w:rPr>
          <w:b/>
          <w:sz w:val="20"/>
        </w:rPr>
        <w:t>(CID-10)</w:t>
      </w:r>
    </w:p>
    <w:p w:rsidR="00A74668" w:rsidRDefault="00421CAF">
      <w:pPr>
        <w:pStyle w:val="Corpodetexto"/>
        <w:spacing w:line="226" w:lineRule="exact"/>
        <w:ind w:left="1651"/>
        <w:jc w:val="left"/>
      </w:pPr>
      <w:r>
        <w:t xml:space="preserve">- </w:t>
      </w:r>
      <w:proofErr w:type="gramStart"/>
      <w:r>
        <w:t>E76.</w:t>
      </w:r>
      <w:proofErr w:type="gramEnd"/>
      <w:r>
        <w:t xml:space="preserve">1 </w:t>
      </w:r>
      <w:proofErr w:type="spellStart"/>
      <w:r>
        <w:t>Mucopolissacaridose</w:t>
      </w:r>
      <w:proofErr w:type="spellEnd"/>
      <w:r>
        <w:t xml:space="preserve"> do tipo II</w:t>
      </w:r>
    </w:p>
    <w:p w:rsidR="00A74668" w:rsidRDefault="00A74668">
      <w:pPr>
        <w:pStyle w:val="Corpodetexto"/>
        <w:spacing w:before="5"/>
        <w:ind w:left="0"/>
        <w:jc w:val="left"/>
      </w:pPr>
    </w:p>
    <w:p w:rsidR="00A74668" w:rsidRDefault="00421CAF">
      <w:pPr>
        <w:pStyle w:val="PargrafodaLista"/>
        <w:numPr>
          <w:ilvl w:val="0"/>
          <w:numId w:val="16"/>
        </w:numPr>
        <w:tabs>
          <w:tab w:val="left" w:pos="2357"/>
          <w:tab w:val="left" w:pos="2358"/>
        </w:tabs>
        <w:ind w:left="2357" w:hanging="706"/>
        <w:jc w:val="left"/>
        <w:rPr>
          <w:b/>
          <w:sz w:val="16"/>
        </w:rPr>
      </w:pPr>
      <w:r>
        <w:rPr>
          <w:b/>
          <w:sz w:val="20"/>
        </w:rPr>
        <w:t>D</w:t>
      </w:r>
      <w:r>
        <w:rPr>
          <w:b/>
          <w:sz w:val="16"/>
        </w:rPr>
        <w:t>IAGNÓSTICO</w:t>
      </w:r>
    </w:p>
    <w:p w:rsidR="00A74668" w:rsidRDefault="00A74668">
      <w:pPr>
        <w:pStyle w:val="Corpodetexto"/>
        <w:spacing w:before="10"/>
        <w:ind w:left="0"/>
        <w:jc w:val="left"/>
        <w:rPr>
          <w:b/>
          <w:sz w:val="19"/>
        </w:rPr>
      </w:pPr>
    </w:p>
    <w:p w:rsidR="00A74668" w:rsidRDefault="00421CAF">
      <w:pPr>
        <w:pStyle w:val="PargrafodaLista"/>
        <w:numPr>
          <w:ilvl w:val="1"/>
          <w:numId w:val="16"/>
        </w:numPr>
        <w:tabs>
          <w:tab w:val="left" w:pos="1954"/>
        </w:tabs>
        <w:spacing w:line="228" w:lineRule="exact"/>
        <w:rPr>
          <w:b/>
          <w:sz w:val="16"/>
        </w:rPr>
      </w:pPr>
      <w:r>
        <w:rPr>
          <w:b/>
          <w:sz w:val="20"/>
        </w:rPr>
        <w:t>S</w:t>
      </w:r>
      <w:r>
        <w:rPr>
          <w:b/>
          <w:sz w:val="16"/>
        </w:rPr>
        <w:t>USPEITA</w:t>
      </w:r>
      <w:r>
        <w:rPr>
          <w:b/>
          <w:spacing w:val="-2"/>
          <w:sz w:val="16"/>
        </w:rPr>
        <w:t xml:space="preserve"> </w:t>
      </w:r>
      <w:r>
        <w:rPr>
          <w:b/>
          <w:sz w:val="16"/>
        </w:rPr>
        <w:t>CLÍNICA</w:t>
      </w:r>
    </w:p>
    <w:p w:rsidR="00A74668" w:rsidRDefault="00421CAF">
      <w:pPr>
        <w:pStyle w:val="Corpodetexto"/>
        <w:ind w:right="580" w:firstLine="1418"/>
      </w:pPr>
      <w:r>
        <w:t xml:space="preserve">O diagnóstico de MPS II deve ser suspeitado em indivíduos do sexo </w:t>
      </w:r>
      <w:r>
        <w:rPr>
          <w:b/>
        </w:rPr>
        <w:t xml:space="preserve">masculino </w:t>
      </w:r>
      <w:r>
        <w:t xml:space="preserve">que apresentem pelo menos um dos seguintes sinais e sintomas, especialmente se combinados </w:t>
      </w:r>
      <w:hyperlink r:id="rId26">
        <w:proofErr w:type="gramStart"/>
        <w:r>
          <w:rPr>
            <w:vertAlign w:val="superscript"/>
          </w:rPr>
          <w:t>15,24</w:t>
        </w:r>
        <w:r>
          <w:t>:</w:t>
        </w:r>
        <w:proofErr w:type="gramEnd"/>
      </w:hyperlink>
    </w:p>
    <w:p w:rsidR="00A74668" w:rsidRDefault="00A74668">
      <w:pPr>
        <w:sectPr w:rsidR="00A74668">
          <w:footerReference w:type="default" r:id="rId27"/>
          <w:pgSz w:w="11910" w:h="16840"/>
          <w:pgMar w:top="1040" w:right="980" w:bottom="440" w:left="900" w:header="0" w:footer="254" w:gutter="0"/>
          <w:pgNumType w:start="2"/>
          <w:cols w:space="720"/>
        </w:sectPr>
      </w:pPr>
    </w:p>
    <w:p w:rsidR="00A74668" w:rsidRDefault="00421CAF">
      <w:pPr>
        <w:pStyle w:val="PargrafodaLista"/>
        <w:numPr>
          <w:ilvl w:val="0"/>
          <w:numId w:val="15"/>
        </w:numPr>
        <w:tabs>
          <w:tab w:val="left" w:pos="1767"/>
        </w:tabs>
        <w:spacing w:before="72"/>
        <w:ind w:firstLine="1418"/>
        <w:jc w:val="left"/>
        <w:rPr>
          <w:sz w:val="20"/>
        </w:rPr>
      </w:pPr>
      <w:r>
        <w:rPr>
          <w:sz w:val="20"/>
        </w:rPr>
        <w:lastRenderedPageBreak/>
        <w:t>Características faciais sugestivas de doença lisossômica (face de</w:t>
      </w:r>
      <w:r>
        <w:rPr>
          <w:spacing w:val="-1"/>
          <w:sz w:val="20"/>
        </w:rPr>
        <w:t xml:space="preserve"> </w:t>
      </w:r>
      <w:r>
        <w:rPr>
          <w:sz w:val="20"/>
        </w:rPr>
        <w:t>“depósito”);</w:t>
      </w:r>
    </w:p>
    <w:p w:rsidR="00A74668" w:rsidRDefault="00421CAF">
      <w:pPr>
        <w:pStyle w:val="PargrafodaLista"/>
        <w:numPr>
          <w:ilvl w:val="0"/>
          <w:numId w:val="15"/>
        </w:numPr>
        <w:tabs>
          <w:tab w:val="left" w:pos="1803"/>
        </w:tabs>
        <w:spacing w:before="1"/>
        <w:ind w:right="587" w:firstLine="1418"/>
        <w:jc w:val="left"/>
        <w:rPr>
          <w:sz w:val="20"/>
        </w:rPr>
      </w:pPr>
      <w:r>
        <w:rPr>
          <w:sz w:val="20"/>
        </w:rPr>
        <w:t>Infecções respiratórias superiores precoces, e de repetição, incluindo otite média, excluídas causas mais frequentes;</w:t>
      </w:r>
    </w:p>
    <w:p w:rsidR="00A74668" w:rsidRDefault="00421CAF">
      <w:pPr>
        <w:pStyle w:val="PargrafodaLista"/>
        <w:numPr>
          <w:ilvl w:val="0"/>
          <w:numId w:val="15"/>
        </w:numPr>
        <w:tabs>
          <w:tab w:val="left" w:pos="1796"/>
        </w:tabs>
        <w:spacing w:before="1"/>
        <w:ind w:left="1795" w:hanging="144"/>
        <w:jc w:val="left"/>
        <w:rPr>
          <w:sz w:val="20"/>
        </w:rPr>
      </w:pPr>
      <w:r>
        <w:rPr>
          <w:sz w:val="20"/>
        </w:rPr>
        <w:t>Hérnia</w:t>
      </w:r>
      <w:r>
        <w:rPr>
          <w:spacing w:val="27"/>
          <w:sz w:val="20"/>
        </w:rPr>
        <w:t xml:space="preserve"> </w:t>
      </w:r>
      <w:r>
        <w:rPr>
          <w:sz w:val="20"/>
        </w:rPr>
        <w:t>inguinal</w:t>
      </w:r>
      <w:r>
        <w:rPr>
          <w:spacing w:val="27"/>
          <w:sz w:val="20"/>
        </w:rPr>
        <w:t xml:space="preserve"> </w:t>
      </w:r>
      <w:r>
        <w:rPr>
          <w:sz w:val="20"/>
        </w:rPr>
        <w:t>ou</w:t>
      </w:r>
      <w:r>
        <w:rPr>
          <w:spacing w:val="28"/>
          <w:sz w:val="20"/>
        </w:rPr>
        <w:t xml:space="preserve"> </w:t>
      </w:r>
      <w:r>
        <w:rPr>
          <w:sz w:val="20"/>
        </w:rPr>
        <w:t>umbilical,</w:t>
      </w:r>
      <w:r>
        <w:rPr>
          <w:spacing w:val="28"/>
          <w:sz w:val="20"/>
        </w:rPr>
        <w:t xml:space="preserve"> </w:t>
      </w:r>
      <w:r>
        <w:rPr>
          <w:sz w:val="20"/>
        </w:rPr>
        <w:t>especialmente</w:t>
      </w:r>
      <w:r>
        <w:rPr>
          <w:spacing w:val="27"/>
          <w:sz w:val="20"/>
        </w:rPr>
        <w:t xml:space="preserve"> </w:t>
      </w:r>
      <w:r>
        <w:rPr>
          <w:sz w:val="20"/>
        </w:rPr>
        <w:t>se</w:t>
      </w:r>
      <w:r>
        <w:rPr>
          <w:spacing w:val="27"/>
          <w:sz w:val="20"/>
        </w:rPr>
        <w:t xml:space="preserve"> </w:t>
      </w:r>
      <w:r>
        <w:rPr>
          <w:sz w:val="20"/>
        </w:rPr>
        <w:t>ambas</w:t>
      </w:r>
      <w:r>
        <w:rPr>
          <w:spacing w:val="26"/>
          <w:sz w:val="20"/>
        </w:rPr>
        <w:t xml:space="preserve"> </w:t>
      </w:r>
      <w:r>
        <w:rPr>
          <w:sz w:val="20"/>
        </w:rPr>
        <w:t>e</w:t>
      </w:r>
      <w:r>
        <w:rPr>
          <w:spacing w:val="30"/>
          <w:sz w:val="20"/>
        </w:rPr>
        <w:t xml:space="preserve"> </w:t>
      </w:r>
      <w:r>
        <w:rPr>
          <w:sz w:val="20"/>
        </w:rPr>
        <w:t>em</w:t>
      </w:r>
      <w:r>
        <w:rPr>
          <w:spacing w:val="23"/>
          <w:sz w:val="20"/>
        </w:rPr>
        <w:t xml:space="preserve"> </w:t>
      </w:r>
      <w:r>
        <w:rPr>
          <w:sz w:val="20"/>
        </w:rPr>
        <w:t>crianças,</w:t>
      </w:r>
      <w:r>
        <w:rPr>
          <w:spacing w:val="27"/>
          <w:sz w:val="20"/>
        </w:rPr>
        <w:t xml:space="preserve"> </w:t>
      </w:r>
      <w:r>
        <w:rPr>
          <w:sz w:val="20"/>
        </w:rPr>
        <w:t>excluídas</w:t>
      </w:r>
      <w:r>
        <w:rPr>
          <w:spacing w:val="27"/>
          <w:sz w:val="20"/>
        </w:rPr>
        <w:t xml:space="preserve"> </w:t>
      </w:r>
      <w:r>
        <w:rPr>
          <w:sz w:val="20"/>
        </w:rPr>
        <w:t>causas</w:t>
      </w:r>
      <w:r>
        <w:rPr>
          <w:spacing w:val="29"/>
          <w:sz w:val="20"/>
        </w:rPr>
        <w:t xml:space="preserve"> </w:t>
      </w:r>
      <w:proofErr w:type="gramStart"/>
      <w:r>
        <w:rPr>
          <w:sz w:val="20"/>
        </w:rPr>
        <w:t>mais</w:t>
      </w:r>
      <w:proofErr w:type="gramEnd"/>
    </w:p>
    <w:p w:rsidR="00A74668" w:rsidRDefault="00A74668">
      <w:pPr>
        <w:rPr>
          <w:sz w:val="20"/>
        </w:rPr>
        <w:sectPr w:rsidR="00A74668">
          <w:pgSz w:w="11910" w:h="16840"/>
          <w:pgMar w:top="1040" w:right="980" w:bottom="440" w:left="900" w:header="0" w:footer="254" w:gutter="0"/>
          <w:cols w:space="720"/>
        </w:sectPr>
      </w:pPr>
    </w:p>
    <w:p w:rsidR="00A74668" w:rsidRDefault="00421CAF">
      <w:pPr>
        <w:pStyle w:val="Corpodetexto"/>
        <w:jc w:val="left"/>
      </w:pPr>
      <w:proofErr w:type="gramStart"/>
      <w:r>
        <w:lastRenderedPageBreak/>
        <w:t>frequentes</w:t>
      </w:r>
      <w:proofErr w:type="gramEnd"/>
      <w:r>
        <w:t>;</w:t>
      </w:r>
    </w:p>
    <w:p w:rsidR="00A74668" w:rsidRDefault="00421CAF">
      <w:pPr>
        <w:pStyle w:val="Corpodetexto"/>
        <w:ind w:left="0"/>
        <w:jc w:val="left"/>
      </w:pPr>
      <w:r>
        <w:br w:type="column"/>
      </w:r>
    </w:p>
    <w:p w:rsidR="00A74668" w:rsidRDefault="00421CAF">
      <w:pPr>
        <w:pStyle w:val="PargrafodaLista"/>
        <w:numPr>
          <w:ilvl w:val="0"/>
          <w:numId w:val="14"/>
        </w:numPr>
        <w:tabs>
          <w:tab w:val="left" w:pos="349"/>
        </w:tabs>
        <w:spacing w:before="1" w:line="229" w:lineRule="exact"/>
        <w:ind w:firstLine="0"/>
        <w:jc w:val="left"/>
        <w:rPr>
          <w:sz w:val="20"/>
        </w:rPr>
      </w:pPr>
      <w:proofErr w:type="spellStart"/>
      <w:r>
        <w:rPr>
          <w:sz w:val="20"/>
        </w:rPr>
        <w:t>Hepatoesplenomegalia</w:t>
      </w:r>
      <w:proofErr w:type="spellEnd"/>
      <w:r>
        <w:rPr>
          <w:sz w:val="20"/>
        </w:rPr>
        <w:t>, excluídas causas mais</w:t>
      </w:r>
      <w:r>
        <w:rPr>
          <w:spacing w:val="1"/>
          <w:sz w:val="20"/>
        </w:rPr>
        <w:t xml:space="preserve"> </w:t>
      </w:r>
      <w:r>
        <w:rPr>
          <w:sz w:val="20"/>
        </w:rPr>
        <w:t>frequentes;</w:t>
      </w:r>
    </w:p>
    <w:p w:rsidR="00A74668" w:rsidRDefault="00421CAF">
      <w:pPr>
        <w:pStyle w:val="Corpodetexto"/>
        <w:spacing w:line="229" w:lineRule="exact"/>
        <w:jc w:val="left"/>
      </w:pPr>
      <w:r>
        <w:t>-Alterações esqueléticas ou articulares típicas [</w:t>
      </w:r>
      <w:proofErr w:type="spellStart"/>
      <w:r>
        <w:t>disostose</w:t>
      </w:r>
      <w:proofErr w:type="spellEnd"/>
      <w:r>
        <w:t xml:space="preserve"> múltipla, giba, limitação da </w:t>
      </w:r>
      <w:proofErr w:type="gramStart"/>
      <w:r>
        <w:t>amplitude</w:t>
      </w:r>
      <w:proofErr w:type="gramEnd"/>
    </w:p>
    <w:p w:rsidR="00A74668" w:rsidRDefault="00A74668">
      <w:pPr>
        <w:spacing w:line="229" w:lineRule="exact"/>
        <w:sectPr w:rsidR="00A74668">
          <w:type w:val="continuous"/>
          <w:pgSz w:w="11910" w:h="16840"/>
          <w:pgMar w:top="1360" w:right="980" w:bottom="280" w:left="900" w:header="720" w:footer="720" w:gutter="0"/>
          <w:cols w:num="2" w:space="720" w:equalWidth="0">
            <w:col w:w="1159" w:space="259"/>
            <w:col w:w="8612"/>
          </w:cols>
        </w:sectPr>
      </w:pPr>
    </w:p>
    <w:p w:rsidR="00A74668" w:rsidRDefault="00421CAF">
      <w:pPr>
        <w:pStyle w:val="Corpodetexto"/>
        <w:jc w:val="left"/>
      </w:pPr>
      <w:proofErr w:type="gramStart"/>
      <w:r>
        <w:lastRenderedPageBreak/>
        <w:t>de</w:t>
      </w:r>
      <w:proofErr w:type="gramEnd"/>
      <w:r>
        <w:t xml:space="preserve"> movimento (AM) das articulações];</w:t>
      </w:r>
    </w:p>
    <w:p w:rsidR="00A74668" w:rsidRDefault="00421CAF">
      <w:pPr>
        <w:pStyle w:val="Corpodetexto"/>
        <w:spacing w:before="1"/>
        <w:ind w:left="1651"/>
        <w:jc w:val="left"/>
      </w:pPr>
      <w:r>
        <w:t>- Mãos em garra;</w:t>
      </w:r>
    </w:p>
    <w:p w:rsidR="00A74668" w:rsidRDefault="00421CAF">
      <w:pPr>
        <w:pStyle w:val="Corpodetexto"/>
        <w:ind w:left="1651"/>
        <w:jc w:val="left"/>
      </w:pPr>
      <w:r>
        <w:t>-Achados oculares característicos (</w:t>
      </w:r>
      <w:proofErr w:type="spellStart"/>
      <w:r>
        <w:t>papiledema</w:t>
      </w:r>
      <w:proofErr w:type="spellEnd"/>
      <w:r>
        <w:t xml:space="preserve">, atrofia óptica e, raramente, </w:t>
      </w:r>
      <w:proofErr w:type="spellStart"/>
      <w:r>
        <w:t>opacificação</w:t>
      </w:r>
      <w:proofErr w:type="spellEnd"/>
      <w:r>
        <w:t xml:space="preserve"> </w:t>
      </w:r>
      <w:proofErr w:type="gramStart"/>
      <w:r>
        <w:t>de</w:t>
      </w:r>
      <w:proofErr w:type="gramEnd"/>
    </w:p>
    <w:p w:rsidR="00A74668" w:rsidRDefault="00A74668">
      <w:pPr>
        <w:sectPr w:rsidR="00A74668">
          <w:type w:val="continuous"/>
          <w:pgSz w:w="11910" w:h="16840"/>
          <w:pgMar w:top="1360" w:right="980" w:bottom="280" w:left="900" w:header="720" w:footer="720" w:gutter="0"/>
          <w:cols w:space="720"/>
        </w:sectPr>
      </w:pPr>
    </w:p>
    <w:p w:rsidR="00A74668" w:rsidRDefault="00421CAF">
      <w:pPr>
        <w:pStyle w:val="Corpodetexto"/>
        <w:jc w:val="left"/>
      </w:pPr>
      <w:proofErr w:type="gramStart"/>
      <w:r>
        <w:lastRenderedPageBreak/>
        <w:t>córnea</w:t>
      </w:r>
      <w:proofErr w:type="gramEnd"/>
      <w:r>
        <w:t>);</w:t>
      </w:r>
    </w:p>
    <w:p w:rsidR="00A74668" w:rsidRDefault="00421CAF">
      <w:pPr>
        <w:pStyle w:val="Corpodetexto"/>
        <w:spacing w:before="1"/>
        <w:ind w:left="0"/>
        <w:jc w:val="left"/>
      </w:pPr>
      <w:r>
        <w:br w:type="column"/>
      </w:r>
    </w:p>
    <w:p w:rsidR="00A74668" w:rsidRDefault="00421CAF">
      <w:pPr>
        <w:pStyle w:val="PargrafodaLista"/>
        <w:numPr>
          <w:ilvl w:val="0"/>
          <w:numId w:val="14"/>
        </w:numPr>
        <w:tabs>
          <w:tab w:val="left" w:pos="349"/>
        </w:tabs>
        <w:spacing w:line="229" w:lineRule="exact"/>
        <w:ind w:firstLine="0"/>
        <w:jc w:val="left"/>
        <w:rPr>
          <w:sz w:val="20"/>
        </w:rPr>
      </w:pPr>
      <w:r>
        <w:rPr>
          <w:sz w:val="20"/>
        </w:rPr>
        <w:t>Síndrome do túnel do carpo em</w:t>
      </w:r>
      <w:r>
        <w:rPr>
          <w:spacing w:val="-4"/>
          <w:sz w:val="20"/>
        </w:rPr>
        <w:t xml:space="preserve"> </w:t>
      </w:r>
      <w:r>
        <w:rPr>
          <w:sz w:val="20"/>
        </w:rPr>
        <w:t>crianças;</w:t>
      </w:r>
    </w:p>
    <w:p w:rsidR="00A74668" w:rsidRDefault="00421CAF">
      <w:pPr>
        <w:pStyle w:val="PargrafodaLista"/>
        <w:numPr>
          <w:ilvl w:val="0"/>
          <w:numId w:val="14"/>
        </w:numPr>
        <w:tabs>
          <w:tab w:val="left" w:pos="349"/>
        </w:tabs>
        <w:spacing w:line="229" w:lineRule="exact"/>
        <w:ind w:firstLine="0"/>
        <w:jc w:val="left"/>
        <w:rPr>
          <w:sz w:val="20"/>
        </w:rPr>
      </w:pPr>
      <w:r>
        <w:rPr>
          <w:sz w:val="20"/>
        </w:rPr>
        <w:t>Irmão (sexo mas</w:t>
      </w:r>
      <w:r>
        <w:rPr>
          <w:sz w:val="20"/>
        </w:rPr>
        <w:t>culino) com MPS II;</w:t>
      </w:r>
    </w:p>
    <w:p w:rsidR="00A74668" w:rsidRDefault="00421CAF">
      <w:pPr>
        <w:pStyle w:val="PargrafodaLista"/>
        <w:numPr>
          <w:ilvl w:val="0"/>
          <w:numId w:val="14"/>
        </w:numPr>
        <w:tabs>
          <w:tab w:val="left" w:pos="349"/>
        </w:tabs>
        <w:ind w:firstLine="0"/>
        <w:jc w:val="left"/>
        <w:rPr>
          <w:sz w:val="20"/>
        </w:rPr>
      </w:pPr>
      <w:r>
        <w:rPr>
          <w:sz w:val="20"/>
        </w:rPr>
        <w:t>Primo (sexo masculino) ou tio, pelo lado materno, com MPS</w:t>
      </w:r>
      <w:r>
        <w:rPr>
          <w:spacing w:val="-2"/>
          <w:sz w:val="20"/>
        </w:rPr>
        <w:t xml:space="preserve"> </w:t>
      </w:r>
      <w:r>
        <w:rPr>
          <w:sz w:val="20"/>
        </w:rPr>
        <w:t>II;</w:t>
      </w:r>
    </w:p>
    <w:p w:rsidR="00A74668" w:rsidRDefault="00421CAF">
      <w:pPr>
        <w:pStyle w:val="PargrafodaLista"/>
        <w:numPr>
          <w:ilvl w:val="0"/>
          <w:numId w:val="14"/>
        </w:numPr>
        <w:tabs>
          <w:tab w:val="left" w:pos="349"/>
        </w:tabs>
        <w:spacing w:before="1"/>
        <w:ind w:firstLine="0"/>
        <w:jc w:val="left"/>
        <w:rPr>
          <w:sz w:val="20"/>
        </w:rPr>
      </w:pPr>
      <w:r>
        <w:rPr>
          <w:sz w:val="20"/>
        </w:rPr>
        <w:t>História familial de MPS compatível com herança recessiva ligada ao</w:t>
      </w:r>
      <w:r>
        <w:rPr>
          <w:spacing w:val="-10"/>
          <w:sz w:val="20"/>
        </w:rPr>
        <w:t xml:space="preserve"> </w:t>
      </w:r>
      <w:r>
        <w:rPr>
          <w:sz w:val="20"/>
        </w:rPr>
        <w:t>X.</w:t>
      </w:r>
    </w:p>
    <w:p w:rsidR="00A74668" w:rsidRDefault="00421CAF">
      <w:pPr>
        <w:pStyle w:val="Corpodetexto"/>
        <w:spacing w:before="1"/>
        <w:jc w:val="left"/>
      </w:pPr>
      <w:r>
        <w:t xml:space="preserve">Contudo, os achados clínicos variam de acordo com a gravidade da doença e, por si só, não </w:t>
      </w:r>
      <w:proofErr w:type="gramStart"/>
      <w:r>
        <w:t>são</w:t>
      </w:r>
      <w:proofErr w:type="gramEnd"/>
    </w:p>
    <w:p w:rsidR="00A74668" w:rsidRDefault="00A74668">
      <w:pPr>
        <w:sectPr w:rsidR="00A74668">
          <w:type w:val="continuous"/>
          <w:pgSz w:w="11910" w:h="16840"/>
          <w:pgMar w:top="1360" w:right="980" w:bottom="280" w:left="900" w:header="720" w:footer="720" w:gutter="0"/>
          <w:cols w:num="2" w:space="720" w:equalWidth="0">
            <w:col w:w="928" w:space="490"/>
            <w:col w:w="8612"/>
          </w:cols>
        </w:sectPr>
      </w:pPr>
    </w:p>
    <w:p w:rsidR="00A74668" w:rsidRDefault="00421CAF">
      <w:pPr>
        <w:pStyle w:val="Corpodetexto"/>
        <w:jc w:val="left"/>
      </w:pPr>
      <w:proofErr w:type="gramStart"/>
      <w:r>
        <w:lastRenderedPageBreak/>
        <w:t>diagnósticos</w:t>
      </w:r>
      <w:proofErr w:type="gramEnd"/>
      <w:r>
        <w:t>. Assim, a suspeita clínica deve ser confirmada por análises bioquímicas ou genéticas.</w:t>
      </w:r>
    </w:p>
    <w:p w:rsidR="00A74668" w:rsidRDefault="00A74668">
      <w:pPr>
        <w:pStyle w:val="Corpodetexto"/>
        <w:spacing w:before="3"/>
        <w:ind w:left="0"/>
        <w:jc w:val="left"/>
      </w:pPr>
    </w:p>
    <w:p w:rsidR="00A74668" w:rsidRDefault="00421CAF">
      <w:pPr>
        <w:pStyle w:val="PargrafodaLista"/>
        <w:numPr>
          <w:ilvl w:val="1"/>
          <w:numId w:val="16"/>
        </w:numPr>
        <w:tabs>
          <w:tab w:val="left" w:pos="1954"/>
        </w:tabs>
        <w:spacing w:line="228" w:lineRule="exact"/>
        <w:rPr>
          <w:b/>
          <w:sz w:val="16"/>
        </w:rPr>
      </w:pPr>
      <w:r>
        <w:rPr>
          <w:b/>
          <w:sz w:val="20"/>
        </w:rPr>
        <w:t>D</w:t>
      </w:r>
      <w:r>
        <w:rPr>
          <w:b/>
          <w:sz w:val="16"/>
        </w:rPr>
        <w:t>IAGNÓSTICO</w:t>
      </w:r>
      <w:r>
        <w:rPr>
          <w:b/>
          <w:spacing w:val="-4"/>
          <w:sz w:val="16"/>
        </w:rPr>
        <w:t xml:space="preserve"> </w:t>
      </w:r>
      <w:r>
        <w:rPr>
          <w:b/>
          <w:sz w:val="16"/>
        </w:rPr>
        <w:t>LABORATORIAL</w:t>
      </w:r>
    </w:p>
    <w:p w:rsidR="00A74668" w:rsidRDefault="00421CAF">
      <w:pPr>
        <w:pStyle w:val="Corpodetexto"/>
        <w:ind w:right="579" w:firstLine="1418"/>
      </w:pPr>
      <w:r>
        <w:t xml:space="preserve">A confirmação do diagnóstico de MPS II, em um paciente masculino, pode envolver métodos bioquímicos ou </w:t>
      </w:r>
      <w:r>
        <w:t>genéticos, conforme descrito abaixo.</w:t>
      </w:r>
    </w:p>
    <w:p w:rsidR="00A74668" w:rsidRDefault="00A74668">
      <w:pPr>
        <w:pStyle w:val="Corpodetexto"/>
        <w:spacing w:before="4"/>
        <w:ind w:left="0"/>
        <w:jc w:val="left"/>
      </w:pPr>
    </w:p>
    <w:p w:rsidR="00A74668" w:rsidRDefault="00421CAF">
      <w:pPr>
        <w:pStyle w:val="Ttulo1"/>
        <w:numPr>
          <w:ilvl w:val="2"/>
          <w:numId w:val="16"/>
        </w:numPr>
        <w:tabs>
          <w:tab w:val="left" w:pos="2104"/>
        </w:tabs>
        <w:spacing w:line="227" w:lineRule="exact"/>
        <w:ind w:hanging="452"/>
      </w:pPr>
      <w:r>
        <w:t>Atividade da</w:t>
      </w:r>
      <w:r>
        <w:rPr>
          <w:spacing w:val="1"/>
        </w:rPr>
        <w:t xml:space="preserve"> </w:t>
      </w:r>
      <w:r>
        <w:t>IDS</w:t>
      </w:r>
    </w:p>
    <w:p w:rsidR="00A74668" w:rsidRDefault="00421CAF">
      <w:pPr>
        <w:pStyle w:val="Corpodetexto"/>
        <w:ind w:right="578" w:firstLine="1418"/>
      </w:pPr>
      <w:r>
        <w:t xml:space="preserve">A redução ou ausência de atividade da IDS em fibroblastos, leucócitos, sangue impregnado em papel-filtro ou plasma sugere fortemente o diagnóstico de MPS II, mas não é suficiente para confirmá-lo como </w:t>
      </w:r>
      <w:r>
        <w:t xml:space="preserve">único teste, entre </w:t>
      </w:r>
      <w:proofErr w:type="gramStart"/>
      <w:r>
        <w:t xml:space="preserve">outros devido à possibilidade de ocorrência de deficiência de múltiplas </w:t>
      </w:r>
      <w:proofErr w:type="spellStart"/>
      <w:r>
        <w:t>sulfatases</w:t>
      </w:r>
      <w:proofErr w:type="spellEnd"/>
      <w:r>
        <w:t>, doença</w:t>
      </w:r>
      <w:proofErr w:type="gramEnd"/>
      <w:r>
        <w:t xml:space="preserve"> genética causada por mutações no gene </w:t>
      </w:r>
      <w:r>
        <w:rPr>
          <w:i/>
        </w:rPr>
        <w:t>SUMF1</w:t>
      </w:r>
      <w:r>
        <w:t xml:space="preserve">. É necessária, portanto, a documentação de atividade normal de ao menos </w:t>
      </w:r>
      <w:proofErr w:type="gramStart"/>
      <w:r>
        <w:t>uma outra</w:t>
      </w:r>
      <w:proofErr w:type="gramEnd"/>
      <w:r>
        <w:t xml:space="preserve"> </w:t>
      </w:r>
      <w:proofErr w:type="spellStart"/>
      <w:r>
        <w:t>sulfatase</w:t>
      </w:r>
      <w:proofErr w:type="spellEnd"/>
      <w:r>
        <w:t xml:space="preserve"> (como, por</w:t>
      </w:r>
      <w:r>
        <w:t xml:space="preserve"> exemplo, da </w:t>
      </w:r>
      <w:proofErr w:type="spellStart"/>
      <w:r>
        <w:t>arilsulfatase</w:t>
      </w:r>
      <w:proofErr w:type="spellEnd"/>
      <w:r>
        <w:t xml:space="preserve"> B). A maioria dos pacientes com MPS II apresentam atividade indetectável da IDS</w:t>
      </w:r>
      <w:hyperlink r:id="rId28">
        <w:proofErr w:type="gramStart"/>
        <w:r>
          <w:rPr>
            <w:vertAlign w:val="superscript"/>
          </w:rPr>
          <w:t>15</w:t>
        </w:r>
        <w:r>
          <w:t>.</w:t>
        </w:r>
        <w:proofErr w:type="gramEnd"/>
      </w:hyperlink>
    </w:p>
    <w:p w:rsidR="00A74668" w:rsidRDefault="00421CAF">
      <w:pPr>
        <w:pStyle w:val="Corpodetexto"/>
        <w:ind w:right="577" w:firstLine="1418"/>
      </w:pPr>
      <w:r>
        <w:t>A medida da atividade enzimática em gotas de sangue impregnadas em papel de filtro tem a v</w:t>
      </w:r>
      <w:r>
        <w:t xml:space="preserve">antagem de o papel-filtro ser mais fácil de transportar e manipular, mas deve ser </w:t>
      </w:r>
      <w:proofErr w:type="gramStart"/>
      <w:r>
        <w:t>considerada método de triagem, devido aos casos de falso-positivos e falso-negativos associados</w:t>
      </w:r>
      <w:hyperlink r:id="rId29">
        <w:r>
          <w:rPr>
            <w:vertAlign w:val="superscript"/>
          </w:rPr>
          <w:t>25,26</w:t>
        </w:r>
        <w:proofErr w:type="gramEnd"/>
        <w:r>
          <w:t xml:space="preserve">. </w:t>
        </w:r>
      </w:hyperlink>
      <w:r>
        <w:t>Desta fo</w:t>
      </w:r>
      <w:r>
        <w:t xml:space="preserve">rma sugere-se que a medida da IDS em papel-filtro seja considerada como triagem e que o diagnóstico seja firmado por análise em leucócitos, plasma ou fibroblastos. A medida da atividade da IDS em </w:t>
      </w:r>
      <w:proofErr w:type="spellStart"/>
      <w:r>
        <w:t>vilo</w:t>
      </w:r>
      <w:proofErr w:type="spellEnd"/>
      <w:r>
        <w:t xml:space="preserve"> coriônico cultivado ou </w:t>
      </w:r>
      <w:proofErr w:type="spellStart"/>
      <w:r>
        <w:t>amniócitos</w:t>
      </w:r>
      <w:proofErr w:type="spellEnd"/>
      <w:r>
        <w:t xml:space="preserve"> é rotineiramente util</w:t>
      </w:r>
      <w:r>
        <w:t>izada no diagnóstico pré-natal de MPS II</w:t>
      </w:r>
      <w:hyperlink r:id="rId30">
        <w:proofErr w:type="gramStart"/>
        <w:r>
          <w:rPr>
            <w:vertAlign w:val="superscript"/>
          </w:rPr>
          <w:t>24</w:t>
        </w:r>
        <w:r>
          <w:t>.</w:t>
        </w:r>
        <w:proofErr w:type="gramEnd"/>
      </w:hyperlink>
    </w:p>
    <w:p w:rsidR="00A74668" w:rsidRDefault="00421CAF">
      <w:pPr>
        <w:pStyle w:val="Corpodetexto"/>
        <w:ind w:right="587" w:firstLine="1418"/>
      </w:pPr>
      <w:r>
        <w:t>Como os resultados por vezes diferem entre os laboratórios, é importante que os valores de referência para a atividade da IDS sejam estabelecidos em cada laboratório</w:t>
      </w:r>
      <w:hyperlink r:id="rId31">
        <w:proofErr w:type="gramStart"/>
        <w:r>
          <w:rPr>
            <w:vertAlign w:val="superscript"/>
          </w:rPr>
          <w:t>27</w:t>
        </w:r>
        <w:r>
          <w:t>.</w:t>
        </w:r>
        <w:proofErr w:type="gramEnd"/>
      </w:hyperlink>
    </w:p>
    <w:p w:rsidR="00A74668" w:rsidRDefault="00421CAF">
      <w:pPr>
        <w:pStyle w:val="Corpodetexto"/>
        <w:ind w:right="580" w:firstLine="1418"/>
      </w:pPr>
      <w:r>
        <w:t>O diagnóstico de MPS II em indivíduo do sexo feminino é uma situação muito rara</w:t>
      </w:r>
      <w:hyperlink r:id="rId32">
        <w:r>
          <w:rPr>
            <w:vertAlign w:val="superscript"/>
          </w:rPr>
          <w:t>12,15</w:t>
        </w:r>
        <w:r>
          <w:t xml:space="preserve">. </w:t>
        </w:r>
      </w:hyperlink>
      <w:r>
        <w:t>O modo mais confiável, neste caso e também para o diagnóstico de heterozigotas, é a análise genética</w:t>
      </w:r>
      <w:hyperlink r:id="rId33">
        <w:proofErr w:type="gramStart"/>
        <w:r>
          <w:rPr>
            <w:vertAlign w:val="superscript"/>
          </w:rPr>
          <w:t>24</w:t>
        </w:r>
        <w:r>
          <w:t>.</w:t>
        </w:r>
        <w:proofErr w:type="gramEnd"/>
      </w:hyperlink>
    </w:p>
    <w:p w:rsidR="00A74668" w:rsidRDefault="00A74668">
      <w:pPr>
        <w:pStyle w:val="Corpodetexto"/>
        <w:spacing w:before="4"/>
        <w:ind w:left="0"/>
        <w:jc w:val="left"/>
      </w:pPr>
    </w:p>
    <w:p w:rsidR="00A74668" w:rsidRDefault="00421CAF">
      <w:pPr>
        <w:pStyle w:val="Ttulo1"/>
        <w:numPr>
          <w:ilvl w:val="2"/>
          <w:numId w:val="16"/>
        </w:numPr>
        <w:tabs>
          <w:tab w:val="left" w:pos="2104"/>
        </w:tabs>
        <w:spacing w:line="227" w:lineRule="exact"/>
        <w:ind w:hanging="452"/>
      </w:pPr>
      <w:r>
        <w:t xml:space="preserve">Análise de </w:t>
      </w:r>
      <w:proofErr w:type="spellStart"/>
      <w:proofErr w:type="gramStart"/>
      <w:r>
        <w:t>GAGs</w:t>
      </w:r>
      <w:proofErr w:type="spellEnd"/>
      <w:proofErr w:type="gramEnd"/>
      <w:r>
        <w:rPr>
          <w:spacing w:val="-2"/>
        </w:rPr>
        <w:t xml:space="preserve"> </w:t>
      </w:r>
      <w:r>
        <w:t>urinários</w:t>
      </w:r>
    </w:p>
    <w:p w:rsidR="00A74668" w:rsidRDefault="00421CAF">
      <w:pPr>
        <w:pStyle w:val="Corpodetexto"/>
        <w:ind w:right="579" w:firstLine="1418"/>
      </w:pPr>
      <w:r>
        <w:t xml:space="preserve">A análise de </w:t>
      </w:r>
      <w:proofErr w:type="spellStart"/>
      <w:proofErr w:type="gramStart"/>
      <w:r>
        <w:t>GAGs</w:t>
      </w:r>
      <w:proofErr w:type="spellEnd"/>
      <w:proofErr w:type="gramEnd"/>
      <w:r>
        <w:t xml:space="preserve"> urinários pode ser quantitativa (pelo método espectrofotométrico descrito por de Jong </w:t>
      </w:r>
      <w:r>
        <w:rPr>
          <w:i/>
        </w:rPr>
        <w:t>et al</w:t>
      </w:r>
      <w:r>
        <w:t>. (1991)</w:t>
      </w:r>
      <w:hyperlink r:id="rId34">
        <w:r>
          <w:rPr>
            <w:vertAlign w:val="superscript"/>
          </w:rPr>
          <w:t>28</w:t>
        </w:r>
      </w:hyperlink>
      <w:r>
        <w:t xml:space="preserve"> ou permitir a identificação do tipo de GAG que está sendo excretado em quantidade aumentada na urina (por cromatografia ou eletroforese de </w:t>
      </w:r>
      <w:proofErr w:type="spellStart"/>
      <w:r>
        <w:t>GAGs</w:t>
      </w:r>
      <w:proofErr w:type="spellEnd"/>
      <w:r>
        <w:t>)</w:t>
      </w:r>
      <w:hyperlink r:id="rId35">
        <w:r>
          <w:rPr>
            <w:vertAlign w:val="superscript"/>
          </w:rPr>
          <w:t>28,29</w:t>
        </w:r>
        <w:r>
          <w:t xml:space="preserve">. </w:t>
        </w:r>
      </w:hyperlink>
      <w:r>
        <w:t>Na MPS II, ocorre aumento da excreção do</w:t>
      </w:r>
      <w:r>
        <w:t xml:space="preserve">s sulfatos de </w:t>
      </w:r>
      <w:proofErr w:type="spellStart"/>
      <w:r>
        <w:t>dermatan</w:t>
      </w:r>
      <w:proofErr w:type="spellEnd"/>
      <w:r>
        <w:t xml:space="preserve"> e de heparan</w:t>
      </w:r>
      <w:hyperlink r:id="rId36">
        <w:r>
          <w:rPr>
            <w:vertAlign w:val="superscript"/>
          </w:rPr>
          <w:t>15</w:t>
        </w:r>
        <w:r>
          <w:t xml:space="preserve">. </w:t>
        </w:r>
      </w:hyperlink>
      <w:r>
        <w:t xml:space="preserve">Porém nenhum dos dois métodos prediz a enzima lisossômica deficiente, uma vez que eles não são específicos para as diferentes </w:t>
      </w:r>
      <w:proofErr w:type="spellStart"/>
      <w:r>
        <w:t>MPSs</w:t>
      </w:r>
      <w:proofErr w:type="spellEnd"/>
      <w:r>
        <w:t xml:space="preserve"> (aumento de sulfato de </w:t>
      </w:r>
      <w:proofErr w:type="spellStart"/>
      <w:r>
        <w:t>heparan</w:t>
      </w:r>
      <w:proofErr w:type="spellEnd"/>
      <w:r>
        <w:t xml:space="preserve"> e de </w:t>
      </w:r>
      <w:proofErr w:type="spellStart"/>
      <w:r>
        <w:t>dermatan</w:t>
      </w:r>
      <w:proofErr w:type="spellEnd"/>
      <w:r>
        <w:t xml:space="preserve"> ocorre nas MPS I, II e VII, por exemplo). No entanto, uma anormalidade detectada por um ou ambos métodos sugere a presença provável de algum tipo de MPS, e a necessidade de realização de testes adicionais. A quantificação de </w:t>
      </w:r>
      <w:proofErr w:type="spellStart"/>
      <w:r>
        <w:t>GAGs</w:t>
      </w:r>
      <w:proofErr w:type="spellEnd"/>
      <w:r>
        <w:t xml:space="preserve"> urinários t</w:t>
      </w:r>
      <w:r>
        <w:t>ambém é útil para monitorização do tratamento específico da MPS II, uma vez que, na vigência de tratamento, ocorre diminuição da excreção dessas moléculas</w:t>
      </w:r>
      <w:hyperlink r:id="rId37">
        <w:r>
          <w:rPr>
            <w:vertAlign w:val="superscript"/>
          </w:rPr>
          <w:t>30</w:t>
        </w:r>
        <w:r>
          <w:t>.</w:t>
        </w:r>
      </w:hyperlink>
      <w:r>
        <w:t xml:space="preserve"> Vale observar que os </w:t>
      </w:r>
      <w:proofErr w:type="spellStart"/>
      <w:r>
        <w:t>GAGs</w:t>
      </w:r>
      <w:proofErr w:type="spellEnd"/>
      <w:r>
        <w:t xml:space="preserve"> não podem ser co</w:t>
      </w:r>
      <w:r>
        <w:t>nsiderados como marcador de gravidade da</w:t>
      </w:r>
      <w:r>
        <w:rPr>
          <w:spacing w:val="-1"/>
        </w:rPr>
        <w:t xml:space="preserve"> </w:t>
      </w:r>
      <w:r>
        <w:t>doença</w:t>
      </w:r>
      <w:hyperlink r:id="rId38">
        <w:r>
          <w:rPr>
            <w:vertAlign w:val="superscript"/>
          </w:rPr>
          <w:t>15</w:t>
        </w:r>
        <w:r>
          <w:t>.</w:t>
        </w:r>
      </w:hyperlink>
    </w:p>
    <w:p w:rsidR="00A74668" w:rsidRDefault="00A74668">
      <w:pPr>
        <w:pStyle w:val="Corpodetexto"/>
        <w:spacing w:before="2"/>
        <w:ind w:left="0"/>
        <w:jc w:val="left"/>
      </w:pPr>
    </w:p>
    <w:p w:rsidR="00A74668" w:rsidRDefault="00421CAF">
      <w:pPr>
        <w:pStyle w:val="Ttulo1"/>
        <w:numPr>
          <w:ilvl w:val="2"/>
          <w:numId w:val="16"/>
        </w:numPr>
        <w:tabs>
          <w:tab w:val="left" w:pos="2104"/>
        </w:tabs>
        <w:ind w:hanging="452"/>
        <w:rPr>
          <w:color w:val="212121"/>
        </w:rPr>
      </w:pPr>
      <w:r>
        <w:rPr>
          <w:color w:val="212121"/>
        </w:rPr>
        <w:t>Análise</w:t>
      </w:r>
      <w:r>
        <w:rPr>
          <w:color w:val="212121"/>
          <w:spacing w:val="-1"/>
        </w:rPr>
        <w:t xml:space="preserve"> </w:t>
      </w:r>
      <w:r>
        <w:rPr>
          <w:color w:val="212121"/>
        </w:rPr>
        <w:t>genética</w:t>
      </w:r>
    </w:p>
    <w:p w:rsidR="00A74668" w:rsidRDefault="00421CAF">
      <w:pPr>
        <w:pStyle w:val="Corpodetexto"/>
        <w:ind w:right="577" w:firstLine="1418"/>
      </w:pPr>
      <w:r>
        <w:rPr>
          <w:color w:val="212121"/>
        </w:rPr>
        <w:t xml:space="preserve">A análise do gene </w:t>
      </w:r>
      <w:r>
        <w:rPr>
          <w:i/>
          <w:color w:val="212121"/>
        </w:rPr>
        <w:t xml:space="preserve">IDS </w:t>
      </w:r>
      <w:r>
        <w:rPr>
          <w:color w:val="212121"/>
        </w:rPr>
        <w:t>e a detecção da mutação patogênica causadora da doença em um paciente do sexo masculino pode ser útil para ob</w:t>
      </w:r>
      <w:r>
        <w:rPr>
          <w:color w:val="212121"/>
        </w:rPr>
        <w:t xml:space="preserve">ter o diagnóstico molecular </w:t>
      </w:r>
      <w:proofErr w:type="gramStart"/>
      <w:r>
        <w:rPr>
          <w:color w:val="212121"/>
        </w:rPr>
        <w:t>preciso,</w:t>
      </w:r>
      <w:proofErr w:type="gramEnd"/>
      <w:r>
        <w:rPr>
          <w:color w:val="212121"/>
        </w:rPr>
        <w:t xml:space="preserve"> realizar na família o diagnóstico genético </w:t>
      </w:r>
      <w:proofErr w:type="spellStart"/>
      <w:r>
        <w:rPr>
          <w:color w:val="212121"/>
        </w:rPr>
        <w:t>pré</w:t>
      </w:r>
      <w:proofErr w:type="spellEnd"/>
      <w:r>
        <w:rPr>
          <w:color w:val="212121"/>
        </w:rPr>
        <w:t xml:space="preserve"> e pós-natal e a detecção de heterozigotas, facilitando o aconselhamento genético individual e familiar</w:t>
      </w:r>
      <w:hyperlink r:id="rId39">
        <w:r>
          <w:rPr>
            <w:vertAlign w:val="superscript"/>
          </w:rPr>
          <w:t>15</w:t>
        </w:r>
        <w:r>
          <w:rPr>
            <w:color w:val="212121"/>
          </w:rPr>
          <w:t xml:space="preserve">. </w:t>
        </w:r>
      </w:hyperlink>
      <w:r>
        <w:rPr>
          <w:color w:val="212121"/>
        </w:rPr>
        <w:t>Entretanto</w:t>
      </w:r>
      <w:r>
        <w:rPr>
          <w:color w:val="212121"/>
        </w:rPr>
        <w:t xml:space="preserve">, ocorre grande variação genotípica na MPS II, sendo que aproximadamente 500 diferentes mutações já foram descritas para o gene </w:t>
      </w:r>
      <w:r>
        <w:rPr>
          <w:i/>
          <w:color w:val="212121"/>
        </w:rPr>
        <w:t>IDS</w:t>
      </w:r>
      <w:r>
        <w:rPr>
          <w:color w:val="212121"/>
        </w:rPr>
        <w:t>, muitas das quais (70%) são mutações privadas</w:t>
      </w:r>
      <w:hyperlink r:id="rId40">
        <w:r>
          <w:rPr>
            <w:vertAlign w:val="superscript"/>
          </w:rPr>
          <w:t>31</w:t>
        </w:r>
        <w:r>
          <w:rPr>
            <w:color w:val="212121"/>
          </w:rPr>
          <w:t xml:space="preserve">. </w:t>
        </w:r>
      </w:hyperlink>
      <w:proofErr w:type="gramStart"/>
      <w:r>
        <w:rPr>
          <w:color w:val="212121"/>
        </w:rPr>
        <w:t>Cerca de 82</w:t>
      </w:r>
      <w:proofErr w:type="gramEnd"/>
      <w:r>
        <w:rPr>
          <w:color w:val="212121"/>
        </w:rPr>
        <w:t xml:space="preserve">% dos pacientes apresentam mutações de ponto ou pequenas inserções/deleções, 9% deleções de </w:t>
      </w:r>
      <w:proofErr w:type="spellStart"/>
      <w:r>
        <w:rPr>
          <w:color w:val="212121"/>
        </w:rPr>
        <w:t>éxons</w:t>
      </w:r>
      <w:proofErr w:type="spellEnd"/>
      <w:r>
        <w:rPr>
          <w:color w:val="212121"/>
        </w:rPr>
        <w:t xml:space="preserve"> ou do gene inteiro e, 9%, rearranjos complexos resultantes principalmente da recombinação com o pseudogene </w:t>
      </w:r>
      <w:r>
        <w:rPr>
          <w:i/>
          <w:color w:val="212121"/>
        </w:rPr>
        <w:t xml:space="preserve">IDSP1, </w:t>
      </w:r>
      <w:r>
        <w:rPr>
          <w:color w:val="212121"/>
        </w:rPr>
        <w:t xml:space="preserve">localizado 25kb </w:t>
      </w:r>
      <w:proofErr w:type="spellStart"/>
      <w:r>
        <w:rPr>
          <w:color w:val="212121"/>
        </w:rPr>
        <w:t>telomérico</w:t>
      </w:r>
      <w:proofErr w:type="spellEnd"/>
      <w:r>
        <w:rPr>
          <w:color w:val="212121"/>
        </w:rPr>
        <w:t xml:space="preserve"> ao </w:t>
      </w:r>
      <w:r>
        <w:rPr>
          <w:i/>
        </w:rPr>
        <w:t>IDS</w:t>
      </w:r>
      <w:hyperlink r:id="rId41">
        <w:r>
          <w:rPr>
            <w:vertAlign w:val="superscript"/>
          </w:rPr>
          <w:t>15</w:t>
        </w:r>
        <w:r>
          <w:rPr>
            <w:i/>
          </w:rPr>
          <w:t xml:space="preserve">. </w:t>
        </w:r>
      </w:hyperlink>
      <w:r>
        <w:rPr>
          <w:color w:val="212121"/>
        </w:rPr>
        <w:t xml:space="preserve">A taxa de detecção de variantes patogênicas por sequenciamento pelo método Sanger das regiões </w:t>
      </w:r>
      <w:proofErr w:type="spellStart"/>
      <w:r>
        <w:rPr>
          <w:color w:val="212121"/>
        </w:rPr>
        <w:t>exônicas</w:t>
      </w:r>
      <w:proofErr w:type="spellEnd"/>
      <w:r>
        <w:rPr>
          <w:color w:val="212121"/>
        </w:rPr>
        <w:t xml:space="preserve"> e </w:t>
      </w:r>
      <w:proofErr w:type="spellStart"/>
      <w:r>
        <w:rPr>
          <w:color w:val="212121"/>
        </w:rPr>
        <w:t>éxon-íntron</w:t>
      </w:r>
      <w:proofErr w:type="spellEnd"/>
      <w:r>
        <w:rPr>
          <w:color w:val="212121"/>
        </w:rPr>
        <w:t xml:space="preserve"> do gene </w:t>
      </w:r>
      <w:r>
        <w:rPr>
          <w:i/>
          <w:color w:val="212121"/>
        </w:rPr>
        <w:t xml:space="preserve">IDS </w:t>
      </w:r>
      <w:r>
        <w:rPr>
          <w:color w:val="212121"/>
        </w:rPr>
        <w:t xml:space="preserve">é de aproximadamente 82% </w:t>
      </w:r>
      <w:hyperlink r:id="rId42">
        <w:proofErr w:type="gramStart"/>
        <w:r>
          <w:rPr>
            <w:vertAlign w:val="superscript"/>
          </w:rPr>
          <w:t>32,33</w:t>
        </w:r>
        <w:r>
          <w:rPr>
            <w:color w:val="212121"/>
          </w:rPr>
          <w:t>.</w:t>
        </w:r>
        <w:proofErr w:type="gramEnd"/>
      </w:hyperlink>
    </w:p>
    <w:p w:rsidR="00A74668" w:rsidRDefault="00A74668">
      <w:pPr>
        <w:sectPr w:rsidR="00A74668">
          <w:type w:val="continuous"/>
          <w:pgSz w:w="11910" w:h="16840"/>
          <w:pgMar w:top="1360" w:right="980" w:bottom="280" w:left="900" w:header="720" w:footer="720" w:gutter="0"/>
          <w:cols w:space="720"/>
        </w:sectPr>
      </w:pPr>
    </w:p>
    <w:p w:rsidR="00A74668" w:rsidRDefault="00421CAF">
      <w:pPr>
        <w:pStyle w:val="Ttulo1"/>
        <w:numPr>
          <w:ilvl w:val="2"/>
          <w:numId w:val="16"/>
        </w:numPr>
        <w:tabs>
          <w:tab w:val="left" w:pos="2104"/>
        </w:tabs>
        <w:spacing w:before="68"/>
        <w:ind w:hanging="452"/>
        <w:rPr>
          <w:color w:val="212121"/>
        </w:rPr>
      </w:pPr>
      <w:r>
        <w:rPr>
          <w:color w:val="212121"/>
        </w:rPr>
        <w:lastRenderedPageBreak/>
        <w:t>Associação genótipo-fenótipo clínico</w:t>
      </w:r>
    </w:p>
    <w:p w:rsidR="00A74668" w:rsidRDefault="00421CAF">
      <w:pPr>
        <w:pStyle w:val="Corpodetexto"/>
        <w:ind w:right="580" w:firstLine="1418"/>
      </w:pPr>
      <w:r>
        <w:rPr>
          <w:color w:val="212121"/>
        </w:rPr>
        <w:t xml:space="preserve">A maior importância dos estudos que correlacionam genótipo-fenótipo é a tentativa de identificação, em idade precoce, daqueles indivíduos que apresentarão a forma grave </w:t>
      </w:r>
      <w:r>
        <w:rPr>
          <w:color w:val="212121"/>
          <w:spacing w:val="5"/>
        </w:rPr>
        <w:t xml:space="preserve">da </w:t>
      </w:r>
      <w:r>
        <w:rPr>
          <w:color w:val="212121"/>
        </w:rPr>
        <w:t>do</w:t>
      </w:r>
      <w:r>
        <w:rPr>
          <w:color w:val="212121"/>
        </w:rPr>
        <w:t>ença. No entanto, este tipo de correlação nem sempre é confiável</w:t>
      </w:r>
      <w:hyperlink r:id="rId43">
        <w:proofErr w:type="gramStart"/>
        <w:r>
          <w:rPr>
            <w:vertAlign w:val="superscript"/>
          </w:rPr>
          <w:t>15</w:t>
        </w:r>
        <w:r>
          <w:rPr>
            <w:color w:val="212121"/>
          </w:rPr>
          <w:t>.</w:t>
        </w:r>
        <w:proofErr w:type="gramEnd"/>
      </w:hyperlink>
      <w:r>
        <w:rPr>
          <w:color w:val="212121"/>
        </w:rPr>
        <w:t xml:space="preserve"> Para algumas variantes, há associação, como para a mutação c.1122C&gt;T, que, mais frequentemente, encontra-se associada a um fenótipo </w:t>
      </w:r>
      <w:r>
        <w:rPr>
          <w:color w:val="212121"/>
        </w:rPr>
        <w:t>lentamente progressivo e inteligência normal</w:t>
      </w:r>
      <w:hyperlink r:id="rId44">
        <w:r>
          <w:rPr>
            <w:vertAlign w:val="superscript"/>
          </w:rPr>
          <w:t>34</w:t>
        </w:r>
        <w:r>
          <w:t xml:space="preserve">; </w:t>
        </w:r>
      </w:hyperlink>
      <w:r>
        <w:rPr>
          <w:color w:val="212121"/>
        </w:rPr>
        <w:t xml:space="preserve">para a mutação p.Ser333Leu que, mais frequentemente, encontra-se associada ao fenótipo grave; e para  a deleção total do gene </w:t>
      </w:r>
      <w:r>
        <w:rPr>
          <w:i/>
          <w:color w:val="212121"/>
        </w:rPr>
        <w:t xml:space="preserve">IDS </w:t>
      </w:r>
      <w:r>
        <w:rPr>
          <w:color w:val="212121"/>
        </w:rPr>
        <w:t>e rearranjos complexos</w:t>
      </w:r>
      <w:r>
        <w:rPr>
          <w:color w:val="212121"/>
        </w:rPr>
        <w:t>, que também costumam associar-se à forma</w:t>
      </w:r>
      <w:r>
        <w:rPr>
          <w:color w:val="212121"/>
          <w:spacing w:val="-12"/>
        </w:rPr>
        <w:t xml:space="preserve"> </w:t>
      </w:r>
      <w:r>
        <w:rPr>
          <w:color w:val="212121"/>
        </w:rPr>
        <w:t>grave</w:t>
      </w:r>
      <w:hyperlink r:id="rId45">
        <w:r>
          <w:rPr>
            <w:vertAlign w:val="superscript"/>
          </w:rPr>
          <w:t>34,35</w:t>
        </w:r>
        <w:r>
          <w:t>.</w:t>
        </w:r>
      </w:hyperlink>
    </w:p>
    <w:p w:rsidR="00A74668" w:rsidRDefault="00A74668">
      <w:pPr>
        <w:pStyle w:val="Corpodetexto"/>
        <w:spacing w:before="3"/>
        <w:ind w:left="0"/>
        <w:jc w:val="left"/>
      </w:pPr>
    </w:p>
    <w:p w:rsidR="00A74668" w:rsidRDefault="00421CAF">
      <w:pPr>
        <w:pStyle w:val="PargrafodaLista"/>
        <w:numPr>
          <w:ilvl w:val="0"/>
          <w:numId w:val="16"/>
        </w:numPr>
        <w:tabs>
          <w:tab w:val="left" w:pos="2357"/>
          <w:tab w:val="left" w:pos="2358"/>
        </w:tabs>
        <w:spacing w:line="228" w:lineRule="exact"/>
        <w:ind w:left="2357" w:hanging="706"/>
        <w:jc w:val="left"/>
        <w:rPr>
          <w:b/>
          <w:sz w:val="16"/>
        </w:rPr>
      </w:pPr>
      <w:r>
        <w:rPr>
          <w:b/>
          <w:sz w:val="20"/>
        </w:rPr>
        <w:t>C</w:t>
      </w:r>
      <w:r>
        <w:rPr>
          <w:b/>
          <w:sz w:val="16"/>
        </w:rPr>
        <w:t>RITÉRIOS DE INCLUSÃO E</w:t>
      </w:r>
      <w:r>
        <w:rPr>
          <w:b/>
          <w:spacing w:val="-5"/>
          <w:sz w:val="16"/>
        </w:rPr>
        <w:t xml:space="preserve"> </w:t>
      </w:r>
      <w:r>
        <w:rPr>
          <w:b/>
          <w:sz w:val="16"/>
        </w:rPr>
        <w:t>EXCLUSÃO</w:t>
      </w:r>
    </w:p>
    <w:p w:rsidR="00A74668" w:rsidRDefault="00421CAF">
      <w:pPr>
        <w:pStyle w:val="Corpodetexto"/>
        <w:ind w:right="584" w:firstLine="1418"/>
      </w:pPr>
      <w:r>
        <w:t>Serão incluídos neste PCDT todos os pacientes do sexo masculino que apresentarem pelo menos um dos sinais ou sintomas descritos no item 3.1 – Suspeita Clínica, deste Protocolo, e confirmação do diagnóstico de MPS II de acordo com um dos critérios abaixo re</w:t>
      </w:r>
      <w:r>
        <w:t>lacionados.</w:t>
      </w:r>
    </w:p>
    <w:p w:rsidR="00A74668" w:rsidRDefault="00421CAF">
      <w:pPr>
        <w:pStyle w:val="PargrafodaLista"/>
        <w:numPr>
          <w:ilvl w:val="0"/>
          <w:numId w:val="13"/>
        </w:numPr>
        <w:tabs>
          <w:tab w:val="left" w:pos="1813"/>
        </w:tabs>
        <w:ind w:right="582" w:firstLine="1418"/>
        <w:rPr>
          <w:b/>
          <w:sz w:val="20"/>
        </w:rPr>
      </w:pPr>
      <w:r>
        <w:rPr>
          <w:sz w:val="20"/>
        </w:rPr>
        <w:t xml:space="preserve">Atividade da enzima IDS &lt; 10% do limite inferior dos valores de referência em plasma, leucócitos ou fibroblastos, </w:t>
      </w:r>
      <w:r>
        <w:rPr>
          <w:b/>
          <w:sz w:val="20"/>
        </w:rPr>
        <w:t xml:space="preserve">E </w:t>
      </w:r>
      <w:r>
        <w:rPr>
          <w:sz w:val="20"/>
        </w:rPr>
        <w:t xml:space="preserve">atividade normal de pelo menos outra </w:t>
      </w:r>
      <w:proofErr w:type="spellStart"/>
      <w:r>
        <w:rPr>
          <w:sz w:val="20"/>
        </w:rPr>
        <w:t>sulfatase</w:t>
      </w:r>
      <w:proofErr w:type="spellEnd"/>
      <w:r>
        <w:rPr>
          <w:sz w:val="20"/>
        </w:rPr>
        <w:t xml:space="preserve"> (medida na mesma amostra na qual determinada a atividade da IDS) </w:t>
      </w:r>
      <w:r>
        <w:rPr>
          <w:b/>
          <w:sz w:val="20"/>
        </w:rPr>
        <w:t xml:space="preserve">E </w:t>
      </w:r>
      <w:r>
        <w:rPr>
          <w:sz w:val="20"/>
        </w:rPr>
        <w:t>presença de ní</w:t>
      </w:r>
      <w:r>
        <w:rPr>
          <w:sz w:val="20"/>
        </w:rPr>
        <w:t xml:space="preserve">veis aumentados de </w:t>
      </w:r>
      <w:proofErr w:type="spellStart"/>
      <w:proofErr w:type="gramStart"/>
      <w:r>
        <w:rPr>
          <w:sz w:val="20"/>
        </w:rPr>
        <w:t>GAGs</w:t>
      </w:r>
      <w:proofErr w:type="spellEnd"/>
      <w:proofErr w:type="gramEnd"/>
      <w:r>
        <w:rPr>
          <w:sz w:val="20"/>
        </w:rPr>
        <w:t xml:space="preserve"> totais na urina ou de excreção urinária aumentada de sulfatos de </w:t>
      </w:r>
      <w:proofErr w:type="spellStart"/>
      <w:r>
        <w:rPr>
          <w:sz w:val="20"/>
        </w:rPr>
        <w:t>dermatan</w:t>
      </w:r>
      <w:proofErr w:type="spellEnd"/>
      <w:r>
        <w:rPr>
          <w:sz w:val="20"/>
        </w:rPr>
        <w:t xml:space="preserve"> e </w:t>
      </w:r>
      <w:proofErr w:type="spellStart"/>
      <w:r>
        <w:rPr>
          <w:sz w:val="20"/>
        </w:rPr>
        <w:t>heparan</w:t>
      </w:r>
      <w:proofErr w:type="spellEnd"/>
      <w:r>
        <w:rPr>
          <w:sz w:val="20"/>
        </w:rPr>
        <w:t>;</w:t>
      </w:r>
      <w:r>
        <w:rPr>
          <w:spacing w:val="-2"/>
          <w:sz w:val="20"/>
        </w:rPr>
        <w:t xml:space="preserve"> </w:t>
      </w:r>
      <w:r>
        <w:rPr>
          <w:b/>
          <w:sz w:val="20"/>
        </w:rPr>
        <w:t>OU</w:t>
      </w:r>
    </w:p>
    <w:p w:rsidR="00A74668" w:rsidRDefault="00421CAF">
      <w:pPr>
        <w:pStyle w:val="PargrafodaLista"/>
        <w:numPr>
          <w:ilvl w:val="0"/>
          <w:numId w:val="13"/>
        </w:numPr>
        <w:tabs>
          <w:tab w:val="left" w:pos="1767"/>
        </w:tabs>
        <w:ind w:left="1766" w:hanging="115"/>
        <w:jc w:val="left"/>
        <w:rPr>
          <w:sz w:val="20"/>
        </w:rPr>
      </w:pPr>
      <w:r>
        <w:rPr>
          <w:sz w:val="20"/>
        </w:rPr>
        <w:t>Presença de mutação reconhecidamente patogênica no gene</w:t>
      </w:r>
      <w:r>
        <w:rPr>
          <w:spacing w:val="11"/>
          <w:sz w:val="20"/>
        </w:rPr>
        <w:t xml:space="preserve"> </w:t>
      </w:r>
      <w:r>
        <w:rPr>
          <w:i/>
          <w:sz w:val="20"/>
        </w:rPr>
        <w:t>IDS</w:t>
      </w:r>
      <w:r>
        <w:rPr>
          <w:sz w:val="20"/>
        </w:rPr>
        <w:t>.</w:t>
      </w:r>
    </w:p>
    <w:p w:rsidR="00A74668" w:rsidRDefault="00A74668">
      <w:pPr>
        <w:pStyle w:val="Corpodetexto"/>
        <w:spacing w:before="2"/>
        <w:ind w:left="0"/>
        <w:jc w:val="left"/>
      </w:pPr>
    </w:p>
    <w:p w:rsidR="00A74668" w:rsidRDefault="00421CAF">
      <w:pPr>
        <w:pStyle w:val="PargrafodaLista"/>
        <w:numPr>
          <w:ilvl w:val="1"/>
          <w:numId w:val="12"/>
        </w:numPr>
        <w:tabs>
          <w:tab w:val="left" w:pos="2357"/>
          <w:tab w:val="left" w:pos="2358"/>
        </w:tabs>
        <w:spacing w:line="228" w:lineRule="exact"/>
        <w:ind w:firstLine="1418"/>
        <w:rPr>
          <w:b/>
          <w:sz w:val="16"/>
        </w:rPr>
      </w:pPr>
      <w:r>
        <w:rPr>
          <w:b/>
          <w:sz w:val="20"/>
        </w:rPr>
        <w:t>C</w:t>
      </w:r>
      <w:r>
        <w:rPr>
          <w:b/>
          <w:sz w:val="16"/>
        </w:rPr>
        <w:t xml:space="preserve">RITÉRIOS DE INCLUSÃO PARA INÍCIO DE </w:t>
      </w:r>
      <w:r>
        <w:rPr>
          <w:b/>
          <w:sz w:val="20"/>
        </w:rPr>
        <w:t xml:space="preserve">TRE </w:t>
      </w:r>
      <w:r>
        <w:rPr>
          <w:b/>
          <w:sz w:val="16"/>
        </w:rPr>
        <w:t>COM IDURSULFASE</w:t>
      </w:r>
      <w:r>
        <w:rPr>
          <w:b/>
          <w:spacing w:val="-12"/>
          <w:sz w:val="16"/>
        </w:rPr>
        <w:t xml:space="preserve"> </w:t>
      </w:r>
      <w:r>
        <w:rPr>
          <w:b/>
          <w:sz w:val="16"/>
        </w:rPr>
        <w:t>ALFA</w:t>
      </w:r>
    </w:p>
    <w:p w:rsidR="00A74668" w:rsidRDefault="00421CAF">
      <w:pPr>
        <w:pStyle w:val="Corpodetexto"/>
        <w:ind w:right="591" w:firstLine="1418"/>
      </w:pPr>
      <w:r>
        <w:t xml:space="preserve">Para serem elegíveis para TRE com </w:t>
      </w:r>
      <w:proofErr w:type="spellStart"/>
      <w:r>
        <w:t>Idursulfase</w:t>
      </w:r>
      <w:proofErr w:type="spellEnd"/>
      <w:r>
        <w:t xml:space="preserve"> alfa, os pacientes devem apresentar confirmação do diagnóstico de MPS II de acordo com os critérios acima relacionados </w:t>
      </w:r>
      <w:r>
        <w:rPr>
          <w:b/>
          <w:u w:val="single"/>
        </w:rPr>
        <w:t>E</w:t>
      </w:r>
      <w:r>
        <w:rPr>
          <w:b/>
        </w:rPr>
        <w:t xml:space="preserve"> </w:t>
      </w:r>
      <w:r>
        <w:t>não apresentar regressão neurológica.</w:t>
      </w:r>
    </w:p>
    <w:p w:rsidR="00A74668" w:rsidRDefault="00A74668">
      <w:pPr>
        <w:pStyle w:val="Corpodetexto"/>
        <w:spacing w:before="3"/>
        <w:ind w:left="0"/>
        <w:jc w:val="left"/>
        <w:rPr>
          <w:sz w:val="12"/>
        </w:rPr>
      </w:pPr>
    </w:p>
    <w:p w:rsidR="00A74668" w:rsidRDefault="00421CAF">
      <w:pPr>
        <w:pStyle w:val="PargrafodaLista"/>
        <w:numPr>
          <w:ilvl w:val="1"/>
          <w:numId w:val="12"/>
        </w:numPr>
        <w:tabs>
          <w:tab w:val="left" w:pos="2358"/>
        </w:tabs>
        <w:spacing w:before="91"/>
        <w:ind w:right="575" w:firstLine="1418"/>
        <w:jc w:val="both"/>
        <w:rPr>
          <w:b/>
          <w:sz w:val="20"/>
        </w:rPr>
      </w:pPr>
      <w:r>
        <w:rPr>
          <w:b/>
          <w:sz w:val="20"/>
        </w:rPr>
        <w:t>C</w:t>
      </w:r>
      <w:r>
        <w:rPr>
          <w:b/>
          <w:sz w:val="16"/>
        </w:rPr>
        <w:t>RITÉRIOS DE INCLUSÃO PARA TRANSPLANTE ALOGÊNICO A</w:t>
      </w:r>
      <w:r>
        <w:rPr>
          <w:b/>
          <w:sz w:val="16"/>
        </w:rPr>
        <w:t>PARENTADO E NÃO APARENTADO MIELOBLATIVO DE CÉLULAS</w:t>
      </w:r>
      <w:r>
        <w:rPr>
          <w:b/>
          <w:sz w:val="20"/>
        </w:rPr>
        <w:t>-</w:t>
      </w:r>
      <w:r>
        <w:rPr>
          <w:b/>
          <w:sz w:val="16"/>
        </w:rPr>
        <w:t xml:space="preserve">TRONCO HEMATOPOÉTICAS </w:t>
      </w:r>
      <w:r>
        <w:rPr>
          <w:b/>
          <w:sz w:val="20"/>
        </w:rPr>
        <w:t>(</w:t>
      </w:r>
      <w:r>
        <w:rPr>
          <w:b/>
          <w:sz w:val="16"/>
        </w:rPr>
        <w:t>DE SANGUE DE CORDÃO UMBILICAL</w:t>
      </w:r>
      <w:r>
        <w:rPr>
          <w:b/>
          <w:sz w:val="20"/>
        </w:rPr>
        <w:t xml:space="preserve">, </w:t>
      </w:r>
      <w:r>
        <w:rPr>
          <w:b/>
          <w:sz w:val="16"/>
        </w:rPr>
        <w:t>DE SANGUE PERIFÉRICO OU DE MEDULA ÓSSEA</w:t>
      </w:r>
      <w:r>
        <w:rPr>
          <w:b/>
          <w:sz w:val="20"/>
        </w:rPr>
        <w:t>) (A</w:t>
      </w:r>
      <w:r>
        <w:rPr>
          <w:b/>
          <w:sz w:val="16"/>
        </w:rPr>
        <w:t>PÊNDICE</w:t>
      </w:r>
      <w:r>
        <w:rPr>
          <w:b/>
          <w:spacing w:val="-9"/>
          <w:sz w:val="16"/>
        </w:rPr>
        <w:t xml:space="preserve"> </w:t>
      </w:r>
      <w:proofErr w:type="gramStart"/>
      <w:r>
        <w:rPr>
          <w:b/>
          <w:sz w:val="20"/>
        </w:rPr>
        <w:t>2</w:t>
      </w:r>
      <w:proofErr w:type="gramEnd"/>
      <w:r>
        <w:rPr>
          <w:b/>
          <w:sz w:val="20"/>
        </w:rPr>
        <w:t>):</w:t>
      </w:r>
    </w:p>
    <w:p w:rsidR="00A74668" w:rsidRDefault="00421CAF">
      <w:pPr>
        <w:pStyle w:val="Corpodetexto"/>
        <w:spacing w:line="226" w:lineRule="exact"/>
        <w:ind w:left="1651"/>
        <w:jc w:val="left"/>
      </w:pPr>
      <w:r>
        <w:t>O paciente deve ter diagnóstico de MPS II.</w:t>
      </w:r>
    </w:p>
    <w:p w:rsidR="00A74668" w:rsidRDefault="00421CAF">
      <w:pPr>
        <w:pStyle w:val="Corpodetexto"/>
        <w:ind w:right="582" w:firstLine="1418"/>
      </w:pPr>
      <w:r>
        <w:t xml:space="preserve">O TCTH </w:t>
      </w:r>
      <w:proofErr w:type="spellStart"/>
      <w:r>
        <w:t>alogênico</w:t>
      </w:r>
      <w:proofErr w:type="spellEnd"/>
      <w:r>
        <w:t xml:space="preserve"> </w:t>
      </w:r>
      <w:proofErr w:type="spellStart"/>
      <w:r>
        <w:t>mieloablativo</w:t>
      </w:r>
      <w:proofErr w:type="spellEnd"/>
      <w:r>
        <w:t xml:space="preserve"> - aparentado (preferen</w:t>
      </w:r>
      <w:r>
        <w:t xml:space="preserve">cialmente com doadores homozigotos normais, ou seja, não portadores de mutações patogênicas no gene IDUA) e não aparentado - parece ter um risco de </w:t>
      </w:r>
      <w:proofErr w:type="spellStart"/>
      <w:r>
        <w:t>morbi-mortalidade</w:t>
      </w:r>
      <w:proofErr w:type="spellEnd"/>
      <w:r>
        <w:t xml:space="preserve"> progressivamente menor ao passar dos anos e alguns efeitos positivos na MPS II. A indicaçã</w:t>
      </w:r>
      <w:r>
        <w:t xml:space="preserve">o de transplante envolvendo doadores heterozigotos portadores de mutações patogênicas no gene IDUA deve ser avaliada caso-a-caso. A utilização das fontes de células-tronco </w:t>
      </w:r>
      <w:proofErr w:type="spellStart"/>
      <w:r>
        <w:t>hematopoéticas</w:t>
      </w:r>
      <w:proofErr w:type="spellEnd"/>
      <w:r>
        <w:t xml:space="preserve"> (de medula óssea, de sangue periférico ou de sangue de cordão umbilic</w:t>
      </w:r>
      <w:r>
        <w:t>al) deve considerar os riscos para o doador e os riscos e benefícios para o</w:t>
      </w:r>
      <w:r>
        <w:rPr>
          <w:spacing w:val="-1"/>
        </w:rPr>
        <w:t xml:space="preserve"> </w:t>
      </w:r>
      <w:proofErr w:type="gramStart"/>
      <w:r>
        <w:t>receptor</w:t>
      </w:r>
      <w:r>
        <w:rPr>
          <w:vertAlign w:val="superscript"/>
        </w:rPr>
        <w:t>1,</w:t>
      </w:r>
      <w:proofErr w:type="gramEnd"/>
      <w:r>
        <w:rPr>
          <w:vertAlign w:val="superscript"/>
        </w:rPr>
        <w:t>4,33,59</w:t>
      </w:r>
      <w:r>
        <w:t>.</w:t>
      </w:r>
    </w:p>
    <w:p w:rsidR="00A74668" w:rsidRDefault="00421CAF">
      <w:pPr>
        <w:pStyle w:val="Corpodetexto"/>
        <w:spacing w:before="1"/>
        <w:ind w:right="576" w:firstLine="1418"/>
      </w:pPr>
      <w:r>
        <w:t xml:space="preserve">O TCTH pode ser indicado como tratamento para a forma </w:t>
      </w:r>
      <w:proofErr w:type="spellStart"/>
      <w:r>
        <w:t>neuronopática</w:t>
      </w:r>
      <w:proofErr w:type="spellEnd"/>
      <w:r>
        <w:t xml:space="preserve"> da MPS II, uma vez</w:t>
      </w:r>
      <w:proofErr w:type="gramStart"/>
      <w:r>
        <w:t xml:space="preserve">  </w:t>
      </w:r>
      <w:proofErr w:type="gramEnd"/>
      <w:r>
        <w:t>que ele é o único tratamento atualmente disponível potencialmente capaz d</w:t>
      </w:r>
      <w:r>
        <w:t xml:space="preserve">e proporcionar benefícios em termos neurológicos quando critérios rígidos de seleção são respeitados. Assim, o </w:t>
      </w:r>
      <w:r>
        <w:rPr>
          <w:spacing w:val="3"/>
        </w:rPr>
        <w:t xml:space="preserve">TCTH </w:t>
      </w:r>
      <w:proofErr w:type="spellStart"/>
      <w:r>
        <w:t>alogênico</w:t>
      </w:r>
      <w:proofErr w:type="spellEnd"/>
      <w:r>
        <w:t xml:space="preserve"> pode ser indicado em idade precoce, preferencialmente até </w:t>
      </w:r>
      <w:proofErr w:type="gramStart"/>
      <w:r>
        <w:t>3</w:t>
      </w:r>
      <w:proofErr w:type="gramEnd"/>
      <w:r>
        <w:t xml:space="preserve"> anos de</w:t>
      </w:r>
      <w:r>
        <w:rPr>
          <w:spacing w:val="-2"/>
        </w:rPr>
        <w:t xml:space="preserve"> </w:t>
      </w:r>
      <w:r>
        <w:t>idade.</w:t>
      </w:r>
    </w:p>
    <w:p w:rsidR="00A74668" w:rsidRDefault="00421CAF">
      <w:pPr>
        <w:pStyle w:val="Corpodetexto"/>
        <w:ind w:right="585" w:firstLine="1418"/>
      </w:pPr>
      <w:r>
        <w:t xml:space="preserve">Para a autorização do TCTH </w:t>
      </w:r>
      <w:proofErr w:type="spellStart"/>
      <w:r>
        <w:t>alogênico</w:t>
      </w:r>
      <w:proofErr w:type="spellEnd"/>
      <w:r>
        <w:t xml:space="preserve"> aparentado de medula óssea, de sangue periférico ou de sangue de cordão umbilical, do tipo </w:t>
      </w:r>
      <w:proofErr w:type="spellStart"/>
      <w:r>
        <w:t>mieloablativo</w:t>
      </w:r>
      <w:proofErr w:type="spellEnd"/>
      <w:r>
        <w:t>, todos os potenciais receptores devem estar inscritos</w:t>
      </w:r>
      <w:proofErr w:type="gramStart"/>
      <w:r>
        <w:t xml:space="preserve">  </w:t>
      </w:r>
      <w:proofErr w:type="gramEnd"/>
      <w:r>
        <w:t>no Registro Nacional de Receptores de Medula Óssea ou outro</w:t>
      </w:r>
      <w:r>
        <w:t xml:space="preserve">s precursores </w:t>
      </w:r>
      <w:proofErr w:type="spellStart"/>
      <w:r>
        <w:t>hematopoéticos</w:t>
      </w:r>
      <w:proofErr w:type="spellEnd"/>
      <w:r>
        <w:t xml:space="preserve"> – REREME/INCA/MS.</w:t>
      </w:r>
    </w:p>
    <w:p w:rsidR="00A74668" w:rsidRDefault="00A74668">
      <w:pPr>
        <w:pStyle w:val="Corpodetexto"/>
        <w:spacing w:before="4"/>
        <w:ind w:left="0"/>
        <w:jc w:val="left"/>
      </w:pPr>
    </w:p>
    <w:p w:rsidR="00A74668" w:rsidRDefault="00421CAF">
      <w:pPr>
        <w:pStyle w:val="PargrafodaLista"/>
        <w:numPr>
          <w:ilvl w:val="1"/>
          <w:numId w:val="12"/>
        </w:numPr>
        <w:tabs>
          <w:tab w:val="left" w:pos="2357"/>
          <w:tab w:val="left" w:pos="2358"/>
        </w:tabs>
        <w:spacing w:line="228" w:lineRule="exact"/>
        <w:ind w:firstLine="1418"/>
        <w:rPr>
          <w:b/>
          <w:sz w:val="16"/>
        </w:rPr>
      </w:pPr>
      <w:r>
        <w:rPr>
          <w:b/>
          <w:sz w:val="20"/>
        </w:rPr>
        <w:t>C</w:t>
      </w:r>
      <w:r>
        <w:rPr>
          <w:b/>
          <w:sz w:val="16"/>
        </w:rPr>
        <w:t xml:space="preserve">RITÉRIOS DE EXCLUSÃO PARA INÍCIO DE </w:t>
      </w:r>
      <w:r>
        <w:rPr>
          <w:b/>
          <w:sz w:val="20"/>
        </w:rPr>
        <w:t xml:space="preserve">TRE </w:t>
      </w:r>
      <w:r>
        <w:rPr>
          <w:b/>
          <w:sz w:val="16"/>
        </w:rPr>
        <w:t>COM IDURSULFASE</w:t>
      </w:r>
      <w:r>
        <w:rPr>
          <w:b/>
          <w:spacing w:val="-13"/>
          <w:sz w:val="16"/>
        </w:rPr>
        <w:t xml:space="preserve"> </w:t>
      </w:r>
      <w:r>
        <w:rPr>
          <w:b/>
          <w:sz w:val="16"/>
        </w:rPr>
        <w:t>ALFA</w:t>
      </w:r>
    </w:p>
    <w:p w:rsidR="00A74668" w:rsidRDefault="00421CAF">
      <w:pPr>
        <w:pStyle w:val="Corpodetexto"/>
        <w:ind w:right="582" w:firstLine="1418"/>
      </w:pPr>
      <w:r>
        <w:t xml:space="preserve">Não </w:t>
      </w:r>
      <w:proofErr w:type="gramStart"/>
      <w:r>
        <w:t>serão</w:t>
      </w:r>
      <w:proofErr w:type="gramEnd"/>
      <w:r>
        <w:t xml:space="preserve"> elegíveis para TRE com </w:t>
      </w:r>
      <w:proofErr w:type="spellStart"/>
      <w:r>
        <w:t>Idursulfase</w:t>
      </w:r>
      <w:proofErr w:type="spellEnd"/>
      <w:r>
        <w:t xml:space="preserve"> alfa os pacientes que apresentarem alguma das situações abaixo relacionadas:</w:t>
      </w:r>
    </w:p>
    <w:p w:rsidR="00A74668" w:rsidRDefault="00421CAF">
      <w:pPr>
        <w:pStyle w:val="PargrafodaLista"/>
        <w:numPr>
          <w:ilvl w:val="0"/>
          <w:numId w:val="13"/>
        </w:numPr>
        <w:tabs>
          <w:tab w:val="left" w:pos="1830"/>
        </w:tabs>
        <w:ind w:right="589" w:firstLine="1418"/>
        <w:rPr>
          <w:sz w:val="20"/>
        </w:rPr>
      </w:pPr>
      <w:r>
        <w:rPr>
          <w:sz w:val="20"/>
        </w:rPr>
        <w:t>Regressão neurológica, o</w:t>
      </w:r>
      <w:r>
        <w:rPr>
          <w:sz w:val="20"/>
        </w:rPr>
        <w:t xml:space="preserve">u seja, perda dos marcos do desenvolvimento </w:t>
      </w:r>
      <w:proofErr w:type="spellStart"/>
      <w:r>
        <w:rPr>
          <w:sz w:val="20"/>
        </w:rPr>
        <w:t>neuropsicomotor</w:t>
      </w:r>
      <w:proofErr w:type="spellEnd"/>
      <w:r>
        <w:rPr>
          <w:sz w:val="20"/>
        </w:rPr>
        <w:t xml:space="preserve"> confirmada por avaliação formal com</w:t>
      </w:r>
      <w:r>
        <w:rPr>
          <w:spacing w:val="-2"/>
          <w:sz w:val="20"/>
        </w:rPr>
        <w:t xml:space="preserve"> </w:t>
      </w:r>
      <w:r>
        <w:rPr>
          <w:sz w:val="20"/>
        </w:rPr>
        <w:t>neurologista;</w:t>
      </w:r>
    </w:p>
    <w:p w:rsidR="00A74668" w:rsidRDefault="00421CAF">
      <w:pPr>
        <w:pStyle w:val="PargrafodaLista"/>
        <w:numPr>
          <w:ilvl w:val="0"/>
          <w:numId w:val="13"/>
        </w:numPr>
        <w:tabs>
          <w:tab w:val="left" w:pos="1794"/>
        </w:tabs>
        <w:ind w:right="583" w:firstLine="1418"/>
        <w:rPr>
          <w:sz w:val="20"/>
        </w:rPr>
      </w:pPr>
      <w:r>
        <w:rPr>
          <w:sz w:val="20"/>
        </w:rPr>
        <w:t>Condição médica irreversível e que implique em sobrevida provavelmente &lt; 6 meses, como resultado da MPS II ou de outra doença associada, em acordo</w:t>
      </w:r>
      <w:r>
        <w:rPr>
          <w:sz w:val="20"/>
        </w:rPr>
        <w:t xml:space="preserve"> entre mais de um</w:t>
      </w:r>
      <w:r>
        <w:rPr>
          <w:spacing w:val="-11"/>
          <w:sz w:val="20"/>
        </w:rPr>
        <w:t xml:space="preserve"> </w:t>
      </w:r>
      <w:r>
        <w:rPr>
          <w:sz w:val="20"/>
        </w:rPr>
        <w:t>especialista;</w:t>
      </w:r>
    </w:p>
    <w:p w:rsidR="00A74668" w:rsidRDefault="00421CAF">
      <w:pPr>
        <w:pStyle w:val="PargrafodaLista"/>
        <w:numPr>
          <w:ilvl w:val="0"/>
          <w:numId w:val="13"/>
        </w:numPr>
        <w:tabs>
          <w:tab w:val="left" w:pos="1767"/>
        </w:tabs>
        <w:ind w:right="586" w:firstLine="1418"/>
        <w:rPr>
          <w:sz w:val="20"/>
        </w:rPr>
      </w:pPr>
      <w:r>
        <w:rPr>
          <w:sz w:val="20"/>
        </w:rPr>
        <w:t xml:space="preserve">Idade &gt;18 anos e que, após serem informados sobre os potenciais riscos e benefícios associados ao tratamento com </w:t>
      </w:r>
      <w:proofErr w:type="spellStart"/>
      <w:r>
        <w:rPr>
          <w:sz w:val="20"/>
        </w:rPr>
        <w:t>Idursulfase</w:t>
      </w:r>
      <w:proofErr w:type="spellEnd"/>
      <w:r>
        <w:rPr>
          <w:sz w:val="20"/>
        </w:rPr>
        <w:t xml:space="preserve"> alfa, recusarem-se a serem</w:t>
      </w:r>
      <w:r>
        <w:rPr>
          <w:spacing w:val="-4"/>
          <w:sz w:val="20"/>
        </w:rPr>
        <w:t xml:space="preserve"> </w:t>
      </w:r>
      <w:r>
        <w:rPr>
          <w:sz w:val="20"/>
        </w:rPr>
        <w:t>tratados;</w:t>
      </w:r>
    </w:p>
    <w:p w:rsidR="00A74668" w:rsidRDefault="00421CAF">
      <w:pPr>
        <w:pStyle w:val="PargrafodaLista"/>
        <w:numPr>
          <w:ilvl w:val="0"/>
          <w:numId w:val="13"/>
        </w:numPr>
        <w:tabs>
          <w:tab w:val="left" w:pos="1803"/>
        </w:tabs>
        <w:ind w:right="585" w:firstLine="1418"/>
        <w:rPr>
          <w:sz w:val="20"/>
        </w:rPr>
      </w:pPr>
      <w:r>
        <w:rPr>
          <w:sz w:val="20"/>
        </w:rPr>
        <w:t>Histórico de falha de adesão, desde que previamente inseridos, sem sucesso, em programa específico para melhora de adesão, ou seja, pacientes que, mesmo após o programa, não comparecerem a pelo menos 50% do número de consultas ou de avaliações previstas em</w:t>
      </w:r>
      <w:r>
        <w:rPr>
          <w:sz w:val="20"/>
        </w:rPr>
        <w:t xml:space="preserve"> um</w:t>
      </w:r>
      <w:r>
        <w:rPr>
          <w:spacing w:val="-12"/>
          <w:sz w:val="20"/>
        </w:rPr>
        <w:t xml:space="preserve"> </w:t>
      </w:r>
      <w:r>
        <w:rPr>
          <w:sz w:val="20"/>
        </w:rPr>
        <w:t>ano.</w:t>
      </w:r>
    </w:p>
    <w:p w:rsidR="00A74668" w:rsidRDefault="00A74668">
      <w:pPr>
        <w:pStyle w:val="Corpodetexto"/>
        <w:spacing w:before="3"/>
        <w:ind w:left="0"/>
        <w:jc w:val="left"/>
      </w:pPr>
    </w:p>
    <w:p w:rsidR="00A74668" w:rsidRDefault="00421CAF">
      <w:pPr>
        <w:pStyle w:val="PargrafodaLista"/>
        <w:numPr>
          <w:ilvl w:val="1"/>
          <w:numId w:val="12"/>
        </w:numPr>
        <w:tabs>
          <w:tab w:val="left" w:pos="2358"/>
        </w:tabs>
        <w:ind w:right="576" w:firstLine="1418"/>
        <w:jc w:val="both"/>
        <w:rPr>
          <w:b/>
          <w:sz w:val="20"/>
        </w:rPr>
      </w:pPr>
      <w:r>
        <w:rPr>
          <w:b/>
          <w:sz w:val="20"/>
        </w:rPr>
        <w:t>C</w:t>
      </w:r>
      <w:r>
        <w:rPr>
          <w:b/>
          <w:sz w:val="16"/>
        </w:rPr>
        <w:t>RITÉRIOS DE EXCLUSÃO PARA TRANSPLANTE ALOGÊNICO APARENTADO MIELOBLATIVO DE CÉLULAS</w:t>
      </w:r>
      <w:r>
        <w:rPr>
          <w:b/>
          <w:sz w:val="20"/>
        </w:rPr>
        <w:t>-</w:t>
      </w:r>
      <w:r>
        <w:rPr>
          <w:b/>
          <w:sz w:val="16"/>
        </w:rPr>
        <w:t xml:space="preserve">TRONCO HEMATOPOÉTICAS </w:t>
      </w:r>
      <w:r>
        <w:rPr>
          <w:b/>
          <w:sz w:val="20"/>
        </w:rPr>
        <w:t>(</w:t>
      </w:r>
      <w:r>
        <w:rPr>
          <w:b/>
          <w:sz w:val="16"/>
        </w:rPr>
        <w:t>DE SANGUE DE CORDÃO UMBILICAL</w:t>
      </w:r>
      <w:r>
        <w:rPr>
          <w:b/>
          <w:sz w:val="20"/>
        </w:rPr>
        <w:t xml:space="preserve">, </w:t>
      </w:r>
      <w:r>
        <w:rPr>
          <w:b/>
          <w:sz w:val="16"/>
        </w:rPr>
        <w:t>DE SANGUE PERIFÉRICO OU DE MEDULA</w:t>
      </w:r>
      <w:r>
        <w:rPr>
          <w:b/>
          <w:spacing w:val="-6"/>
          <w:sz w:val="16"/>
        </w:rPr>
        <w:t xml:space="preserve"> </w:t>
      </w:r>
      <w:r>
        <w:rPr>
          <w:b/>
          <w:sz w:val="16"/>
        </w:rPr>
        <w:t>ÓSSEA</w:t>
      </w:r>
      <w:r>
        <w:rPr>
          <w:b/>
          <w:sz w:val="20"/>
        </w:rPr>
        <w:t>):</w:t>
      </w:r>
    </w:p>
    <w:p w:rsidR="00A74668" w:rsidRDefault="00421CAF">
      <w:pPr>
        <w:pStyle w:val="Corpodetexto"/>
        <w:ind w:right="579" w:firstLine="1418"/>
      </w:pPr>
      <w:r>
        <w:t xml:space="preserve">Serão excluídos os pacientes para o TCTH </w:t>
      </w:r>
      <w:proofErr w:type="spellStart"/>
      <w:r>
        <w:t>alogênico</w:t>
      </w:r>
      <w:proofErr w:type="spellEnd"/>
      <w:r>
        <w:t xml:space="preserve"> </w:t>
      </w:r>
      <w:proofErr w:type="spellStart"/>
      <w:r>
        <w:t>mieloablativo</w:t>
      </w:r>
      <w:proofErr w:type="spellEnd"/>
      <w:r>
        <w:t xml:space="preserve"> a</w:t>
      </w:r>
      <w:r>
        <w:t>parentado com doadores homozigotos portadores de mutações patogênicas no gene IDUA. A indicação de transplante envolvendo doadores heterozigotos portadores de mutações patogênicas no gene IDUA deve ser avaliada caso-a-caso.</w:t>
      </w:r>
    </w:p>
    <w:p w:rsidR="00A74668" w:rsidRDefault="00A74668">
      <w:pPr>
        <w:sectPr w:rsidR="00A74668">
          <w:pgSz w:w="11910" w:h="16840"/>
          <w:pgMar w:top="1280" w:right="980" w:bottom="440" w:left="900" w:header="0" w:footer="254" w:gutter="0"/>
          <w:cols w:space="720"/>
        </w:sectPr>
      </w:pPr>
    </w:p>
    <w:p w:rsidR="00A74668" w:rsidRDefault="00421CAF">
      <w:pPr>
        <w:pStyle w:val="PargrafodaLista"/>
        <w:numPr>
          <w:ilvl w:val="0"/>
          <w:numId w:val="16"/>
        </w:numPr>
        <w:tabs>
          <w:tab w:val="left" w:pos="2357"/>
          <w:tab w:val="left" w:pos="2358"/>
        </w:tabs>
        <w:spacing w:before="77" w:line="228" w:lineRule="exact"/>
        <w:ind w:left="2357" w:hanging="706"/>
        <w:jc w:val="left"/>
        <w:rPr>
          <w:b/>
          <w:sz w:val="16"/>
        </w:rPr>
      </w:pPr>
      <w:r>
        <w:rPr>
          <w:b/>
          <w:sz w:val="20"/>
        </w:rPr>
        <w:lastRenderedPageBreak/>
        <w:t>T</w:t>
      </w:r>
      <w:r>
        <w:rPr>
          <w:b/>
          <w:sz w:val="16"/>
        </w:rPr>
        <w:t>RATAMENTO</w:t>
      </w:r>
    </w:p>
    <w:p w:rsidR="00A74668" w:rsidRDefault="00421CAF">
      <w:pPr>
        <w:pStyle w:val="Corpodetexto"/>
        <w:ind w:right="579" w:firstLine="1418"/>
      </w:pPr>
      <w:r>
        <w:t>O atendimento dos pacientes envolve equipe multidisciplinar</w:t>
      </w:r>
      <w:hyperlink r:id="rId46">
        <w:proofErr w:type="gramStart"/>
        <w:r>
          <w:rPr>
            <w:vertAlign w:val="superscript"/>
          </w:rPr>
          <w:t>15,</w:t>
        </w:r>
        <w:proofErr w:type="gramEnd"/>
        <w:r>
          <w:rPr>
            <w:vertAlign w:val="superscript"/>
          </w:rPr>
          <w:t>32,41</w:t>
        </w:r>
        <w:r>
          <w:t xml:space="preserve"> </w:t>
        </w:r>
      </w:hyperlink>
      <w:r>
        <w:t xml:space="preserve">e, de acordo com este PCDT, a realização de TRE IV com </w:t>
      </w:r>
      <w:proofErr w:type="spellStart"/>
      <w:r>
        <w:t>Idursulfase</w:t>
      </w:r>
      <w:proofErr w:type="spellEnd"/>
      <w:r>
        <w:t xml:space="preserve"> alfa</w:t>
      </w:r>
      <w:hyperlink r:id="rId47">
        <w:r>
          <w:rPr>
            <w:vertAlign w:val="superscript"/>
          </w:rPr>
          <w:t>15,41</w:t>
        </w:r>
        <w:r>
          <w:t xml:space="preserve">, </w:t>
        </w:r>
      </w:hyperlink>
      <w:r>
        <w:t>aqui denominada tratamento específico, e TCTH.</w:t>
      </w:r>
    </w:p>
    <w:p w:rsidR="00A74668" w:rsidRDefault="00A74668">
      <w:pPr>
        <w:pStyle w:val="Corpodetexto"/>
        <w:spacing w:before="4"/>
        <w:ind w:left="0"/>
        <w:jc w:val="left"/>
      </w:pPr>
    </w:p>
    <w:p w:rsidR="00A74668" w:rsidRDefault="00421CAF">
      <w:pPr>
        <w:pStyle w:val="PargrafodaLista"/>
        <w:numPr>
          <w:ilvl w:val="1"/>
          <w:numId w:val="11"/>
        </w:numPr>
        <w:tabs>
          <w:tab w:val="left" w:pos="2357"/>
          <w:tab w:val="left" w:pos="2358"/>
        </w:tabs>
        <w:spacing w:line="228" w:lineRule="exact"/>
        <w:rPr>
          <w:b/>
          <w:sz w:val="16"/>
        </w:rPr>
      </w:pPr>
      <w:r>
        <w:rPr>
          <w:b/>
          <w:sz w:val="20"/>
        </w:rPr>
        <w:t>T</w:t>
      </w:r>
      <w:r>
        <w:rPr>
          <w:b/>
          <w:sz w:val="16"/>
        </w:rPr>
        <w:t>RATAMENTO</w:t>
      </w:r>
      <w:r>
        <w:rPr>
          <w:b/>
          <w:spacing w:val="-1"/>
          <w:sz w:val="16"/>
        </w:rPr>
        <w:t xml:space="preserve"> </w:t>
      </w:r>
      <w:proofErr w:type="gramStart"/>
      <w:r>
        <w:rPr>
          <w:b/>
          <w:sz w:val="16"/>
        </w:rPr>
        <w:t>NÃO</w:t>
      </w:r>
      <w:r>
        <w:rPr>
          <w:b/>
          <w:sz w:val="20"/>
        </w:rPr>
        <w:t>-</w:t>
      </w:r>
      <w:r>
        <w:rPr>
          <w:b/>
          <w:sz w:val="16"/>
        </w:rPr>
        <w:t>ESPECÍFICO</w:t>
      </w:r>
      <w:proofErr w:type="gramEnd"/>
    </w:p>
    <w:p w:rsidR="00A74668" w:rsidRDefault="00421CAF">
      <w:pPr>
        <w:pStyle w:val="Corpodetexto"/>
        <w:ind w:right="584" w:firstLine="1418"/>
      </w:pPr>
      <w:r>
        <w:t xml:space="preserve">O paciente com MPS II tem uma doença crônica, progressiva, </w:t>
      </w:r>
      <w:proofErr w:type="spellStart"/>
      <w:r>
        <w:t>multissistêmica</w:t>
      </w:r>
      <w:proofErr w:type="spellEnd"/>
      <w:r>
        <w:t xml:space="preserve"> e, frequentemente, requer cuidados urgentes por equipe multiprofissional que incl</w:t>
      </w:r>
      <w:r>
        <w:t>ua fonoaudiólogos, fisioterapeutas, terapeutas ocupacionais, equipe de enfermagem e diferentes especialidades médicas</w:t>
      </w:r>
      <w:hyperlink r:id="rId48">
        <w:proofErr w:type="gramStart"/>
        <w:r>
          <w:rPr>
            <w:vertAlign w:val="superscript"/>
          </w:rPr>
          <w:t>15,</w:t>
        </w:r>
        <w:proofErr w:type="gramEnd"/>
        <w:r>
          <w:rPr>
            <w:vertAlign w:val="superscript"/>
          </w:rPr>
          <w:t>24,32</w:t>
        </w:r>
        <w:r>
          <w:t xml:space="preserve">. </w:t>
        </w:r>
      </w:hyperlink>
      <w:r>
        <w:t xml:space="preserve">É crucial que um médico cuide continuamente do paciente, </w:t>
      </w:r>
      <w:r>
        <w:t xml:space="preserve">monitorando a evolução da doença, fornecendo orientação à família, encaminhando o paciente para especialistas conforme necessário e coordenando o atendimento ao paciente como um todo. Idealmente, o acompanhamento deve ser feito em centro de referência. Os </w:t>
      </w:r>
      <w:r>
        <w:t>centros de referência devem possuir uma equipe multidisciplinar integrada de especialistas, incluindo, por exemplo, médicos geneticistas e neurologistas, que asseguram o gerenciamento abrangente de pacientes com MPS II, desde o diagnóstico até o tratamento</w:t>
      </w:r>
      <w:r>
        <w:t xml:space="preserve"> e seguimento.</w:t>
      </w:r>
    </w:p>
    <w:p w:rsidR="00A74668" w:rsidRDefault="00421CAF">
      <w:pPr>
        <w:pStyle w:val="Corpodetexto"/>
        <w:ind w:right="587" w:firstLine="1418"/>
      </w:pPr>
      <w:r>
        <w:t>Além disso, é importante que os pacientes e as famílias sejam educados sobre sua doença e possíveis complicações e riscos também por meio de um relatório escrito. Os pacientes também devem ser informados de que, em caso de emergência, o médi</w:t>
      </w:r>
      <w:r>
        <w:t>co assistente deve ser informado da doença e receber uma cópia do relatório médico.</w:t>
      </w:r>
    </w:p>
    <w:p w:rsidR="00A74668" w:rsidRDefault="00421CAF">
      <w:pPr>
        <w:pStyle w:val="Corpodetexto"/>
        <w:ind w:right="578" w:firstLine="1418"/>
      </w:pPr>
      <w:r>
        <w:t xml:space="preserve">As principais manifestações clínicas da MPS II e suas opções de tratamento de suporte/sintomáticos podem ser encontradas na </w:t>
      </w:r>
      <w:r>
        <w:rPr>
          <w:b/>
        </w:rPr>
        <w:t>Tabela 1</w:t>
      </w:r>
      <w:r>
        <w:t>. É importante frisar que nem todos os p</w:t>
      </w:r>
      <w:r>
        <w:t xml:space="preserve">acientes apresentarão todas as manifestações citadas, as quais costumam ser mais frequentes e mais graves nos pacientes com a forma grave da doença. Da mesma forma, nem todos os pacientes necessitarão ser submetidos a </w:t>
      </w:r>
      <w:proofErr w:type="gramStart"/>
      <w:r>
        <w:t>todas</w:t>
      </w:r>
      <w:proofErr w:type="gramEnd"/>
      <w:r>
        <w:t xml:space="preserve"> formas de tratamento.</w:t>
      </w:r>
    </w:p>
    <w:p w:rsidR="00A74668" w:rsidRDefault="00A74668">
      <w:pPr>
        <w:pStyle w:val="Corpodetexto"/>
        <w:spacing w:before="1"/>
        <w:ind w:left="0"/>
        <w:jc w:val="left"/>
      </w:pPr>
    </w:p>
    <w:p w:rsidR="00A74668" w:rsidRDefault="00421CAF">
      <w:pPr>
        <w:pStyle w:val="PargrafodaLista"/>
        <w:numPr>
          <w:ilvl w:val="2"/>
          <w:numId w:val="11"/>
        </w:numPr>
        <w:tabs>
          <w:tab w:val="left" w:pos="2357"/>
          <w:tab w:val="left" w:pos="2358"/>
        </w:tabs>
        <w:spacing w:before="1"/>
        <w:rPr>
          <w:b/>
          <w:sz w:val="16"/>
        </w:rPr>
      </w:pPr>
      <w:r>
        <w:rPr>
          <w:b/>
          <w:sz w:val="20"/>
        </w:rPr>
        <w:t>T</w:t>
      </w:r>
      <w:r>
        <w:rPr>
          <w:b/>
          <w:sz w:val="16"/>
        </w:rPr>
        <w:t>RATAMENT</w:t>
      </w:r>
      <w:r>
        <w:rPr>
          <w:b/>
          <w:sz w:val="16"/>
        </w:rPr>
        <w:t>O</w:t>
      </w:r>
      <w:r>
        <w:rPr>
          <w:b/>
          <w:spacing w:val="-1"/>
          <w:sz w:val="16"/>
        </w:rPr>
        <w:t xml:space="preserve"> </w:t>
      </w:r>
      <w:proofErr w:type="gramStart"/>
      <w:r>
        <w:rPr>
          <w:b/>
          <w:sz w:val="16"/>
        </w:rPr>
        <w:t>NÃO</w:t>
      </w:r>
      <w:r>
        <w:rPr>
          <w:b/>
          <w:sz w:val="20"/>
        </w:rPr>
        <w:t>-</w:t>
      </w:r>
      <w:r>
        <w:rPr>
          <w:b/>
          <w:sz w:val="16"/>
        </w:rPr>
        <w:t>CIRÚRGICO</w:t>
      </w:r>
      <w:proofErr w:type="gramEnd"/>
    </w:p>
    <w:p w:rsidR="00A74668" w:rsidRDefault="00A74668">
      <w:pPr>
        <w:pStyle w:val="Corpodetexto"/>
        <w:ind w:left="0"/>
        <w:jc w:val="left"/>
        <w:rPr>
          <w:b/>
        </w:rPr>
      </w:pPr>
    </w:p>
    <w:p w:rsidR="00A74668" w:rsidRDefault="00421CAF">
      <w:pPr>
        <w:pStyle w:val="Ttulo1"/>
        <w:numPr>
          <w:ilvl w:val="3"/>
          <w:numId w:val="11"/>
        </w:numPr>
        <w:tabs>
          <w:tab w:val="left" w:pos="2358"/>
        </w:tabs>
      </w:pPr>
      <w:r>
        <w:t>Respiratório</w:t>
      </w:r>
    </w:p>
    <w:p w:rsidR="00A74668" w:rsidRDefault="00421CAF">
      <w:pPr>
        <w:pStyle w:val="Corpodetexto"/>
        <w:ind w:right="578" w:firstLine="1418"/>
      </w:pPr>
      <w:r>
        <w:t>Entre os objetivos do tratamento clínico, está melhorar o controle das infecções recorrentes das vias aéreas</w:t>
      </w:r>
      <w:hyperlink r:id="rId49">
        <w:proofErr w:type="gramStart"/>
        <w:r>
          <w:rPr>
            <w:vertAlign w:val="superscript"/>
          </w:rPr>
          <w:t>24</w:t>
        </w:r>
        <w:r>
          <w:t>.</w:t>
        </w:r>
        <w:proofErr w:type="gramEnd"/>
      </w:hyperlink>
      <w:r>
        <w:t xml:space="preserve"> Solução salina isotônica nasal ou hipertônica pode ser usada para eliminar crostas e secreções, melhorar a mobilidade dos cílios e reduzir o edema da mucosa</w:t>
      </w:r>
      <w:hyperlink r:id="rId50">
        <w:r>
          <w:rPr>
            <w:vertAlign w:val="superscript"/>
          </w:rPr>
          <w:t>42</w:t>
        </w:r>
        <w:r>
          <w:t xml:space="preserve">. </w:t>
        </w:r>
      </w:hyperlink>
      <w:r>
        <w:t>É comum a ocorrência de infecções respi</w:t>
      </w:r>
      <w:r>
        <w:t xml:space="preserve">ratórias de vias aéreas superiores crônicas e recorrentes (mais de seis episódios ao ano) e os pacientes podem se beneficiar da vacina contra </w:t>
      </w:r>
      <w:proofErr w:type="spellStart"/>
      <w:r>
        <w:rPr>
          <w:i/>
        </w:rPr>
        <w:t>Streptococcus</w:t>
      </w:r>
      <w:proofErr w:type="spellEnd"/>
      <w:r>
        <w:rPr>
          <w:i/>
        </w:rPr>
        <w:t xml:space="preserve"> </w:t>
      </w:r>
      <w:proofErr w:type="spellStart"/>
      <w:r>
        <w:rPr>
          <w:i/>
        </w:rPr>
        <w:t>pneumoniae</w:t>
      </w:r>
      <w:proofErr w:type="spellEnd"/>
      <w:r>
        <w:rPr>
          <w:i/>
        </w:rPr>
        <w:t xml:space="preserve"> </w:t>
      </w:r>
      <w:r>
        <w:t xml:space="preserve">e </w:t>
      </w:r>
      <w:proofErr w:type="spellStart"/>
      <w:r>
        <w:rPr>
          <w:i/>
        </w:rPr>
        <w:t>Haemophilus</w:t>
      </w:r>
      <w:proofErr w:type="spellEnd"/>
      <w:r>
        <w:rPr>
          <w:i/>
        </w:rPr>
        <w:t xml:space="preserve"> influenzae</w:t>
      </w:r>
      <w:hyperlink r:id="rId51">
        <w:proofErr w:type="gramStart"/>
        <w:r>
          <w:rPr>
            <w:vertAlign w:val="superscript"/>
          </w:rPr>
          <w:t>24</w:t>
        </w:r>
        <w:r>
          <w:t>.</w:t>
        </w:r>
        <w:proofErr w:type="gramEnd"/>
      </w:hyperlink>
      <w:r>
        <w:t xml:space="preserve"> Antib</w:t>
      </w:r>
      <w:r>
        <w:t>ióticos são utilizados para o tratamento de exacerbações respiratórias de origem bacterianas agudas, como otite média aguda ou amigdalite, em cursos de 10 a 14 dias, de acordo com critérios clínicos. Além disso, medicamentos para tratamento da asma devem s</w:t>
      </w:r>
      <w:r>
        <w:t>er administrados conforme a condição clínica e orientação do PCDT específico para asma</w:t>
      </w:r>
      <w:hyperlink r:id="rId52">
        <w:proofErr w:type="gramStart"/>
        <w:r>
          <w:rPr>
            <w:vertAlign w:val="superscript"/>
          </w:rPr>
          <w:t>43</w:t>
        </w:r>
        <w:r>
          <w:t>.</w:t>
        </w:r>
        <w:proofErr w:type="gramEnd"/>
      </w:hyperlink>
      <w:r>
        <w:t xml:space="preserve"> Corticosteroides sistêmicos por breves períodos podem ajudar a reduzir o edema e facilitar a drenagem de secreç</w:t>
      </w:r>
      <w:r>
        <w:t xml:space="preserve">ões. O tratamento inicial para apneia obstrutiva do sono inclui suplementação noturna de oxigênio, embora amigdalectomia e </w:t>
      </w:r>
      <w:proofErr w:type="spellStart"/>
      <w:r>
        <w:t>adenoidectomia</w:t>
      </w:r>
      <w:proofErr w:type="spellEnd"/>
      <w:r>
        <w:t xml:space="preserve"> possam ser realizadas, o benefício pode ser apenas temporário e parcial, devido envolvimento progressivo da garganta e</w:t>
      </w:r>
      <w:r>
        <w:t xml:space="preserve"> da</w:t>
      </w:r>
      <w:r>
        <w:rPr>
          <w:spacing w:val="1"/>
        </w:rPr>
        <w:t xml:space="preserve"> </w:t>
      </w:r>
      <w:r>
        <w:t>traqueia</w:t>
      </w:r>
      <w:hyperlink r:id="rId53">
        <w:proofErr w:type="gramStart"/>
        <w:r>
          <w:rPr>
            <w:vertAlign w:val="superscript"/>
          </w:rPr>
          <w:t>24</w:t>
        </w:r>
        <w:r>
          <w:t>.</w:t>
        </w:r>
        <w:proofErr w:type="gramEnd"/>
      </w:hyperlink>
    </w:p>
    <w:p w:rsidR="00A74668" w:rsidRDefault="00421CAF">
      <w:pPr>
        <w:pStyle w:val="Corpodetexto"/>
        <w:ind w:right="577" w:firstLine="1418"/>
      </w:pPr>
      <w:r>
        <w:t>O papel da fisioterapia respiratória não foi estudado diretamente na MPS II, mas sabe-se que a fisioterapia respiratória visa melhorar a função pulmonar, ventilação e biomecânica respiratória prejudicada na MPS II.</w:t>
      </w:r>
    </w:p>
    <w:p w:rsidR="00A74668" w:rsidRDefault="00A74668">
      <w:pPr>
        <w:pStyle w:val="Corpodetexto"/>
        <w:spacing w:before="3"/>
        <w:ind w:left="0"/>
        <w:jc w:val="left"/>
      </w:pPr>
    </w:p>
    <w:p w:rsidR="00A74668" w:rsidRDefault="00421CAF">
      <w:pPr>
        <w:pStyle w:val="Ttulo1"/>
        <w:numPr>
          <w:ilvl w:val="3"/>
          <w:numId w:val="11"/>
        </w:numPr>
        <w:tabs>
          <w:tab w:val="left" w:pos="2406"/>
        </w:tabs>
        <w:spacing w:before="1"/>
        <w:ind w:left="2405" w:hanging="754"/>
      </w:pPr>
      <w:r>
        <w:t>Musculoesquelético e ortopédico</w:t>
      </w:r>
    </w:p>
    <w:p w:rsidR="00A74668" w:rsidRDefault="00421CAF">
      <w:pPr>
        <w:pStyle w:val="Corpodetexto"/>
        <w:ind w:right="579" w:firstLine="1418"/>
      </w:pPr>
      <w:r>
        <w:t>As compl</w:t>
      </w:r>
      <w:r>
        <w:t>icações ortopédicas são comuns em pacientes com MPS II, sendo as principais baixas estaturas, deformidades da coluna, mãos em garra, rigidez e contraturas articulares, que podem levar a uma incapacidade significativa</w:t>
      </w:r>
      <w:hyperlink r:id="rId54">
        <w:r>
          <w:rPr>
            <w:vertAlign w:val="superscript"/>
          </w:rPr>
          <w:t>44</w:t>
        </w:r>
        <w:r>
          <w:t xml:space="preserve">. </w:t>
        </w:r>
      </w:hyperlink>
      <w:r>
        <w:t xml:space="preserve">Embora não existam estudos publicados avaliando o papel da fisioterapia motora na MPS II, a fisioterapia motora dinâmica pode trazer benefícios aos pacientes e seu objetivo principal é a prevenção de deformidades </w:t>
      </w:r>
      <w:proofErr w:type="spellStart"/>
      <w:r>
        <w:t>osteoarticulares</w:t>
      </w:r>
      <w:proofErr w:type="spellEnd"/>
      <w:r>
        <w:t>, incen</w:t>
      </w:r>
      <w:r>
        <w:t>tivar mudanças no decúbito, visando facilitar as atividades de vida diária, melhorar a mobilidade do paciente e sua independência, além de fornecer orientação familiar para promover uma melhor qualidade de vida</w:t>
      </w:r>
      <w:hyperlink r:id="rId55">
        <w:proofErr w:type="gramStart"/>
        <w:r>
          <w:rPr>
            <w:vertAlign w:val="superscript"/>
          </w:rPr>
          <w:t>32</w:t>
        </w:r>
        <w:r>
          <w:t>.</w:t>
        </w:r>
        <w:proofErr w:type="gramEnd"/>
      </w:hyperlink>
      <w:r>
        <w:t xml:space="preserve"> Programas específicos voltados para a necessidade de cada indivíduo devem ser montados; sugere-se envolver mobilização, treinamento de força e resistência, aprimoramento das habilidades motoras finas para as mãos e treinamento de marcha para </w:t>
      </w:r>
      <w:r>
        <w:t>articulações dos membros inferiores</w:t>
      </w:r>
      <w:hyperlink r:id="rId56">
        <w:r>
          <w:rPr>
            <w:vertAlign w:val="superscript"/>
          </w:rPr>
          <w:t>32,45</w:t>
        </w:r>
        <w:r>
          <w:t xml:space="preserve">. </w:t>
        </w:r>
      </w:hyperlink>
      <w:r>
        <w:t>É importante que o paciente possa realizar o treino sozinho, porque sessões de treinamento regulares e curtas (por exemplo, 10 minutos / dia) podem se</w:t>
      </w:r>
      <w:r>
        <w:t>r mais eficazes do que uma sessão semanal com um fisioterapeuta</w:t>
      </w:r>
      <w:hyperlink r:id="rId57">
        <w:proofErr w:type="gramStart"/>
        <w:r>
          <w:rPr>
            <w:vertAlign w:val="superscript"/>
          </w:rPr>
          <w:t>45</w:t>
        </w:r>
        <w:r>
          <w:t>.</w:t>
        </w:r>
        <w:proofErr w:type="gramEnd"/>
      </w:hyperlink>
      <w:r>
        <w:t xml:space="preserve"> Além disso, é importante documentar o progresso do paciente, realizando avaliações basais e periódicas. Antes do início da fisioterap</w:t>
      </w:r>
      <w:r>
        <w:t>ia recomenda-se eliminar a possibilidade de que as manifestações músculo esqueléticas observadas sejam de origem neurológica e, além disso, é importante evitar a hiperextensão da cabeça por causa do comprometimento atlanto-axial</w:t>
      </w:r>
      <w:hyperlink r:id="rId58">
        <w:r>
          <w:rPr>
            <w:vertAlign w:val="superscript"/>
          </w:rPr>
          <w:t>44</w:t>
        </w:r>
        <w:r>
          <w:t xml:space="preserve">. </w:t>
        </w:r>
      </w:hyperlink>
      <w:r>
        <w:t>A instabilidade desta articulação pode ser avaliada por radiografias de flexão-extensão do pescoço.</w:t>
      </w:r>
    </w:p>
    <w:p w:rsidR="00A74668" w:rsidRDefault="00A74668">
      <w:pPr>
        <w:pStyle w:val="Corpodetexto"/>
        <w:spacing w:before="2"/>
        <w:ind w:left="0"/>
        <w:jc w:val="left"/>
      </w:pPr>
    </w:p>
    <w:p w:rsidR="00A74668" w:rsidRDefault="00421CAF">
      <w:pPr>
        <w:pStyle w:val="Ttulo1"/>
        <w:numPr>
          <w:ilvl w:val="3"/>
          <w:numId w:val="11"/>
        </w:numPr>
        <w:tabs>
          <w:tab w:val="left" w:pos="2358"/>
        </w:tabs>
        <w:spacing w:line="240" w:lineRule="auto"/>
      </w:pPr>
      <w:r>
        <w:t>Neurológico</w:t>
      </w:r>
    </w:p>
    <w:p w:rsidR="00A74668" w:rsidRDefault="00A74668">
      <w:pPr>
        <w:sectPr w:rsidR="00A74668">
          <w:pgSz w:w="11910" w:h="16840"/>
          <w:pgMar w:top="1040" w:right="980" w:bottom="440" w:left="900" w:header="0" w:footer="254" w:gutter="0"/>
          <w:cols w:space="720"/>
        </w:sectPr>
      </w:pPr>
    </w:p>
    <w:p w:rsidR="00A74668" w:rsidRDefault="00421CAF">
      <w:pPr>
        <w:pStyle w:val="Corpodetexto"/>
        <w:spacing w:before="72"/>
        <w:ind w:right="578" w:firstLine="1418"/>
      </w:pPr>
      <w:r>
        <w:lastRenderedPageBreak/>
        <w:t>Dependendo da gravidade da doença, as manifestações neurológicas dos pacientes com MPS II pod</w:t>
      </w:r>
      <w:r>
        <w:t>em incluir atraso na obtenção dos marcos do desenvolvimento, comprometimento cognitivo e convulsões</w:t>
      </w:r>
      <w:hyperlink r:id="rId59">
        <w:proofErr w:type="gramStart"/>
        <w:r>
          <w:rPr>
            <w:vertAlign w:val="superscript"/>
          </w:rPr>
          <w:t>10</w:t>
        </w:r>
        <w:r>
          <w:t>.</w:t>
        </w:r>
        <w:proofErr w:type="gramEnd"/>
      </w:hyperlink>
      <w:r>
        <w:t xml:space="preserve"> Pode ocorrer hidrocefalia comunicante, compressão da medula espinhal e síndrome do túnel do carpo</w:t>
      </w:r>
      <w:r>
        <w:t>, que podem inclusive necessitar de intervenção cirúrgica</w:t>
      </w:r>
      <w:hyperlink r:id="rId60">
        <w:r>
          <w:rPr>
            <w:vertAlign w:val="superscript"/>
          </w:rPr>
          <w:t>24</w:t>
        </w:r>
        <w:r>
          <w:t xml:space="preserve">. </w:t>
        </w:r>
      </w:hyperlink>
      <w:r>
        <w:t>As crises convulsivas podem ser tratadas com anticonvulsivantes usualmente indicados para crises tônico-</w:t>
      </w:r>
      <w:proofErr w:type="spellStart"/>
      <w:r>
        <w:t>clônicas</w:t>
      </w:r>
      <w:proofErr w:type="spellEnd"/>
      <w:r>
        <w:t xml:space="preserve"> e preferencialmente deve s</w:t>
      </w:r>
      <w:r>
        <w:t xml:space="preserve">e iniciar o tratamento em </w:t>
      </w:r>
      <w:proofErr w:type="spellStart"/>
      <w:r>
        <w:t>monoterapia</w:t>
      </w:r>
      <w:proofErr w:type="spellEnd"/>
      <w:r>
        <w:t xml:space="preserve"> com a menor dose eficaz, conforme orientação do PCDT específico para epilepsia</w:t>
      </w:r>
      <w:hyperlink r:id="rId61">
        <w:r>
          <w:rPr>
            <w:vertAlign w:val="superscript"/>
          </w:rPr>
          <w:t>46</w:t>
        </w:r>
        <w:r>
          <w:t xml:space="preserve">. </w:t>
        </w:r>
      </w:hyperlink>
      <w:r>
        <w:t>A síndrome do túnel do carpo é prevalente e pode ser complexo determinar se o pac</w:t>
      </w:r>
      <w:r>
        <w:t xml:space="preserve">iente está sentindo dor devido a compressão do nervo mediano, assim sugere-se estudos regulares de condução a partir dos </w:t>
      </w:r>
      <w:proofErr w:type="gramStart"/>
      <w:r>
        <w:t>5</w:t>
      </w:r>
      <w:proofErr w:type="gramEnd"/>
      <w:r>
        <w:t xml:space="preserve"> anos de idade</w:t>
      </w:r>
      <w:hyperlink r:id="rId62">
        <w:r>
          <w:rPr>
            <w:vertAlign w:val="superscript"/>
          </w:rPr>
          <w:t>32</w:t>
        </w:r>
        <w:r>
          <w:t>.</w:t>
        </w:r>
      </w:hyperlink>
    </w:p>
    <w:p w:rsidR="00A74668" w:rsidRDefault="00A74668">
      <w:pPr>
        <w:pStyle w:val="Corpodetexto"/>
        <w:spacing w:before="7"/>
        <w:ind w:left="0"/>
        <w:jc w:val="left"/>
      </w:pPr>
    </w:p>
    <w:p w:rsidR="00A74668" w:rsidRDefault="00421CAF">
      <w:pPr>
        <w:pStyle w:val="Ttulo1"/>
        <w:numPr>
          <w:ilvl w:val="3"/>
          <w:numId w:val="11"/>
        </w:numPr>
        <w:tabs>
          <w:tab w:val="left" w:pos="2358"/>
        </w:tabs>
      </w:pPr>
      <w:r>
        <w:t>Cardiovascular</w:t>
      </w:r>
    </w:p>
    <w:p w:rsidR="00A74668" w:rsidRDefault="00421CAF">
      <w:pPr>
        <w:pStyle w:val="Corpodetexto"/>
        <w:ind w:right="577" w:firstLine="1418"/>
      </w:pPr>
      <w:r>
        <w:t>As complicações cardiovasculares estão presentes na maioria dos pacientes e se manifestam em idade precoce</w:t>
      </w:r>
      <w:hyperlink r:id="rId63">
        <w:r>
          <w:rPr>
            <w:vertAlign w:val="superscript"/>
          </w:rPr>
          <w:t>10,47</w:t>
        </w:r>
        <w:r>
          <w:t xml:space="preserve">. </w:t>
        </w:r>
      </w:hyperlink>
      <w:r>
        <w:t>As modificações típicas incluem doença valvar (afetando as válvulas mitral, aór</w:t>
      </w:r>
      <w:r>
        <w:t>tica, tricúspide e pulmonar em frequência decrescente), hipertrofia ventricular, hipertensão arterial, arritmias (taquicardia, bradicardia, bloqueio atrioventricular)</w:t>
      </w:r>
      <w:hyperlink r:id="rId64">
        <w:r>
          <w:rPr>
            <w:vertAlign w:val="superscript"/>
          </w:rPr>
          <w:t>10,47</w:t>
        </w:r>
        <w:r>
          <w:t xml:space="preserve">. </w:t>
        </w:r>
      </w:hyperlink>
      <w:r>
        <w:t>O envolvimento deve</w:t>
      </w:r>
      <w:r>
        <w:t xml:space="preserve"> ser monitorado de perto e os </w:t>
      </w:r>
      <w:proofErr w:type="spellStart"/>
      <w:r>
        <w:t>pacientesdevem</w:t>
      </w:r>
      <w:proofErr w:type="spellEnd"/>
      <w:r>
        <w:t xml:space="preserve"> ser submetidos </w:t>
      </w:r>
      <w:proofErr w:type="gramStart"/>
      <w:r>
        <w:t>a</w:t>
      </w:r>
      <w:proofErr w:type="gramEnd"/>
      <w:r>
        <w:t xml:space="preserve"> </w:t>
      </w:r>
      <w:proofErr w:type="spellStart"/>
      <w:r>
        <w:t>ecocardiografia</w:t>
      </w:r>
      <w:proofErr w:type="spellEnd"/>
      <w:r>
        <w:t xml:space="preserve"> regular, eletrocardiograma e </w:t>
      </w:r>
      <w:proofErr w:type="spellStart"/>
      <w:r>
        <w:t>Holter</w:t>
      </w:r>
      <w:proofErr w:type="spellEnd"/>
      <w:r>
        <w:t>, se indicado</w:t>
      </w:r>
      <w:hyperlink r:id="rId65">
        <w:r>
          <w:rPr>
            <w:vertAlign w:val="superscript"/>
          </w:rPr>
          <w:t>24</w:t>
        </w:r>
        <w:r>
          <w:t>.</w:t>
        </w:r>
      </w:hyperlink>
      <w:r>
        <w:t xml:space="preserve"> A profilaxia para endocardite bacteriana é indicada apenas para pacien</w:t>
      </w:r>
      <w:r>
        <w:t xml:space="preserve">tes com história de endocardite ou prótese valvar, de acordo com as orientações da </w:t>
      </w:r>
      <w:r>
        <w:rPr>
          <w:i/>
        </w:rPr>
        <w:t>American Heart Association</w:t>
      </w:r>
      <w:hyperlink r:id="rId66">
        <w:r>
          <w:rPr>
            <w:vertAlign w:val="superscript"/>
          </w:rPr>
          <w:t>48</w:t>
        </w:r>
        <w:r>
          <w:t xml:space="preserve">. </w:t>
        </w:r>
      </w:hyperlink>
      <w:r>
        <w:rPr>
          <w:color w:val="212121"/>
        </w:rPr>
        <w:t>O tratamento do envolvimento cardíaco é essencialmente de suporte, envolvendo identific</w:t>
      </w:r>
      <w:r>
        <w:rPr>
          <w:color w:val="212121"/>
        </w:rPr>
        <w:t xml:space="preserve">ação e tratamento de pacientes com insuficiência cardíaca congestiva desenvolvida como resultado da </w:t>
      </w:r>
      <w:proofErr w:type="spellStart"/>
      <w:r>
        <w:rPr>
          <w:color w:val="212121"/>
        </w:rPr>
        <w:t>miocardiopatia</w:t>
      </w:r>
      <w:proofErr w:type="spellEnd"/>
      <w:r>
        <w:rPr>
          <w:color w:val="212121"/>
        </w:rPr>
        <w:t>, geralmente hipertrófica, ou, mais raramente, devido à disfunção valvar grave</w:t>
      </w:r>
      <w:hyperlink r:id="rId67">
        <w:r>
          <w:rPr>
            <w:vertAlign w:val="superscript"/>
          </w:rPr>
          <w:t>24</w:t>
        </w:r>
        <w:r>
          <w:rPr>
            <w:color w:val="212121"/>
          </w:rPr>
          <w:t xml:space="preserve">. </w:t>
        </w:r>
      </w:hyperlink>
      <w:r>
        <w:rPr>
          <w:color w:val="212121"/>
        </w:rPr>
        <w:t>Ness</w:t>
      </w:r>
      <w:r>
        <w:rPr>
          <w:color w:val="212121"/>
        </w:rPr>
        <w:t xml:space="preserve">e caso, o paciente deve ser tratado com </w:t>
      </w:r>
      <w:proofErr w:type="spellStart"/>
      <w:r>
        <w:rPr>
          <w:color w:val="212121"/>
        </w:rPr>
        <w:t>beta-bloqueadores</w:t>
      </w:r>
      <w:proofErr w:type="spellEnd"/>
      <w:r>
        <w:rPr>
          <w:color w:val="212121"/>
        </w:rPr>
        <w:t xml:space="preserve">, inibidores da ECA ou diuréticos, conforme avaliação clínica e </w:t>
      </w:r>
      <w:r>
        <w:t>tratamento preconizado para a população geral</w:t>
      </w:r>
      <w:r>
        <w:rPr>
          <w:color w:val="212121"/>
        </w:rPr>
        <w:t xml:space="preserve">. Em casos extremos, os pacientes podem ser submetidos à </w:t>
      </w:r>
      <w:proofErr w:type="spellStart"/>
      <w:r>
        <w:rPr>
          <w:color w:val="212121"/>
        </w:rPr>
        <w:t>valvoplastia</w:t>
      </w:r>
      <w:proofErr w:type="spellEnd"/>
      <w:r>
        <w:rPr>
          <w:color w:val="212121"/>
        </w:rPr>
        <w:t xml:space="preserve"> com balão ou reparaç</w:t>
      </w:r>
      <w:r>
        <w:rPr>
          <w:color w:val="212121"/>
        </w:rPr>
        <w:t>ão /substituição valvar cirúrgica, embora tais procedimentos sejam raros</w:t>
      </w:r>
      <w:hyperlink r:id="rId68">
        <w:proofErr w:type="gramStart"/>
        <w:r>
          <w:rPr>
            <w:vertAlign w:val="superscript"/>
          </w:rPr>
          <w:t>24</w:t>
        </w:r>
        <w:r>
          <w:rPr>
            <w:color w:val="212121"/>
          </w:rPr>
          <w:t>.</w:t>
        </w:r>
        <w:proofErr w:type="gramEnd"/>
      </w:hyperlink>
      <w:r>
        <w:rPr>
          <w:color w:val="212121"/>
        </w:rPr>
        <w:t xml:space="preserve"> A hipertensão geralmente é </w:t>
      </w:r>
      <w:proofErr w:type="spellStart"/>
      <w:r>
        <w:rPr>
          <w:color w:val="212121"/>
        </w:rPr>
        <w:t>sub-diagnosticada</w:t>
      </w:r>
      <w:proofErr w:type="spellEnd"/>
      <w:r>
        <w:rPr>
          <w:color w:val="212121"/>
        </w:rPr>
        <w:t xml:space="preserve"> em pacientes com MPS II e deve ser tratada com medicamentos padrão para tal. As</w:t>
      </w:r>
      <w:r>
        <w:rPr>
          <w:color w:val="212121"/>
        </w:rPr>
        <w:t xml:space="preserve"> arritmias devem ser tratadas com ablação, medicamentos antiarrítmicos, anticoagulantes e, se necessário, com desfibrilador</w:t>
      </w:r>
      <w:r>
        <w:rPr>
          <w:color w:val="212121"/>
          <w:spacing w:val="-5"/>
        </w:rPr>
        <w:t xml:space="preserve"> </w:t>
      </w:r>
      <w:r>
        <w:rPr>
          <w:color w:val="212121"/>
        </w:rPr>
        <w:t>cardioversorimplantável</w:t>
      </w:r>
      <w:hyperlink r:id="rId69">
        <w:proofErr w:type="gramStart"/>
        <w:r>
          <w:rPr>
            <w:vertAlign w:val="superscript"/>
          </w:rPr>
          <w:t>24</w:t>
        </w:r>
        <w:r>
          <w:t>.</w:t>
        </w:r>
        <w:proofErr w:type="gramEnd"/>
      </w:hyperlink>
    </w:p>
    <w:p w:rsidR="00A74668" w:rsidRDefault="00A74668">
      <w:pPr>
        <w:pStyle w:val="Corpodetexto"/>
        <w:spacing w:before="2"/>
        <w:ind w:left="0"/>
        <w:jc w:val="left"/>
      </w:pPr>
    </w:p>
    <w:p w:rsidR="00A74668" w:rsidRDefault="00421CAF">
      <w:pPr>
        <w:pStyle w:val="Ttulo1"/>
        <w:numPr>
          <w:ilvl w:val="3"/>
          <w:numId w:val="10"/>
        </w:numPr>
        <w:tabs>
          <w:tab w:val="left" w:pos="2406"/>
        </w:tabs>
        <w:ind w:hanging="754"/>
      </w:pPr>
      <w:r>
        <w:t>Manifestações</w:t>
      </w:r>
      <w:r>
        <w:rPr>
          <w:spacing w:val="-2"/>
        </w:rPr>
        <w:t xml:space="preserve"> </w:t>
      </w:r>
      <w:r>
        <w:t>oculares</w:t>
      </w:r>
    </w:p>
    <w:p w:rsidR="00A74668" w:rsidRDefault="00421CAF">
      <w:pPr>
        <w:pStyle w:val="Corpodetexto"/>
        <w:ind w:right="579" w:firstLine="1418"/>
      </w:pPr>
      <w:r>
        <w:t xml:space="preserve">O envolvimento ocular no </w:t>
      </w:r>
      <w:r>
        <w:t xml:space="preserve">MPS II geralmente consiste em perda da visão, edema do disco óptico, </w:t>
      </w:r>
      <w:proofErr w:type="spellStart"/>
      <w:r>
        <w:t>papiledema</w:t>
      </w:r>
      <w:proofErr w:type="spellEnd"/>
      <w:r>
        <w:t xml:space="preserve">, atrofia </w:t>
      </w:r>
      <w:proofErr w:type="gramStart"/>
      <w:r>
        <w:t>óptica</w:t>
      </w:r>
      <w:proofErr w:type="gramEnd"/>
      <w:r>
        <w:t xml:space="preserve"> e degeneração pigmentar da retina; opacidade de córnea é raramente observada e o glaucoma raramente está presente, mas se detectado deve ser tratado prontamente</w:t>
      </w:r>
      <w:hyperlink r:id="rId70">
        <w:r>
          <w:rPr>
            <w:vertAlign w:val="superscript"/>
          </w:rPr>
          <w:t>6,43</w:t>
        </w:r>
        <w:r>
          <w:t>.</w:t>
        </w:r>
      </w:hyperlink>
      <w:r>
        <w:t xml:space="preserve"> O reconhecimento e o tratamento precoce do comprometimento oftalmológico é recomendado, assim, os pacientes devem ser submetidos à avaliação oftalmológica anual, incluindo medida da pres</w:t>
      </w:r>
      <w:r>
        <w:t>são intraocular</w:t>
      </w:r>
      <w:hyperlink r:id="rId71">
        <w:r>
          <w:rPr>
            <w:vertAlign w:val="superscript"/>
          </w:rPr>
          <w:t>27</w:t>
        </w:r>
        <w:r>
          <w:t>.</w:t>
        </w:r>
      </w:hyperlink>
      <w:r>
        <w:t xml:space="preserve"> O tratamento das complicações oculares em pacientes com MPS II não difere substancialmente das condutas utilizadas em outros indivíduos, como, por exemplo, o uso de lentes corretiva</w:t>
      </w:r>
      <w:r>
        <w:t>s, que devem ser prescritas conforme</w:t>
      </w:r>
      <w:r>
        <w:rPr>
          <w:spacing w:val="-6"/>
        </w:rPr>
        <w:t xml:space="preserve"> </w:t>
      </w:r>
      <w:r>
        <w:t>apropriado</w:t>
      </w:r>
      <w:hyperlink r:id="rId72">
        <w:r>
          <w:rPr>
            <w:vertAlign w:val="superscript"/>
          </w:rPr>
          <w:t>19</w:t>
        </w:r>
        <w:r>
          <w:t>.</w:t>
        </w:r>
      </w:hyperlink>
    </w:p>
    <w:p w:rsidR="00A74668" w:rsidRDefault="00A74668">
      <w:pPr>
        <w:pStyle w:val="Corpodetexto"/>
        <w:spacing w:before="2"/>
        <w:ind w:left="0"/>
        <w:jc w:val="left"/>
      </w:pPr>
    </w:p>
    <w:p w:rsidR="00A74668" w:rsidRDefault="00421CAF">
      <w:pPr>
        <w:pStyle w:val="Ttulo1"/>
        <w:numPr>
          <w:ilvl w:val="3"/>
          <w:numId w:val="10"/>
        </w:numPr>
        <w:tabs>
          <w:tab w:val="left" w:pos="2358"/>
        </w:tabs>
        <w:ind w:left="2357" w:hanging="706"/>
      </w:pPr>
      <w:r>
        <w:t>Saúde</w:t>
      </w:r>
      <w:r>
        <w:rPr>
          <w:spacing w:val="-1"/>
        </w:rPr>
        <w:t xml:space="preserve"> </w:t>
      </w:r>
      <w:r>
        <w:t>bucal</w:t>
      </w:r>
    </w:p>
    <w:p w:rsidR="00A74668" w:rsidRDefault="00421CAF">
      <w:pPr>
        <w:pStyle w:val="Corpodetexto"/>
        <w:ind w:right="577" w:firstLine="1418"/>
      </w:pPr>
      <w:r>
        <w:t>O cuidado dental padrão é recomendado sempre que necessário e é recomendada avaliação a cada seis meses</w:t>
      </w:r>
      <w:hyperlink r:id="rId73">
        <w:proofErr w:type="gramStart"/>
        <w:r>
          <w:rPr>
            <w:vertAlign w:val="superscript"/>
          </w:rPr>
          <w:t>27</w:t>
        </w:r>
        <w:r>
          <w:t>.</w:t>
        </w:r>
        <w:proofErr w:type="gramEnd"/>
      </w:hyperlink>
      <w:r>
        <w:t xml:space="preserve"> Devido à abertura limitada do maxilar, procedimentos odontológicos de rotina podem ser difíceis de serem realizados e alguns exigirão anestesia geral, que apresenta riscos particulares em pacientes </w:t>
      </w:r>
      <w:r>
        <w:t>com MPS II</w:t>
      </w:r>
      <w:hyperlink r:id="rId74">
        <w:r>
          <w:rPr>
            <w:vertAlign w:val="superscript"/>
          </w:rPr>
          <w:t>27</w:t>
        </w:r>
        <w:r>
          <w:t xml:space="preserve">. </w:t>
        </w:r>
      </w:hyperlink>
      <w:r>
        <w:t>A erupção dentária atrasada foi relatada, particularmente com os primeiros molares permanentes</w:t>
      </w:r>
      <w:hyperlink r:id="rId75">
        <w:r>
          <w:rPr>
            <w:vertAlign w:val="superscript"/>
          </w:rPr>
          <w:t>40</w:t>
        </w:r>
        <w:r>
          <w:t xml:space="preserve">. </w:t>
        </w:r>
      </w:hyperlink>
      <w:r>
        <w:t xml:space="preserve">Além disso, recomenda-se acompanhamento </w:t>
      </w:r>
      <w:proofErr w:type="spellStart"/>
      <w:r>
        <w:t>fonoterápico</w:t>
      </w:r>
      <w:proofErr w:type="spellEnd"/>
      <w:r>
        <w:t>, uma vez que os pacientes apresentem comprometimento da deglutição, da mastigação e muitos apresentam respiração</w:t>
      </w:r>
      <w:r>
        <w:rPr>
          <w:spacing w:val="1"/>
        </w:rPr>
        <w:t xml:space="preserve"> </w:t>
      </w:r>
      <w:r>
        <w:t>oral</w:t>
      </w:r>
      <w:hyperlink r:id="rId76">
        <w:proofErr w:type="gramStart"/>
        <w:r>
          <w:rPr>
            <w:vertAlign w:val="superscript"/>
          </w:rPr>
          <w:t>44</w:t>
        </w:r>
        <w:r>
          <w:t>.</w:t>
        </w:r>
        <w:proofErr w:type="gramEnd"/>
      </w:hyperlink>
    </w:p>
    <w:p w:rsidR="00A74668" w:rsidRDefault="00A74668">
      <w:pPr>
        <w:pStyle w:val="Corpodetexto"/>
        <w:spacing w:before="4"/>
        <w:ind w:left="0"/>
        <w:jc w:val="left"/>
      </w:pPr>
    </w:p>
    <w:p w:rsidR="00A74668" w:rsidRDefault="00421CAF">
      <w:pPr>
        <w:pStyle w:val="Ttulo1"/>
        <w:numPr>
          <w:ilvl w:val="3"/>
          <w:numId w:val="10"/>
        </w:numPr>
        <w:tabs>
          <w:tab w:val="left" w:pos="2358"/>
        </w:tabs>
        <w:ind w:left="2357" w:hanging="706"/>
      </w:pPr>
      <w:proofErr w:type="spellStart"/>
      <w:r>
        <w:t>Audiológico</w:t>
      </w:r>
      <w:proofErr w:type="spellEnd"/>
    </w:p>
    <w:p w:rsidR="00A74668" w:rsidRDefault="00421CAF">
      <w:pPr>
        <w:pStyle w:val="Corpodetexto"/>
        <w:ind w:right="581" w:firstLine="1418"/>
      </w:pPr>
      <w:r>
        <w:t>A perda de au</w:t>
      </w:r>
      <w:r>
        <w:t>dição ocorre na quase totalidade dos pacientes, assim o uso de aparelhos auditivos é um aspecto importante do controle da doença</w:t>
      </w:r>
      <w:hyperlink r:id="rId77">
        <w:proofErr w:type="gramStart"/>
        <w:r>
          <w:rPr>
            <w:vertAlign w:val="superscript"/>
          </w:rPr>
          <w:t>27</w:t>
        </w:r>
        <w:r>
          <w:t>.</w:t>
        </w:r>
        <w:proofErr w:type="gramEnd"/>
      </w:hyperlink>
      <w:r>
        <w:t xml:space="preserve"> A perda auditiva pode contribuir para </w:t>
      </w:r>
      <w:proofErr w:type="spellStart"/>
      <w:r>
        <w:t>problemascomportamentais</w:t>
      </w:r>
      <w:proofErr w:type="spellEnd"/>
      <w:r>
        <w:t xml:space="preserve"> e dif</w:t>
      </w:r>
      <w:r>
        <w:t>iculdades de aprendizagem, sendo que a perda pode levar a dificuldades sociais e comportamento semelhante ao observado em distúrbios do espectro autista</w:t>
      </w:r>
      <w:hyperlink r:id="rId78">
        <w:r>
          <w:rPr>
            <w:vertAlign w:val="superscript"/>
          </w:rPr>
          <w:t>27</w:t>
        </w:r>
        <w:r>
          <w:t xml:space="preserve">. </w:t>
        </w:r>
      </w:hyperlink>
      <w:r>
        <w:t xml:space="preserve">É comum a ocorrência de otite média crônica </w:t>
      </w:r>
      <w:r>
        <w:t xml:space="preserve">e pode ocorrer perda auditiva condutiva. Deste modo, avaliações otológicas e </w:t>
      </w:r>
      <w:proofErr w:type="spellStart"/>
      <w:r>
        <w:t>audiológicas</w:t>
      </w:r>
      <w:proofErr w:type="spellEnd"/>
      <w:r>
        <w:t xml:space="preserve"> devem ser realizadas pelo menos a cada 6-12 meses e otites devem ser tratadas conforme</w:t>
      </w:r>
      <w:r>
        <w:rPr>
          <w:spacing w:val="-10"/>
        </w:rPr>
        <w:t xml:space="preserve"> </w:t>
      </w:r>
      <w:r>
        <w:t>apropriado.</w:t>
      </w:r>
    </w:p>
    <w:p w:rsidR="00A74668" w:rsidRDefault="00A74668">
      <w:pPr>
        <w:pStyle w:val="Corpodetexto"/>
        <w:spacing w:before="3"/>
        <w:ind w:left="0"/>
        <w:jc w:val="left"/>
      </w:pPr>
    </w:p>
    <w:p w:rsidR="00A74668" w:rsidRDefault="00421CAF">
      <w:pPr>
        <w:pStyle w:val="Ttulo1"/>
        <w:spacing w:line="227" w:lineRule="exact"/>
        <w:ind w:left="1651" w:firstLine="0"/>
      </w:pPr>
      <w:r>
        <w:t>5.1.1.5. Outros aspectos</w:t>
      </w:r>
    </w:p>
    <w:p w:rsidR="00A74668" w:rsidRDefault="00421CAF">
      <w:pPr>
        <w:pStyle w:val="Corpodetexto"/>
        <w:ind w:right="577" w:firstLine="1418"/>
      </w:pPr>
      <w:r>
        <w:t xml:space="preserve">Como se trata de uma doença crônica, </w:t>
      </w:r>
      <w:proofErr w:type="spellStart"/>
      <w:r>
        <w:t>mult</w:t>
      </w:r>
      <w:r>
        <w:t>issistêmica</w:t>
      </w:r>
      <w:proofErr w:type="spellEnd"/>
      <w:r>
        <w:t xml:space="preserve"> e progressiva, os pacientes com MPS II e suas famílias geralmente requerem apoio psicológico e social considerável a partir do diagnóstico da doença</w:t>
      </w:r>
      <w:hyperlink r:id="rId79">
        <w:r>
          <w:rPr>
            <w:vertAlign w:val="superscript"/>
          </w:rPr>
          <w:t>24</w:t>
        </w:r>
        <w:r>
          <w:t xml:space="preserve">. </w:t>
        </w:r>
      </w:hyperlink>
      <w:r>
        <w:t>As associações de pacientes fornecem</w:t>
      </w:r>
      <w:r>
        <w:t xml:space="preserve"> apoio psicossocial muito importante para as famílias, assim como a possibilidade de estabelecer vínculos com outros indivíduos afetados, proporcionando troca de experiências e melhor enfrentamento das dificuldades encontradas.</w:t>
      </w:r>
    </w:p>
    <w:p w:rsidR="00A74668" w:rsidRDefault="00421CAF">
      <w:pPr>
        <w:pStyle w:val="Corpodetexto"/>
        <w:ind w:right="587" w:firstLine="1418"/>
      </w:pPr>
      <w:r>
        <w:t>Deve ser oferecido aconselha</w:t>
      </w:r>
      <w:r>
        <w:t>mento genético a todas as famílias e aos pacientes, visando a fornecer informações sobre heterozigotas, diagnóstico pré-natal e chance de recorrência.</w:t>
      </w:r>
    </w:p>
    <w:p w:rsidR="00A74668" w:rsidRDefault="00421CAF">
      <w:pPr>
        <w:pStyle w:val="Corpodetexto"/>
        <w:ind w:right="578" w:firstLine="1418"/>
      </w:pPr>
      <w:r>
        <w:t xml:space="preserve">É importante que uma equipe multidisciplinar acompanhe o paciente, sugere-se que inclua um nutricionista </w:t>
      </w:r>
      <w:r>
        <w:t>para suporte nutricional, fonoaudiólogos, psicólogos, fisioterapeutas e dentistas</w:t>
      </w:r>
      <w:hyperlink r:id="rId80">
        <w:proofErr w:type="gramStart"/>
        <w:r>
          <w:rPr>
            <w:vertAlign w:val="superscript"/>
          </w:rPr>
          <w:t>24,32</w:t>
        </w:r>
        <w:r>
          <w:t>.</w:t>
        </w:r>
        <w:proofErr w:type="gramEnd"/>
      </w:hyperlink>
    </w:p>
    <w:p w:rsidR="00A74668" w:rsidRDefault="00A74668">
      <w:pPr>
        <w:sectPr w:rsidR="00A74668">
          <w:pgSz w:w="11910" w:h="16840"/>
          <w:pgMar w:top="1040" w:right="980" w:bottom="440" w:left="900" w:header="0" w:footer="254" w:gutter="0"/>
          <w:cols w:space="720"/>
        </w:sectPr>
      </w:pPr>
    </w:p>
    <w:p w:rsidR="00A74668" w:rsidRDefault="00421CAF">
      <w:pPr>
        <w:tabs>
          <w:tab w:val="left" w:pos="2357"/>
        </w:tabs>
        <w:spacing w:before="68" w:line="228" w:lineRule="exact"/>
        <w:ind w:left="1651"/>
        <w:rPr>
          <w:b/>
          <w:sz w:val="16"/>
        </w:rPr>
      </w:pPr>
      <w:r>
        <w:rPr>
          <w:b/>
          <w:sz w:val="20"/>
        </w:rPr>
        <w:lastRenderedPageBreak/>
        <w:t>5.1.2.</w:t>
      </w:r>
      <w:r>
        <w:rPr>
          <w:b/>
          <w:sz w:val="20"/>
        </w:rPr>
        <w:tab/>
        <w:t>T</w:t>
      </w:r>
      <w:r>
        <w:rPr>
          <w:b/>
          <w:sz w:val="16"/>
        </w:rPr>
        <w:t xml:space="preserve">RATAMENTO </w:t>
      </w:r>
      <w:r>
        <w:rPr>
          <w:b/>
          <w:sz w:val="20"/>
        </w:rPr>
        <w:t>C</w:t>
      </w:r>
      <w:r>
        <w:rPr>
          <w:b/>
          <w:sz w:val="16"/>
        </w:rPr>
        <w:t>IRÚRGICO</w:t>
      </w:r>
    </w:p>
    <w:p w:rsidR="00A74668" w:rsidRDefault="00421CAF">
      <w:pPr>
        <w:pStyle w:val="Corpodetexto"/>
        <w:ind w:right="580" w:firstLine="1418"/>
      </w:pPr>
      <w:r>
        <w:t>Muitos pacientes apresentam infecções respiratórias recorr</w:t>
      </w:r>
      <w:r>
        <w:t xml:space="preserve">entes e obstruções de vias aéreas, nestes a indicação de </w:t>
      </w:r>
      <w:proofErr w:type="spellStart"/>
      <w:r>
        <w:t>adenoidectomia</w:t>
      </w:r>
      <w:proofErr w:type="spellEnd"/>
      <w:r>
        <w:t xml:space="preserve"> e </w:t>
      </w:r>
      <w:proofErr w:type="gramStart"/>
      <w:r>
        <w:t>amigdalectomia podem ser</w:t>
      </w:r>
      <w:proofErr w:type="gramEnd"/>
      <w:r>
        <w:t xml:space="preserve"> apropriadas</w:t>
      </w:r>
      <w:hyperlink r:id="rId81">
        <w:r>
          <w:rPr>
            <w:vertAlign w:val="superscript"/>
          </w:rPr>
          <w:t>24</w:t>
        </w:r>
        <w:r>
          <w:t xml:space="preserve">. </w:t>
        </w:r>
      </w:hyperlink>
      <w:r>
        <w:t xml:space="preserve">Entretanto, o bloqueio das vias aéreas nas </w:t>
      </w:r>
      <w:proofErr w:type="spellStart"/>
      <w:r>
        <w:t>MPSs</w:t>
      </w:r>
      <w:proofErr w:type="spellEnd"/>
      <w:r>
        <w:t xml:space="preserve"> é multifatorial, assim, os resultados </w:t>
      </w:r>
      <w:r>
        <w:t xml:space="preserve">de </w:t>
      </w:r>
      <w:proofErr w:type="spellStart"/>
      <w:r>
        <w:t>adenotonsilectomia</w:t>
      </w:r>
      <w:proofErr w:type="spellEnd"/>
      <w:r>
        <w:t xml:space="preserve"> variam, mas a melhora </w:t>
      </w:r>
      <w:proofErr w:type="gramStart"/>
      <w:r>
        <w:t>a médio prazo</w:t>
      </w:r>
      <w:proofErr w:type="gramEnd"/>
      <w:r>
        <w:t xml:space="preserve"> na qualidade respiratória é percebida na maioria dos casos. A cirurgia </w:t>
      </w:r>
      <w:r>
        <w:rPr>
          <w:spacing w:val="3"/>
        </w:rPr>
        <w:t xml:space="preserve">das </w:t>
      </w:r>
      <w:r>
        <w:t xml:space="preserve">vias aéreas pode ser complicada pela </w:t>
      </w:r>
      <w:proofErr w:type="spellStart"/>
      <w:r>
        <w:t>macroglossia</w:t>
      </w:r>
      <w:proofErr w:type="spellEnd"/>
      <w:r>
        <w:t>, abertura limitada da boca e instabilidade da coluna cervical. Além disso</w:t>
      </w:r>
      <w:r>
        <w:t>, existe o risco de compressão medular aguda após a hiperextensão do pescoço nesses pacientes</w:t>
      </w:r>
      <w:hyperlink r:id="rId82">
        <w:r>
          <w:rPr>
            <w:vertAlign w:val="superscript"/>
          </w:rPr>
          <w:t>45</w:t>
        </w:r>
        <w:r>
          <w:t xml:space="preserve">. </w:t>
        </w:r>
      </w:hyperlink>
      <w:r>
        <w:t xml:space="preserve">Uma </w:t>
      </w:r>
      <w:proofErr w:type="spellStart"/>
      <w:r>
        <w:t>alternativade</w:t>
      </w:r>
      <w:proofErr w:type="spellEnd"/>
      <w:r>
        <w:t xml:space="preserve"> realização de </w:t>
      </w:r>
      <w:proofErr w:type="spellStart"/>
      <w:r>
        <w:t>adenoidectomia</w:t>
      </w:r>
      <w:proofErr w:type="spellEnd"/>
      <w:r>
        <w:t xml:space="preserve"> quando o acesso pela abertura oral está comprometido é a</w:t>
      </w:r>
      <w:r>
        <w:t xml:space="preserve"> cirurgia endoscópica por via</w:t>
      </w:r>
      <w:r>
        <w:rPr>
          <w:spacing w:val="-14"/>
        </w:rPr>
        <w:t xml:space="preserve"> </w:t>
      </w:r>
      <w:r>
        <w:t>nasal</w:t>
      </w:r>
      <w:hyperlink r:id="rId83">
        <w:proofErr w:type="gramStart"/>
        <w:r>
          <w:rPr>
            <w:vertAlign w:val="superscript"/>
          </w:rPr>
          <w:t>51</w:t>
        </w:r>
        <w:r>
          <w:t>.</w:t>
        </w:r>
        <w:proofErr w:type="gramEnd"/>
      </w:hyperlink>
    </w:p>
    <w:p w:rsidR="00A74668" w:rsidRDefault="00421CAF">
      <w:pPr>
        <w:pStyle w:val="Corpodetexto"/>
        <w:ind w:right="578" w:firstLine="1418"/>
      </w:pPr>
      <w:r>
        <w:t xml:space="preserve">No entanto, à medida que a doença progride, a traqueostomia pode ser </w:t>
      </w:r>
      <w:proofErr w:type="gramStart"/>
      <w:r>
        <w:t>necessária</w:t>
      </w:r>
      <w:hyperlink r:id="rId84">
        <w:r>
          <w:rPr>
            <w:vertAlign w:val="superscript"/>
          </w:rPr>
          <w:t>24</w:t>
        </w:r>
        <w:proofErr w:type="gramEnd"/>
        <w:r>
          <w:t xml:space="preserve">. </w:t>
        </w:r>
      </w:hyperlink>
      <w:r>
        <w:t xml:space="preserve">Há evidência que </w:t>
      </w:r>
      <w:proofErr w:type="spellStart"/>
      <w:r>
        <w:t>adeno</w:t>
      </w:r>
      <w:r>
        <w:t>amigdalectomia</w:t>
      </w:r>
      <w:proofErr w:type="spellEnd"/>
      <w:r>
        <w:t xml:space="preserve"> é efetiva em crianças com MPS II diagnosticadas com apneia obstrutiva do sono leve a moderada, segundo uma revisão sistemática </w:t>
      </w:r>
      <w:r>
        <w:rPr>
          <w:i/>
        </w:rPr>
        <w:t xml:space="preserve">Cochrane </w:t>
      </w:r>
      <w:r>
        <w:t>recente</w:t>
      </w:r>
      <w:hyperlink r:id="rId85">
        <w:proofErr w:type="gramStart"/>
        <w:r>
          <w:rPr>
            <w:vertAlign w:val="superscript"/>
          </w:rPr>
          <w:t>52</w:t>
        </w:r>
        <w:r>
          <w:t>.</w:t>
        </w:r>
        <w:proofErr w:type="gramEnd"/>
      </w:hyperlink>
      <w:r>
        <w:t xml:space="preserve"> A traqueostomia deve ser evitada sempre que possível, por dificuldades na técnica cirúrgica, endurecimento da traqueia, alterações anatômicas significativas (como pescoço curto), além da alta taxa de complicações pós-operatórias, como </w:t>
      </w:r>
      <w:proofErr w:type="spellStart"/>
      <w:r>
        <w:t>traqueíte</w:t>
      </w:r>
      <w:proofErr w:type="spellEnd"/>
      <w:r>
        <w:t>, pneumonia</w:t>
      </w:r>
      <w:r>
        <w:t xml:space="preserve"> recorrente e bloqueio da traqueostomia por secreções espessas</w:t>
      </w:r>
      <w:hyperlink r:id="rId86">
        <w:r>
          <w:rPr>
            <w:vertAlign w:val="superscript"/>
          </w:rPr>
          <w:t>53</w:t>
        </w:r>
        <w:r>
          <w:t>.</w:t>
        </w:r>
      </w:hyperlink>
      <w:r>
        <w:t xml:space="preserve"> Para uma avaliação mais detalhada das vias aéreas, a broncoscopia pode ser realizada</w:t>
      </w:r>
      <w:hyperlink r:id="rId87">
        <w:r>
          <w:rPr>
            <w:vertAlign w:val="superscript"/>
          </w:rPr>
          <w:t>45</w:t>
        </w:r>
        <w:r>
          <w:t>.</w:t>
        </w:r>
      </w:hyperlink>
      <w:r>
        <w:t xml:space="preserve"> A deglutição, já prejudicada pela anatomia e comprometimento neurológico tende a piorar, aumentando o risco de aspiração</w:t>
      </w:r>
      <w:hyperlink r:id="rId88">
        <w:r>
          <w:rPr>
            <w:vertAlign w:val="superscript"/>
          </w:rPr>
          <w:t>54</w:t>
        </w:r>
        <w:r>
          <w:t xml:space="preserve">. </w:t>
        </w:r>
      </w:hyperlink>
      <w:r>
        <w:t>Os desafios da gestão de uma traqueostomia nesses pacientes, assoc</w:t>
      </w:r>
      <w:r>
        <w:t>iados à dificuldade de aceitação pelo paciente e pela família, também devem ser levados em</w:t>
      </w:r>
      <w:r>
        <w:rPr>
          <w:spacing w:val="-25"/>
        </w:rPr>
        <w:t xml:space="preserve"> </w:t>
      </w:r>
      <w:r>
        <w:t>consideração.</w:t>
      </w:r>
    </w:p>
    <w:p w:rsidR="00A74668" w:rsidRDefault="00421CAF">
      <w:pPr>
        <w:pStyle w:val="Corpodetexto"/>
        <w:ind w:right="581" w:firstLine="1418"/>
      </w:pPr>
      <w:r>
        <w:t xml:space="preserve">Em pacientes com perda auditiva secundária à otite crônica secretora, pode ser discutida a possibilidade de </w:t>
      </w:r>
      <w:proofErr w:type="spellStart"/>
      <w:r>
        <w:t>miringotomia</w:t>
      </w:r>
      <w:proofErr w:type="spellEnd"/>
      <w:r>
        <w:t xml:space="preserve"> e colocação de tubos de ventil</w:t>
      </w:r>
      <w:r>
        <w:t>ação ou o uso de aparelhos auditivos</w:t>
      </w:r>
      <w:hyperlink r:id="rId89">
        <w:r>
          <w:rPr>
            <w:vertAlign w:val="superscript"/>
          </w:rPr>
          <w:t>24,32</w:t>
        </w:r>
        <w:r>
          <w:t xml:space="preserve">; </w:t>
        </w:r>
      </w:hyperlink>
      <w:r>
        <w:t xml:space="preserve">ambos são efetivos, mas os aparelhos auditivos são preferidos nas crianças com </w:t>
      </w:r>
      <w:proofErr w:type="spellStart"/>
      <w:r>
        <w:t>comorbidades</w:t>
      </w:r>
      <w:proofErr w:type="spellEnd"/>
      <w:r>
        <w:t xml:space="preserve"> significativas</w:t>
      </w:r>
      <w:hyperlink r:id="rId90">
        <w:proofErr w:type="gramStart"/>
        <w:r>
          <w:rPr>
            <w:vertAlign w:val="superscript"/>
          </w:rPr>
          <w:t>24</w:t>
        </w:r>
        <w:r>
          <w:t>.</w:t>
        </w:r>
        <w:proofErr w:type="gramEnd"/>
      </w:hyperlink>
    </w:p>
    <w:p w:rsidR="00A74668" w:rsidRDefault="00421CAF">
      <w:pPr>
        <w:pStyle w:val="Corpodetexto"/>
        <w:ind w:right="577" w:firstLine="1418"/>
      </w:pPr>
      <w:r>
        <w:t xml:space="preserve">As mudanças esqueléticas reduzem a mobilidade de maxilar, limitam a abertura da boca e afetam negativamente a capacidade de mastigar. Associado a isso, amígdalas e adenoides grandes e a </w:t>
      </w:r>
      <w:proofErr w:type="spellStart"/>
      <w:r>
        <w:t>macroglossia</w:t>
      </w:r>
      <w:proofErr w:type="spellEnd"/>
      <w:r>
        <w:t xml:space="preserve"> podem interferir com a deglutição e com a mastigação, o q</w:t>
      </w:r>
      <w:r>
        <w:t>ue aumenta o risco de aspiração</w:t>
      </w:r>
      <w:hyperlink r:id="rId91">
        <w:proofErr w:type="gramStart"/>
        <w:r>
          <w:rPr>
            <w:vertAlign w:val="superscript"/>
          </w:rPr>
          <w:t>45</w:t>
        </w:r>
        <w:r>
          <w:t>.</w:t>
        </w:r>
        <w:proofErr w:type="gramEnd"/>
      </w:hyperlink>
      <w:r>
        <w:t xml:space="preserve"> Assim, a terapia </w:t>
      </w:r>
      <w:proofErr w:type="spellStart"/>
      <w:r>
        <w:t>fonoaudiológica</w:t>
      </w:r>
      <w:proofErr w:type="spellEnd"/>
      <w:r>
        <w:t xml:space="preserve"> em motricidade orofacial para pacientes com MPS pode aumentar o tônus muscular, mudar padrões funcionais e prevenir desvios no desen</w:t>
      </w:r>
      <w:r>
        <w:t>volvimento craniofacial, além de auxiliar na correta orientação dos familiares na presença de dificuldades</w:t>
      </w:r>
      <w:hyperlink r:id="rId92">
        <w:r>
          <w:rPr>
            <w:vertAlign w:val="superscript"/>
          </w:rPr>
          <w:t>50</w:t>
        </w:r>
        <w:r>
          <w:t>.</w:t>
        </w:r>
      </w:hyperlink>
    </w:p>
    <w:p w:rsidR="00A74668" w:rsidRDefault="00421CAF">
      <w:pPr>
        <w:pStyle w:val="Corpodetexto"/>
        <w:ind w:right="575" w:firstLine="1418"/>
      </w:pPr>
      <w:r>
        <w:t>Complicações neurológicas, co</w:t>
      </w:r>
      <w:r>
        <w:rPr>
          <w:color w:val="212121"/>
        </w:rPr>
        <w:t>mo hidrocefalia comunicante e compressão medular</w:t>
      </w:r>
      <w:hyperlink r:id="rId93">
        <w:r>
          <w:rPr>
            <w:vertAlign w:val="superscript"/>
          </w:rPr>
          <w:t>24</w:t>
        </w:r>
      </w:hyperlink>
      <w:r>
        <w:t xml:space="preserve"> podem surgir ao longo da evolução da doença; porém, os sinais clássicos de hipertensão intracraniana geralmente estão ausentes, evoluindo de forma insidiosa, e os sintomas são difíceis de distinguir de danos pr</w:t>
      </w:r>
      <w:r>
        <w:t xml:space="preserve">imários ao cérebro. Alterações comportamentais como agitação ou </w:t>
      </w:r>
      <w:proofErr w:type="spellStart"/>
      <w:r>
        <w:t>hipoatividade</w:t>
      </w:r>
      <w:proofErr w:type="spellEnd"/>
      <w:r>
        <w:t xml:space="preserve"> podem ser sinais de hipertensão intracraniana</w:t>
      </w:r>
      <w:hyperlink r:id="rId94">
        <w:proofErr w:type="gramStart"/>
        <w:r>
          <w:rPr>
            <w:vertAlign w:val="superscript"/>
          </w:rPr>
          <w:t>55,56</w:t>
        </w:r>
        <w:r>
          <w:t>.</w:t>
        </w:r>
        <w:proofErr w:type="gramEnd"/>
      </w:hyperlink>
      <w:r>
        <w:t xml:space="preserve"> Porém, nesses pacientes pode ser difícil a diferenciação entre</w:t>
      </w:r>
      <w:r>
        <w:t xml:space="preserve"> hidrocefalia e atrofia cerebral, assim a combinação de estudos de imagem e </w:t>
      </w:r>
      <w:proofErr w:type="spellStart"/>
      <w:r>
        <w:t>raquimanometria</w:t>
      </w:r>
      <w:proofErr w:type="spellEnd"/>
      <w:r>
        <w:t xml:space="preserve"> para medida de abertura do </w:t>
      </w:r>
      <w:proofErr w:type="spellStart"/>
      <w:r>
        <w:t>líquor</w:t>
      </w:r>
      <w:proofErr w:type="spellEnd"/>
      <w:r>
        <w:t>, pode fornecer um diagnóstico mais confiável</w:t>
      </w:r>
      <w:hyperlink r:id="rId95">
        <w:r>
          <w:rPr>
            <w:vertAlign w:val="superscript"/>
          </w:rPr>
          <w:t>56</w:t>
        </w:r>
        <w:r>
          <w:t>.</w:t>
        </w:r>
      </w:hyperlink>
      <w:r>
        <w:t xml:space="preserve"> Em pacientes com hidrocefa</w:t>
      </w:r>
      <w:r>
        <w:t xml:space="preserve">lia comunicante ou evidência de aumento ventricular progressivo, a derivação </w:t>
      </w:r>
      <w:proofErr w:type="spellStart"/>
      <w:r>
        <w:t>ventriculoperitoneal</w:t>
      </w:r>
      <w:proofErr w:type="spellEnd"/>
      <w:r>
        <w:t xml:space="preserve"> pode ser eficaz em reduzir a pressão intracraniana</w:t>
      </w:r>
      <w:hyperlink r:id="rId96">
        <w:r>
          <w:rPr>
            <w:vertAlign w:val="superscript"/>
          </w:rPr>
          <w:t>55</w:t>
        </w:r>
        <w:r>
          <w:t xml:space="preserve">. </w:t>
        </w:r>
      </w:hyperlink>
      <w:r>
        <w:t xml:space="preserve">Embora pouco se saiba sobre como o progresso da </w:t>
      </w:r>
      <w:r>
        <w:t>doença possa ser modificado, há relatos de melhora motora</w:t>
      </w:r>
      <w:hyperlink r:id="rId97">
        <w:proofErr w:type="gramStart"/>
        <w:r>
          <w:rPr>
            <w:vertAlign w:val="superscript"/>
          </w:rPr>
          <w:t>57</w:t>
        </w:r>
        <w:r>
          <w:t>,</w:t>
        </w:r>
        <w:proofErr w:type="gramEnd"/>
      </w:hyperlink>
      <w:r>
        <w:t xml:space="preserve"> de sintomas como dor de cabeça ou comportamento do sono após a colocação daderivação</w:t>
      </w:r>
      <w:hyperlink r:id="rId98">
        <w:r>
          <w:rPr>
            <w:vertAlign w:val="superscript"/>
          </w:rPr>
          <w:t>56</w:t>
        </w:r>
        <w:r>
          <w:t>.</w:t>
        </w:r>
      </w:hyperlink>
      <w:r>
        <w:t xml:space="preserve"> Devido ao mecanismo particular da hipertensão intracraniana nas </w:t>
      </w:r>
      <w:proofErr w:type="spellStart"/>
      <w:r>
        <w:t>MPSs</w:t>
      </w:r>
      <w:proofErr w:type="spellEnd"/>
      <w:r>
        <w:t>, recomenda-se utilizar para válvulas de alta pressão, no intuito de evitar síndrome de hiperdrenagem</w:t>
      </w:r>
      <w:hyperlink r:id="rId99">
        <w:r>
          <w:rPr>
            <w:vertAlign w:val="superscript"/>
          </w:rPr>
          <w:t>58</w:t>
        </w:r>
        <w:r>
          <w:t>.</w:t>
        </w:r>
      </w:hyperlink>
      <w:r>
        <w:t>Uma característica comu</w:t>
      </w:r>
      <w:r>
        <w:t xml:space="preserve">m do MPS II é a compressão progressiva da medula espinhal com </w:t>
      </w:r>
      <w:proofErr w:type="spellStart"/>
      <w:r>
        <w:t>mielopatia</w:t>
      </w:r>
      <w:proofErr w:type="spellEnd"/>
      <w:r>
        <w:t xml:space="preserve"> cervical resultante, que pode levar a uma atividade reduzida, dificuldade de sentar, paresia e espasticidade, dor ou perda de sensação na parte superior e inferior do corpo, bem como </w:t>
      </w:r>
      <w:r>
        <w:t>disfunção vesical e intestinal</w:t>
      </w:r>
      <w:hyperlink r:id="rId100">
        <w:r>
          <w:rPr>
            <w:vertAlign w:val="superscript"/>
          </w:rPr>
          <w:t>24,45</w:t>
        </w:r>
        <w:r>
          <w:t>.</w:t>
        </w:r>
      </w:hyperlink>
      <w:r>
        <w:t xml:space="preserve"> O dano medular pode ser irreversível se não tratado, assim recomenda-se considerar a descompressão cirúrgica quando os sintomas ocorrem e o diagnóstico se</w:t>
      </w:r>
      <w:r>
        <w:rPr>
          <w:spacing w:val="-6"/>
        </w:rPr>
        <w:t xml:space="preserve"> </w:t>
      </w:r>
      <w:r>
        <w:t>confirmar</w:t>
      </w:r>
      <w:hyperlink r:id="rId101">
        <w:r>
          <w:rPr>
            <w:vertAlign w:val="superscript"/>
          </w:rPr>
          <w:t>24,32,59</w:t>
        </w:r>
        <w:r>
          <w:t>.</w:t>
        </w:r>
      </w:hyperlink>
    </w:p>
    <w:p w:rsidR="00A74668" w:rsidRDefault="00421CAF">
      <w:pPr>
        <w:pStyle w:val="Corpodetexto"/>
        <w:spacing w:line="210" w:lineRule="exact"/>
        <w:ind w:left="1651"/>
        <w:jc w:val="left"/>
      </w:pPr>
      <w:r>
        <w:t xml:space="preserve">Em pacientes com síndrome do túnel do carpo, a descompressão cirúrgica do nervo mediano </w:t>
      </w:r>
      <w:proofErr w:type="gramStart"/>
      <w:r>
        <w:t>é</w:t>
      </w:r>
      <w:proofErr w:type="gramEnd"/>
    </w:p>
    <w:p w:rsidR="00A74668" w:rsidRDefault="00A74668">
      <w:pPr>
        <w:spacing w:line="210" w:lineRule="exact"/>
        <w:sectPr w:rsidR="00A74668">
          <w:pgSz w:w="11910" w:h="16840"/>
          <w:pgMar w:top="1280" w:right="980" w:bottom="440" w:left="900" w:header="0" w:footer="254" w:gutter="0"/>
          <w:cols w:space="720"/>
        </w:sectPr>
      </w:pPr>
    </w:p>
    <w:p w:rsidR="00A74668" w:rsidRDefault="00421CAF">
      <w:pPr>
        <w:pStyle w:val="Corpodetexto"/>
        <w:spacing w:before="20"/>
        <w:jc w:val="left"/>
      </w:pPr>
      <w:proofErr w:type="gramStart"/>
      <w:r>
        <w:lastRenderedPageBreak/>
        <w:t>indicada</w:t>
      </w:r>
      <w:proofErr w:type="gramEnd"/>
      <w:r>
        <w:fldChar w:fldCharType="begin"/>
      </w:r>
      <w:r>
        <w:instrText xml:space="preserve"> HYPERLINK "https://paperpile.com/c/rZdog9/RFip5%2B1XNws" \h </w:instrText>
      </w:r>
      <w:r>
        <w:fldChar w:fldCharType="separate"/>
      </w:r>
      <w:r>
        <w:rPr>
          <w:vertAlign w:val="superscript"/>
        </w:rPr>
        <w:t>60,61</w:t>
      </w:r>
      <w:r>
        <w:t>.</w:t>
      </w:r>
      <w:r>
        <w:fldChar w:fldCharType="end"/>
      </w:r>
    </w:p>
    <w:p w:rsidR="00A74668" w:rsidRDefault="00421CAF">
      <w:pPr>
        <w:pStyle w:val="Corpodetexto"/>
        <w:spacing w:before="8"/>
        <w:ind w:left="0"/>
        <w:jc w:val="left"/>
        <w:rPr>
          <w:sz w:val="21"/>
        </w:rPr>
      </w:pPr>
      <w:r>
        <w:br w:type="column"/>
      </w:r>
    </w:p>
    <w:p w:rsidR="00A74668" w:rsidRDefault="00421CAF">
      <w:pPr>
        <w:pStyle w:val="Corpodetexto"/>
        <w:jc w:val="left"/>
      </w:pPr>
      <w:r>
        <w:t xml:space="preserve">Nos pacientes com MPS II, a articulação do quadril pode apresentar o acetábulo muito raso e </w:t>
      </w:r>
      <w:proofErr w:type="gramStart"/>
      <w:r>
        <w:t>o</w:t>
      </w:r>
      <w:proofErr w:type="gramEnd"/>
    </w:p>
    <w:p w:rsidR="00A74668" w:rsidRDefault="00A74668">
      <w:pPr>
        <w:sectPr w:rsidR="00A74668">
          <w:type w:val="continuous"/>
          <w:pgSz w:w="11910" w:h="16840"/>
          <w:pgMar w:top="1360" w:right="980" w:bottom="280" w:left="900" w:header="720" w:footer="720" w:gutter="0"/>
          <w:cols w:num="2" w:space="720" w:equalWidth="0">
            <w:col w:w="1293" w:space="125"/>
            <w:col w:w="8612"/>
          </w:cols>
        </w:sectPr>
      </w:pPr>
    </w:p>
    <w:p w:rsidR="00A74668" w:rsidRDefault="00421CAF">
      <w:pPr>
        <w:pStyle w:val="Corpodetexto"/>
        <w:ind w:right="583"/>
      </w:pPr>
      <w:proofErr w:type="gramStart"/>
      <w:r>
        <w:lastRenderedPageBreak/>
        <w:t>achatamento</w:t>
      </w:r>
      <w:proofErr w:type="gramEnd"/>
      <w:r>
        <w:t xml:space="preserve"> da cabeça do fêmur pode ocorrer, levando à </w:t>
      </w:r>
      <w:proofErr w:type="spellStart"/>
      <w:r>
        <w:t>osteoartr</w:t>
      </w:r>
      <w:r>
        <w:t>ite</w:t>
      </w:r>
      <w:proofErr w:type="spellEnd"/>
      <w:r>
        <w:t xml:space="preserve"> redução da mobilidade. Assim, os pacientes podem necessitar de </w:t>
      </w:r>
      <w:proofErr w:type="spellStart"/>
      <w:r>
        <w:t>artroplastia</w:t>
      </w:r>
      <w:proofErr w:type="spellEnd"/>
      <w:r>
        <w:t xml:space="preserve"> do quadril com colocação de prótese</w:t>
      </w:r>
      <w:hyperlink r:id="rId102">
        <w:proofErr w:type="gramStart"/>
        <w:r>
          <w:rPr>
            <w:vertAlign w:val="superscript"/>
          </w:rPr>
          <w:t>45</w:t>
        </w:r>
        <w:r>
          <w:t>.</w:t>
        </w:r>
        <w:proofErr w:type="gramEnd"/>
      </w:hyperlink>
      <w:r>
        <w:t xml:space="preserve"> Como se trata de um procedimento de grande porte, os riscos, benefícios e a expec</w:t>
      </w:r>
      <w:r>
        <w:t>tativa de vida do paciente devem ser levadas em consideração.</w:t>
      </w:r>
    </w:p>
    <w:p w:rsidR="00A74668" w:rsidRDefault="00421CAF">
      <w:pPr>
        <w:pStyle w:val="Corpodetexto"/>
        <w:ind w:right="589" w:firstLine="1418"/>
      </w:pPr>
      <w:r>
        <w:t>As hérnias inguinais e umbilicais são comuns entre os pacientes com MPS II e em muitos pacientes a história de reparo de uma hérnia pode vir antes do diagnóstico da doença</w:t>
      </w:r>
      <w:hyperlink r:id="rId103">
        <w:proofErr w:type="gramStart"/>
        <w:r>
          <w:rPr>
            <w:vertAlign w:val="superscript"/>
          </w:rPr>
          <w:t>45</w:t>
        </w:r>
        <w:r>
          <w:t>.</w:t>
        </w:r>
        <w:proofErr w:type="gramEnd"/>
      </w:hyperlink>
    </w:p>
    <w:p w:rsidR="00A74668" w:rsidRDefault="00421CAF">
      <w:pPr>
        <w:pStyle w:val="Corpodetexto"/>
        <w:spacing w:before="1"/>
        <w:ind w:right="578" w:firstLine="1418"/>
      </w:pPr>
      <w:r>
        <w:t>O risco anestésico é elevado em muitos pacientes com MPS II, devido características como pescoço curto e obstrução das vias aéreas superiores. Idealmente, as cirurgias devem ser realizadas em centros de referência com e</w:t>
      </w:r>
      <w:r>
        <w:t xml:space="preserve">xperiência em MPS, sendo fundamental a presença de anestesista experiente em intubação difícil para a realização deste procedimento, pois a necessidade de acompanhar a intubação com </w:t>
      </w:r>
      <w:proofErr w:type="spellStart"/>
      <w:r>
        <w:t>fibroscópio</w:t>
      </w:r>
      <w:proofErr w:type="spellEnd"/>
      <w:r>
        <w:t xml:space="preserve"> é frequente. As máscaras laríngeas podem ser usadas para a via</w:t>
      </w:r>
      <w:r>
        <w:t>bilização das vias aéreas por períodos curtos ou para facilitar a intubação de fibra óptica</w:t>
      </w:r>
      <w:hyperlink r:id="rId104">
        <w:proofErr w:type="gramStart"/>
        <w:r>
          <w:rPr>
            <w:vertAlign w:val="superscript"/>
          </w:rPr>
          <w:t>62</w:t>
        </w:r>
        <w:r>
          <w:t>.</w:t>
        </w:r>
        <w:proofErr w:type="gramEnd"/>
      </w:hyperlink>
      <w:r>
        <w:t xml:space="preserve"> A </w:t>
      </w:r>
      <w:proofErr w:type="spellStart"/>
      <w:r>
        <w:t>extubação</w:t>
      </w:r>
      <w:proofErr w:type="spellEnd"/>
      <w:r>
        <w:t xml:space="preserve"> também apresenta risco importante, como edema pulmonar pós- operatório e edema das vias aérea</w:t>
      </w:r>
      <w:r>
        <w:t xml:space="preserve">s superiores, além disso, alguns pacientes podem não conseguir manter a via aérea após a </w:t>
      </w:r>
      <w:proofErr w:type="spellStart"/>
      <w:r>
        <w:t>extubação</w:t>
      </w:r>
      <w:proofErr w:type="spellEnd"/>
      <w:r>
        <w:t xml:space="preserve">, resultando na necessidade de </w:t>
      </w:r>
      <w:proofErr w:type="spellStart"/>
      <w:r>
        <w:t>reintubação</w:t>
      </w:r>
      <w:proofErr w:type="spellEnd"/>
      <w:r>
        <w:t xml:space="preserve"> urgente ou traqueostomia</w:t>
      </w:r>
      <w:hyperlink r:id="rId105">
        <w:r>
          <w:rPr>
            <w:vertAlign w:val="superscript"/>
          </w:rPr>
          <w:t>24,62</w:t>
        </w:r>
        <w:r>
          <w:t>.</w:t>
        </w:r>
      </w:hyperlink>
      <w:r>
        <w:t xml:space="preserve"> A </w:t>
      </w:r>
      <w:proofErr w:type="spellStart"/>
      <w:r>
        <w:t>extubação</w:t>
      </w:r>
      <w:proofErr w:type="spellEnd"/>
      <w:r>
        <w:t xml:space="preserve"> precoce </w:t>
      </w:r>
      <w:r>
        <w:t>pode reduzir esse risco substancialmente</w:t>
      </w:r>
      <w:hyperlink r:id="rId106">
        <w:r>
          <w:rPr>
            <w:vertAlign w:val="superscript"/>
          </w:rPr>
          <w:t>63</w:t>
        </w:r>
        <w:r>
          <w:t xml:space="preserve">. </w:t>
        </w:r>
      </w:hyperlink>
      <w:r>
        <w:t>Deste modo, anestesia local ou regional deve ser considerada sempre que possível</w:t>
      </w:r>
      <w:hyperlink r:id="rId107">
        <w:proofErr w:type="gramStart"/>
        <w:r>
          <w:rPr>
            <w:vertAlign w:val="superscript"/>
          </w:rPr>
          <w:t>24</w:t>
        </w:r>
        <w:r>
          <w:t>.</w:t>
        </w:r>
        <w:proofErr w:type="gramEnd"/>
      </w:hyperlink>
    </w:p>
    <w:p w:rsidR="00A74668" w:rsidRDefault="00A74668">
      <w:pPr>
        <w:sectPr w:rsidR="00A74668">
          <w:type w:val="continuous"/>
          <w:pgSz w:w="11910" w:h="16840"/>
          <w:pgMar w:top="1360" w:right="980" w:bottom="280" w:left="900" w:header="720" w:footer="720" w:gutter="0"/>
          <w:cols w:space="720"/>
        </w:sectPr>
      </w:pPr>
    </w:p>
    <w:p w:rsidR="00A74668" w:rsidRDefault="00421CAF">
      <w:pPr>
        <w:pStyle w:val="PargrafodaLista"/>
        <w:numPr>
          <w:ilvl w:val="1"/>
          <w:numId w:val="9"/>
        </w:numPr>
        <w:tabs>
          <w:tab w:val="left" w:pos="2357"/>
          <w:tab w:val="left" w:pos="2358"/>
        </w:tabs>
        <w:spacing w:before="77" w:line="228" w:lineRule="exact"/>
        <w:rPr>
          <w:b/>
          <w:sz w:val="16"/>
        </w:rPr>
      </w:pPr>
      <w:r>
        <w:rPr>
          <w:b/>
          <w:sz w:val="20"/>
        </w:rPr>
        <w:lastRenderedPageBreak/>
        <w:t>T</w:t>
      </w:r>
      <w:r>
        <w:rPr>
          <w:b/>
          <w:sz w:val="16"/>
        </w:rPr>
        <w:t xml:space="preserve">RATAMENTO </w:t>
      </w:r>
      <w:r>
        <w:rPr>
          <w:b/>
          <w:sz w:val="20"/>
        </w:rPr>
        <w:t>E</w:t>
      </w:r>
      <w:r>
        <w:rPr>
          <w:b/>
          <w:sz w:val="16"/>
        </w:rPr>
        <w:t>SPECÍFICO</w:t>
      </w:r>
    </w:p>
    <w:p w:rsidR="00A74668" w:rsidRDefault="00421CAF">
      <w:pPr>
        <w:pStyle w:val="Corpodetexto"/>
        <w:ind w:right="579" w:firstLine="1418"/>
      </w:pPr>
      <w:r>
        <w:t xml:space="preserve">A </w:t>
      </w:r>
      <w:proofErr w:type="spellStart"/>
      <w:r>
        <w:t>Idursulfase</w:t>
      </w:r>
      <w:proofErr w:type="spellEnd"/>
      <w:r>
        <w:t xml:space="preserve"> alfa é uma forma recombinante da IDS produzida por técnicas de engenharia genética utilizando a linhagem celular derivada de </w:t>
      </w:r>
      <w:proofErr w:type="spellStart"/>
      <w:r>
        <w:t>fibrossarcoma</w:t>
      </w:r>
      <w:proofErr w:type="spellEnd"/>
      <w:r>
        <w:t xml:space="preserve"> (HT-1080) que produz uma proteína glicosilada análoga à IDS humana nativa</w:t>
      </w:r>
      <w:hyperlink r:id="rId108">
        <w:r>
          <w:rPr>
            <w:vertAlign w:val="superscript"/>
          </w:rPr>
          <w:t>30</w:t>
        </w:r>
        <w:r>
          <w:t xml:space="preserve">. </w:t>
        </w:r>
      </w:hyperlink>
      <w:r>
        <w:t>Este é o único tratamento específico para MPS II aprovado pela Agência Nacional de Vigilância Sanitária (ANVISA). É um medicamento seguro, com eventos adversos leves na maioria dos casos. Segundo os estud</w:t>
      </w:r>
      <w:r>
        <w:t xml:space="preserve">os avaliados, pode ocorrer redução da </w:t>
      </w:r>
      <w:proofErr w:type="spellStart"/>
      <w:r>
        <w:t>hepatoesplenomegalia</w:t>
      </w:r>
      <w:proofErr w:type="spellEnd"/>
      <w:r>
        <w:t xml:space="preserve">, na </w:t>
      </w:r>
      <w:proofErr w:type="gramStart"/>
      <w:r>
        <w:t>excreção de GAG urinários</w:t>
      </w:r>
      <w:proofErr w:type="gramEnd"/>
      <w:r>
        <w:t xml:space="preserve"> e, na forma atenuada, melhora da qualidade de vida. Segundo a única meta análise publicada sobre o assunto, há efeitos positivos em desfechos de menor relevância: dist</w:t>
      </w:r>
      <w:r>
        <w:t xml:space="preserve">ância percorrida </w:t>
      </w:r>
      <w:proofErr w:type="gramStart"/>
      <w:r>
        <w:rPr>
          <w:spacing w:val="3"/>
        </w:rPr>
        <w:t xml:space="preserve">no </w:t>
      </w:r>
      <w:r>
        <w:t>Teste da caminhada de 6 minutos (TC 6min) e na capacidade vital forçada, ambos considerados não clinicamente significativos</w:t>
      </w:r>
      <w:hyperlink r:id="rId109">
        <w:r>
          <w:rPr>
            <w:vertAlign w:val="superscript"/>
          </w:rPr>
          <w:t>64</w:t>
        </w:r>
        <w:proofErr w:type="gramEnd"/>
        <w:r>
          <w:t xml:space="preserve">. </w:t>
        </w:r>
      </w:hyperlink>
      <w:r>
        <w:t>A maioria dos estudos não incluiu pacientes com regre</w:t>
      </w:r>
      <w:r>
        <w:t>ssão neurológica (fenótipo grave) e ainda é desconhecida a idade ótima para o início do tratamento, mas sugere-se que o início precoce da TRE (primeiros meses de vida) tenha benefício</w:t>
      </w:r>
      <w:r>
        <w:rPr>
          <w:spacing w:val="-17"/>
        </w:rPr>
        <w:t xml:space="preserve"> </w:t>
      </w:r>
      <w:r>
        <w:t>adicional.</w:t>
      </w:r>
    </w:p>
    <w:p w:rsidR="00A74668" w:rsidRDefault="00A74668">
      <w:pPr>
        <w:pStyle w:val="Corpodetexto"/>
        <w:spacing w:before="2"/>
        <w:ind w:left="0"/>
        <w:jc w:val="left"/>
      </w:pPr>
    </w:p>
    <w:p w:rsidR="00A74668" w:rsidRDefault="00421CAF">
      <w:pPr>
        <w:pStyle w:val="PargrafodaLista"/>
        <w:numPr>
          <w:ilvl w:val="1"/>
          <w:numId w:val="9"/>
        </w:numPr>
        <w:tabs>
          <w:tab w:val="left" w:pos="2357"/>
          <w:tab w:val="left" w:pos="2358"/>
        </w:tabs>
        <w:spacing w:before="1" w:line="228" w:lineRule="exact"/>
        <w:rPr>
          <w:b/>
          <w:sz w:val="16"/>
        </w:rPr>
      </w:pPr>
      <w:r>
        <w:rPr>
          <w:b/>
          <w:sz w:val="20"/>
        </w:rPr>
        <w:t>C</w:t>
      </w:r>
      <w:r>
        <w:rPr>
          <w:b/>
          <w:sz w:val="16"/>
        </w:rPr>
        <w:t>ASOS</w:t>
      </w:r>
      <w:r>
        <w:rPr>
          <w:b/>
          <w:spacing w:val="-1"/>
          <w:sz w:val="16"/>
        </w:rPr>
        <w:t xml:space="preserve"> </w:t>
      </w:r>
      <w:r>
        <w:rPr>
          <w:b/>
          <w:sz w:val="20"/>
        </w:rPr>
        <w:t>E</w:t>
      </w:r>
      <w:r>
        <w:rPr>
          <w:b/>
          <w:sz w:val="16"/>
        </w:rPr>
        <w:t>SPECIAIS</w:t>
      </w:r>
    </w:p>
    <w:p w:rsidR="00A74668" w:rsidRDefault="00421CAF">
      <w:pPr>
        <w:pStyle w:val="Corpodetexto"/>
        <w:ind w:right="579" w:firstLine="1418"/>
      </w:pPr>
      <w:r>
        <w:t>Os pacientes que já se encontrarem em TRE quando da publicação deste PCDT deverão ser reavaliados quanto aos critérios de inclusão e exclusão, a fim de ser decidida a suspensão ou a manutenção do tratamento.</w:t>
      </w:r>
    </w:p>
    <w:p w:rsidR="00A74668" w:rsidRDefault="00421CAF">
      <w:pPr>
        <w:pStyle w:val="Corpodetexto"/>
        <w:ind w:right="581" w:firstLine="1418"/>
      </w:pPr>
      <w:r>
        <w:t xml:space="preserve">A </w:t>
      </w:r>
      <w:proofErr w:type="spellStart"/>
      <w:r>
        <w:t>Idursulfase</w:t>
      </w:r>
      <w:proofErr w:type="spellEnd"/>
      <w:r>
        <w:t xml:space="preserve"> alfa é considerada classe C para u</w:t>
      </w:r>
      <w:r>
        <w:t>so na gestação e aleitamento</w:t>
      </w:r>
      <w:hyperlink r:id="rId110">
        <w:r>
          <w:rPr>
            <w:vertAlign w:val="superscript"/>
          </w:rPr>
          <w:t>65</w:t>
        </w:r>
        <w:r>
          <w:t xml:space="preserve">. </w:t>
        </w:r>
      </w:hyperlink>
      <w:r>
        <w:t xml:space="preserve">Foi excretada no leite de ratas lactantes em uma concentração 4 a 5 vezes maior do que no plasma. Não se sabe se a </w:t>
      </w:r>
      <w:proofErr w:type="spellStart"/>
      <w:r>
        <w:t>Idursulfasealfa</w:t>
      </w:r>
      <w:proofErr w:type="spellEnd"/>
      <w:r>
        <w:t xml:space="preserve"> é excretada no leite humano</w:t>
      </w:r>
      <w:hyperlink r:id="rId111">
        <w:r>
          <w:rPr>
            <w:vertAlign w:val="superscript"/>
          </w:rPr>
          <w:t>65</w:t>
        </w:r>
        <w:r>
          <w:t xml:space="preserve">. </w:t>
        </w:r>
      </w:hyperlink>
      <w:proofErr w:type="gramStart"/>
      <w:r>
        <w:t>Além disso</w:t>
      </w:r>
      <w:proofErr w:type="gramEnd"/>
      <w:r>
        <w:t xml:space="preserve"> deve ser levado em consideração que, como a doença é ligada ao X recessiva e as mulheres são assintomáticas, não há relatos na literatura de pacientes femininas tratadas com </w:t>
      </w:r>
      <w:proofErr w:type="spellStart"/>
      <w:r>
        <w:t>Idursulfase</w:t>
      </w:r>
      <w:proofErr w:type="spellEnd"/>
      <w:r>
        <w:t xml:space="preserve"> alfa até </w:t>
      </w:r>
      <w:r>
        <w:t xml:space="preserve">o momento. Sendo assim, o uso da TRE com </w:t>
      </w:r>
      <w:proofErr w:type="spellStart"/>
      <w:r>
        <w:t>Idursulfase</w:t>
      </w:r>
      <w:proofErr w:type="spellEnd"/>
      <w:r>
        <w:t xml:space="preserve"> alfa em mulheres grávidas ou que estejam amamentando não é</w:t>
      </w:r>
      <w:r>
        <w:rPr>
          <w:spacing w:val="-3"/>
        </w:rPr>
        <w:t xml:space="preserve"> </w:t>
      </w:r>
      <w:r>
        <w:t>recomendado</w:t>
      </w:r>
      <w:hyperlink r:id="rId112">
        <w:proofErr w:type="gramStart"/>
        <w:r>
          <w:rPr>
            <w:vertAlign w:val="superscript"/>
          </w:rPr>
          <w:t>66</w:t>
        </w:r>
        <w:r>
          <w:t>.</w:t>
        </w:r>
        <w:proofErr w:type="gramEnd"/>
      </w:hyperlink>
    </w:p>
    <w:p w:rsidR="00A74668" w:rsidRDefault="00421CAF">
      <w:pPr>
        <w:pStyle w:val="Corpodetexto"/>
        <w:ind w:right="584" w:firstLine="1418"/>
      </w:pPr>
      <w:r>
        <w:t>Não foram encontradas evidências na literatura sobre o efeito da espermat</w:t>
      </w:r>
      <w:r>
        <w:t xml:space="preserve">ogênese em pacientes tratados com </w:t>
      </w:r>
      <w:proofErr w:type="spellStart"/>
      <w:r>
        <w:t>Idursulfase</w:t>
      </w:r>
      <w:proofErr w:type="spellEnd"/>
      <w:r>
        <w:t xml:space="preserve"> alfa; entretanto esta não apresentou efeito na fertilidade nem na reprodutibilidade de ratos do sexo masculino</w:t>
      </w:r>
      <w:hyperlink r:id="rId113">
        <w:proofErr w:type="gramStart"/>
        <w:r>
          <w:rPr>
            <w:vertAlign w:val="superscript"/>
          </w:rPr>
          <w:t>65</w:t>
        </w:r>
        <w:r>
          <w:t>.</w:t>
        </w:r>
        <w:proofErr w:type="gramEnd"/>
      </w:hyperlink>
    </w:p>
    <w:p w:rsidR="00A74668" w:rsidRDefault="00A74668">
      <w:pPr>
        <w:pStyle w:val="Corpodetexto"/>
        <w:spacing w:before="3"/>
        <w:ind w:left="0"/>
        <w:jc w:val="left"/>
      </w:pPr>
    </w:p>
    <w:p w:rsidR="00A74668" w:rsidRDefault="00421CAF">
      <w:pPr>
        <w:pStyle w:val="PargrafodaLista"/>
        <w:numPr>
          <w:ilvl w:val="0"/>
          <w:numId w:val="16"/>
        </w:numPr>
        <w:tabs>
          <w:tab w:val="left" w:pos="2357"/>
          <w:tab w:val="left" w:pos="2358"/>
        </w:tabs>
        <w:ind w:left="2357" w:hanging="706"/>
        <w:jc w:val="left"/>
        <w:rPr>
          <w:b/>
          <w:sz w:val="16"/>
        </w:rPr>
      </w:pPr>
      <w:r>
        <w:rPr>
          <w:b/>
          <w:sz w:val="20"/>
        </w:rPr>
        <w:t>T</w:t>
      </w:r>
      <w:r>
        <w:rPr>
          <w:b/>
          <w:sz w:val="16"/>
        </w:rPr>
        <w:t>RATAMENTO</w:t>
      </w:r>
    </w:p>
    <w:p w:rsidR="00A74668" w:rsidRDefault="00A74668">
      <w:pPr>
        <w:pStyle w:val="Corpodetexto"/>
        <w:spacing w:before="2"/>
        <w:ind w:left="0"/>
        <w:jc w:val="left"/>
        <w:rPr>
          <w:b/>
        </w:rPr>
      </w:pPr>
    </w:p>
    <w:p w:rsidR="00A74668" w:rsidRDefault="00421CAF">
      <w:pPr>
        <w:pStyle w:val="PargrafodaLista"/>
        <w:numPr>
          <w:ilvl w:val="1"/>
          <w:numId w:val="8"/>
        </w:numPr>
        <w:tabs>
          <w:tab w:val="left" w:pos="2357"/>
          <w:tab w:val="left" w:pos="2358"/>
        </w:tabs>
        <w:spacing w:line="227" w:lineRule="exact"/>
        <w:rPr>
          <w:b/>
          <w:sz w:val="16"/>
        </w:rPr>
      </w:pPr>
      <w:r>
        <w:rPr>
          <w:b/>
          <w:sz w:val="20"/>
        </w:rPr>
        <w:t>F</w:t>
      </w:r>
      <w:r>
        <w:rPr>
          <w:b/>
          <w:sz w:val="16"/>
        </w:rPr>
        <w:t>ÁRMACO</w:t>
      </w:r>
    </w:p>
    <w:p w:rsidR="00A74668" w:rsidRDefault="00421CAF">
      <w:pPr>
        <w:pStyle w:val="Corpodetexto"/>
        <w:spacing w:line="227" w:lineRule="exact"/>
        <w:ind w:left="1651"/>
        <w:jc w:val="left"/>
      </w:pPr>
      <w:r>
        <w:t xml:space="preserve">- </w:t>
      </w:r>
      <w:proofErr w:type="spellStart"/>
      <w:r>
        <w:t>Idursulfase</w:t>
      </w:r>
      <w:proofErr w:type="spellEnd"/>
      <w:r>
        <w:t xml:space="preserve"> alfa:</w:t>
      </w:r>
      <w:r>
        <w:t xml:space="preserve"> </w:t>
      </w:r>
      <w:proofErr w:type="gramStart"/>
      <w:r>
        <w:t>2</w:t>
      </w:r>
      <w:proofErr w:type="gramEnd"/>
      <w:r>
        <w:t xml:space="preserve"> mg/</w:t>
      </w:r>
      <w:proofErr w:type="spellStart"/>
      <w:r>
        <w:t>mL</w:t>
      </w:r>
      <w:proofErr w:type="spellEnd"/>
      <w:r>
        <w:t xml:space="preserve"> solução injetável (frasco com 3 </w:t>
      </w:r>
      <w:proofErr w:type="spellStart"/>
      <w:r>
        <w:t>mL</w:t>
      </w:r>
      <w:proofErr w:type="spellEnd"/>
      <w:r>
        <w:t>).</w:t>
      </w:r>
    </w:p>
    <w:p w:rsidR="00A74668" w:rsidRDefault="00A74668">
      <w:pPr>
        <w:pStyle w:val="Corpodetexto"/>
        <w:spacing w:before="5"/>
        <w:ind w:left="0"/>
        <w:jc w:val="left"/>
      </w:pPr>
    </w:p>
    <w:p w:rsidR="00A74668" w:rsidRDefault="00421CAF">
      <w:pPr>
        <w:pStyle w:val="PargrafodaLista"/>
        <w:numPr>
          <w:ilvl w:val="1"/>
          <w:numId w:val="8"/>
        </w:numPr>
        <w:tabs>
          <w:tab w:val="left" w:pos="2357"/>
          <w:tab w:val="left" w:pos="2358"/>
        </w:tabs>
        <w:spacing w:line="228" w:lineRule="exact"/>
        <w:rPr>
          <w:b/>
          <w:sz w:val="16"/>
        </w:rPr>
      </w:pPr>
      <w:r>
        <w:rPr>
          <w:b/>
          <w:sz w:val="20"/>
        </w:rPr>
        <w:t>E</w:t>
      </w:r>
      <w:r>
        <w:rPr>
          <w:b/>
          <w:sz w:val="16"/>
        </w:rPr>
        <w:t>SQUEMA DE</w:t>
      </w:r>
      <w:r>
        <w:rPr>
          <w:b/>
          <w:spacing w:val="-1"/>
          <w:sz w:val="16"/>
        </w:rPr>
        <w:t xml:space="preserve"> </w:t>
      </w:r>
      <w:r>
        <w:rPr>
          <w:b/>
          <w:sz w:val="16"/>
        </w:rPr>
        <w:t>ADMINISTRAÇÃO</w:t>
      </w:r>
    </w:p>
    <w:p w:rsidR="00A74668" w:rsidRDefault="00421CAF">
      <w:pPr>
        <w:pStyle w:val="Corpodetexto"/>
        <w:ind w:right="590" w:firstLine="1418"/>
      </w:pPr>
      <w:r>
        <w:t xml:space="preserve">A dose recomendada para a </w:t>
      </w:r>
      <w:proofErr w:type="spellStart"/>
      <w:r>
        <w:t>Idursulfase</w:t>
      </w:r>
      <w:proofErr w:type="spellEnd"/>
      <w:r>
        <w:t xml:space="preserve"> alfa é de 0,5 </w:t>
      </w:r>
      <w:proofErr w:type="gramStart"/>
      <w:r>
        <w:t>mg</w:t>
      </w:r>
      <w:proofErr w:type="gramEnd"/>
      <w:r>
        <w:t xml:space="preserve">/kg de peso corporal administrado uma vez por semana por infusão IV. A infusão deve ser feita em ambiente hospitalar ou ambulatorial. Infusões domiciliares podem ser consideradas após </w:t>
      </w:r>
      <w:proofErr w:type="gramStart"/>
      <w:r>
        <w:t>6</w:t>
      </w:r>
      <w:proofErr w:type="gramEnd"/>
      <w:r>
        <w:t xml:space="preserve"> meses de tratame</w:t>
      </w:r>
      <w:r>
        <w:t>nto sem intercorrências.</w:t>
      </w:r>
    </w:p>
    <w:p w:rsidR="00A74668" w:rsidRDefault="00421CAF">
      <w:pPr>
        <w:pStyle w:val="Corpodetexto"/>
        <w:ind w:right="574" w:firstLine="1418"/>
        <w:jc w:val="right"/>
      </w:pPr>
      <w:r>
        <w:t xml:space="preserve">A </w:t>
      </w:r>
      <w:proofErr w:type="spellStart"/>
      <w:r>
        <w:t>Idursulfase</w:t>
      </w:r>
      <w:proofErr w:type="spellEnd"/>
      <w:r>
        <w:t xml:space="preserve"> alfa é administrada por infusão IV na dose de 0,5 </w:t>
      </w:r>
      <w:proofErr w:type="gramStart"/>
      <w:r>
        <w:t>mg</w:t>
      </w:r>
      <w:proofErr w:type="gramEnd"/>
      <w:r>
        <w:t>/kg uma vez por semana e</w:t>
      </w:r>
      <w:r>
        <w:rPr>
          <w:w w:val="99"/>
        </w:rPr>
        <w:t xml:space="preserve"> </w:t>
      </w:r>
      <w:r>
        <w:t xml:space="preserve">deve ser diluída em 100 </w:t>
      </w:r>
      <w:proofErr w:type="spellStart"/>
      <w:r>
        <w:t>mL</w:t>
      </w:r>
      <w:proofErr w:type="spellEnd"/>
      <w:r>
        <w:t xml:space="preserve"> de cloreto de sódio a 0,9% e administrada durante 1-3 h. Recomenda-se o uso de um</w:t>
      </w:r>
      <w:r>
        <w:rPr>
          <w:w w:val="99"/>
        </w:rPr>
        <w:t xml:space="preserve"> </w:t>
      </w:r>
      <w:r>
        <w:t>dispositivo de infusão com um f</w:t>
      </w:r>
      <w:r>
        <w:t>iltro de 0,2 μm</w:t>
      </w:r>
      <w:hyperlink r:id="rId114">
        <w:r>
          <w:rPr>
            <w:vertAlign w:val="superscript"/>
          </w:rPr>
          <w:t>65</w:t>
        </w:r>
        <w:r>
          <w:t>.</w:t>
        </w:r>
      </w:hyperlink>
      <w:r>
        <w:t xml:space="preserve"> A taxa de infusão inicial deve ser 8mL/h nos primeiros 15</w:t>
      </w:r>
      <w:r>
        <w:rPr>
          <w:w w:val="99"/>
        </w:rPr>
        <w:t xml:space="preserve"> </w:t>
      </w:r>
      <w:r>
        <w:t xml:space="preserve">minutos, que pode então ser aumentada de 8 </w:t>
      </w:r>
      <w:proofErr w:type="spellStart"/>
      <w:r>
        <w:t>mL</w:t>
      </w:r>
      <w:proofErr w:type="spellEnd"/>
      <w:r>
        <w:t>/h a cada 15 minutos, se bem tolerado, até um máximo taxa de 100</w:t>
      </w:r>
      <w:r>
        <w:rPr>
          <w:w w:val="99"/>
        </w:rPr>
        <w:t xml:space="preserve"> </w:t>
      </w:r>
      <w:proofErr w:type="spellStart"/>
      <w:r>
        <w:t>mL</w:t>
      </w:r>
      <w:proofErr w:type="spellEnd"/>
      <w:r>
        <w:t>/h. Se a ta</w:t>
      </w:r>
      <w:r>
        <w:t>xa for reduzida, o tempo de infusão não deve exceder 8 h devido à falta de conservantes no produto</w:t>
      </w:r>
      <w:hyperlink r:id="rId115">
        <w:r>
          <w:rPr>
            <w:vertAlign w:val="superscript"/>
          </w:rPr>
          <w:t>67</w:t>
        </w:r>
        <w:r>
          <w:t>.</w:t>
        </w:r>
      </w:hyperlink>
      <w:r>
        <w:rPr>
          <w:w w:val="99"/>
        </w:rPr>
        <w:t xml:space="preserve"> </w:t>
      </w:r>
      <w:r>
        <w:t>A administração de medicamentos antitérmicos e anti-histamínicos antes das infusões (</w:t>
      </w:r>
      <w:proofErr w:type="spellStart"/>
      <w:r>
        <w:t>pré</w:t>
      </w:r>
      <w:proofErr w:type="spellEnd"/>
      <w:r>
        <w:t>-</w:t>
      </w:r>
    </w:p>
    <w:p w:rsidR="00A74668" w:rsidRDefault="00421CAF">
      <w:pPr>
        <w:pStyle w:val="Corpodetexto"/>
        <w:jc w:val="left"/>
      </w:pPr>
      <w:proofErr w:type="gramStart"/>
      <w:r>
        <w:t>medicaçã</w:t>
      </w:r>
      <w:r>
        <w:t>o</w:t>
      </w:r>
      <w:proofErr w:type="gramEnd"/>
      <w:r>
        <w:t>) não é rotina, sendo utilizada somente para prevenção de recorrência de reações à infusão</w:t>
      </w:r>
      <w:hyperlink r:id="rId116">
        <w:r>
          <w:rPr>
            <w:vertAlign w:val="superscript"/>
          </w:rPr>
          <w:t>65</w:t>
        </w:r>
        <w:r>
          <w:t>.</w:t>
        </w:r>
      </w:hyperlink>
    </w:p>
    <w:p w:rsidR="00A74668" w:rsidRDefault="00A74668">
      <w:pPr>
        <w:pStyle w:val="Corpodetexto"/>
        <w:spacing w:before="3"/>
        <w:ind w:left="0"/>
        <w:jc w:val="left"/>
      </w:pPr>
    </w:p>
    <w:p w:rsidR="00A74668" w:rsidRDefault="00421CAF">
      <w:pPr>
        <w:pStyle w:val="PargrafodaLista"/>
        <w:numPr>
          <w:ilvl w:val="1"/>
          <w:numId w:val="8"/>
        </w:numPr>
        <w:tabs>
          <w:tab w:val="left" w:pos="2357"/>
          <w:tab w:val="left" w:pos="2358"/>
        </w:tabs>
        <w:rPr>
          <w:b/>
          <w:sz w:val="16"/>
        </w:rPr>
      </w:pPr>
      <w:r>
        <w:rPr>
          <w:b/>
          <w:sz w:val="20"/>
        </w:rPr>
        <w:t>R</w:t>
      </w:r>
      <w:r>
        <w:rPr>
          <w:b/>
          <w:sz w:val="16"/>
        </w:rPr>
        <w:t>ISCOS E BENEFÍCIOS</w:t>
      </w:r>
      <w:r>
        <w:rPr>
          <w:b/>
          <w:spacing w:val="-2"/>
          <w:sz w:val="16"/>
        </w:rPr>
        <w:t xml:space="preserve"> </w:t>
      </w:r>
      <w:r>
        <w:rPr>
          <w:b/>
          <w:sz w:val="16"/>
        </w:rPr>
        <w:t>ESPERADOS</w:t>
      </w:r>
    </w:p>
    <w:p w:rsidR="00A74668" w:rsidRDefault="00421CAF">
      <w:pPr>
        <w:pStyle w:val="Ttulo2"/>
        <w:spacing w:before="1"/>
      </w:pPr>
      <w:r>
        <w:t>Efeitos adversos</w:t>
      </w:r>
    </w:p>
    <w:p w:rsidR="00A74668" w:rsidRDefault="00421CAF">
      <w:pPr>
        <w:pStyle w:val="Corpodetexto"/>
        <w:ind w:right="578" w:firstLine="1418"/>
      </w:pPr>
      <w:r>
        <w:t>Os efeitos adversos relatados são leves na maioria dos casos e facilmente tratáveis, apesar de sua ocorrência relacionada ao tratamento ou à infusão ser frequente. Os eventos adversos graves, com risco de vida, que ocorreram durante a TRE, estiveram dentro</w:t>
      </w:r>
      <w:r>
        <w:t xml:space="preserve"> do esperado para a história natural da MPS II e não foram relacionados ao medicamento</w:t>
      </w:r>
      <w:hyperlink r:id="rId117">
        <w:r>
          <w:rPr>
            <w:vertAlign w:val="superscript"/>
          </w:rPr>
          <w:t>68–75</w:t>
        </w:r>
        <w:r>
          <w:t xml:space="preserve">. </w:t>
        </w:r>
      </w:hyperlink>
      <w:r>
        <w:t>Os eventos adversos relacionados à infusão são prev</w:t>
      </w:r>
      <w:r>
        <w:t xml:space="preserve">alentes, </w:t>
      </w:r>
      <w:proofErr w:type="spellStart"/>
      <w:r>
        <w:t>masem</w:t>
      </w:r>
      <w:proofErr w:type="spellEnd"/>
      <w:r>
        <w:t xml:space="preserve"> </w:t>
      </w:r>
      <w:proofErr w:type="gramStart"/>
      <w:r>
        <w:t>sua maioria leves</w:t>
      </w:r>
      <w:proofErr w:type="gramEnd"/>
      <w:r>
        <w:t xml:space="preserve"> e atenuados com </w:t>
      </w:r>
      <w:proofErr w:type="spellStart"/>
      <w:r>
        <w:t>pré</w:t>
      </w:r>
      <w:proofErr w:type="spellEnd"/>
      <w:r>
        <w:t>-medicação. Os eventos mais comuns foram cefaleia, febre, reações cutâneas (urticária e eritema)</w:t>
      </w:r>
      <w:hyperlink r:id="rId118">
        <w:r>
          <w:rPr>
            <w:vertAlign w:val="superscript"/>
          </w:rPr>
          <w:t>68–75</w:t>
        </w:r>
        <w:r>
          <w:t xml:space="preserve">, </w:t>
        </w:r>
      </w:hyperlink>
      <w:r>
        <w:t>vômitos</w:t>
      </w:r>
      <w:hyperlink r:id="rId119">
        <w:r>
          <w:rPr>
            <w:vertAlign w:val="superscript"/>
          </w:rPr>
          <w:t>74</w:t>
        </w:r>
        <w:r>
          <w:t xml:space="preserve">, </w:t>
        </w:r>
      </w:hyperlink>
      <w:r>
        <w:t>dispneia, dor abdominal e síncope vaso vagal</w:t>
      </w:r>
      <w:hyperlink r:id="rId120">
        <w:proofErr w:type="gramStart"/>
        <w:r>
          <w:rPr>
            <w:vertAlign w:val="superscript"/>
          </w:rPr>
          <w:t>70</w:t>
        </w:r>
        <w:r>
          <w:t>.</w:t>
        </w:r>
        <w:proofErr w:type="gramEnd"/>
      </w:hyperlink>
    </w:p>
    <w:p w:rsidR="00A74668" w:rsidRDefault="00421CAF">
      <w:pPr>
        <w:pStyle w:val="Corpodetexto"/>
        <w:ind w:right="578" w:firstLine="1418"/>
      </w:pPr>
      <w:r>
        <w:t xml:space="preserve">Em relação ao desenvolvimento de anticorpos </w:t>
      </w:r>
      <w:proofErr w:type="spellStart"/>
      <w:proofErr w:type="gramStart"/>
      <w:r>
        <w:t>IgGantiidursulfase</w:t>
      </w:r>
      <w:proofErr w:type="spellEnd"/>
      <w:proofErr w:type="gramEnd"/>
      <w:r>
        <w:t xml:space="preserve"> alfa em 50%</w:t>
      </w:r>
      <w:r>
        <w:t xml:space="preserve"> a 60% dos pacientes</w:t>
      </w:r>
      <w:hyperlink r:id="rId121">
        <w:r>
          <w:rPr>
            <w:vertAlign w:val="superscript"/>
          </w:rPr>
          <w:t>68,71,74–76</w:t>
        </w:r>
        <w:r>
          <w:t>,</w:t>
        </w:r>
      </w:hyperlink>
      <w:r>
        <w:t xml:space="preserve"> sendo que 67,9% dos pacientes pediátricos o desenvolveram em ao menos uma ocasião</w:t>
      </w:r>
      <w:hyperlink r:id="rId122">
        <w:r>
          <w:rPr>
            <w:vertAlign w:val="superscript"/>
          </w:rPr>
          <w:t>74</w:t>
        </w:r>
        <w:r>
          <w:t>.</w:t>
        </w:r>
      </w:hyperlink>
      <w:r>
        <w:t xml:space="preserve"> Apesar da alta prevalência de anticorpos entre os pacientes tratados, a presença de anticorpos não parece reduzir o efeito do tratamento de forma clinicamente significativa</w:t>
      </w:r>
      <w:hyperlink r:id="rId123">
        <w:r>
          <w:rPr>
            <w:vertAlign w:val="superscript"/>
          </w:rPr>
          <w:t>76,77</w:t>
        </w:r>
        <w:r>
          <w:t>.</w:t>
        </w:r>
      </w:hyperlink>
    </w:p>
    <w:p w:rsidR="00A74668" w:rsidRDefault="00421CAF">
      <w:pPr>
        <w:pStyle w:val="Corpodetexto"/>
        <w:ind w:right="578" w:firstLine="1418"/>
      </w:pPr>
      <w:r>
        <w:t xml:space="preserve">Quando </w:t>
      </w:r>
      <w:r>
        <w:t xml:space="preserve">houver reação mediada por </w:t>
      </w:r>
      <w:proofErr w:type="gramStart"/>
      <w:r>
        <w:t>IgE</w:t>
      </w:r>
      <w:proofErr w:type="gramEnd"/>
      <w:r>
        <w:t xml:space="preserve"> à infusão, deve ser discutida a possibilidade do uso de protocolos que promovam a tolerabilidade.</w:t>
      </w:r>
    </w:p>
    <w:p w:rsidR="00A74668" w:rsidRDefault="00421CAF">
      <w:pPr>
        <w:pStyle w:val="Corpodetexto"/>
        <w:ind w:right="578" w:firstLine="1418"/>
      </w:pPr>
      <w:r>
        <w:t xml:space="preserve">Conforme se pode ver no </w:t>
      </w:r>
      <w:r>
        <w:rPr>
          <w:b/>
        </w:rPr>
        <w:t xml:space="preserve">Apêndice </w:t>
      </w:r>
      <w:proofErr w:type="gramStart"/>
      <w:r>
        <w:rPr>
          <w:b/>
        </w:rPr>
        <w:t>2</w:t>
      </w:r>
      <w:proofErr w:type="gramEnd"/>
      <w:r>
        <w:t>, todos os pacientes com MPS II (incluindo os que não foram transplantados ou que tiveram falh</w:t>
      </w:r>
      <w:r>
        <w:t xml:space="preserve">a do procedimento) podem apresentar benefícios por receber TRE, uma vez que esta pode melhorar a </w:t>
      </w:r>
      <w:proofErr w:type="spellStart"/>
      <w:r>
        <w:t>hepatomegalia</w:t>
      </w:r>
      <w:proofErr w:type="spellEnd"/>
      <w:r>
        <w:t>, mobilidade articular e reduzir excreção de GAG urinários. Já foi demonstrado que a TRE antes do TCTH é bem tolerada e pode melhorar a condição c</w:t>
      </w:r>
      <w:r>
        <w:t xml:space="preserve">línica </w:t>
      </w:r>
      <w:proofErr w:type="spellStart"/>
      <w:r>
        <w:t>pré</w:t>
      </w:r>
      <w:proofErr w:type="spellEnd"/>
      <w:r>
        <w:t xml:space="preserve">-TCTH de alguns pacientes, desde que seu início não atrase a realização do TCTH. Além disso, a TRE não causa </w:t>
      </w:r>
      <w:proofErr w:type="gramStart"/>
      <w:r>
        <w:t>nenhuma</w:t>
      </w:r>
      <w:proofErr w:type="gramEnd"/>
    </w:p>
    <w:p w:rsidR="00A74668" w:rsidRDefault="00A74668">
      <w:pPr>
        <w:sectPr w:rsidR="00A74668">
          <w:pgSz w:w="11910" w:h="16840"/>
          <w:pgMar w:top="1040" w:right="980" w:bottom="440" w:left="900" w:header="0" w:footer="254" w:gutter="0"/>
          <w:cols w:space="720"/>
        </w:sectPr>
      </w:pPr>
    </w:p>
    <w:p w:rsidR="00A74668" w:rsidRDefault="00421CAF">
      <w:pPr>
        <w:pStyle w:val="Corpodetexto"/>
        <w:spacing w:before="72"/>
        <w:jc w:val="left"/>
      </w:pPr>
      <w:proofErr w:type="gramStart"/>
      <w:r>
        <w:lastRenderedPageBreak/>
        <w:t>interferência</w:t>
      </w:r>
      <w:proofErr w:type="gramEnd"/>
      <w:r>
        <w:t xml:space="preserve"> em relação ao enxerto ou no sucesso do transplante.</w:t>
      </w:r>
    </w:p>
    <w:p w:rsidR="00A74668" w:rsidRDefault="00A74668">
      <w:pPr>
        <w:pStyle w:val="Corpodetexto"/>
        <w:spacing w:before="6"/>
        <w:ind w:left="0"/>
        <w:jc w:val="left"/>
      </w:pPr>
    </w:p>
    <w:p w:rsidR="00A74668" w:rsidRDefault="00421CAF">
      <w:pPr>
        <w:pStyle w:val="Ttulo2"/>
      </w:pPr>
      <w:proofErr w:type="spellStart"/>
      <w:r>
        <w:t>Hepatomegalia</w:t>
      </w:r>
      <w:proofErr w:type="spellEnd"/>
      <w:r>
        <w:t xml:space="preserve"> e Esplenomegalia</w:t>
      </w:r>
    </w:p>
    <w:p w:rsidR="00A74668" w:rsidRDefault="00421CAF">
      <w:pPr>
        <w:pStyle w:val="Corpodetexto"/>
        <w:ind w:right="580" w:firstLine="1418"/>
      </w:pPr>
      <w:r>
        <w:t>Nos ensaios c</w:t>
      </w:r>
      <w:r>
        <w:t xml:space="preserve">línicos, há relato de redução no volume hepático após TRE com </w:t>
      </w:r>
      <w:proofErr w:type="spellStart"/>
      <w:r>
        <w:t>idursulfase</w:t>
      </w:r>
      <w:proofErr w:type="spellEnd"/>
      <w:r>
        <w:t xml:space="preserve"> alfa na comparação com placebo, tanto no esquema quinzenal, quanto no semanal. O mesmo foi verificado para o volume esplênico. Para essas duas variáveis, não há relato de comparação </w:t>
      </w:r>
      <w:r>
        <w:t xml:space="preserve">direta entre o esquema quinzenal e semanal, apenas destes </w:t>
      </w:r>
      <w:r>
        <w:rPr>
          <w:i/>
        </w:rPr>
        <w:t xml:space="preserve">versus </w:t>
      </w:r>
      <w:r>
        <w:t>placebo</w:t>
      </w:r>
      <w:hyperlink r:id="rId124">
        <w:proofErr w:type="gramStart"/>
        <w:r>
          <w:rPr>
            <w:vertAlign w:val="superscript"/>
          </w:rPr>
          <w:t>68,78</w:t>
        </w:r>
        <w:r>
          <w:t>.</w:t>
        </w:r>
        <w:proofErr w:type="gramEnd"/>
      </w:hyperlink>
    </w:p>
    <w:p w:rsidR="00A74668" w:rsidRDefault="00A74668">
      <w:pPr>
        <w:pStyle w:val="Corpodetexto"/>
        <w:spacing w:before="2"/>
        <w:ind w:left="0"/>
        <w:jc w:val="left"/>
      </w:pPr>
    </w:p>
    <w:p w:rsidR="00A74668" w:rsidRDefault="00421CAF">
      <w:pPr>
        <w:pStyle w:val="Ttulo2"/>
        <w:spacing w:before="1"/>
        <w:ind w:left="233"/>
      </w:pPr>
      <w:proofErr w:type="gramStart"/>
      <w:r>
        <w:t>Excreção de GAG urinários</w:t>
      </w:r>
      <w:proofErr w:type="gramEnd"/>
    </w:p>
    <w:p w:rsidR="00A74668" w:rsidRDefault="00421CAF">
      <w:pPr>
        <w:pStyle w:val="Corpodetexto"/>
        <w:spacing w:before="3" w:line="232" w:lineRule="auto"/>
        <w:ind w:right="578" w:firstLine="1418"/>
      </w:pPr>
      <w:r>
        <w:t>Houve redução estatisticamente significativa comparada ao placebo ou aos valores pré-TRE</w:t>
      </w:r>
      <w:hyperlink r:id="rId125">
        <w:r>
          <w:rPr>
            <w:vertAlign w:val="superscript"/>
          </w:rPr>
          <w:t>68–</w:t>
        </w:r>
      </w:hyperlink>
      <w:r>
        <w:t xml:space="preserve"> </w:t>
      </w:r>
      <w:hyperlink r:id="rId126">
        <w:r>
          <w:rPr>
            <w:position w:val="9"/>
            <w:sz w:val="13"/>
          </w:rPr>
          <w:t>71,74,79,80</w:t>
        </w:r>
        <w:proofErr w:type="gramStart"/>
        <w:r>
          <w:t>.</w:t>
        </w:r>
        <w:proofErr w:type="gramEnd"/>
      </w:hyperlink>
      <w:r>
        <w:t xml:space="preserve"> É interessante observar que muitos pacientes atingiram valores normais após alguns meses de tratamento</w:t>
      </w:r>
      <w:hyperlink r:id="rId127">
        <w:r>
          <w:rPr>
            <w:vertAlign w:val="superscript"/>
          </w:rPr>
          <w:t>68</w:t>
        </w:r>
        <w:r>
          <w:t xml:space="preserve">. </w:t>
        </w:r>
      </w:hyperlink>
      <w:r>
        <w:t xml:space="preserve">A média da redução variou entre </w:t>
      </w:r>
      <w:proofErr w:type="gramStart"/>
      <w:r>
        <w:t>cerca</w:t>
      </w:r>
      <w:r>
        <w:t xml:space="preserve"> de 85</w:t>
      </w:r>
      <w:proofErr w:type="gramEnd"/>
      <w:r>
        <w:t xml:space="preserve"> a 400,4 </w:t>
      </w:r>
      <w:proofErr w:type="spellStart"/>
      <w:r>
        <w:t>μg</w:t>
      </w:r>
      <w:proofErr w:type="spellEnd"/>
      <w:r>
        <w:t>/mg creatinina entre os diferentes estudos, o que representa uma média redução de ao menos 50% em relação aos valores basais. Tais mudanças parecem manter-se num platô a partir de então – fato observado no estudo de seguimento</w:t>
      </w:r>
      <w:hyperlink r:id="rId128">
        <w:proofErr w:type="gramStart"/>
        <w:r>
          <w:rPr>
            <w:vertAlign w:val="superscript"/>
          </w:rPr>
          <w:t>71</w:t>
        </w:r>
        <w:r>
          <w:t>.</w:t>
        </w:r>
        <w:proofErr w:type="gramEnd"/>
      </w:hyperlink>
    </w:p>
    <w:p w:rsidR="00A74668" w:rsidRDefault="00A74668">
      <w:pPr>
        <w:pStyle w:val="Corpodetexto"/>
        <w:spacing w:before="10"/>
        <w:ind w:left="0"/>
        <w:jc w:val="left"/>
      </w:pPr>
    </w:p>
    <w:p w:rsidR="00A74668" w:rsidRDefault="00421CAF">
      <w:pPr>
        <w:pStyle w:val="Ttulo2"/>
      </w:pPr>
      <w:r>
        <w:t>Qualidade de vida</w:t>
      </w:r>
    </w:p>
    <w:p w:rsidR="00A74668" w:rsidRDefault="00421CAF">
      <w:pPr>
        <w:pStyle w:val="Corpodetexto"/>
        <w:ind w:right="578" w:firstLine="1418"/>
      </w:pPr>
      <w:proofErr w:type="spellStart"/>
      <w:r>
        <w:t>Parini</w:t>
      </w:r>
      <w:r>
        <w:rPr>
          <w:i/>
        </w:rPr>
        <w:t>et</w:t>
      </w:r>
      <w:proofErr w:type="spellEnd"/>
      <w:r>
        <w:rPr>
          <w:i/>
        </w:rPr>
        <w:t xml:space="preserve"> al</w:t>
      </w:r>
      <w:r>
        <w:t>. (2015)</w:t>
      </w:r>
      <w:hyperlink r:id="rId129">
        <w:r>
          <w:rPr>
            <w:vertAlign w:val="superscript"/>
          </w:rPr>
          <w:t>81</w:t>
        </w:r>
        <w:r>
          <w:t xml:space="preserve"> </w:t>
        </w:r>
      </w:hyperlink>
      <w:r>
        <w:t xml:space="preserve">avaliaram qualidade de vida por meio do questionário de avaliação da saúde de MPS (MPS-HAQ), em uma coorte de 15 pacientes em TRE com </w:t>
      </w:r>
      <w:proofErr w:type="spellStart"/>
      <w:r>
        <w:t>Idursulfase</w:t>
      </w:r>
      <w:proofErr w:type="spellEnd"/>
      <w:r>
        <w:t xml:space="preserve"> alfa. Os pacientes foram classificados em dois fenótipos: forma grave (n=11) e forma atenuada (n=5). Os questi</w:t>
      </w:r>
      <w:r>
        <w:t>onários foram aplicados antes do início do tratamento e após intervalo de 5 a 9 anos em TRE. Os pacientes com a forma atenuada da doença melhoraram em 23/52 itens avaliados e pioraram em 3/52. Já nos pacientes com a forma grave, houve melhora em 9/52 itens</w:t>
      </w:r>
      <w:r>
        <w:t xml:space="preserve"> e piora em 32/52; antes da TRE dois pacientes usavam cadeiras de rodas algumas horas por dia, entretanto, na última avaliação apenas dois pacientes eram capazes de caminhar. Para ambos os grupos, os itens restantes permaneceram</w:t>
      </w:r>
      <w:r>
        <w:rPr>
          <w:spacing w:val="-5"/>
        </w:rPr>
        <w:t xml:space="preserve"> </w:t>
      </w:r>
      <w:r>
        <w:t>estáveis.</w:t>
      </w:r>
    </w:p>
    <w:p w:rsidR="00A74668" w:rsidRDefault="00A74668">
      <w:pPr>
        <w:pStyle w:val="Corpodetexto"/>
        <w:spacing w:before="1"/>
        <w:ind w:left="0"/>
        <w:jc w:val="left"/>
      </w:pPr>
    </w:p>
    <w:p w:rsidR="00A74668" w:rsidRDefault="00421CAF">
      <w:pPr>
        <w:pStyle w:val="PargrafodaLista"/>
        <w:numPr>
          <w:ilvl w:val="1"/>
          <w:numId w:val="8"/>
        </w:numPr>
        <w:tabs>
          <w:tab w:val="left" w:pos="2357"/>
          <w:tab w:val="left" w:pos="2358"/>
        </w:tabs>
        <w:spacing w:line="228" w:lineRule="exact"/>
        <w:rPr>
          <w:b/>
          <w:sz w:val="16"/>
        </w:rPr>
      </w:pPr>
      <w:r>
        <w:rPr>
          <w:b/>
          <w:sz w:val="20"/>
        </w:rPr>
        <w:t>T</w:t>
      </w:r>
      <w:r>
        <w:rPr>
          <w:b/>
          <w:sz w:val="16"/>
        </w:rPr>
        <w:t>EMPO DE TRATAME</w:t>
      </w:r>
      <w:r>
        <w:rPr>
          <w:b/>
          <w:sz w:val="16"/>
        </w:rPr>
        <w:t xml:space="preserve">NTO </w:t>
      </w:r>
      <w:r>
        <w:rPr>
          <w:b/>
          <w:sz w:val="20"/>
        </w:rPr>
        <w:t xml:space="preserve">– </w:t>
      </w:r>
      <w:r>
        <w:rPr>
          <w:b/>
          <w:sz w:val="16"/>
        </w:rPr>
        <w:t>CRITÉRIOS DE</w:t>
      </w:r>
      <w:r>
        <w:rPr>
          <w:b/>
          <w:spacing w:val="-12"/>
          <w:sz w:val="16"/>
        </w:rPr>
        <w:t xml:space="preserve"> </w:t>
      </w:r>
      <w:r>
        <w:rPr>
          <w:b/>
          <w:sz w:val="16"/>
        </w:rPr>
        <w:t>INTERRUPÇÃO</w:t>
      </w:r>
    </w:p>
    <w:p w:rsidR="00A74668" w:rsidRDefault="00421CAF">
      <w:pPr>
        <w:pStyle w:val="Corpodetexto"/>
        <w:ind w:right="584" w:firstLine="1418"/>
      </w:pPr>
      <w:r>
        <w:t>O tempo de tratamento não é pré-determinado, mas, a princípio, devido às características da doença e à ausência de tratamento específico alternativo, deve ser mantido por toda a vida do paciente. Para fins deste PCDT, recomen</w:t>
      </w:r>
      <w:r>
        <w:t>da-se que a TRE seja interrompida nas seguintes situações</w:t>
      </w:r>
      <w:hyperlink r:id="rId130">
        <w:proofErr w:type="gramStart"/>
        <w:r>
          <w:rPr>
            <w:vertAlign w:val="superscript"/>
          </w:rPr>
          <w:t>32</w:t>
        </w:r>
        <w:r>
          <w:t>:</w:t>
        </w:r>
        <w:proofErr w:type="gramEnd"/>
      </w:hyperlink>
    </w:p>
    <w:p w:rsidR="00A74668" w:rsidRDefault="00421CAF">
      <w:pPr>
        <w:pStyle w:val="PargrafodaLista"/>
        <w:numPr>
          <w:ilvl w:val="0"/>
          <w:numId w:val="7"/>
        </w:numPr>
        <w:tabs>
          <w:tab w:val="left" w:pos="1887"/>
        </w:tabs>
        <w:spacing w:line="229" w:lineRule="exact"/>
        <w:ind w:firstLine="1418"/>
        <w:rPr>
          <w:sz w:val="20"/>
        </w:rPr>
      </w:pPr>
      <w:r>
        <w:rPr>
          <w:sz w:val="20"/>
        </w:rPr>
        <w:t>Desenvolvimento</w:t>
      </w:r>
      <w:r>
        <w:rPr>
          <w:spacing w:val="15"/>
          <w:sz w:val="20"/>
        </w:rPr>
        <w:t xml:space="preserve"> </w:t>
      </w:r>
      <w:r>
        <w:rPr>
          <w:sz w:val="20"/>
        </w:rPr>
        <w:t>de</w:t>
      </w:r>
      <w:r>
        <w:rPr>
          <w:spacing w:val="15"/>
          <w:sz w:val="20"/>
        </w:rPr>
        <w:t xml:space="preserve"> </w:t>
      </w:r>
      <w:r>
        <w:rPr>
          <w:sz w:val="20"/>
        </w:rPr>
        <w:t>regressão</w:t>
      </w:r>
      <w:r>
        <w:rPr>
          <w:spacing w:val="17"/>
          <w:sz w:val="20"/>
        </w:rPr>
        <w:t xml:space="preserve"> </w:t>
      </w:r>
      <w:r>
        <w:rPr>
          <w:sz w:val="20"/>
        </w:rPr>
        <w:t>neurológica</w:t>
      </w:r>
      <w:r>
        <w:rPr>
          <w:spacing w:val="15"/>
          <w:sz w:val="20"/>
        </w:rPr>
        <w:t xml:space="preserve"> </w:t>
      </w:r>
      <w:r>
        <w:rPr>
          <w:sz w:val="20"/>
        </w:rPr>
        <w:t>(perda</w:t>
      </w:r>
      <w:r>
        <w:rPr>
          <w:spacing w:val="15"/>
          <w:sz w:val="20"/>
        </w:rPr>
        <w:t xml:space="preserve"> </w:t>
      </w:r>
      <w:r>
        <w:rPr>
          <w:sz w:val="20"/>
        </w:rPr>
        <w:t>de</w:t>
      </w:r>
      <w:r>
        <w:rPr>
          <w:spacing w:val="16"/>
          <w:sz w:val="20"/>
        </w:rPr>
        <w:t xml:space="preserve"> </w:t>
      </w:r>
      <w:r>
        <w:rPr>
          <w:sz w:val="20"/>
        </w:rPr>
        <w:t>funções</w:t>
      </w:r>
      <w:r>
        <w:rPr>
          <w:spacing w:val="14"/>
          <w:sz w:val="20"/>
        </w:rPr>
        <w:t xml:space="preserve"> </w:t>
      </w:r>
      <w:r>
        <w:rPr>
          <w:sz w:val="20"/>
        </w:rPr>
        <w:t>adquiridas)</w:t>
      </w:r>
      <w:r>
        <w:rPr>
          <w:spacing w:val="15"/>
          <w:sz w:val="20"/>
        </w:rPr>
        <w:t xml:space="preserve"> </w:t>
      </w:r>
      <w:r>
        <w:rPr>
          <w:sz w:val="20"/>
        </w:rPr>
        <w:t>durante</w:t>
      </w:r>
      <w:r>
        <w:rPr>
          <w:spacing w:val="16"/>
          <w:sz w:val="20"/>
        </w:rPr>
        <w:t xml:space="preserve"> </w:t>
      </w:r>
      <w:r>
        <w:rPr>
          <w:sz w:val="20"/>
        </w:rPr>
        <w:t>a</w:t>
      </w:r>
      <w:r>
        <w:rPr>
          <w:spacing w:val="17"/>
          <w:sz w:val="20"/>
        </w:rPr>
        <w:t xml:space="preserve"> </w:t>
      </w:r>
      <w:r>
        <w:rPr>
          <w:sz w:val="20"/>
        </w:rPr>
        <w:t>vigência</w:t>
      </w:r>
    </w:p>
    <w:p w:rsidR="00A74668" w:rsidRDefault="00421CAF">
      <w:pPr>
        <w:pStyle w:val="Corpodetexto"/>
        <w:spacing w:line="229" w:lineRule="exact"/>
        <w:jc w:val="left"/>
      </w:pPr>
      <w:proofErr w:type="gramStart"/>
      <w:r>
        <w:t>do</w:t>
      </w:r>
      <w:proofErr w:type="gramEnd"/>
      <w:r>
        <w:t xml:space="preserve"> tratamento;</w:t>
      </w:r>
    </w:p>
    <w:p w:rsidR="00A74668" w:rsidRDefault="00421CAF">
      <w:pPr>
        <w:pStyle w:val="PargrafodaLista"/>
        <w:numPr>
          <w:ilvl w:val="0"/>
          <w:numId w:val="7"/>
        </w:numPr>
        <w:tabs>
          <w:tab w:val="left" w:pos="1872"/>
        </w:tabs>
        <w:ind w:left="1871" w:hanging="220"/>
        <w:rPr>
          <w:sz w:val="20"/>
        </w:rPr>
      </w:pPr>
      <w:r>
        <w:rPr>
          <w:sz w:val="20"/>
        </w:rPr>
        <w:t>Ausência de benefício clínico asso</w:t>
      </w:r>
      <w:r>
        <w:rPr>
          <w:sz w:val="20"/>
        </w:rPr>
        <w:t xml:space="preserve">ciado ao tratamento </w:t>
      </w:r>
      <w:proofErr w:type="gramStart"/>
      <w:r>
        <w:rPr>
          <w:sz w:val="20"/>
        </w:rPr>
        <w:t>(considerar o período de 12 meses</w:t>
      </w:r>
      <w:r>
        <w:rPr>
          <w:spacing w:val="20"/>
          <w:sz w:val="20"/>
        </w:rPr>
        <w:t xml:space="preserve"> </w:t>
      </w:r>
      <w:r>
        <w:rPr>
          <w:sz w:val="20"/>
        </w:rPr>
        <w:t>após</w:t>
      </w:r>
    </w:p>
    <w:p w:rsidR="00A74668" w:rsidRDefault="00421CAF">
      <w:pPr>
        <w:pStyle w:val="Corpodetexto"/>
        <w:spacing w:before="1"/>
        <w:jc w:val="left"/>
      </w:pPr>
      <w:r>
        <w:t>o</w:t>
      </w:r>
      <w:proofErr w:type="gramEnd"/>
      <w:r>
        <w:t xml:space="preserve"> início das infusões; a presença pelo menos um dos itens a seguir é evidência de benefício clínico):</w:t>
      </w:r>
    </w:p>
    <w:p w:rsidR="00A74668" w:rsidRDefault="00421CAF">
      <w:pPr>
        <w:pStyle w:val="PargrafodaLista"/>
        <w:numPr>
          <w:ilvl w:val="1"/>
          <w:numId w:val="7"/>
        </w:numPr>
        <w:tabs>
          <w:tab w:val="left" w:pos="1858"/>
        </w:tabs>
        <w:ind w:firstLine="1418"/>
        <w:rPr>
          <w:sz w:val="20"/>
        </w:rPr>
      </w:pPr>
      <w:proofErr w:type="gramStart"/>
      <w:r>
        <w:rPr>
          <w:sz w:val="20"/>
        </w:rPr>
        <w:t>redução</w:t>
      </w:r>
      <w:proofErr w:type="gramEnd"/>
      <w:r>
        <w:rPr>
          <w:sz w:val="20"/>
        </w:rPr>
        <w:t xml:space="preserve"> da excreção urinária de </w:t>
      </w:r>
      <w:proofErr w:type="spellStart"/>
      <w:r>
        <w:rPr>
          <w:sz w:val="20"/>
        </w:rPr>
        <w:t>GAGs</w:t>
      </w:r>
      <w:proofErr w:type="spellEnd"/>
      <w:r>
        <w:rPr>
          <w:sz w:val="20"/>
        </w:rPr>
        <w:t xml:space="preserve"> (pelo menos 50%);</w:t>
      </w:r>
    </w:p>
    <w:p w:rsidR="00A74668" w:rsidRDefault="00421CAF">
      <w:pPr>
        <w:pStyle w:val="PargrafodaLista"/>
        <w:numPr>
          <w:ilvl w:val="1"/>
          <w:numId w:val="7"/>
        </w:numPr>
        <w:tabs>
          <w:tab w:val="left" w:pos="1896"/>
        </w:tabs>
        <w:ind w:right="586" w:firstLine="1418"/>
        <w:jc w:val="both"/>
        <w:rPr>
          <w:sz w:val="20"/>
        </w:rPr>
      </w:pPr>
      <w:proofErr w:type="gramStart"/>
      <w:r>
        <w:rPr>
          <w:sz w:val="20"/>
        </w:rPr>
        <w:t>qualquer</w:t>
      </w:r>
      <w:proofErr w:type="gramEnd"/>
      <w:r>
        <w:rPr>
          <w:sz w:val="20"/>
        </w:rPr>
        <w:t xml:space="preserve"> redução da </w:t>
      </w:r>
      <w:proofErr w:type="spellStart"/>
      <w:r>
        <w:rPr>
          <w:sz w:val="20"/>
        </w:rPr>
        <w:t>hepatomegalia</w:t>
      </w:r>
      <w:proofErr w:type="spellEnd"/>
      <w:r>
        <w:rPr>
          <w:sz w:val="20"/>
        </w:rPr>
        <w:t xml:space="preserve"> (por quaisquer dos métodos utilizados para aferição da mesma: exame físico, ecografia abdominal ou ressonância</w:t>
      </w:r>
      <w:r>
        <w:rPr>
          <w:spacing w:val="-5"/>
          <w:sz w:val="20"/>
        </w:rPr>
        <w:t xml:space="preserve"> </w:t>
      </w:r>
      <w:r>
        <w:rPr>
          <w:sz w:val="20"/>
        </w:rPr>
        <w:t>abdominal);</w:t>
      </w:r>
    </w:p>
    <w:p w:rsidR="00A74668" w:rsidRDefault="00421CAF">
      <w:pPr>
        <w:pStyle w:val="PargrafodaLista"/>
        <w:numPr>
          <w:ilvl w:val="1"/>
          <w:numId w:val="7"/>
        </w:numPr>
        <w:tabs>
          <w:tab w:val="left" w:pos="1880"/>
        </w:tabs>
        <w:ind w:right="587" w:firstLine="1418"/>
        <w:jc w:val="both"/>
        <w:rPr>
          <w:sz w:val="20"/>
        </w:rPr>
      </w:pPr>
      <w:proofErr w:type="gramStart"/>
      <w:r>
        <w:rPr>
          <w:sz w:val="20"/>
        </w:rPr>
        <w:t>qualquer</w:t>
      </w:r>
      <w:proofErr w:type="gramEnd"/>
      <w:r>
        <w:rPr>
          <w:sz w:val="20"/>
        </w:rPr>
        <w:t xml:space="preserve"> redução da esplenomegalia (por quaisquer dos métodos utilizados para aferição da mesma: ex</w:t>
      </w:r>
      <w:r>
        <w:rPr>
          <w:sz w:val="20"/>
        </w:rPr>
        <w:t>ame físico, ecografia abdominal ou ressonância</w:t>
      </w:r>
      <w:r>
        <w:rPr>
          <w:spacing w:val="-5"/>
          <w:sz w:val="20"/>
        </w:rPr>
        <w:t xml:space="preserve"> </w:t>
      </w:r>
      <w:r>
        <w:rPr>
          <w:sz w:val="20"/>
        </w:rPr>
        <w:t>abdominal);</w:t>
      </w:r>
    </w:p>
    <w:p w:rsidR="00A74668" w:rsidRDefault="00421CAF">
      <w:pPr>
        <w:pStyle w:val="PargrafodaLista"/>
        <w:numPr>
          <w:ilvl w:val="1"/>
          <w:numId w:val="7"/>
        </w:numPr>
        <w:tabs>
          <w:tab w:val="left" w:pos="1870"/>
        </w:tabs>
        <w:ind w:left="1869" w:hanging="218"/>
        <w:rPr>
          <w:sz w:val="20"/>
        </w:rPr>
      </w:pPr>
      <w:proofErr w:type="gramStart"/>
      <w:r>
        <w:rPr>
          <w:sz w:val="20"/>
        </w:rPr>
        <w:t>melhora</w:t>
      </w:r>
      <w:proofErr w:type="gramEnd"/>
      <w:r>
        <w:rPr>
          <w:sz w:val="20"/>
        </w:rPr>
        <w:t xml:space="preserve"> da qualidade de vida, aferida por questionários</w:t>
      </w:r>
      <w:r>
        <w:rPr>
          <w:spacing w:val="-4"/>
          <w:sz w:val="20"/>
        </w:rPr>
        <w:t xml:space="preserve"> </w:t>
      </w:r>
      <w:r>
        <w:rPr>
          <w:sz w:val="20"/>
        </w:rPr>
        <w:t>validados.</w:t>
      </w:r>
    </w:p>
    <w:p w:rsidR="00A74668" w:rsidRDefault="00421CAF">
      <w:pPr>
        <w:pStyle w:val="PargrafodaLista"/>
        <w:numPr>
          <w:ilvl w:val="0"/>
          <w:numId w:val="7"/>
        </w:numPr>
        <w:tabs>
          <w:tab w:val="left" w:pos="1889"/>
        </w:tabs>
        <w:ind w:right="583" w:firstLine="1418"/>
        <w:jc w:val="both"/>
        <w:rPr>
          <w:sz w:val="20"/>
        </w:rPr>
      </w:pPr>
      <w:r>
        <w:rPr>
          <w:sz w:val="20"/>
        </w:rPr>
        <w:t>Falta de adesão ao tratamento, ou seja, pacientes que não apresentarem pelo menos 50% de adesão ao número de infusões previstas em um ano; ou ao número de consultas previstas em um ano; ou ao número de avaliações previstas em um ano com o médico responsáve</w:t>
      </w:r>
      <w:r>
        <w:rPr>
          <w:sz w:val="20"/>
        </w:rPr>
        <w:t>l pelo seguimento do paciente; desde que previamente inseridos, sem sucesso, em programa específico para melhora de adesão, ou seja, pacientes que mesmo após o programa não comparecerem a pelo menos 50% do número de infusões, consultas ou de avaliações pre</w:t>
      </w:r>
      <w:r>
        <w:rPr>
          <w:sz w:val="20"/>
        </w:rPr>
        <w:t>vistas em um</w:t>
      </w:r>
      <w:r>
        <w:rPr>
          <w:spacing w:val="-6"/>
          <w:sz w:val="20"/>
        </w:rPr>
        <w:t xml:space="preserve"> </w:t>
      </w:r>
      <w:r>
        <w:rPr>
          <w:sz w:val="20"/>
        </w:rPr>
        <w:t>ano.</w:t>
      </w:r>
    </w:p>
    <w:p w:rsidR="00A74668" w:rsidRDefault="00421CAF">
      <w:pPr>
        <w:pStyle w:val="PargrafodaLista"/>
        <w:numPr>
          <w:ilvl w:val="0"/>
          <w:numId w:val="7"/>
        </w:numPr>
        <w:tabs>
          <w:tab w:val="left" w:pos="1894"/>
        </w:tabs>
        <w:spacing w:before="1"/>
        <w:ind w:right="588" w:firstLine="1418"/>
        <w:jc w:val="both"/>
        <w:rPr>
          <w:sz w:val="20"/>
        </w:rPr>
      </w:pPr>
      <w:r>
        <w:rPr>
          <w:sz w:val="20"/>
        </w:rPr>
        <w:t xml:space="preserve">Pacientes que apresentarem hipersensibilidade ou reação adversa grave (choque anafilático, risco de óbito) ao uso da </w:t>
      </w:r>
      <w:proofErr w:type="spellStart"/>
      <w:r>
        <w:rPr>
          <w:sz w:val="20"/>
        </w:rPr>
        <w:t>Idursulfase</w:t>
      </w:r>
      <w:proofErr w:type="spellEnd"/>
      <w:r>
        <w:rPr>
          <w:sz w:val="20"/>
        </w:rPr>
        <w:t xml:space="preserve"> alfa, que não podem ser controlados com segurança utilizando medidas terapêuticas e preventivas</w:t>
      </w:r>
      <w:r>
        <w:rPr>
          <w:spacing w:val="-3"/>
          <w:sz w:val="20"/>
        </w:rPr>
        <w:t xml:space="preserve"> </w:t>
      </w:r>
      <w:r>
        <w:rPr>
          <w:sz w:val="20"/>
        </w:rPr>
        <w:t>apropriadas.</w:t>
      </w:r>
    </w:p>
    <w:p w:rsidR="00A74668" w:rsidRDefault="00421CAF">
      <w:pPr>
        <w:pStyle w:val="PargrafodaLista"/>
        <w:numPr>
          <w:ilvl w:val="0"/>
          <w:numId w:val="7"/>
        </w:numPr>
        <w:tabs>
          <w:tab w:val="left" w:pos="1903"/>
        </w:tabs>
        <w:ind w:right="585" w:firstLine="1418"/>
        <w:jc w:val="both"/>
        <w:rPr>
          <w:sz w:val="20"/>
        </w:rPr>
      </w:pPr>
      <w:r>
        <w:rPr>
          <w:sz w:val="20"/>
        </w:rPr>
        <w:t>Pacientes que desenvolverem condição irreversível que implique em morte iminente, cujo prognóstico não se alterará devido ao uso da TRE, como resultado da MPS II ou de outra doença associada, em acordo entre mais de um</w:t>
      </w:r>
      <w:r>
        <w:rPr>
          <w:spacing w:val="-1"/>
          <w:sz w:val="20"/>
        </w:rPr>
        <w:t xml:space="preserve"> </w:t>
      </w:r>
      <w:r>
        <w:rPr>
          <w:sz w:val="20"/>
        </w:rPr>
        <w:t>especialista.</w:t>
      </w:r>
    </w:p>
    <w:p w:rsidR="00A74668" w:rsidRDefault="00421CAF">
      <w:pPr>
        <w:pStyle w:val="PargrafodaLista"/>
        <w:numPr>
          <w:ilvl w:val="0"/>
          <w:numId w:val="7"/>
        </w:numPr>
        <w:tabs>
          <w:tab w:val="left" w:pos="1920"/>
        </w:tabs>
        <w:ind w:right="591" w:firstLine="1418"/>
        <w:jc w:val="both"/>
        <w:rPr>
          <w:sz w:val="20"/>
        </w:rPr>
      </w:pPr>
      <w:r>
        <w:rPr>
          <w:sz w:val="20"/>
        </w:rPr>
        <w:t>Pacientes com idade &gt; 1</w:t>
      </w:r>
      <w:r>
        <w:rPr>
          <w:sz w:val="20"/>
        </w:rPr>
        <w:t>8 anos e que, após devidamente informados sobre os riscos e benefícios de sua decisão, optarem por não mais se submeterem ao tratamento com TRE IV com</w:t>
      </w:r>
      <w:r>
        <w:rPr>
          <w:spacing w:val="-37"/>
          <w:sz w:val="20"/>
        </w:rPr>
        <w:t xml:space="preserve"> </w:t>
      </w:r>
      <w:proofErr w:type="spellStart"/>
      <w:r>
        <w:rPr>
          <w:sz w:val="20"/>
        </w:rPr>
        <w:t>idursulfase</w:t>
      </w:r>
      <w:proofErr w:type="spellEnd"/>
      <w:r>
        <w:rPr>
          <w:sz w:val="20"/>
        </w:rPr>
        <w:t xml:space="preserve"> alfa.</w:t>
      </w:r>
    </w:p>
    <w:p w:rsidR="00A74668" w:rsidRDefault="00421CAF">
      <w:pPr>
        <w:pStyle w:val="Corpodetexto"/>
        <w:ind w:right="577" w:firstLine="1418"/>
      </w:pPr>
      <w:r>
        <w:t>Os critérios de interrupção do tratamento devem ser apresentados, de forma clara, aos p</w:t>
      </w:r>
      <w:r>
        <w:t>ais/paciente ou aos responsáveis, quando a TRE estiver sendo considerada e antes de iniciá-la. Durante o acompanhamento clínico do paciente em TRE, os parâmetros de resposta terapêutica à TRE deverão ser avaliados periodicamente e discutidos com os pais/pa</w:t>
      </w:r>
      <w:r>
        <w:t xml:space="preserve">ciente ou responsáveis. No caso de interrupção por falha de adesão, o </w:t>
      </w:r>
      <w:proofErr w:type="gramStart"/>
      <w:r>
        <w:t>paciente e familiares</w:t>
      </w:r>
      <w:proofErr w:type="gramEnd"/>
      <w:r>
        <w:t xml:space="preserve"> deverão ser inseridos em programa de incentivo à adesão, e poderão retornar ao tratamento caso haja comprometimento explícito de seguimento das recomendações médica</w:t>
      </w:r>
      <w:r>
        <w:t>s.</w:t>
      </w:r>
    </w:p>
    <w:p w:rsidR="00A74668" w:rsidRDefault="00A74668">
      <w:pPr>
        <w:pStyle w:val="Corpodetexto"/>
        <w:spacing w:before="4"/>
        <w:ind w:left="0"/>
        <w:jc w:val="left"/>
      </w:pPr>
    </w:p>
    <w:p w:rsidR="00A74668" w:rsidRDefault="00421CAF">
      <w:pPr>
        <w:pStyle w:val="PargrafodaLista"/>
        <w:numPr>
          <w:ilvl w:val="0"/>
          <w:numId w:val="16"/>
        </w:numPr>
        <w:tabs>
          <w:tab w:val="left" w:pos="1842"/>
        </w:tabs>
        <w:ind w:left="1841" w:hanging="190"/>
        <w:jc w:val="left"/>
        <w:rPr>
          <w:b/>
          <w:sz w:val="16"/>
        </w:rPr>
      </w:pPr>
      <w:r>
        <w:rPr>
          <w:b/>
          <w:sz w:val="20"/>
        </w:rPr>
        <w:t>M</w:t>
      </w:r>
      <w:r>
        <w:rPr>
          <w:b/>
          <w:sz w:val="16"/>
        </w:rPr>
        <w:t>ONITORIZAÇÃO</w:t>
      </w:r>
    </w:p>
    <w:p w:rsidR="00A74668" w:rsidRDefault="00A74668">
      <w:pPr>
        <w:rPr>
          <w:sz w:val="16"/>
        </w:rPr>
        <w:sectPr w:rsidR="00A74668">
          <w:pgSz w:w="11910" w:h="16840"/>
          <w:pgMar w:top="1040" w:right="980" w:bottom="440" w:left="900" w:header="0" w:footer="254" w:gutter="0"/>
          <w:cols w:space="720"/>
        </w:sectPr>
      </w:pPr>
    </w:p>
    <w:p w:rsidR="00A74668" w:rsidRDefault="00421CAF">
      <w:pPr>
        <w:pStyle w:val="Corpodetexto"/>
        <w:spacing w:before="72"/>
        <w:ind w:right="580" w:firstLine="1418"/>
      </w:pPr>
      <w:r>
        <w:lastRenderedPageBreak/>
        <w:t>Os pacientes devem ser monitorizados a resposta terapêutica e os eventos adversos. O médico deve realizar anamnese completa em cada visita e coletar dados de altura (em pé ou em decúbito dorsal, e, no caso de restrições nos membros inferiores, por segmento</w:t>
      </w:r>
      <w:r>
        <w:t>), peso e perímetro cefálico, de preferência usando o mesmo instrumento, devidamente calibrado. O exame físico deve ser completo e incluir sinais vitais (temperatura, frequência cardíaca, frequência respiratória e pressão arterial), bem como medidas para q</w:t>
      </w:r>
      <w:r>
        <w:t xml:space="preserve">uantificação do tamanho do fígado (por </w:t>
      </w:r>
      <w:proofErr w:type="spellStart"/>
      <w:r>
        <w:t>hepatimetria</w:t>
      </w:r>
      <w:proofErr w:type="spellEnd"/>
      <w:r>
        <w:t xml:space="preserve">) e do baço. A avaliação do desenvolvimento sexual deve ser realizada em adolescentes, de acordo com os critérios de </w:t>
      </w:r>
      <w:proofErr w:type="spellStart"/>
      <w:r>
        <w:t>Tanner</w:t>
      </w:r>
      <w:proofErr w:type="spellEnd"/>
      <w:r>
        <w:t>. Nas visitas, dados sobre todas as avaliações realizadas desde o último agendamen</w:t>
      </w:r>
      <w:r>
        <w:t xml:space="preserve">to, devem ser obtidos e os testes necessários devem ser solicitados, incluindo avaliação por especialistas em neurologia, otorrinolaringologia, oftalmologia, cardiologia e pneumologia, e </w:t>
      </w:r>
      <w:r>
        <w:rPr>
          <w:spacing w:val="6"/>
        </w:rPr>
        <w:t xml:space="preserve">um </w:t>
      </w:r>
      <w:r>
        <w:t>estudo do sono e avaliação de volumes viscerais com RNM, TC, ou, q</w:t>
      </w:r>
      <w:r>
        <w:t>uando o paciente não é capaz de passar por esses exames, como ecografia</w:t>
      </w:r>
      <w:hyperlink r:id="rId131">
        <w:proofErr w:type="gramStart"/>
        <w:r>
          <w:rPr>
            <w:vertAlign w:val="superscript"/>
          </w:rPr>
          <w:t>24,32</w:t>
        </w:r>
        <w:r>
          <w:t>.</w:t>
        </w:r>
        <w:proofErr w:type="gramEnd"/>
      </w:hyperlink>
    </w:p>
    <w:p w:rsidR="00A74668" w:rsidRDefault="00421CAF">
      <w:pPr>
        <w:pStyle w:val="Corpodetexto"/>
        <w:spacing w:before="3"/>
        <w:ind w:right="580" w:firstLine="1418"/>
      </w:pPr>
      <w:r>
        <w:t>Para fins de diagnóstico e acompanhamento, radiografias do crânio (perfil), coluna vertebral (perfil, incluindo re</w:t>
      </w:r>
      <w:r>
        <w:t xml:space="preserve">gião cervical), tórax (póstero-anterior), </w:t>
      </w:r>
      <w:proofErr w:type="gramStart"/>
      <w:r>
        <w:t>coxofemoral (póstero-anterior) e ambas</w:t>
      </w:r>
      <w:proofErr w:type="gramEnd"/>
      <w:r>
        <w:t xml:space="preserve"> as mãos devem ser realizadas</w:t>
      </w:r>
      <w:hyperlink r:id="rId132">
        <w:r>
          <w:rPr>
            <w:vertAlign w:val="superscript"/>
          </w:rPr>
          <w:t>24,32</w:t>
        </w:r>
        <w:r>
          <w:t xml:space="preserve">. </w:t>
        </w:r>
      </w:hyperlink>
      <w:r>
        <w:t>Exposição excessiva à radiação deve ser evitada. As avaliações de rotina dev</w:t>
      </w:r>
      <w:r>
        <w:t>em ser realizadas anualmente pelo pediatra ou clínico, além de ginecologista para adolescentes e mulheres adultas, com vacinas, orientação dietética, exames e conselhos preventivos. Seguindo o calendário obrigatório de vacinação brasileiro, vacinação contr</w:t>
      </w:r>
      <w:r>
        <w:t xml:space="preserve">a </w:t>
      </w:r>
      <w:proofErr w:type="spellStart"/>
      <w:r>
        <w:rPr>
          <w:i/>
        </w:rPr>
        <w:t>Haemophilus</w:t>
      </w:r>
      <w:proofErr w:type="spellEnd"/>
      <w:r>
        <w:rPr>
          <w:i/>
        </w:rPr>
        <w:t xml:space="preserve"> influenza </w:t>
      </w:r>
      <w:r>
        <w:t xml:space="preserve">e imunização a cada </w:t>
      </w:r>
      <w:proofErr w:type="gramStart"/>
      <w:r>
        <w:t>5</w:t>
      </w:r>
      <w:proofErr w:type="gramEnd"/>
      <w:r>
        <w:t xml:space="preserve"> anos para pneumonia são recomendadas, bem como imunização anual para Influenza</w:t>
      </w:r>
      <w:hyperlink r:id="rId133">
        <w:r>
          <w:rPr>
            <w:vertAlign w:val="superscript"/>
          </w:rPr>
          <w:t>82</w:t>
        </w:r>
        <w:r>
          <w:t xml:space="preserve">. </w:t>
        </w:r>
      </w:hyperlink>
      <w:r>
        <w:t>O médico assistente também deve sempre solicitar informações sobre ou av</w:t>
      </w:r>
      <w:r>
        <w:t xml:space="preserve">aliar periodicamente outros membros afetados da família, além de periodicamente avaliar se a família tem uma boa compreensão da doença e riscos reprodutivos, fornecendo ou referindo-os para orientação e aconselhamento </w:t>
      </w:r>
      <w:proofErr w:type="gramStart"/>
      <w:r>
        <w:t>genético adicionais</w:t>
      </w:r>
      <w:proofErr w:type="gramEnd"/>
      <w:r>
        <w:t xml:space="preserve"> sempre que</w:t>
      </w:r>
      <w:r>
        <w:rPr>
          <w:spacing w:val="-1"/>
        </w:rPr>
        <w:t xml:space="preserve"> </w:t>
      </w:r>
      <w:r>
        <w:t>aplicáv</w:t>
      </w:r>
      <w:r>
        <w:t>el.</w:t>
      </w:r>
    </w:p>
    <w:p w:rsidR="00A74668" w:rsidRDefault="00421CAF">
      <w:pPr>
        <w:pStyle w:val="Corpodetexto"/>
        <w:ind w:right="579" w:firstLine="1418"/>
      </w:pPr>
      <w:r>
        <w:t>Pacientes com MPS também devem ser monitorados por outros profissionais como dentistas, fisioterapeutas, fonoaudiólogos, terapeutas ocupacionais, nutricionistas e psicólogos</w:t>
      </w:r>
      <w:hyperlink r:id="rId134">
        <w:proofErr w:type="gramStart"/>
        <w:r>
          <w:rPr>
            <w:vertAlign w:val="superscript"/>
          </w:rPr>
          <w:t>24,</w:t>
        </w:r>
        <w:proofErr w:type="gramEnd"/>
        <w:r>
          <w:rPr>
            <w:vertAlign w:val="superscript"/>
          </w:rPr>
          <w:t>32,4</w:t>
        </w:r>
        <w:r>
          <w:rPr>
            <w:vertAlign w:val="superscript"/>
          </w:rPr>
          <w:t>5</w:t>
        </w:r>
        <w:r>
          <w:t xml:space="preserve">. </w:t>
        </w:r>
      </w:hyperlink>
      <w:r>
        <w:t xml:space="preserve">É papel </w:t>
      </w:r>
      <w:proofErr w:type="gramStart"/>
      <w:r>
        <w:t>do médico dar</w:t>
      </w:r>
      <w:proofErr w:type="gramEnd"/>
      <w:r>
        <w:t xml:space="preserve"> a estes profissionais informações pertinentes, discutir os riscos e benefícios das intervenções e incentivar a família a seguir corretamente as terapias. O médico também é responsável, juntamente com o assistente social, por identi</w:t>
      </w:r>
      <w:r>
        <w:t>ficar as dificuldades encontradas pelas famílias e deve procurar ajudá-los, orientando-os nas avaliações e tratamento, atividades de vida diária, atividades escolares e inserção social do paciente e sua</w:t>
      </w:r>
      <w:r>
        <w:rPr>
          <w:spacing w:val="-5"/>
        </w:rPr>
        <w:t xml:space="preserve"> </w:t>
      </w:r>
      <w:r>
        <w:t>família.</w:t>
      </w:r>
    </w:p>
    <w:p w:rsidR="00A74668" w:rsidRDefault="00421CAF">
      <w:pPr>
        <w:pStyle w:val="Corpodetexto"/>
        <w:ind w:right="586" w:firstLine="1418"/>
      </w:pPr>
      <w:r>
        <w:t xml:space="preserve">A </w:t>
      </w:r>
      <w:r>
        <w:rPr>
          <w:b/>
        </w:rPr>
        <w:t xml:space="preserve">Tabela 2 </w:t>
      </w:r>
      <w:r>
        <w:t>apresenta as avaliações considera</w:t>
      </w:r>
      <w:r>
        <w:t>das mínimas para o acompanhamento de pacientes com MPS II. São definidos períodos mínimos apenas para aquelas avaliações que têm por objetivo detectar a eficácia e segurança da TRE; para as demais, a periodicidade de avaliações fica a critério do médico as</w:t>
      </w:r>
      <w:r>
        <w:t>sistente.</w:t>
      </w:r>
    </w:p>
    <w:p w:rsidR="00A74668" w:rsidRDefault="00421CAF">
      <w:pPr>
        <w:pStyle w:val="Corpodetexto"/>
        <w:spacing w:line="229" w:lineRule="exact"/>
        <w:ind w:left="1651"/>
        <w:jc w:val="left"/>
      </w:pPr>
      <w:r>
        <w:t xml:space="preserve">O seguimento de pacientes submetidos </w:t>
      </w:r>
      <w:proofErr w:type="gramStart"/>
      <w:r>
        <w:t>a</w:t>
      </w:r>
      <w:proofErr w:type="gramEnd"/>
      <w:r>
        <w:t xml:space="preserve"> TCTH deve seguir a conduta adotada pelo centro</w:t>
      </w:r>
    </w:p>
    <w:p w:rsidR="00A74668" w:rsidRDefault="00421CAF">
      <w:pPr>
        <w:pStyle w:val="Corpodetexto"/>
        <w:jc w:val="left"/>
      </w:pPr>
      <w:proofErr w:type="gramStart"/>
      <w:r>
        <w:t>transplantador</w:t>
      </w:r>
      <w:proofErr w:type="gramEnd"/>
      <w:r>
        <w:t>.</w:t>
      </w:r>
    </w:p>
    <w:p w:rsidR="00A74668" w:rsidRDefault="00A74668">
      <w:pPr>
        <w:pStyle w:val="Corpodetexto"/>
        <w:spacing w:before="6"/>
        <w:ind w:left="0"/>
        <w:jc w:val="left"/>
      </w:pPr>
    </w:p>
    <w:p w:rsidR="00A74668" w:rsidRDefault="00421CAF">
      <w:pPr>
        <w:pStyle w:val="PargrafodaLista"/>
        <w:numPr>
          <w:ilvl w:val="0"/>
          <w:numId w:val="16"/>
        </w:numPr>
        <w:tabs>
          <w:tab w:val="left" w:pos="1844"/>
        </w:tabs>
        <w:spacing w:line="228" w:lineRule="exact"/>
        <w:ind w:left="1843" w:hanging="192"/>
        <w:jc w:val="left"/>
        <w:rPr>
          <w:b/>
          <w:sz w:val="16"/>
        </w:rPr>
      </w:pPr>
      <w:r>
        <w:rPr>
          <w:b/>
          <w:sz w:val="20"/>
        </w:rPr>
        <w:t>R</w:t>
      </w:r>
      <w:r>
        <w:rPr>
          <w:b/>
          <w:sz w:val="16"/>
        </w:rPr>
        <w:t>EGULAÇÃO</w:t>
      </w:r>
      <w:r>
        <w:rPr>
          <w:b/>
          <w:sz w:val="20"/>
        </w:rPr>
        <w:t>/</w:t>
      </w:r>
      <w:r>
        <w:rPr>
          <w:b/>
          <w:sz w:val="16"/>
        </w:rPr>
        <w:t>CONTROLE</w:t>
      </w:r>
      <w:r>
        <w:rPr>
          <w:b/>
          <w:sz w:val="20"/>
        </w:rPr>
        <w:t>/</w:t>
      </w:r>
      <w:r>
        <w:rPr>
          <w:b/>
          <w:sz w:val="16"/>
        </w:rPr>
        <w:t>AVALIAÇÃO PELO</w:t>
      </w:r>
      <w:r>
        <w:rPr>
          <w:b/>
          <w:spacing w:val="-1"/>
          <w:sz w:val="16"/>
        </w:rPr>
        <w:t xml:space="preserve"> </w:t>
      </w:r>
      <w:r>
        <w:rPr>
          <w:b/>
          <w:sz w:val="16"/>
        </w:rPr>
        <w:t>GESTOR</w:t>
      </w:r>
    </w:p>
    <w:p w:rsidR="00A74668" w:rsidRDefault="00421CAF">
      <w:pPr>
        <w:pStyle w:val="Corpodetexto"/>
        <w:ind w:right="581" w:firstLine="1418"/>
      </w:pPr>
      <w:r>
        <w:t>Devem ser observados os critérios de inclusão e exclusão de pacientes neste PCDT, a duração e a monitorização do tratamento bem como a verificação periódica das doses prescritas e dispensadas e a adequação de uso do</w:t>
      </w:r>
      <w:r>
        <w:rPr>
          <w:spacing w:val="1"/>
        </w:rPr>
        <w:t xml:space="preserve"> </w:t>
      </w:r>
      <w:r>
        <w:t>medicamento.</w:t>
      </w:r>
    </w:p>
    <w:p w:rsidR="00A74668" w:rsidRDefault="00421CAF">
      <w:pPr>
        <w:pStyle w:val="Corpodetexto"/>
        <w:ind w:right="582" w:firstLine="1418"/>
      </w:pPr>
      <w:r>
        <w:t>O tratamento da MPS II deve</w:t>
      </w:r>
      <w:r>
        <w:t xml:space="preserve"> ser feito por equipe em serviços especializados, para fins de diagnóstico e de acompanhamento dos pacientes e de suas famílias. Como o controle da doença exige experiência e familiaridade com manifestações clínicas associadas, convém que o médico responsá</w:t>
      </w:r>
      <w:r>
        <w:t>vel tenha experiência e seja treinado nessa atividade. Para a administração dos medicamentos é essencial o atendimento centralizado, para maior racionalidade do uso e avaliação da efetividade. A infusão deve ser feita em ambiente hospitalar ou ambulatorial</w:t>
      </w:r>
      <w:r>
        <w:t xml:space="preserve">. Infusões domiciliares podem ser consideradas após </w:t>
      </w:r>
      <w:proofErr w:type="gramStart"/>
      <w:r>
        <w:t>6</w:t>
      </w:r>
      <w:proofErr w:type="gramEnd"/>
      <w:r>
        <w:t xml:space="preserve"> meses de tratamento sem</w:t>
      </w:r>
      <w:r>
        <w:rPr>
          <w:spacing w:val="-20"/>
        </w:rPr>
        <w:t xml:space="preserve"> </w:t>
      </w:r>
      <w:r>
        <w:t>intercorrências.</w:t>
      </w:r>
    </w:p>
    <w:p w:rsidR="00A74668" w:rsidRDefault="00421CAF">
      <w:pPr>
        <w:pStyle w:val="Corpodetexto"/>
        <w:ind w:right="589" w:firstLine="1418"/>
      </w:pPr>
      <w:r>
        <w:t xml:space="preserve">Verificar na Relação Nacional de Medicamentos </w:t>
      </w:r>
      <w:proofErr w:type="gramStart"/>
      <w:r>
        <w:t>Essenciais (RENAME) vigente</w:t>
      </w:r>
      <w:proofErr w:type="gramEnd"/>
      <w:r>
        <w:t xml:space="preserve"> em qual componente da Assistência Farmacêutica se encontra o medicamento preconizado neste Protocolo.</w:t>
      </w:r>
    </w:p>
    <w:p w:rsidR="00A74668" w:rsidRDefault="00421CAF">
      <w:pPr>
        <w:pStyle w:val="Corpodetexto"/>
        <w:ind w:right="579" w:firstLine="1418"/>
      </w:pPr>
      <w:r>
        <w:t xml:space="preserve">Para a autorização do TCTH </w:t>
      </w:r>
      <w:proofErr w:type="spellStart"/>
      <w:r>
        <w:t>alogênico</w:t>
      </w:r>
      <w:proofErr w:type="spellEnd"/>
      <w:r>
        <w:t xml:space="preserve"> aparentado ou não aparentado de medula ósse</w:t>
      </w:r>
      <w:r>
        <w:t xml:space="preserve">a, de sangue periférico ou de sangue de cordão umbilical, do tipo </w:t>
      </w:r>
      <w:proofErr w:type="spellStart"/>
      <w:r>
        <w:t>mieloablativo</w:t>
      </w:r>
      <w:proofErr w:type="spellEnd"/>
      <w:r>
        <w:t xml:space="preserve">, todos os potenciais receptores devem estar inscritos no Registro Nacional de Receptores de Medula Óssea ou outros precursores </w:t>
      </w:r>
      <w:proofErr w:type="spellStart"/>
      <w:r>
        <w:t>hematopoéticos</w:t>
      </w:r>
      <w:proofErr w:type="spellEnd"/>
      <w:r>
        <w:t xml:space="preserve"> – REREME/INCA/MS, e devem ser obse</w:t>
      </w:r>
      <w:r>
        <w:t>rvadas as normas técnicas e operacionais do Sistema Nacional de Transplantes.</w:t>
      </w:r>
    </w:p>
    <w:p w:rsidR="00A74668" w:rsidRDefault="00421CAF">
      <w:pPr>
        <w:pStyle w:val="Corpodetexto"/>
        <w:ind w:right="582" w:firstLine="1418"/>
      </w:pPr>
      <w:r>
        <w:t>Os receptores transplantados originários dos próprios hospitais transplantadores neles devem continuar sendo assistidos e acompanhados; e os demais receptores transplantados deve</w:t>
      </w:r>
      <w:r>
        <w:t xml:space="preserve">rão, efetivada a alta do hospital transplantador, ser devidamente reencaminhados aos seus hospitais de origem, para a continuidade da assistência e acompanhamento. A comunicação entre os hospitais deve ser mantida de modo que o hospital solicitante conte, </w:t>
      </w:r>
      <w:r>
        <w:t>sempre que necessário, com a orientação do hospital transplantador e este, com as informações atualizadas sobre a evolução dos transplantados.</w:t>
      </w:r>
    </w:p>
    <w:p w:rsidR="00A74668" w:rsidRDefault="00421CAF">
      <w:pPr>
        <w:pStyle w:val="Corpodetexto"/>
        <w:ind w:right="578" w:firstLine="1418"/>
      </w:pPr>
      <w:r>
        <w:t xml:space="preserve">Os resultados de todos os casos MPS II submetidos </w:t>
      </w:r>
      <w:proofErr w:type="gramStart"/>
      <w:r>
        <w:t>a</w:t>
      </w:r>
      <w:proofErr w:type="gramEnd"/>
      <w:r>
        <w:t xml:space="preserve"> TCTH </w:t>
      </w:r>
      <w:proofErr w:type="spellStart"/>
      <w:r>
        <w:t>mieloablativo</w:t>
      </w:r>
      <w:proofErr w:type="spellEnd"/>
      <w:r>
        <w:t xml:space="preserve"> </w:t>
      </w:r>
      <w:proofErr w:type="spellStart"/>
      <w:r>
        <w:t>alogênico</w:t>
      </w:r>
      <w:proofErr w:type="spellEnd"/>
      <w:r>
        <w:t xml:space="preserve"> aparentado ou não aparentado de </w:t>
      </w:r>
      <w:r>
        <w:t xml:space="preserve">medula óssea, de sangue periférico ou de sangue de cordão umbilical, do tipo </w:t>
      </w:r>
      <w:proofErr w:type="spellStart"/>
      <w:r>
        <w:t>mieloablativo</w:t>
      </w:r>
      <w:proofErr w:type="spellEnd"/>
      <w:r>
        <w:t>, deverão ter sua evolução registrada no REREME a cada três meses até completar pelo menos 1 (um) ano da realização do transplante.</w:t>
      </w:r>
    </w:p>
    <w:p w:rsidR="00A74668" w:rsidRDefault="00A74668">
      <w:pPr>
        <w:pStyle w:val="Corpodetexto"/>
        <w:spacing w:before="3"/>
        <w:ind w:left="0"/>
        <w:jc w:val="left"/>
      </w:pPr>
    </w:p>
    <w:p w:rsidR="00A74668" w:rsidRDefault="00421CAF">
      <w:pPr>
        <w:pStyle w:val="PargrafodaLista"/>
        <w:numPr>
          <w:ilvl w:val="0"/>
          <w:numId w:val="16"/>
        </w:numPr>
        <w:tabs>
          <w:tab w:val="left" w:pos="1844"/>
        </w:tabs>
        <w:ind w:left="1843" w:hanging="192"/>
        <w:jc w:val="left"/>
        <w:rPr>
          <w:b/>
          <w:sz w:val="16"/>
        </w:rPr>
      </w:pPr>
      <w:r>
        <w:rPr>
          <w:b/>
          <w:sz w:val="20"/>
        </w:rPr>
        <w:t>T</w:t>
      </w:r>
      <w:r>
        <w:rPr>
          <w:b/>
          <w:sz w:val="16"/>
        </w:rPr>
        <w:t>ERMO DE ESCLARECIMENTO E RESPONS</w:t>
      </w:r>
      <w:r>
        <w:rPr>
          <w:b/>
          <w:sz w:val="16"/>
        </w:rPr>
        <w:t xml:space="preserve">ABILIDADE </w:t>
      </w:r>
      <w:r>
        <w:rPr>
          <w:b/>
          <w:sz w:val="20"/>
        </w:rPr>
        <w:t>-</w:t>
      </w:r>
      <w:r>
        <w:rPr>
          <w:b/>
          <w:spacing w:val="-13"/>
          <w:sz w:val="20"/>
        </w:rPr>
        <w:t xml:space="preserve"> </w:t>
      </w:r>
      <w:r>
        <w:rPr>
          <w:b/>
          <w:sz w:val="16"/>
        </w:rPr>
        <w:t>TER</w:t>
      </w:r>
    </w:p>
    <w:p w:rsidR="00A74668" w:rsidRDefault="00A74668">
      <w:pPr>
        <w:rPr>
          <w:sz w:val="16"/>
        </w:rPr>
        <w:sectPr w:rsidR="00A74668">
          <w:pgSz w:w="11910" w:h="16840"/>
          <w:pgMar w:top="1040" w:right="980" w:bottom="440" w:left="900" w:header="0" w:footer="254" w:gutter="0"/>
          <w:cols w:space="720"/>
        </w:sectPr>
      </w:pPr>
    </w:p>
    <w:p w:rsidR="00A74668" w:rsidRDefault="00421CAF">
      <w:pPr>
        <w:pStyle w:val="Corpodetexto"/>
        <w:spacing w:before="72"/>
        <w:ind w:right="581" w:firstLine="1418"/>
      </w:pPr>
      <w:r>
        <w:lastRenderedPageBreak/>
        <w:t>Deve-se informar ao paciente, ou seu responsável legal, sobre os potenciais riscos, benefícios e efeitos adversos relacionados ao uso dos medicamentos preconizados neste Protocolo, levando-se em consideração as informações</w:t>
      </w:r>
      <w:r>
        <w:t xml:space="preserve"> contidas no TER.</w:t>
      </w:r>
    </w:p>
    <w:p w:rsidR="00A74668" w:rsidRDefault="00A74668">
      <w:pPr>
        <w:pStyle w:val="Corpodetexto"/>
        <w:spacing w:before="7"/>
        <w:ind w:left="0"/>
        <w:jc w:val="left"/>
      </w:pPr>
    </w:p>
    <w:p w:rsidR="00A74668" w:rsidRDefault="00421CAF">
      <w:pPr>
        <w:pStyle w:val="PargrafodaLista"/>
        <w:numPr>
          <w:ilvl w:val="0"/>
          <w:numId w:val="16"/>
        </w:numPr>
        <w:tabs>
          <w:tab w:val="left" w:pos="527"/>
        </w:tabs>
        <w:spacing w:line="228" w:lineRule="exact"/>
        <w:ind w:left="526" w:hanging="293"/>
        <w:jc w:val="both"/>
        <w:rPr>
          <w:b/>
          <w:sz w:val="16"/>
        </w:rPr>
      </w:pPr>
      <w:r>
        <w:rPr>
          <w:b/>
          <w:sz w:val="20"/>
        </w:rPr>
        <w:t>R</w:t>
      </w:r>
      <w:r>
        <w:rPr>
          <w:b/>
          <w:sz w:val="16"/>
        </w:rPr>
        <w:t>EFERÊNCIAS</w:t>
      </w:r>
    </w:p>
    <w:p w:rsidR="00A74668" w:rsidRDefault="00421CAF">
      <w:pPr>
        <w:pStyle w:val="PargrafodaLista"/>
        <w:numPr>
          <w:ilvl w:val="0"/>
          <w:numId w:val="6"/>
        </w:numPr>
        <w:tabs>
          <w:tab w:val="left" w:pos="941"/>
          <w:tab w:val="left" w:pos="942"/>
        </w:tabs>
        <w:spacing w:line="237" w:lineRule="auto"/>
        <w:ind w:right="588" w:firstLine="0"/>
        <w:jc w:val="both"/>
        <w:rPr>
          <w:sz w:val="20"/>
        </w:rPr>
      </w:pPr>
      <w:hyperlink r:id="rId135">
        <w:r w:rsidRPr="00421CAF">
          <w:rPr>
            <w:sz w:val="20"/>
            <w:lang w:val="en-US"/>
          </w:rPr>
          <w:t xml:space="preserve">Neufeld EF MJ. The </w:t>
        </w:r>
        <w:proofErr w:type="spellStart"/>
        <w:r w:rsidRPr="00421CAF">
          <w:rPr>
            <w:sz w:val="20"/>
            <w:lang w:val="en-US"/>
          </w:rPr>
          <w:t>Mucopolysaccharidoses</w:t>
        </w:r>
        <w:proofErr w:type="spellEnd"/>
        <w:r w:rsidRPr="00421CAF">
          <w:rPr>
            <w:sz w:val="20"/>
            <w:lang w:val="en-US"/>
          </w:rPr>
          <w:t xml:space="preserve">. In: </w:t>
        </w:r>
        <w:proofErr w:type="spellStart"/>
        <w:r w:rsidRPr="00421CAF">
          <w:rPr>
            <w:sz w:val="20"/>
            <w:lang w:val="en-US"/>
          </w:rPr>
          <w:t>Scriver</w:t>
        </w:r>
        <w:proofErr w:type="spellEnd"/>
        <w:r w:rsidRPr="00421CAF">
          <w:rPr>
            <w:sz w:val="20"/>
            <w:lang w:val="en-US"/>
          </w:rPr>
          <w:t xml:space="preserve"> CR, editor. The Metabolic &amp; Molecular Bases</w:t>
        </w:r>
      </w:hyperlink>
      <w:hyperlink r:id="rId136">
        <w:r w:rsidRPr="00421CAF">
          <w:rPr>
            <w:sz w:val="20"/>
            <w:lang w:val="en-US"/>
          </w:rPr>
          <w:t xml:space="preserve"> of Inherited Dise</w:t>
        </w:r>
        <w:r w:rsidRPr="00421CAF">
          <w:rPr>
            <w:sz w:val="20"/>
            <w:lang w:val="en-US"/>
          </w:rPr>
          <w:t xml:space="preserve">ase. </w:t>
        </w:r>
        <w:r>
          <w:rPr>
            <w:sz w:val="20"/>
          </w:rPr>
          <w:t xml:space="preserve">New </w:t>
        </w:r>
        <w:proofErr w:type="gramStart"/>
        <w:r>
          <w:rPr>
            <w:sz w:val="20"/>
          </w:rPr>
          <w:t>York ;</w:t>
        </w:r>
        <w:proofErr w:type="gramEnd"/>
        <w:r>
          <w:rPr>
            <w:sz w:val="20"/>
          </w:rPr>
          <w:t xml:space="preserve"> Montreal : McGraw-Hill;</w:t>
        </w:r>
        <w:r>
          <w:rPr>
            <w:spacing w:val="-6"/>
            <w:sz w:val="20"/>
          </w:rPr>
          <w:t xml:space="preserve"> </w:t>
        </w:r>
        <w:r>
          <w:rPr>
            <w:sz w:val="20"/>
          </w:rPr>
          <w:t>2010.</w:t>
        </w:r>
      </w:hyperlink>
    </w:p>
    <w:p w:rsidR="00A74668" w:rsidRDefault="00421CAF">
      <w:pPr>
        <w:pStyle w:val="PargrafodaLista"/>
        <w:numPr>
          <w:ilvl w:val="0"/>
          <w:numId w:val="6"/>
        </w:numPr>
        <w:tabs>
          <w:tab w:val="left" w:pos="941"/>
          <w:tab w:val="left" w:pos="942"/>
        </w:tabs>
        <w:spacing w:before="1"/>
        <w:ind w:right="576" w:firstLine="0"/>
        <w:jc w:val="both"/>
        <w:rPr>
          <w:sz w:val="20"/>
        </w:rPr>
      </w:pPr>
      <w:hyperlink r:id="rId137">
        <w:proofErr w:type="gramStart"/>
        <w:r>
          <w:rPr>
            <w:sz w:val="20"/>
          </w:rPr>
          <w:t>de</w:t>
        </w:r>
        <w:proofErr w:type="gramEnd"/>
        <w:r>
          <w:rPr>
            <w:sz w:val="20"/>
          </w:rPr>
          <w:t xml:space="preserve"> Camargo Pinto LL, Maluf SW, </w:t>
        </w:r>
        <w:proofErr w:type="spellStart"/>
        <w:r>
          <w:rPr>
            <w:sz w:val="20"/>
          </w:rPr>
          <w:t>Leistner-Segal</w:t>
        </w:r>
        <w:proofErr w:type="spellEnd"/>
        <w:r>
          <w:rPr>
            <w:sz w:val="20"/>
          </w:rPr>
          <w:t xml:space="preserve"> S, </w:t>
        </w:r>
        <w:proofErr w:type="spellStart"/>
        <w:r>
          <w:rPr>
            <w:sz w:val="20"/>
          </w:rPr>
          <w:t>Zimmer</w:t>
        </w:r>
        <w:proofErr w:type="spellEnd"/>
        <w:r>
          <w:rPr>
            <w:sz w:val="20"/>
          </w:rPr>
          <w:t xml:space="preserve"> da Silva C, </w:t>
        </w:r>
        <w:proofErr w:type="spellStart"/>
        <w:r>
          <w:rPr>
            <w:sz w:val="20"/>
          </w:rPr>
          <w:t>Brusius-Facchin</w:t>
        </w:r>
        <w:proofErr w:type="spellEnd"/>
        <w:r>
          <w:rPr>
            <w:sz w:val="20"/>
          </w:rPr>
          <w:t xml:space="preserve"> A, </w:t>
        </w:r>
        <w:proofErr w:type="spellStart"/>
        <w:r>
          <w:rPr>
            <w:sz w:val="20"/>
          </w:rPr>
          <w:t>Burin</w:t>
        </w:r>
        <w:proofErr w:type="spellEnd"/>
        <w:r>
          <w:rPr>
            <w:sz w:val="20"/>
          </w:rPr>
          <w:t xml:space="preserve"> MG,</w:t>
        </w:r>
      </w:hyperlink>
      <w:r>
        <w:rPr>
          <w:sz w:val="20"/>
        </w:rPr>
        <w:t xml:space="preserve"> </w:t>
      </w:r>
      <w:hyperlink r:id="rId138">
        <w:r>
          <w:rPr>
            <w:sz w:val="20"/>
          </w:rPr>
          <w:t xml:space="preserve"> et al. </w:t>
        </w:r>
        <w:r w:rsidRPr="00421CAF">
          <w:rPr>
            <w:sz w:val="20"/>
            <w:lang w:val="en-US"/>
          </w:rPr>
          <w:t>Are MPS II heterozygotes actually asymptomatic? A study based on clinical and biochemical data, X-</w:t>
        </w:r>
      </w:hyperlink>
      <w:hyperlink r:id="rId139">
        <w:r w:rsidRPr="00421CAF">
          <w:rPr>
            <w:sz w:val="20"/>
            <w:lang w:val="en-US"/>
          </w:rPr>
          <w:t xml:space="preserve"> inactivation analysis and imaging evaluations. </w:t>
        </w:r>
        <w:proofErr w:type="spellStart"/>
        <w:proofErr w:type="gramStart"/>
        <w:r>
          <w:rPr>
            <w:sz w:val="20"/>
          </w:rPr>
          <w:t>Am</w:t>
        </w:r>
        <w:proofErr w:type="spellEnd"/>
        <w:proofErr w:type="gramEnd"/>
        <w:r>
          <w:rPr>
            <w:sz w:val="20"/>
          </w:rPr>
          <w:t xml:space="preserve"> J </w:t>
        </w:r>
        <w:proofErr w:type="spellStart"/>
        <w:r>
          <w:rPr>
            <w:sz w:val="20"/>
          </w:rPr>
          <w:t>Med</w:t>
        </w:r>
        <w:proofErr w:type="spellEnd"/>
        <w:r>
          <w:rPr>
            <w:sz w:val="20"/>
          </w:rPr>
          <w:t xml:space="preserve"> </w:t>
        </w:r>
        <w:proofErr w:type="spellStart"/>
        <w:r>
          <w:rPr>
            <w:sz w:val="20"/>
          </w:rPr>
          <w:t>Genet</w:t>
        </w:r>
        <w:proofErr w:type="spellEnd"/>
        <w:r>
          <w:rPr>
            <w:sz w:val="20"/>
          </w:rPr>
          <w:t xml:space="preserve"> A. 2011;155A:</w:t>
        </w:r>
        <w:r>
          <w:rPr>
            <w:spacing w:val="-7"/>
            <w:sz w:val="20"/>
          </w:rPr>
          <w:t xml:space="preserve"> </w:t>
        </w:r>
        <w:r>
          <w:rPr>
            <w:spacing w:val="2"/>
            <w:sz w:val="20"/>
          </w:rPr>
          <w:t>50–57.</w:t>
        </w:r>
      </w:hyperlink>
    </w:p>
    <w:p w:rsidR="00A74668" w:rsidRPr="00421CAF" w:rsidRDefault="00421CAF">
      <w:pPr>
        <w:pStyle w:val="PargrafodaLista"/>
        <w:numPr>
          <w:ilvl w:val="0"/>
          <w:numId w:val="6"/>
        </w:numPr>
        <w:tabs>
          <w:tab w:val="left" w:pos="941"/>
          <w:tab w:val="left" w:pos="942"/>
        </w:tabs>
        <w:spacing w:before="1"/>
        <w:ind w:right="582" w:firstLine="0"/>
        <w:jc w:val="both"/>
        <w:rPr>
          <w:sz w:val="20"/>
          <w:lang w:val="en-US"/>
        </w:rPr>
      </w:pPr>
      <w:hyperlink r:id="rId140">
        <w:r>
          <w:rPr>
            <w:sz w:val="20"/>
          </w:rPr>
          <w:t xml:space="preserve">Schwartz IVD, Pinto LLC, Breda G, Lima L, Ribeiro MG, Mota JG, </w:t>
        </w:r>
        <w:proofErr w:type="gramStart"/>
        <w:r>
          <w:rPr>
            <w:sz w:val="20"/>
          </w:rPr>
          <w:t>et</w:t>
        </w:r>
        <w:proofErr w:type="gramEnd"/>
        <w:r>
          <w:rPr>
            <w:sz w:val="20"/>
          </w:rPr>
          <w:t xml:space="preserve"> </w:t>
        </w:r>
        <w:r>
          <w:rPr>
            <w:spacing w:val="2"/>
            <w:sz w:val="20"/>
          </w:rPr>
          <w:t xml:space="preserve">al. </w:t>
        </w:r>
        <w:r w:rsidRPr="00421CAF">
          <w:rPr>
            <w:sz w:val="20"/>
            <w:lang w:val="en-US"/>
          </w:rPr>
          <w:t>Clinical and biochemical</w:t>
        </w:r>
      </w:hyperlink>
      <w:hyperlink r:id="rId141">
        <w:r w:rsidRPr="00421CAF">
          <w:rPr>
            <w:sz w:val="20"/>
            <w:lang w:val="en-US"/>
          </w:rPr>
          <w:t xml:space="preserve"> studies in </w:t>
        </w:r>
        <w:proofErr w:type="spellStart"/>
        <w:r w:rsidRPr="00421CAF">
          <w:rPr>
            <w:sz w:val="20"/>
            <w:lang w:val="en-US"/>
          </w:rPr>
          <w:t>mucopolysaccharidosis</w:t>
        </w:r>
        <w:proofErr w:type="spellEnd"/>
        <w:r w:rsidRPr="00421CAF">
          <w:rPr>
            <w:sz w:val="20"/>
            <w:lang w:val="en-US"/>
          </w:rPr>
          <w:t xml:space="preserve"> type II carriers. J Inherit </w:t>
        </w:r>
        <w:proofErr w:type="spellStart"/>
        <w:r w:rsidRPr="00421CAF">
          <w:rPr>
            <w:sz w:val="20"/>
            <w:lang w:val="en-US"/>
          </w:rPr>
          <w:t>Metab</w:t>
        </w:r>
        <w:proofErr w:type="spellEnd"/>
        <w:r w:rsidRPr="00421CAF">
          <w:rPr>
            <w:sz w:val="20"/>
            <w:lang w:val="en-US"/>
          </w:rPr>
          <w:t xml:space="preserve"> Dis. 2009</w:t>
        </w:r>
        <w:proofErr w:type="gramStart"/>
        <w:r w:rsidRPr="00421CAF">
          <w:rPr>
            <w:sz w:val="20"/>
            <w:lang w:val="en-US"/>
          </w:rPr>
          <w:t>;32</w:t>
        </w:r>
        <w:proofErr w:type="gramEnd"/>
        <w:r w:rsidRPr="00421CAF">
          <w:rPr>
            <w:sz w:val="20"/>
            <w:lang w:val="en-US"/>
          </w:rPr>
          <w:t>:</w:t>
        </w:r>
        <w:r w:rsidRPr="00421CAF">
          <w:rPr>
            <w:spacing w:val="-5"/>
            <w:sz w:val="20"/>
            <w:lang w:val="en-US"/>
          </w:rPr>
          <w:t xml:space="preserve"> </w:t>
        </w:r>
        <w:r w:rsidRPr="00421CAF">
          <w:rPr>
            <w:sz w:val="20"/>
            <w:lang w:val="en-US"/>
          </w:rPr>
          <w:t>732–738.</w:t>
        </w:r>
      </w:hyperlink>
    </w:p>
    <w:p w:rsidR="00A74668" w:rsidRDefault="00421CAF">
      <w:pPr>
        <w:pStyle w:val="PargrafodaLista"/>
        <w:numPr>
          <w:ilvl w:val="0"/>
          <w:numId w:val="6"/>
        </w:numPr>
        <w:tabs>
          <w:tab w:val="left" w:pos="941"/>
          <w:tab w:val="left" w:pos="942"/>
        </w:tabs>
        <w:ind w:right="581" w:firstLine="0"/>
        <w:jc w:val="both"/>
        <w:rPr>
          <w:sz w:val="20"/>
        </w:rPr>
      </w:pPr>
      <w:hyperlink r:id="rId142">
        <w:r>
          <w:rPr>
            <w:sz w:val="20"/>
          </w:rPr>
          <w:t xml:space="preserve">Schwartz IVD, Ribeiro MG, Mota JG, </w:t>
        </w:r>
        <w:proofErr w:type="spellStart"/>
        <w:r>
          <w:rPr>
            <w:sz w:val="20"/>
          </w:rPr>
          <w:t>Toralles</w:t>
        </w:r>
        <w:proofErr w:type="spellEnd"/>
        <w:r>
          <w:rPr>
            <w:sz w:val="20"/>
          </w:rPr>
          <w:t xml:space="preserve"> MBP, Correia P, </w:t>
        </w:r>
        <w:proofErr w:type="spellStart"/>
        <w:r>
          <w:rPr>
            <w:sz w:val="20"/>
          </w:rPr>
          <w:t>Horovitz</w:t>
        </w:r>
        <w:proofErr w:type="spellEnd"/>
        <w:r>
          <w:rPr>
            <w:sz w:val="20"/>
          </w:rPr>
          <w:t xml:space="preserve"> D, </w:t>
        </w:r>
        <w:proofErr w:type="gramStart"/>
        <w:r>
          <w:rPr>
            <w:sz w:val="20"/>
          </w:rPr>
          <w:t>et</w:t>
        </w:r>
        <w:proofErr w:type="gramEnd"/>
        <w:r>
          <w:rPr>
            <w:sz w:val="20"/>
          </w:rPr>
          <w:t xml:space="preserve"> al. </w:t>
        </w:r>
        <w:r w:rsidRPr="00421CAF">
          <w:rPr>
            <w:sz w:val="20"/>
            <w:lang w:val="en-US"/>
          </w:rPr>
          <w:t>A clinical study of 77</w:t>
        </w:r>
      </w:hyperlink>
      <w:hyperlink r:id="rId143">
        <w:r w:rsidRPr="00421CAF">
          <w:rPr>
            <w:sz w:val="20"/>
            <w:lang w:val="en-US"/>
          </w:rPr>
          <w:t xml:space="preserve"> patients with </w:t>
        </w:r>
        <w:proofErr w:type="spellStart"/>
        <w:r w:rsidRPr="00421CAF">
          <w:rPr>
            <w:sz w:val="20"/>
            <w:lang w:val="en-US"/>
          </w:rPr>
          <w:t>mucopolysaccharidosis</w:t>
        </w:r>
        <w:proofErr w:type="spellEnd"/>
        <w:r w:rsidRPr="00421CAF">
          <w:rPr>
            <w:sz w:val="20"/>
            <w:lang w:val="en-US"/>
          </w:rPr>
          <w:t xml:space="preserve"> type II. </w:t>
        </w:r>
        <w:proofErr w:type="spellStart"/>
        <w:r w:rsidRPr="00421CAF">
          <w:rPr>
            <w:sz w:val="20"/>
            <w:lang w:val="en-US"/>
          </w:rPr>
          <w:t>ActaPaediatr</w:t>
        </w:r>
        <w:proofErr w:type="spellEnd"/>
        <w:r w:rsidRPr="00421CAF">
          <w:rPr>
            <w:sz w:val="20"/>
            <w:lang w:val="en-US"/>
          </w:rPr>
          <w:t xml:space="preserve">. </w:t>
        </w:r>
        <w:proofErr w:type="gramStart"/>
        <w:r>
          <w:rPr>
            <w:sz w:val="20"/>
          </w:rPr>
          <w:t>2007;</w:t>
        </w:r>
        <w:proofErr w:type="gramEnd"/>
        <w:r>
          <w:rPr>
            <w:sz w:val="20"/>
          </w:rPr>
          <w:t>96:</w:t>
        </w:r>
        <w:r>
          <w:rPr>
            <w:spacing w:val="-4"/>
            <w:sz w:val="20"/>
          </w:rPr>
          <w:t xml:space="preserve"> </w:t>
        </w:r>
        <w:r>
          <w:rPr>
            <w:sz w:val="20"/>
          </w:rPr>
          <w:t>63–70.</w:t>
        </w:r>
      </w:hyperlink>
    </w:p>
    <w:p w:rsidR="00A74668" w:rsidRDefault="00421CAF">
      <w:pPr>
        <w:pStyle w:val="PargrafodaLista"/>
        <w:numPr>
          <w:ilvl w:val="0"/>
          <w:numId w:val="6"/>
        </w:numPr>
        <w:tabs>
          <w:tab w:val="left" w:pos="941"/>
          <w:tab w:val="left" w:pos="942"/>
        </w:tabs>
        <w:ind w:right="588" w:firstLine="0"/>
        <w:jc w:val="both"/>
        <w:rPr>
          <w:sz w:val="20"/>
        </w:rPr>
      </w:pPr>
      <w:hyperlink r:id="rId144">
        <w:r w:rsidRPr="00421CAF">
          <w:rPr>
            <w:sz w:val="20"/>
            <w:lang w:val="en-US"/>
          </w:rPr>
          <w:t xml:space="preserve">Neufeld EF MJ. The </w:t>
        </w:r>
        <w:proofErr w:type="spellStart"/>
        <w:r w:rsidRPr="00421CAF">
          <w:rPr>
            <w:sz w:val="20"/>
            <w:lang w:val="en-US"/>
          </w:rPr>
          <w:t>Mucopolysaccharidoses</w:t>
        </w:r>
        <w:proofErr w:type="spellEnd"/>
        <w:r w:rsidRPr="00421CAF">
          <w:rPr>
            <w:sz w:val="20"/>
            <w:lang w:val="en-US"/>
          </w:rPr>
          <w:t xml:space="preserve">. In: </w:t>
        </w:r>
        <w:proofErr w:type="spellStart"/>
        <w:r w:rsidRPr="00421CAF">
          <w:rPr>
            <w:sz w:val="20"/>
            <w:lang w:val="en-US"/>
          </w:rPr>
          <w:t>Scriver</w:t>
        </w:r>
        <w:proofErr w:type="spellEnd"/>
        <w:r w:rsidRPr="00421CAF">
          <w:rPr>
            <w:sz w:val="20"/>
            <w:lang w:val="en-US"/>
          </w:rPr>
          <w:t xml:space="preserve"> CR, editor. The Metabolic</w:t>
        </w:r>
        <w:r w:rsidRPr="00421CAF">
          <w:rPr>
            <w:sz w:val="20"/>
            <w:lang w:val="en-US"/>
          </w:rPr>
          <w:t xml:space="preserve"> &amp; Molecular Bases</w:t>
        </w:r>
      </w:hyperlink>
      <w:hyperlink r:id="rId145">
        <w:r w:rsidRPr="00421CAF">
          <w:rPr>
            <w:sz w:val="20"/>
            <w:lang w:val="en-US"/>
          </w:rPr>
          <w:t xml:space="preserve"> of Inherited Disease. </w:t>
        </w:r>
        <w:r>
          <w:rPr>
            <w:sz w:val="20"/>
          </w:rPr>
          <w:t xml:space="preserve">New </w:t>
        </w:r>
        <w:proofErr w:type="gramStart"/>
        <w:r>
          <w:rPr>
            <w:sz w:val="20"/>
          </w:rPr>
          <w:t>York ;</w:t>
        </w:r>
        <w:proofErr w:type="gramEnd"/>
        <w:r>
          <w:rPr>
            <w:sz w:val="20"/>
          </w:rPr>
          <w:t xml:space="preserve"> Montreal : McGraw-Hill;</w:t>
        </w:r>
        <w:r>
          <w:rPr>
            <w:spacing w:val="-7"/>
            <w:sz w:val="20"/>
          </w:rPr>
          <w:t xml:space="preserve"> </w:t>
        </w:r>
        <w:r>
          <w:rPr>
            <w:sz w:val="20"/>
          </w:rPr>
          <w:t>2010.</w:t>
        </w:r>
      </w:hyperlink>
    </w:p>
    <w:p w:rsidR="00A74668" w:rsidRDefault="00421CAF">
      <w:pPr>
        <w:pStyle w:val="PargrafodaLista"/>
        <w:numPr>
          <w:ilvl w:val="0"/>
          <w:numId w:val="6"/>
        </w:numPr>
        <w:tabs>
          <w:tab w:val="left" w:pos="941"/>
          <w:tab w:val="left" w:pos="942"/>
        </w:tabs>
        <w:spacing w:before="1"/>
        <w:ind w:right="576" w:firstLine="0"/>
        <w:jc w:val="both"/>
        <w:rPr>
          <w:sz w:val="20"/>
        </w:rPr>
      </w:pPr>
      <w:hyperlink r:id="rId146">
        <w:proofErr w:type="gramStart"/>
        <w:r>
          <w:rPr>
            <w:sz w:val="20"/>
          </w:rPr>
          <w:t>de</w:t>
        </w:r>
        <w:proofErr w:type="gramEnd"/>
        <w:r>
          <w:rPr>
            <w:sz w:val="20"/>
          </w:rPr>
          <w:t xml:space="preserve"> Camargo Pinto LL, Maluf SW, </w:t>
        </w:r>
        <w:proofErr w:type="spellStart"/>
        <w:r>
          <w:rPr>
            <w:sz w:val="20"/>
          </w:rPr>
          <w:t>Leistner-Segal</w:t>
        </w:r>
        <w:proofErr w:type="spellEnd"/>
        <w:r>
          <w:rPr>
            <w:sz w:val="20"/>
          </w:rPr>
          <w:t xml:space="preserve"> S, </w:t>
        </w:r>
        <w:proofErr w:type="spellStart"/>
        <w:r>
          <w:rPr>
            <w:sz w:val="20"/>
          </w:rPr>
          <w:t>Zimmer</w:t>
        </w:r>
        <w:proofErr w:type="spellEnd"/>
        <w:r>
          <w:rPr>
            <w:sz w:val="20"/>
          </w:rPr>
          <w:t xml:space="preserve"> da Silva </w:t>
        </w:r>
        <w:r>
          <w:rPr>
            <w:sz w:val="20"/>
          </w:rPr>
          <w:t xml:space="preserve">C, </w:t>
        </w:r>
        <w:proofErr w:type="spellStart"/>
        <w:r>
          <w:rPr>
            <w:sz w:val="20"/>
          </w:rPr>
          <w:t>Brusius-Facchin</w:t>
        </w:r>
        <w:proofErr w:type="spellEnd"/>
        <w:r>
          <w:rPr>
            <w:sz w:val="20"/>
          </w:rPr>
          <w:t xml:space="preserve"> A, </w:t>
        </w:r>
        <w:proofErr w:type="spellStart"/>
        <w:r>
          <w:rPr>
            <w:sz w:val="20"/>
          </w:rPr>
          <w:t>Burin</w:t>
        </w:r>
        <w:proofErr w:type="spellEnd"/>
        <w:r>
          <w:rPr>
            <w:sz w:val="20"/>
          </w:rPr>
          <w:t xml:space="preserve"> MG,</w:t>
        </w:r>
      </w:hyperlink>
      <w:r>
        <w:rPr>
          <w:sz w:val="20"/>
        </w:rPr>
        <w:t xml:space="preserve"> </w:t>
      </w:r>
      <w:hyperlink r:id="rId147">
        <w:r>
          <w:rPr>
            <w:sz w:val="20"/>
          </w:rPr>
          <w:t xml:space="preserve"> et al. </w:t>
        </w:r>
        <w:r w:rsidRPr="00421CAF">
          <w:rPr>
            <w:sz w:val="20"/>
            <w:lang w:val="en-US"/>
          </w:rPr>
          <w:t xml:space="preserve">Are MPS II heterozygotes actually asymptomatic? A study based on clinical and biochemical data, </w:t>
        </w:r>
        <w:r w:rsidRPr="00421CAF">
          <w:rPr>
            <w:spacing w:val="3"/>
            <w:sz w:val="20"/>
            <w:lang w:val="en-US"/>
          </w:rPr>
          <w:t>X-</w:t>
        </w:r>
      </w:hyperlink>
      <w:hyperlink r:id="rId148">
        <w:r w:rsidRPr="00421CAF">
          <w:rPr>
            <w:spacing w:val="3"/>
            <w:sz w:val="20"/>
            <w:lang w:val="en-US"/>
          </w:rPr>
          <w:t xml:space="preserve"> </w:t>
        </w:r>
        <w:r w:rsidRPr="00421CAF">
          <w:rPr>
            <w:sz w:val="20"/>
            <w:lang w:val="en-US"/>
          </w:rPr>
          <w:t>inactivat</w:t>
        </w:r>
        <w:r w:rsidRPr="00421CAF">
          <w:rPr>
            <w:sz w:val="20"/>
            <w:lang w:val="en-US"/>
          </w:rPr>
          <w:t xml:space="preserve">ion analysis and imaging evaluations. </w:t>
        </w:r>
        <w:proofErr w:type="spellStart"/>
        <w:proofErr w:type="gramStart"/>
        <w:r>
          <w:rPr>
            <w:sz w:val="20"/>
          </w:rPr>
          <w:t>Am</w:t>
        </w:r>
        <w:proofErr w:type="spellEnd"/>
        <w:proofErr w:type="gramEnd"/>
        <w:r>
          <w:rPr>
            <w:sz w:val="20"/>
          </w:rPr>
          <w:t xml:space="preserve"> J </w:t>
        </w:r>
        <w:proofErr w:type="spellStart"/>
        <w:r>
          <w:rPr>
            <w:sz w:val="20"/>
          </w:rPr>
          <w:t>Med</w:t>
        </w:r>
        <w:proofErr w:type="spellEnd"/>
        <w:r>
          <w:rPr>
            <w:sz w:val="20"/>
          </w:rPr>
          <w:t xml:space="preserve"> </w:t>
        </w:r>
        <w:proofErr w:type="spellStart"/>
        <w:r>
          <w:rPr>
            <w:sz w:val="20"/>
          </w:rPr>
          <w:t>Genet</w:t>
        </w:r>
        <w:proofErr w:type="spellEnd"/>
        <w:r>
          <w:rPr>
            <w:sz w:val="20"/>
          </w:rPr>
          <w:t xml:space="preserve"> A. 2011;155A:</w:t>
        </w:r>
        <w:r>
          <w:rPr>
            <w:spacing w:val="-7"/>
            <w:sz w:val="20"/>
          </w:rPr>
          <w:t xml:space="preserve"> </w:t>
        </w:r>
        <w:r>
          <w:rPr>
            <w:spacing w:val="2"/>
            <w:sz w:val="20"/>
          </w:rPr>
          <w:t>50–57.</w:t>
        </w:r>
      </w:hyperlink>
    </w:p>
    <w:p w:rsidR="00A74668" w:rsidRPr="00421CAF" w:rsidRDefault="00421CAF">
      <w:pPr>
        <w:pStyle w:val="PargrafodaLista"/>
        <w:numPr>
          <w:ilvl w:val="0"/>
          <w:numId w:val="6"/>
        </w:numPr>
        <w:tabs>
          <w:tab w:val="left" w:pos="941"/>
          <w:tab w:val="left" w:pos="942"/>
        </w:tabs>
        <w:ind w:right="584" w:firstLine="0"/>
        <w:jc w:val="both"/>
        <w:rPr>
          <w:sz w:val="20"/>
          <w:lang w:val="en-US"/>
        </w:rPr>
      </w:pPr>
      <w:hyperlink r:id="rId149">
        <w:r>
          <w:rPr>
            <w:sz w:val="20"/>
          </w:rPr>
          <w:t xml:space="preserve">Schwartz IVD, Pinto LLC, Breda G, Lima L, Ribeiro MG, Mota JG, </w:t>
        </w:r>
        <w:proofErr w:type="gramStart"/>
        <w:r>
          <w:rPr>
            <w:sz w:val="20"/>
          </w:rPr>
          <w:t>et</w:t>
        </w:r>
        <w:proofErr w:type="gramEnd"/>
        <w:r>
          <w:rPr>
            <w:sz w:val="20"/>
          </w:rPr>
          <w:t xml:space="preserve"> al. </w:t>
        </w:r>
        <w:r w:rsidRPr="00421CAF">
          <w:rPr>
            <w:sz w:val="20"/>
            <w:lang w:val="en-US"/>
          </w:rPr>
          <w:t>Clinical and biochemical</w:t>
        </w:r>
      </w:hyperlink>
      <w:hyperlink r:id="rId150">
        <w:r w:rsidRPr="00421CAF">
          <w:rPr>
            <w:sz w:val="20"/>
            <w:lang w:val="en-US"/>
          </w:rPr>
          <w:t xml:space="preserve"> studies in </w:t>
        </w:r>
        <w:proofErr w:type="spellStart"/>
        <w:r w:rsidRPr="00421CAF">
          <w:rPr>
            <w:sz w:val="20"/>
            <w:lang w:val="en-US"/>
          </w:rPr>
          <w:t>mucopolysaccharidosis</w:t>
        </w:r>
        <w:proofErr w:type="spellEnd"/>
        <w:r w:rsidRPr="00421CAF">
          <w:rPr>
            <w:sz w:val="20"/>
            <w:lang w:val="en-US"/>
          </w:rPr>
          <w:t xml:space="preserve"> type II carriers. J Inherit </w:t>
        </w:r>
        <w:proofErr w:type="spellStart"/>
        <w:r w:rsidRPr="00421CAF">
          <w:rPr>
            <w:sz w:val="20"/>
            <w:lang w:val="en-US"/>
          </w:rPr>
          <w:t>Metab</w:t>
        </w:r>
        <w:proofErr w:type="spellEnd"/>
        <w:r w:rsidRPr="00421CAF">
          <w:rPr>
            <w:sz w:val="20"/>
            <w:lang w:val="en-US"/>
          </w:rPr>
          <w:t xml:space="preserve"> Dis. 2009</w:t>
        </w:r>
        <w:proofErr w:type="gramStart"/>
        <w:r w:rsidRPr="00421CAF">
          <w:rPr>
            <w:sz w:val="20"/>
            <w:lang w:val="en-US"/>
          </w:rPr>
          <w:t>;32</w:t>
        </w:r>
        <w:proofErr w:type="gramEnd"/>
        <w:r w:rsidRPr="00421CAF">
          <w:rPr>
            <w:sz w:val="20"/>
            <w:lang w:val="en-US"/>
          </w:rPr>
          <w:t>:</w:t>
        </w:r>
        <w:r w:rsidRPr="00421CAF">
          <w:rPr>
            <w:spacing w:val="-5"/>
            <w:sz w:val="20"/>
            <w:lang w:val="en-US"/>
          </w:rPr>
          <w:t xml:space="preserve"> </w:t>
        </w:r>
        <w:r w:rsidRPr="00421CAF">
          <w:rPr>
            <w:sz w:val="20"/>
            <w:lang w:val="en-US"/>
          </w:rPr>
          <w:t>732–738.</w:t>
        </w:r>
      </w:hyperlink>
    </w:p>
    <w:p w:rsidR="00A74668" w:rsidRDefault="00421CAF">
      <w:pPr>
        <w:pStyle w:val="PargrafodaLista"/>
        <w:numPr>
          <w:ilvl w:val="0"/>
          <w:numId w:val="6"/>
        </w:numPr>
        <w:tabs>
          <w:tab w:val="left" w:pos="941"/>
          <w:tab w:val="left" w:pos="942"/>
        </w:tabs>
        <w:ind w:right="581" w:firstLine="0"/>
        <w:jc w:val="both"/>
        <w:rPr>
          <w:sz w:val="20"/>
        </w:rPr>
      </w:pPr>
      <w:hyperlink r:id="rId151">
        <w:r>
          <w:rPr>
            <w:sz w:val="20"/>
          </w:rPr>
          <w:t xml:space="preserve">Schwartz IVD, Ribeiro MG, Mota JG, </w:t>
        </w:r>
        <w:proofErr w:type="spellStart"/>
        <w:r>
          <w:rPr>
            <w:sz w:val="20"/>
          </w:rPr>
          <w:t>Toralles</w:t>
        </w:r>
        <w:proofErr w:type="spellEnd"/>
        <w:r>
          <w:rPr>
            <w:sz w:val="20"/>
          </w:rPr>
          <w:t xml:space="preserve"> MBP, Correia P, </w:t>
        </w:r>
        <w:proofErr w:type="spellStart"/>
        <w:r>
          <w:rPr>
            <w:sz w:val="20"/>
          </w:rPr>
          <w:t>Horovitz</w:t>
        </w:r>
        <w:proofErr w:type="spellEnd"/>
        <w:r>
          <w:rPr>
            <w:sz w:val="20"/>
          </w:rPr>
          <w:t xml:space="preserve"> D, </w:t>
        </w:r>
        <w:proofErr w:type="gramStart"/>
        <w:r>
          <w:rPr>
            <w:sz w:val="20"/>
          </w:rPr>
          <w:t>et</w:t>
        </w:r>
        <w:proofErr w:type="gramEnd"/>
        <w:r>
          <w:rPr>
            <w:sz w:val="20"/>
          </w:rPr>
          <w:t xml:space="preserve"> al. </w:t>
        </w:r>
        <w:r w:rsidRPr="00421CAF">
          <w:rPr>
            <w:sz w:val="20"/>
            <w:lang w:val="en-US"/>
          </w:rPr>
          <w:t>A clinical s</w:t>
        </w:r>
        <w:r w:rsidRPr="00421CAF">
          <w:rPr>
            <w:sz w:val="20"/>
            <w:lang w:val="en-US"/>
          </w:rPr>
          <w:t>tudy of 77</w:t>
        </w:r>
      </w:hyperlink>
      <w:hyperlink r:id="rId152">
        <w:r w:rsidRPr="00421CAF">
          <w:rPr>
            <w:sz w:val="20"/>
            <w:lang w:val="en-US"/>
          </w:rPr>
          <w:t xml:space="preserve"> patients with </w:t>
        </w:r>
        <w:proofErr w:type="spellStart"/>
        <w:r w:rsidRPr="00421CAF">
          <w:rPr>
            <w:sz w:val="20"/>
            <w:lang w:val="en-US"/>
          </w:rPr>
          <w:t>mucopolysaccharidosis</w:t>
        </w:r>
        <w:proofErr w:type="spellEnd"/>
        <w:r w:rsidRPr="00421CAF">
          <w:rPr>
            <w:sz w:val="20"/>
            <w:lang w:val="en-US"/>
          </w:rPr>
          <w:t xml:space="preserve"> type II. </w:t>
        </w:r>
        <w:proofErr w:type="spellStart"/>
        <w:r w:rsidRPr="00421CAF">
          <w:rPr>
            <w:sz w:val="20"/>
            <w:lang w:val="en-US"/>
          </w:rPr>
          <w:t>ActaPaediatr</w:t>
        </w:r>
        <w:proofErr w:type="spellEnd"/>
        <w:r w:rsidRPr="00421CAF">
          <w:rPr>
            <w:sz w:val="20"/>
            <w:lang w:val="en-US"/>
          </w:rPr>
          <w:t xml:space="preserve">. </w:t>
        </w:r>
        <w:proofErr w:type="gramStart"/>
        <w:r>
          <w:rPr>
            <w:sz w:val="20"/>
          </w:rPr>
          <w:t>2007;</w:t>
        </w:r>
        <w:proofErr w:type="gramEnd"/>
        <w:r>
          <w:rPr>
            <w:sz w:val="20"/>
          </w:rPr>
          <w:t>96:</w:t>
        </w:r>
        <w:r>
          <w:rPr>
            <w:spacing w:val="-4"/>
            <w:sz w:val="20"/>
          </w:rPr>
          <w:t xml:space="preserve"> </w:t>
        </w:r>
        <w:r>
          <w:rPr>
            <w:sz w:val="20"/>
          </w:rPr>
          <w:t>63–70.</w:t>
        </w:r>
      </w:hyperlink>
    </w:p>
    <w:p w:rsidR="00A74668" w:rsidRDefault="00421CAF">
      <w:pPr>
        <w:pStyle w:val="PargrafodaLista"/>
        <w:numPr>
          <w:ilvl w:val="0"/>
          <w:numId w:val="6"/>
        </w:numPr>
        <w:tabs>
          <w:tab w:val="left" w:pos="941"/>
          <w:tab w:val="left" w:pos="942"/>
        </w:tabs>
        <w:ind w:right="578" w:firstLine="0"/>
        <w:jc w:val="both"/>
        <w:rPr>
          <w:sz w:val="20"/>
        </w:rPr>
      </w:pPr>
      <w:hyperlink r:id="rId153">
        <w:r w:rsidRPr="00421CAF">
          <w:rPr>
            <w:sz w:val="20"/>
            <w:lang w:val="en-US"/>
          </w:rPr>
          <w:t xml:space="preserve">Neufeld EF MJ. The </w:t>
        </w:r>
        <w:proofErr w:type="spellStart"/>
        <w:r w:rsidRPr="00421CAF">
          <w:rPr>
            <w:sz w:val="20"/>
            <w:lang w:val="en-US"/>
          </w:rPr>
          <w:t>Mucopolysaccharidoses</w:t>
        </w:r>
        <w:proofErr w:type="spellEnd"/>
        <w:r w:rsidRPr="00421CAF">
          <w:rPr>
            <w:sz w:val="20"/>
            <w:lang w:val="en-US"/>
          </w:rPr>
          <w:t xml:space="preserve">. In: </w:t>
        </w:r>
        <w:proofErr w:type="spellStart"/>
        <w:r w:rsidRPr="00421CAF">
          <w:rPr>
            <w:sz w:val="20"/>
            <w:lang w:val="en-US"/>
          </w:rPr>
          <w:t>Scriver</w:t>
        </w:r>
        <w:proofErr w:type="spellEnd"/>
        <w:r w:rsidRPr="00421CAF">
          <w:rPr>
            <w:sz w:val="20"/>
            <w:lang w:val="en-US"/>
          </w:rPr>
          <w:t xml:space="preserve"> CR, edit</w:t>
        </w:r>
        <w:r w:rsidRPr="00421CAF">
          <w:rPr>
            <w:sz w:val="20"/>
            <w:lang w:val="en-US"/>
          </w:rPr>
          <w:t>or. The Metabolic &amp; Molecular Bases</w:t>
        </w:r>
      </w:hyperlink>
      <w:hyperlink r:id="rId154">
        <w:r w:rsidRPr="00421CAF">
          <w:rPr>
            <w:sz w:val="20"/>
            <w:lang w:val="en-US"/>
          </w:rPr>
          <w:t xml:space="preserve"> of Inherited Disease. </w:t>
        </w:r>
        <w:r>
          <w:rPr>
            <w:sz w:val="20"/>
          </w:rPr>
          <w:t xml:space="preserve">New </w:t>
        </w:r>
        <w:proofErr w:type="gramStart"/>
        <w:r>
          <w:rPr>
            <w:sz w:val="20"/>
          </w:rPr>
          <w:t>York ;</w:t>
        </w:r>
        <w:proofErr w:type="gramEnd"/>
        <w:r>
          <w:rPr>
            <w:sz w:val="20"/>
          </w:rPr>
          <w:t xml:space="preserve"> Montreal : McGraw-Hill;</w:t>
        </w:r>
        <w:r>
          <w:rPr>
            <w:spacing w:val="-7"/>
            <w:sz w:val="20"/>
          </w:rPr>
          <w:t xml:space="preserve"> </w:t>
        </w:r>
        <w:r>
          <w:rPr>
            <w:sz w:val="20"/>
          </w:rPr>
          <w:t>2010.</w:t>
        </w:r>
      </w:hyperlink>
    </w:p>
    <w:p w:rsidR="00A74668" w:rsidRDefault="00421CAF">
      <w:pPr>
        <w:pStyle w:val="PargrafodaLista"/>
        <w:numPr>
          <w:ilvl w:val="0"/>
          <w:numId w:val="6"/>
        </w:numPr>
        <w:tabs>
          <w:tab w:val="left" w:pos="942"/>
        </w:tabs>
        <w:ind w:right="591" w:firstLine="0"/>
        <w:jc w:val="both"/>
        <w:rPr>
          <w:sz w:val="20"/>
        </w:rPr>
      </w:pPr>
      <w:hyperlink r:id="rId155">
        <w:r>
          <w:rPr>
            <w:sz w:val="20"/>
          </w:rPr>
          <w:t xml:space="preserve">Schwartz IVD, Ribeiro MG, Mota JG, </w:t>
        </w:r>
        <w:proofErr w:type="spellStart"/>
        <w:r>
          <w:rPr>
            <w:sz w:val="20"/>
          </w:rPr>
          <w:t>Toralles</w:t>
        </w:r>
        <w:proofErr w:type="spellEnd"/>
        <w:r>
          <w:rPr>
            <w:sz w:val="20"/>
          </w:rPr>
          <w:t xml:space="preserve"> MBP,</w:t>
        </w:r>
        <w:r>
          <w:rPr>
            <w:sz w:val="20"/>
          </w:rPr>
          <w:t xml:space="preserve"> Correia P, </w:t>
        </w:r>
        <w:proofErr w:type="spellStart"/>
        <w:r>
          <w:rPr>
            <w:sz w:val="20"/>
          </w:rPr>
          <w:t>Horovitz</w:t>
        </w:r>
        <w:proofErr w:type="spellEnd"/>
        <w:r>
          <w:rPr>
            <w:sz w:val="20"/>
          </w:rPr>
          <w:t xml:space="preserve"> D, </w:t>
        </w:r>
        <w:proofErr w:type="gramStart"/>
        <w:r>
          <w:rPr>
            <w:sz w:val="20"/>
          </w:rPr>
          <w:t>et</w:t>
        </w:r>
        <w:proofErr w:type="gramEnd"/>
        <w:r>
          <w:rPr>
            <w:sz w:val="20"/>
          </w:rPr>
          <w:t xml:space="preserve"> al. </w:t>
        </w:r>
        <w:r w:rsidRPr="00421CAF">
          <w:rPr>
            <w:sz w:val="20"/>
            <w:lang w:val="en-US"/>
          </w:rPr>
          <w:t>A clinical study of 77</w:t>
        </w:r>
      </w:hyperlink>
      <w:hyperlink r:id="rId156">
        <w:r w:rsidRPr="00421CAF">
          <w:rPr>
            <w:sz w:val="20"/>
            <w:lang w:val="en-US"/>
          </w:rPr>
          <w:t xml:space="preserve"> patients with </w:t>
        </w:r>
        <w:proofErr w:type="spellStart"/>
        <w:r w:rsidRPr="00421CAF">
          <w:rPr>
            <w:sz w:val="20"/>
            <w:lang w:val="en-US"/>
          </w:rPr>
          <w:t>mucopolysaccharidosis</w:t>
        </w:r>
        <w:proofErr w:type="spellEnd"/>
        <w:r w:rsidRPr="00421CAF">
          <w:rPr>
            <w:sz w:val="20"/>
            <w:lang w:val="en-US"/>
          </w:rPr>
          <w:t xml:space="preserve"> type II. </w:t>
        </w:r>
        <w:proofErr w:type="spellStart"/>
        <w:r w:rsidRPr="00421CAF">
          <w:rPr>
            <w:sz w:val="20"/>
            <w:lang w:val="en-US"/>
          </w:rPr>
          <w:t>ActaPaediatr</w:t>
        </w:r>
        <w:proofErr w:type="spellEnd"/>
        <w:r w:rsidRPr="00421CAF">
          <w:rPr>
            <w:sz w:val="20"/>
            <w:lang w:val="en-US"/>
          </w:rPr>
          <w:t xml:space="preserve">. </w:t>
        </w:r>
        <w:proofErr w:type="gramStart"/>
        <w:r>
          <w:rPr>
            <w:sz w:val="20"/>
          </w:rPr>
          <w:t>2007;</w:t>
        </w:r>
        <w:proofErr w:type="gramEnd"/>
        <w:r>
          <w:rPr>
            <w:sz w:val="20"/>
          </w:rPr>
          <w:t>96:</w:t>
        </w:r>
        <w:r>
          <w:rPr>
            <w:spacing w:val="-4"/>
            <w:sz w:val="20"/>
          </w:rPr>
          <w:t xml:space="preserve"> </w:t>
        </w:r>
        <w:r>
          <w:rPr>
            <w:sz w:val="20"/>
          </w:rPr>
          <w:t>63–70.</w:t>
        </w:r>
      </w:hyperlink>
    </w:p>
    <w:p w:rsidR="00A74668" w:rsidRDefault="00421CAF">
      <w:pPr>
        <w:pStyle w:val="PargrafodaLista"/>
        <w:numPr>
          <w:ilvl w:val="0"/>
          <w:numId w:val="6"/>
        </w:numPr>
        <w:tabs>
          <w:tab w:val="left" w:pos="942"/>
        </w:tabs>
        <w:ind w:right="589" w:firstLine="0"/>
        <w:jc w:val="both"/>
        <w:rPr>
          <w:sz w:val="20"/>
        </w:rPr>
      </w:pPr>
      <w:hyperlink r:id="rId157">
        <w:r w:rsidRPr="00421CAF">
          <w:rPr>
            <w:sz w:val="20"/>
            <w:lang w:val="en-US"/>
          </w:rPr>
          <w:t xml:space="preserve">Martin R, Beck M, </w:t>
        </w:r>
        <w:proofErr w:type="spellStart"/>
        <w:r w:rsidRPr="00421CAF">
          <w:rPr>
            <w:sz w:val="20"/>
            <w:lang w:val="en-US"/>
          </w:rPr>
          <w:t>Eng</w:t>
        </w:r>
        <w:proofErr w:type="spellEnd"/>
        <w:r w:rsidRPr="00421CAF">
          <w:rPr>
            <w:sz w:val="20"/>
            <w:lang w:val="en-US"/>
          </w:rPr>
          <w:t xml:space="preserve"> C, </w:t>
        </w:r>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Harmatz</w:t>
        </w:r>
        <w:proofErr w:type="spellEnd"/>
        <w:r w:rsidRPr="00421CAF">
          <w:rPr>
            <w:sz w:val="20"/>
            <w:lang w:val="en-US"/>
          </w:rPr>
          <w:t xml:space="preserve"> P, Muñoz V, et al. Recognition and diagnosis of</w:t>
        </w:r>
      </w:hyperlink>
      <w:hyperlink r:id="rId158">
        <w:r w:rsidRPr="00421CAF">
          <w:rPr>
            <w:sz w:val="20"/>
            <w:lang w:val="en-US"/>
          </w:rPr>
          <w:t xml:space="preserve"> </w:t>
        </w:r>
        <w:proofErr w:type="spellStart"/>
        <w:r w:rsidRPr="00421CAF">
          <w:rPr>
            <w:sz w:val="20"/>
            <w:lang w:val="en-US"/>
          </w:rPr>
          <w:t>mucopolysaccharidosis</w:t>
        </w:r>
        <w:proofErr w:type="spellEnd"/>
        <w:r w:rsidRPr="00421CAF">
          <w:rPr>
            <w:sz w:val="20"/>
            <w:lang w:val="en-US"/>
          </w:rPr>
          <w:t xml:space="preserve"> II (Hunter syndrome). </w:t>
        </w:r>
        <w:proofErr w:type="spellStart"/>
        <w:r>
          <w:rPr>
            <w:sz w:val="20"/>
          </w:rPr>
          <w:t>Pediatrics</w:t>
        </w:r>
        <w:proofErr w:type="spellEnd"/>
        <w:r>
          <w:rPr>
            <w:sz w:val="20"/>
          </w:rPr>
          <w:t xml:space="preserve">. </w:t>
        </w:r>
        <w:proofErr w:type="gramStart"/>
        <w:r>
          <w:rPr>
            <w:sz w:val="20"/>
          </w:rPr>
          <w:t>2008;</w:t>
        </w:r>
        <w:proofErr w:type="gramEnd"/>
        <w:r>
          <w:rPr>
            <w:sz w:val="20"/>
          </w:rPr>
          <w:t>121: e377–86.</w:t>
        </w:r>
      </w:hyperlink>
    </w:p>
    <w:p w:rsidR="00A74668" w:rsidRDefault="00421CAF">
      <w:pPr>
        <w:pStyle w:val="PargrafodaLista"/>
        <w:numPr>
          <w:ilvl w:val="0"/>
          <w:numId w:val="6"/>
        </w:numPr>
        <w:tabs>
          <w:tab w:val="left" w:pos="942"/>
        </w:tabs>
        <w:ind w:right="576" w:firstLine="0"/>
        <w:jc w:val="both"/>
        <w:rPr>
          <w:sz w:val="20"/>
        </w:rPr>
      </w:pPr>
      <w:hyperlink r:id="rId159">
        <w:proofErr w:type="gramStart"/>
        <w:r>
          <w:rPr>
            <w:sz w:val="20"/>
          </w:rPr>
          <w:t>de</w:t>
        </w:r>
        <w:proofErr w:type="gramEnd"/>
        <w:r>
          <w:rPr>
            <w:sz w:val="20"/>
          </w:rPr>
          <w:t xml:space="preserve"> Camargo Pinto LL, Maluf SW, </w:t>
        </w:r>
        <w:proofErr w:type="spellStart"/>
        <w:r>
          <w:rPr>
            <w:sz w:val="20"/>
          </w:rPr>
          <w:t>Leistner-Segal</w:t>
        </w:r>
        <w:proofErr w:type="spellEnd"/>
        <w:r>
          <w:rPr>
            <w:sz w:val="20"/>
          </w:rPr>
          <w:t xml:space="preserve"> S, </w:t>
        </w:r>
        <w:proofErr w:type="spellStart"/>
        <w:r>
          <w:rPr>
            <w:sz w:val="20"/>
          </w:rPr>
          <w:t>Zimmer</w:t>
        </w:r>
        <w:proofErr w:type="spellEnd"/>
        <w:r>
          <w:rPr>
            <w:sz w:val="20"/>
          </w:rPr>
          <w:t xml:space="preserve"> da Silva C, </w:t>
        </w:r>
        <w:proofErr w:type="spellStart"/>
        <w:r>
          <w:rPr>
            <w:sz w:val="20"/>
          </w:rPr>
          <w:t>Brusius-Facchin</w:t>
        </w:r>
        <w:proofErr w:type="spellEnd"/>
        <w:r>
          <w:rPr>
            <w:sz w:val="20"/>
          </w:rPr>
          <w:t xml:space="preserve"> A, </w:t>
        </w:r>
        <w:proofErr w:type="spellStart"/>
        <w:r>
          <w:rPr>
            <w:sz w:val="20"/>
          </w:rPr>
          <w:t>Burin</w:t>
        </w:r>
        <w:proofErr w:type="spellEnd"/>
        <w:r>
          <w:rPr>
            <w:sz w:val="20"/>
          </w:rPr>
          <w:t xml:space="preserve"> MG,</w:t>
        </w:r>
      </w:hyperlink>
      <w:r>
        <w:rPr>
          <w:sz w:val="20"/>
        </w:rPr>
        <w:t xml:space="preserve"> </w:t>
      </w:r>
      <w:hyperlink r:id="rId160">
        <w:r>
          <w:rPr>
            <w:sz w:val="20"/>
          </w:rPr>
          <w:t xml:space="preserve"> et al. </w:t>
        </w:r>
        <w:r w:rsidRPr="00421CAF">
          <w:rPr>
            <w:sz w:val="20"/>
            <w:lang w:val="en-US"/>
          </w:rPr>
          <w:t>Are MPS II heterozygotes actually asymptomatic? A study based on clinical</w:t>
        </w:r>
        <w:r w:rsidRPr="00421CAF">
          <w:rPr>
            <w:sz w:val="20"/>
            <w:lang w:val="en-US"/>
          </w:rPr>
          <w:t xml:space="preserve"> and biochemical data, X-</w:t>
        </w:r>
      </w:hyperlink>
      <w:hyperlink r:id="rId161">
        <w:r w:rsidRPr="00421CAF">
          <w:rPr>
            <w:sz w:val="20"/>
            <w:lang w:val="en-US"/>
          </w:rPr>
          <w:t xml:space="preserve"> inactivation analysis and imaging evaluations. </w:t>
        </w:r>
        <w:proofErr w:type="spellStart"/>
        <w:proofErr w:type="gramStart"/>
        <w:r>
          <w:rPr>
            <w:sz w:val="20"/>
          </w:rPr>
          <w:t>Am</w:t>
        </w:r>
        <w:proofErr w:type="spellEnd"/>
        <w:proofErr w:type="gramEnd"/>
        <w:r>
          <w:rPr>
            <w:sz w:val="20"/>
          </w:rPr>
          <w:t xml:space="preserve"> J </w:t>
        </w:r>
        <w:proofErr w:type="spellStart"/>
        <w:r>
          <w:rPr>
            <w:sz w:val="20"/>
          </w:rPr>
          <w:t>Med</w:t>
        </w:r>
        <w:proofErr w:type="spellEnd"/>
        <w:r>
          <w:rPr>
            <w:sz w:val="20"/>
          </w:rPr>
          <w:t xml:space="preserve"> </w:t>
        </w:r>
        <w:proofErr w:type="spellStart"/>
        <w:r>
          <w:rPr>
            <w:sz w:val="20"/>
          </w:rPr>
          <w:t>Genet</w:t>
        </w:r>
        <w:proofErr w:type="spellEnd"/>
        <w:r>
          <w:rPr>
            <w:sz w:val="20"/>
          </w:rPr>
          <w:t xml:space="preserve"> A. 2011;155A:</w:t>
        </w:r>
        <w:r>
          <w:rPr>
            <w:spacing w:val="-7"/>
            <w:sz w:val="20"/>
          </w:rPr>
          <w:t xml:space="preserve"> </w:t>
        </w:r>
        <w:r>
          <w:rPr>
            <w:spacing w:val="2"/>
            <w:sz w:val="20"/>
          </w:rPr>
          <w:t>50–57.</w:t>
        </w:r>
      </w:hyperlink>
    </w:p>
    <w:p w:rsidR="00A74668" w:rsidRPr="00421CAF" w:rsidRDefault="00421CAF">
      <w:pPr>
        <w:pStyle w:val="PargrafodaLista"/>
        <w:numPr>
          <w:ilvl w:val="0"/>
          <w:numId w:val="6"/>
        </w:numPr>
        <w:tabs>
          <w:tab w:val="left" w:pos="942"/>
        </w:tabs>
        <w:ind w:right="582" w:firstLine="0"/>
        <w:jc w:val="both"/>
        <w:rPr>
          <w:sz w:val="20"/>
          <w:lang w:val="en-US"/>
        </w:rPr>
      </w:pPr>
      <w:hyperlink r:id="rId162">
        <w:r>
          <w:rPr>
            <w:sz w:val="20"/>
          </w:rPr>
          <w:t>Schwartz IVD, Pinto LLC, Breda G, Lim</w:t>
        </w:r>
        <w:r>
          <w:rPr>
            <w:sz w:val="20"/>
          </w:rPr>
          <w:t xml:space="preserve">a L, Ribeiro MG, Mota JG, </w:t>
        </w:r>
        <w:proofErr w:type="gramStart"/>
        <w:r>
          <w:rPr>
            <w:sz w:val="20"/>
          </w:rPr>
          <w:t>et</w:t>
        </w:r>
        <w:proofErr w:type="gramEnd"/>
        <w:r>
          <w:rPr>
            <w:sz w:val="20"/>
          </w:rPr>
          <w:t xml:space="preserve"> al. </w:t>
        </w:r>
        <w:r w:rsidRPr="00421CAF">
          <w:rPr>
            <w:sz w:val="20"/>
            <w:lang w:val="en-US"/>
          </w:rPr>
          <w:t>Clinical and biochemical</w:t>
        </w:r>
      </w:hyperlink>
      <w:hyperlink r:id="rId163">
        <w:r w:rsidRPr="00421CAF">
          <w:rPr>
            <w:sz w:val="20"/>
            <w:lang w:val="en-US"/>
          </w:rPr>
          <w:t xml:space="preserve"> studies in </w:t>
        </w:r>
        <w:proofErr w:type="spellStart"/>
        <w:r w:rsidRPr="00421CAF">
          <w:rPr>
            <w:sz w:val="20"/>
            <w:lang w:val="en-US"/>
          </w:rPr>
          <w:t>mucopolysaccharidosis</w:t>
        </w:r>
        <w:proofErr w:type="spellEnd"/>
        <w:r w:rsidRPr="00421CAF">
          <w:rPr>
            <w:sz w:val="20"/>
            <w:lang w:val="en-US"/>
          </w:rPr>
          <w:t xml:space="preserve"> type II carriers. J Inherit </w:t>
        </w:r>
        <w:proofErr w:type="spellStart"/>
        <w:r w:rsidRPr="00421CAF">
          <w:rPr>
            <w:sz w:val="20"/>
            <w:lang w:val="en-US"/>
          </w:rPr>
          <w:t>Metab</w:t>
        </w:r>
        <w:proofErr w:type="spellEnd"/>
        <w:r w:rsidRPr="00421CAF">
          <w:rPr>
            <w:sz w:val="20"/>
            <w:lang w:val="en-US"/>
          </w:rPr>
          <w:t xml:space="preserve"> Dis. 2009</w:t>
        </w:r>
        <w:proofErr w:type="gramStart"/>
        <w:r w:rsidRPr="00421CAF">
          <w:rPr>
            <w:sz w:val="20"/>
            <w:lang w:val="en-US"/>
          </w:rPr>
          <w:t>;32</w:t>
        </w:r>
        <w:proofErr w:type="gramEnd"/>
        <w:r w:rsidRPr="00421CAF">
          <w:rPr>
            <w:sz w:val="20"/>
            <w:lang w:val="en-US"/>
          </w:rPr>
          <w:t>:</w:t>
        </w:r>
        <w:r w:rsidRPr="00421CAF">
          <w:rPr>
            <w:spacing w:val="-5"/>
            <w:sz w:val="20"/>
            <w:lang w:val="en-US"/>
          </w:rPr>
          <w:t xml:space="preserve"> </w:t>
        </w:r>
        <w:r w:rsidRPr="00421CAF">
          <w:rPr>
            <w:sz w:val="20"/>
            <w:lang w:val="en-US"/>
          </w:rPr>
          <w:t>732–738.</w:t>
        </w:r>
      </w:hyperlink>
    </w:p>
    <w:p w:rsidR="00A74668" w:rsidRDefault="00421CAF">
      <w:pPr>
        <w:pStyle w:val="PargrafodaLista"/>
        <w:numPr>
          <w:ilvl w:val="0"/>
          <w:numId w:val="6"/>
        </w:numPr>
        <w:tabs>
          <w:tab w:val="left" w:pos="942"/>
        </w:tabs>
        <w:spacing w:before="1"/>
        <w:ind w:right="577" w:firstLine="0"/>
        <w:jc w:val="both"/>
        <w:rPr>
          <w:sz w:val="20"/>
        </w:rPr>
      </w:pPr>
      <w:hyperlink r:id="rId164">
        <w:r w:rsidRPr="00421CAF">
          <w:rPr>
            <w:sz w:val="20"/>
            <w:lang w:val="en-US"/>
          </w:rPr>
          <w:t xml:space="preserve">Schwartz IV, Souza CFM de, </w:t>
        </w:r>
        <w:proofErr w:type="spellStart"/>
        <w:r w:rsidRPr="00421CAF">
          <w:rPr>
            <w:sz w:val="20"/>
            <w:lang w:val="en-US"/>
          </w:rPr>
          <w:t>Giugliani</w:t>
        </w:r>
        <w:proofErr w:type="spellEnd"/>
        <w:r w:rsidRPr="00421CAF">
          <w:rPr>
            <w:sz w:val="20"/>
            <w:lang w:val="en-US"/>
          </w:rPr>
          <w:t xml:space="preserve"> R. Treatment of inborn errors of metabolism. </w:t>
        </w:r>
        <w:r>
          <w:rPr>
            <w:sz w:val="20"/>
          </w:rPr>
          <w:t xml:space="preserve">J </w:t>
        </w:r>
        <w:proofErr w:type="spellStart"/>
        <w:proofErr w:type="gramStart"/>
        <w:r>
          <w:rPr>
            <w:sz w:val="20"/>
          </w:rPr>
          <w:t>Pediatr</w:t>
        </w:r>
        <w:proofErr w:type="spellEnd"/>
        <w:r>
          <w:rPr>
            <w:sz w:val="20"/>
          </w:rPr>
          <w:t xml:space="preserve"> .</w:t>
        </w:r>
        <w:proofErr w:type="gramEnd"/>
        <w:r>
          <w:rPr>
            <w:sz w:val="20"/>
          </w:rPr>
          <w:t xml:space="preserve"> </w:t>
        </w:r>
        <w:proofErr w:type="gramStart"/>
        <w:r>
          <w:rPr>
            <w:sz w:val="20"/>
          </w:rPr>
          <w:t>2008;</w:t>
        </w:r>
        <w:proofErr w:type="gramEnd"/>
        <w:r>
          <w:rPr>
            <w:sz w:val="20"/>
          </w:rPr>
          <w:t>84:</w:t>
        </w:r>
      </w:hyperlink>
      <w:hyperlink r:id="rId165">
        <w:r>
          <w:rPr>
            <w:sz w:val="20"/>
          </w:rPr>
          <w:t xml:space="preserve"> S8–19.</w:t>
        </w:r>
      </w:hyperlink>
    </w:p>
    <w:p w:rsidR="00A74668" w:rsidRDefault="00421CAF">
      <w:pPr>
        <w:pStyle w:val="PargrafodaLista"/>
        <w:numPr>
          <w:ilvl w:val="0"/>
          <w:numId w:val="6"/>
        </w:numPr>
        <w:tabs>
          <w:tab w:val="left" w:pos="942"/>
        </w:tabs>
        <w:ind w:right="589" w:firstLine="0"/>
        <w:jc w:val="both"/>
        <w:rPr>
          <w:sz w:val="20"/>
        </w:rPr>
      </w:pPr>
      <w:hyperlink r:id="rId166">
        <w:proofErr w:type="spellStart"/>
        <w:r w:rsidRPr="00421CAF">
          <w:rPr>
            <w:sz w:val="20"/>
            <w:lang w:val="en-US"/>
          </w:rPr>
          <w:t>Scarpa</w:t>
        </w:r>
        <w:proofErr w:type="spellEnd"/>
        <w:r w:rsidRPr="00421CAF">
          <w:rPr>
            <w:sz w:val="20"/>
            <w:lang w:val="en-US"/>
          </w:rPr>
          <w:t xml:space="preserve"> M. </w:t>
        </w:r>
        <w:proofErr w:type="spellStart"/>
        <w:r w:rsidRPr="00421CAF">
          <w:rPr>
            <w:sz w:val="20"/>
            <w:lang w:val="en-US"/>
          </w:rPr>
          <w:t>Mucopolysaccharidosis</w:t>
        </w:r>
        <w:proofErr w:type="spellEnd"/>
        <w:r w:rsidRPr="00421CAF">
          <w:rPr>
            <w:sz w:val="20"/>
            <w:lang w:val="en-US"/>
          </w:rPr>
          <w:t xml:space="preserve"> Ty</w:t>
        </w:r>
        <w:r w:rsidRPr="00421CAF">
          <w:rPr>
            <w:sz w:val="20"/>
            <w:lang w:val="en-US"/>
          </w:rPr>
          <w:t xml:space="preserve">pe II. In: </w:t>
        </w:r>
        <w:proofErr w:type="spellStart"/>
        <w:r w:rsidRPr="00421CAF">
          <w:rPr>
            <w:sz w:val="20"/>
            <w:lang w:val="en-US"/>
          </w:rPr>
          <w:t>Pagon</w:t>
        </w:r>
        <w:proofErr w:type="spellEnd"/>
        <w:r w:rsidRPr="00421CAF">
          <w:rPr>
            <w:sz w:val="20"/>
            <w:lang w:val="en-US"/>
          </w:rPr>
          <w:t xml:space="preserve"> RA, Adam MP, </w:t>
        </w:r>
        <w:proofErr w:type="spellStart"/>
        <w:r w:rsidRPr="00421CAF">
          <w:rPr>
            <w:sz w:val="20"/>
            <w:lang w:val="en-US"/>
          </w:rPr>
          <w:t>Ardinger</w:t>
        </w:r>
        <w:proofErr w:type="spellEnd"/>
        <w:r w:rsidRPr="00421CAF">
          <w:rPr>
            <w:sz w:val="20"/>
            <w:lang w:val="en-US"/>
          </w:rPr>
          <w:t xml:space="preserve"> HH, Wallace SE,</w:t>
        </w:r>
      </w:hyperlink>
      <w:hyperlink r:id="rId167">
        <w:r w:rsidRPr="00421CAF">
          <w:rPr>
            <w:sz w:val="20"/>
            <w:lang w:val="en-US"/>
          </w:rPr>
          <w:t xml:space="preserve"> </w:t>
        </w:r>
        <w:proofErr w:type="spellStart"/>
        <w:r w:rsidRPr="00421CAF">
          <w:rPr>
            <w:sz w:val="20"/>
            <w:lang w:val="en-US"/>
          </w:rPr>
          <w:t>Amemiya</w:t>
        </w:r>
        <w:proofErr w:type="spellEnd"/>
        <w:r w:rsidRPr="00421CAF">
          <w:rPr>
            <w:sz w:val="20"/>
            <w:lang w:val="en-US"/>
          </w:rPr>
          <w:t xml:space="preserve"> A, Bean LJH, et al., editors. </w:t>
        </w:r>
        <w:proofErr w:type="spellStart"/>
        <w:proofErr w:type="gramStart"/>
        <w:r>
          <w:rPr>
            <w:sz w:val="20"/>
          </w:rPr>
          <w:t>GeneReviews</w:t>
        </w:r>
        <w:proofErr w:type="spellEnd"/>
        <w:proofErr w:type="gramEnd"/>
        <w:r>
          <w:rPr>
            <w:sz w:val="20"/>
          </w:rPr>
          <w:t xml:space="preserve">(®). Seattle (WA): </w:t>
        </w:r>
        <w:proofErr w:type="spellStart"/>
        <w:r>
          <w:rPr>
            <w:sz w:val="20"/>
          </w:rPr>
          <w:t>University</w:t>
        </w:r>
        <w:proofErr w:type="spellEnd"/>
        <w:r>
          <w:rPr>
            <w:sz w:val="20"/>
          </w:rPr>
          <w:t xml:space="preserve"> </w:t>
        </w:r>
        <w:proofErr w:type="spellStart"/>
        <w:r>
          <w:rPr>
            <w:sz w:val="20"/>
          </w:rPr>
          <w:t>of</w:t>
        </w:r>
        <w:proofErr w:type="spellEnd"/>
        <w:r>
          <w:rPr>
            <w:sz w:val="20"/>
          </w:rPr>
          <w:t xml:space="preserve"> Washington, Seattle;</w:t>
        </w:r>
        <w:r>
          <w:rPr>
            <w:spacing w:val="-25"/>
            <w:sz w:val="20"/>
          </w:rPr>
          <w:t xml:space="preserve"> </w:t>
        </w:r>
        <w:proofErr w:type="gramStart"/>
        <w:r>
          <w:rPr>
            <w:sz w:val="20"/>
          </w:rPr>
          <w:t>2015.</w:t>
        </w:r>
        <w:proofErr w:type="gramEnd"/>
      </w:hyperlink>
    </w:p>
    <w:p w:rsidR="00A74668" w:rsidRDefault="00421CAF">
      <w:pPr>
        <w:pStyle w:val="PargrafodaLista"/>
        <w:numPr>
          <w:ilvl w:val="0"/>
          <w:numId w:val="6"/>
        </w:numPr>
        <w:tabs>
          <w:tab w:val="left" w:pos="942"/>
        </w:tabs>
        <w:ind w:right="580" w:firstLine="0"/>
        <w:jc w:val="both"/>
        <w:rPr>
          <w:sz w:val="20"/>
        </w:rPr>
      </w:pPr>
      <w:hyperlink r:id="rId168">
        <w:r>
          <w:rPr>
            <w:sz w:val="20"/>
          </w:rPr>
          <w:t xml:space="preserve">Motas S, </w:t>
        </w:r>
        <w:proofErr w:type="spellStart"/>
        <w:r>
          <w:rPr>
            <w:sz w:val="20"/>
          </w:rPr>
          <w:t>Haurigot</w:t>
        </w:r>
        <w:proofErr w:type="spellEnd"/>
        <w:r>
          <w:rPr>
            <w:sz w:val="20"/>
          </w:rPr>
          <w:t xml:space="preserve"> V, Garcia M, </w:t>
        </w:r>
        <w:proofErr w:type="spellStart"/>
        <w:r>
          <w:rPr>
            <w:sz w:val="20"/>
          </w:rPr>
          <w:t>Marcó</w:t>
        </w:r>
        <w:proofErr w:type="spellEnd"/>
        <w:r>
          <w:rPr>
            <w:sz w:val="20"/>
          </w:rPr>
          <w:t xml:space="preserve"> S, </w:t>
        </w:r>
        <w:proofErr w:type="spellStart"/>
        <w:r>
          <w:rPr>
            <w:sz w:val="20"/>
          </w:rPr>
          <w:t>Ribera</w:t>
        </w:r>
        <w:proofErr w:type="spellEnd"/>
        <w:r>
          <w:rPr>
            <w:sz w:val="20"/>
          </w:rPr>
          <w:t xml:space="preserve"> A, Roca C, </w:t>
        </w:r>
        <w:proofErr w:type="gramStart"/>
        <w:r>
          <w:rPr>
            <w:sz w:val="20"/>
          </w:rPr>
          <w:t>et</w:t>
        </w:r>
        <w:proofErr w:type="gramEnd"/>
        <w:r>
          <w:rPr>
            <w:sz w:val="20"/>
          </w:rPr>
          <w:t xml:space="preserve"> al. </w:t>
        </w:r>
        <w:r w:rsidRPr="00421CAF">
          <w:rPr>
            <w:sz w:val="20"/>
            <w:lang w:val="en-US"/>
          </w:rPr>
          <w:t>CNS-directed gene therapy for the</w:t>
        </w:r>
      </w:hyperlink>
      <w:hyperlink r:id="rId169">
        <w:r w:rsidRPr="00421CAF">
          <w:rPr>
            <w:sz w:val="20"/>
            <w:lang w:val="en-US"/>
          </w:rPr>
          <w:t xml:space="preserve"> treatment of neurologic and somatic </w:t>
        </w:r>
        <w:proofErr w:type="spellStart"/>
        <w:r w:rsidRPr="00421CAF">
          <w:rPr>
            <w:sz w:val="20"/>
            <w:lang w:val="en-US"/>
          </w:rPr>
          <w:t>mucopolysaccharidosis</w:t>
        </w:r>
        <w:proofErr w:type="spellEnd"/>
        <w:r w:rsidRPr="00421CAF">
          <w:rPr>
            <w:sz w:val="20"/>
            <w:lang w:val="en-US"/>
          </w:rPr>
          <w:t xml:space="preserve"> type II (Hunter syndrome).</w:t>
        </w:r>
        <w:r w:rsidRPr="00421CAF">
          <w:rPr>
            <w:sz w:val="20"/>
            <w:lang w:val="en-US"/>
          </w:rPr>
          <w:t xml:space="preserve"> </w:t>
        </w:r>
        <w:r>
          <w:rPr>
            <w:sz w:val="20"/>
          </w:rPr>
          <w:t xml:space="preserve">JCI Insight. </w:t>
        </w:r>
        <w:proofErr w:type="gramStart"/>
        <w:r>
          <w:rPr>
            <w:sz w:val="20"/>
          </w:rPr>
          <w:t>2016;</w:t>
        </w:r>
        <w:proofErr w:type="gramEnd"/>
        <w:r>
          <w:rPr>
            <w:sz w:val="20"/>
          </w:rPr>
          <w:t>1:</w:t>
        </w:r>
      </w:hyperlink>
      <w:hyperlink r:id="rId170">
        <w:r>
          <w:rPr>
            <w:sz w:val="20"/>
          </w:rPr>
          <w:t xml:space="preserve"> e86696.</w:t>
        </w:r>
      </w:hyperlink>
    </w:p>
    <w:p w:rsidR="00A74668" w:rsidRDefault="00421CAF">
      <w:pPr>
        <w:pStyle w:val="PargrafodaLista"/>
        <w:numPr>
          <w:ilvl w:val="0"/>
          <w:numId w:val="6"/>
        </w:numPr>
        <w:tabs>
          <w:tab w:val="left" w:pos="942"/>
        </w:tabs>
        <w:ind w:right="589" w:firstLine="0"/>
        <w:jc w:val="both"/>
        <w:rPr>
          <w:sz w:val="20"/>
        </w:rPr>
      </w:pPr>
      <w:hyperlink r:id="rId171">
        <w:proofErr w:type="spellStart"/>
        <w:r w:rsidRPr="00421CAF">
          <w:rPr>
            <w:sz w:val="20"/>
            <w:lang w:val="en-US"/>
          </w:rPr>
          <w:t>Muenzer</w:t>
        </w:r>
        <w:proofErr w:type="spellEnd"/>
        <w:r w:rsidRPr="00421CAF">
          <w:rPr>
            <w:sz w:val="20"/>
            <w:lang w:val="en-US"/>
          </w:rPr>
          <w:t xml:space="preserve"> J, </w:t>
        </w:r>
        <w:proofErr w:type="spellStart"/>
        <w:r w:rsidRPr="00421CAF">
          <w:rPr>
            <w:sz w:val="20"/>
            <w:lang w:val="en-US"/>
          </w:rPr>
          <w:t>Hendriksz</w:t>
        </w:r>
        <w:proofErr w:type="spellEnd"/>
        <w:r w:rsidRPr="00421CAF">
          <w:rPr>
            <w:sz w:val="20"/>
            <w:lang w:val="en-US"/>
          </w:rPr>
          <w:t xml:space="preserve"> CJ, Fan Z, </w:t>
        </w:r>
        <w:proofErr w:type="spellStart"/>
        <w:r w:rsidRPr="00421CAF">
          <w:rPr>
            <w:sz w:val="20"/>
            <w:lang w:val="en-US"/>
          </w:rPr>
          <w:t>Vijayaraghavan</w:t>
        </w:r>
        <w:proofErr w:type="spellEnd"/>
        <w:r w:rsidRPr="00421CAF">
          <w:rPr>
            <w:sz w:val="20"/>
            <w:lang w:val="en-US"/>
          </w:rPr>
          <w:t xml:space="preserve"> S, Perry V, </w:t>
        </w:r>
        <w:proofErr w:type="spellStart"/>
        <w:r w:rsidRPr="00421CAF">
          <w:rPr>
            <w:sz w:val="20"/>
            <w:lang w:val="en-US"/>
          </w:rPr>
          <w:t>Santra</w:t>
        </w:r>
        <w:proofErr w:type="spellEnd"/>
        <w:r w:rsidRPr="00421CAF">
          <w:rPr>
            <w:sz w:val="20"/>
            <w:lang w:val="en-US"/>
          </w:rPr>
          <w:t xml:space="preserve"> S, et al. A phase I/II study of</w:t>
        </w:r>
      </w:hyperlink>
      <w:hyperlink r:id="rId172">
        <w:r w:rsidRPr="00421CAF">
          <w:rPr>
            <w:sz w:val="20"/>
            <w:lang w:val="en-US"/>
          </w:rPr>
          <w:t xml:space="preserve"> </w:t>
        </w:r>
        <w:proofErr w:type="spellStart"/>
        <w:r w:rsidRPr="00421CAF">
          <w:rPr>
            <w:sz w:val="20"/>
            <w:lang w:val="en-US"/>
          </w:rPr>
          <w:t>intrathecal</w:t>
        </w:r>
        <w:proofErr w:type="spellEnd"/>
        <w:r w:rsidRPr="00421CAF">
          <w:rPr>
            <w:sz w:val="20"/>
            <w:lang w:val="en-US"/>
          </w:rPr>
          <w:t xml:space="preserve"> </w:t>
        </w:r>
        <w:proofErr w:type="spellStart"/>
        <w:r w:rsidRPr="00421CAF">
          <w:rPr>
            <w:sz w:val="20"/>
            <w:lang w:val="en-US"/>
          </w:rPr>
          <w:t>idursulfase</w:t>
        </w:r>
        <w:proofErr w:type="spellEnd"/>
        <w:r w:rsidRPr="00421CAF">
          <w:rPr>
            <w:sz w:val="20"/>
            <w:lang w:val="en-US"/>
          </w:rPr>
          <w:t xml:space="preserve">-IT in children with severe </w:t>
        </w:r>
        <w:proofErr w:type="spellStart"/>
        <w:r w:rsidRPr="00421CAF">
          <w:rPr>
            <w:sz w:val="20"/>
            <w:lang w:val="en-US"/>
          </w:rPr>
          <w:t>mucopolysaccharidosis</w:t>
        </w:r>
        <w:proofErr w:type="spellEnd"/>
        <w:r w:rsidRPr="00421CAF">
          <w:rPr>
            <w:sz w:val="20"/>
            <w:lang w:val="en-US"/>
          </w:rPr>
          <w:t xml:space="preserve"> II. </w:t>
        </w:r>
        <w:proofErr w:type="spellStart"/>
        <w:r>
          <w:rPr>
            <w:sz w:val="20"/>
          </w:rPr>
          <w:t>Genet</w:t>
        </w:r>
        <w:proofErr w:type="spellEnd"/>
        <w:r>
          <w:rPr>
            <w:sz w:val="20"/>
          </w:rPr>
          <w:t xml:space="preserve"> Med. </w:t>
        </w:r>
        <w:proofErr w:type="gramStart"/>
        <w:r>
          <w:rPr>
            <w:sz w:val="20"/>
          </w:rPr>
          <w:t>2016;</w:t>
        </w:r>
        <w:proofErr w:type="gramEnd"/>
        <w:r>
          <w:rPr>
            <w:sz w:val="20"/>
          </w:rPr>
          <w:t>18:</w:t>
        </w:r>
        <w:r>
          <w:rPr>
            <w:spacing w:val="-10"/>
            <w:sz w:val="20"/>
          </w:rPr>
          <w:t xml:space="preserve"> </w:t>
        </w:r>
        <w:r>
          <w:rPr>
            <w:sz w:val="20"/>
          </w:rPr>
          <w:t>73–81.</w:t>
        </w:r>
      </w:hyperlink>
    </w:p>
    <w:p w:rsidR="00A74668" w:rsidRDefault="00421CAF">
      <w:pPr>
        <w:pStyle w:val="PargrafodaLista"/>
        <w:numPr>
          <w:ilvl w:val="0"/>
          <w:numId w:val="6"/>
        </w:numPr>
        <w:tabs>
          <w:tab w:val="left" w:pos="942"/>
        </w:tabs>
        <w:ind w:right="592" w:firstLine="0"/>
        <w:jc w:val="both"/>
        <w:rPr>
          <w:sz w:val="20"/>
        </w:rPr>
      </w:pPr>
      <w:hyperlink r:id="rId173">
        <w:r w:rsidRPr="00421CAF">
          <w:rPr>
            <w:sz w:val="20"/>
            <w:lang w:val="en-US"/>
          </w:rPr>
          <w:t xml:space="preserve">Nelson J, </w:t>
        </w:r>
        <w:proofErr w:type="spellStart"/>
        <w:r w:rsidRPr="00421CAF">
          <w:rPr>
            <w:sz w:val="20"/>
            <w:lang w:val="en-US"/>
          </w:rPr>
          <w:t>Crowhurst</w:t>
        </w:r>
        <w:proofErr w:type="spellEnd"/>
        <w:r w:rsidRPr="00421CAF">
          <w:rPr>
            <w:sz w:val="20"/>
            <w:lang w:val="en-US"/>
          </w:rPr>
          <w:t xml:space="preserve"> J, Carey B, Greed L. Incidence of the </w:t>
        </w:r>
        <w:proofErr w:type="spellStart"/>
        <w:r w:rsidRPr="00421CAF">
          <w:rPr>
            <w:sz w:val="20"/>
            <w:lang w:val="en-US"/>
          </w:rPr>
          <w:t>mucopolysaccharidoses</w:t>
        </w:r>
        <w:proofErr w:type="spellEnd"/>
        <w:r w:rsidRPr="00421CAF">
          <w:rPr>
            <w:sz w:val="20"/>
            <w:lang w:val="en-US"/>
          </w:rPr>
          <w:t xml:space="preserve"> in Western Australia.</w:t>
        </w:r>
      </w:hyperlink>
      <w:hyperlink r:id="rId174">
        <w:r w:rsidRPr="00421CAF">
          <w:rPr>
            <w:sz w:val="20"/>
            <w:lang w:val="en-US"/>
          </w:rPr>
          <w:t xml:space="preserve"> </w:t>
        </w:r>
        <w:proofErr w:type="spellStart"/>
        <w:proofErr w:type="gramStart"/>
        <w:r>
          <w:rPr>
            <w:sz w:val="20"/>
          </w:rPr>
          <w:t>Am</w:t>
        </w:r>
        <w:proofErr w:type="spellEnd"/>
        <w:proofErr w:type="gramEnd"/>
        <w:r>
          <w:rPr>
            <w:sz w:val="20"/>
          </w:rPr>
          <w:t xml:space="preserve"> J </w:t>
        </w:r>
        <w:proofErr w:type="spellStart"/>
        <w:r>
          <w:rPr>
            <w:sz w:val="20"/>
          </w:rPr>
          <w:t>Med</w:t>
        </w:r>
        <w:proofErr w:type="spellEnd"/>
        <w:r>
          <w:rPr>
            <w:sz w:val="20"/>
          </w:rPr>
          <w:t xml:space="preserve"> </w:t>
        </w:r>
        <w:proofErr w:type="spellStart"/>
        <w:r>
          <w:rPr>
            <w:sz w:val="20"/>
          </w:rPr>
          <w:t>Genet</w:t>
        </w:r>
        <w:proofErr w:type="spellEnd"/>
        <w:r>
          <w:rPr>
            <w:sz w:val="20"/>
          </w:rPr>
          <w:t xml:space="preserve"> A. 2003;123A:</w:t>
        </w:r>
        <w:r>
          <w:rPr>
            <w:spacing w:val="1"/>
            <w:sz w:val="20"/>
          </w:rPr>
          <w:t xml:space="preserve"> </w:t>
        </w:r>
        <w:r>
          <w:rPr>
            <w:sz w:val="20"/>
          </w:rPr>
          <w:t>310–313.</w:t>
        </w:r>
      </w:hyperlink>
    </w:p>
    <w:p w:rsidR="00A74668" w:rsidRPr="00421CAF" w:rsidRDefault="00421CAF">
      <w:pPr>
        <w:pStyle w:val="PargrafodaLista"/>
        <w:numPr>
          <w:ilvl w:val="0"/>
          <w:numId w:val="6"/>
        </w:numPr>
        <w:tabs>
          <w:tab w:val="left" w:pos="942"/>
        </w:tabs>
        <w:ind w:right="581" w:firstLine="0"/>
        <w:jc w:val="both"/>
        <w:rPr>
          <w:sz w:val="20"/>
          <w:lang w:val="en-US"/>
        </w:rPr>
      </w:pPr>
      <w:hyperlink r:id="rId175">
        <w:proofErr w:type="spellStart"/>
        <w:r>
          <w:rPr>
            <w:sz w:val="20"/>
          </w:rPr>
          <w:t>Baehne</w:t>
        </w:r>
        <w:r>
          <w:rPr>
            <w:sz w:val="20"/>
          </w:rPr>
          <w:t>r</w:t>
        </w:r>
        <w:proofErr w:type="spellEnd"/>
        <w:r>
          <w:rPr>
            <w:sz w:val="20"/>
          </w:rPr>
          <w:t xml:space="preserve"> F, </w:t>
        </w:r>
        <w:proofErr w:type="spellStart"/>
        <w:r>
          <w:rPr>
            <w:sz w:val="20"/>
          </w:rPr>
          <w:t>Schmiedeskamp</w:t>
        </w:r>
        <w:proofErr w:type="spellEnd"/>
        <w:r>
          <w:rPr>
            <w:sz w:val="20"/>
          </w:rPr>
          <w:t xml:space="preserve"> C, </w:t>
        </w:r>
        <w:proofErr w:type="spellStart"/>
        <w:r>
          <w:rPr>
            <w:sz w:val="20"/>
          </w:rPr>
          <w:t>Krummenauer</w:t>
        </w:r>
        <w:proofErr w:type="spellEnd"/>
        <w:r>
          <w:rPr>
            <w:sz w:val="20"/>
          </w:rPr>
          <w:t xml:space="preserve"> F, </w:t>
        </w:r>
        <w:proofErr w:type="spellStart"/>
        <w:r>
          <w:rPr>
            <w:sz w:val="20"/>
          </w:rPr>
          <w:t>Miebach</w:t>
        </w:r>
        <w:proofErr w:type="spellEnd"/>
        <w:r>
          <w:rPr>
            <w:sz w:val="20"/>
          </w:rPr>
          <w:t xml:space="preserve"> E, </w:t>
        </w:r>
        <w:proofErr w:type="spellStart"/>
        <w:r>
          <w:rPr>
            <w:sz w:val="20"/>
          </w:rPr>
          <w:t>Bajbouj</w:t>
        </w:r>
        <w:proofErr w:type="spellEnd"/>
        <w:r>
          <w:rPr>
            <w:sz w:val="20"/>
          </w:rPr>
          <w:t xml:space="preserve"> M, </w:t>
        </w:r>
        <w:proofErr w:type="spellStart"/>
        <w:r>
          <w:rPr>
            <w:sz w:val="20"/>
          </w:rPr>
          <w:t>Whybra</w:t>
        </w:r>
        <w:proofErr w:type="spellEnd"/>
        <w:r>
          <w:rPr>
            <w:sz w:val="20"/>
          </w:rPr>
          <w:t xml:space="preserve"> C, </w:t>
        </w:r>
        <w:proofErr w:type="gramStart"/>
        <w:r>
          <w:rPr>
            <w:sz w:val="20"/>
          </w:rPr>
          <w:t>et</w:t>
        </w:r>
        <w:proofErr w:type="gramEnd"/>
        <w:r>
          <w:rPr>
            <w:sz w:val="20"/>
          </w:rPr>
          <w:t xml:space="preserve"> al. </w:t>
        </w:r>
        <w:r w:rsidRPr="00421CAF">
          <w:rPr>
            <w:sz w:val="20"/>
            <w:lang w:val="en-US"/>
          </w:rPr>
          <w:t>Cumulative</w:t>
        </w:r>
      </w:hyperlink>
      <w:hyperlink r:id="rId176">
        <w:r w:rsidRPr="00421CAF">
          <w:rPr>
            <w:sz w:val="20"/>
            <w:lang w:val="en-US"/>
          </w:rPr>
          <w:t xml:space="preserve"> incidence rates of the </w:t>
        </w:r>
        <w:proofErr w:type="spellStart"/>
        <w:r w:rsidRPr="00421CAF">
          <w:rPr>
            <w:sz w:val="20"/>
            <w:lang w:val="en-US"/>
          </w:rPr>
          <w:t>mucopolysaccharidoses</w:t>
        </w:r>
        <w:proofErr w:type="spellEnd"/>
        <w:r w:rsidRPr="00421CAF">
          <w:rPr>
            <w:sz w:val="20"/>
            <w:lang w:val="en-US"/>
          </w:rPr>
          <w:t xml:space="preserve"> in Germany. J Inherit </w:t>
        </w:r>
        <w:proofErr w:type="spellStart"/>
        <w:r w:rsidRPr="00421CAF">
          <w:rPr>
            <w:sz w:val="20"/>
            <w:lang w:val="en-US"/>
          </w:rPr>
          <w:t>Metab</w:t>
        </w:r>
        <w:proofErr w:type="spellEnd"/>
        <w:r w:rsidRPr="00421CAF">
          <w:rPr>
            <w:sz w:val="20"/>
            <w:lang w:val="en-US"/>
          </w:rPr>
          <w:t xml:space="preserve"> Dis. 2005</w:t>
        </w:r>
        <w:proofErr w:type="gramStart"/>
        <w:r w:rsidRPr="00421CAF">
          <w:rPr>
            <w:sz w:val="20"/>
            <w:lang w:val="en-US"/>
          </w:rPr>
          <w:t>;28</w:t>
        </w:r>
        <w:proofErr w:type="gramEnd"/>
        <w:r w:rsidRPr="00421CAF">
          <w:rPr>
            <w:sz w:val="20"/>
            <w:lang w:val="en-US"/>
          </w:rPr>
          <w:t>:</w:t>
        </w:r>
        <w:r w:rsidRPr="00421CAF">
          <w:rPr>
            <w:spacing w:val="-8"/>
            <w:sz w:val="20"/>
            <w:lang w:val="en-US"/>
          </w:rPr>
          <w:t xml:space="preserve"> </w:t>
        </w:r>
        <w:r w:rsidRPr="00421CAF">
          <w:rPr>
            <w:sz w:val="20"/>
            <w:lang w:val="en-US"/>
          </w:rPr>
          <w:t>1011–1017.</w:t>
        </w:r>
      </w:hyperlink>
    </w:p>
    <w:p w:rsidR="00A74668" w:rsidRPr="00421CAF" w:rsidRDefault="00421CAF">
      <w:pPr>
        <w:pStyle w:val="PargrafodaLista"/>
        <w:numPr>
          <w:ilvl w:val="0"/>
          <w:numId w:val="6"/>
        </w:numPr>
        <w:tabs>
          <w:tab w:val="left" w:pos="942"/>
        </w:tabs>
        <w:ind w:right="581" w:firstLine="0"/>
        <w:jc w:val="both"/>
        <w:rPr>
          <w:sz w:val="20"/>
          <w:lang w:val="en-US"/>
        </w:rPr>
      </w:pPr>
      <w:hyperlink r:id="rId177">
        <w:proofErr w:type="spellStart"/>
        <w:r w:rsidRPr="00421CAF">
          <w:rPr>
            <w:sz w:val="20"/>
            <w:lang w:val="en-US"/>
          </w:rPr>
          <w:t>Baehner</w:t>
        </w:r>
        <w:proofErr w:type="spellEnd"/>
        <w:r w:rsidRPr="00421CAF">
          <w:rPr>
            <w:sz w:val="20"/>
            <w:lang w:val="en-US"/>
          </w:rPr>
          <w:t xml:space="preserve"> F, </w:t>
        </w:r>
        <w:proofErr w:type="spellStart"/>
        <w:r w:rsidRPr="00421CAF">
          <w:rPr>
            <w:sz w:val="20"/>
            <w:lang w:val="en-US"/>
          </w:rPr>
          <w:t>Schmiedeskamp</w:t>
        </w:r>
        <w:proofErr w:type="spellEnd"/>
        <w:r w:rsidRPr="00421CAF">
          <w:rPr>
            <w:sz w:val="20"/>
            <w:lang w:val="en-US"/>
          </w:rPr>
          <w:t xml:space="preserve"> C, </w:t>
        </w:r>
        <w:proofErr w:type="spellStart"/>
        <w:r w:rsidRPr="00421CAF">
          <w:rPr>
            <w:sz w:val="20"/>
            <w:lang w:val="en-US"/>
          </w:rPr>
          <w:t>Krummenauer</w:t>
        </w:r>
        <w:proofErr w:type="spellEnd"/>
        <w:r w:rsidRPr="00421CAF">
          <w:rPr>
            <w:sz w:val="20"/>
            <w:lang w:val="en-US"/>
          </w:rPr>
          <w:t xml:space="preserve"> F, </w:t>
        </w:r>
        <w:proofErr w:type="spellStart"/>
        <w:r w:rsidRPr="00421CAF">
          <w:rPr>
            <w:sz w:val="20"/>
            <w:lang w:val="en-US"/>
          </w:rPr>
          <w:t>Miebach</w:t>
        </w:r>
        <w:proofErr w:type="spellEnd"/>
        <w:r w:rsidRPr="00421CAF">
          <w:rPr>
            <w:sz w:val="20"/>
            <w:lang w:val="en-US"/>
          </w:rPr>
          <w:t xml:space="preserve"> E, </w:t>
        </w:r>
        <w:proofErr w:type="spellStart"/>
        <w:r w:rsidRPr="00421CAF">
          <w:rPr>
            <w:sz w:val="20"/>
            <w:lang w:val="en-US"/>
          </w:rPr>
          <w:t>Bajbouj</w:t>
        </w:r>
        <w:proofErr w:type="spellEnd"/>
        <w:r w:rsidRPr="00421CAF">
          <w:rPr>
            <w:sz w:val="20"/>
            <w:lang w:val="en-US"/>
          </w:rPr>
          <w:t xml:space="preserve"> M, </w:t>
        </w:r>
        <w:proofErr w:type="spellStart"/>
        <w:r w:rsidRPr="00421CAF">
          <w:rPr>
            <w:sz w:val="20"/>
            <w:lang w:val="en-US"/>
          </w:rPr>
          <w:t>Whybra</w:t>
        </w:r>
        <w:proofErr w:type="spellEnd"/>
        <w:r w:rsidRPr="00421CAF">
          <w:rPr>
            <w:sz w:val="20"/>
            <w:lang w:val="en-US"/>
          </w:rPr>
          <w:t xml:space="preserve"> C, et al. Cumulative</w:t>
        </w:r>
      </w:hyperlink>
      <w:hyperlink r:id="rId178">
        <w:r w:rsidRPr="00421CAF">
          <w:rPr>
            <w:sz w:val="20"/>
            <w:lang w:val="en-US"/>
          </w:rPr>
          <w:t xml:space="preserve"> incidence rates of the </w:t>
        </w:r>
        <w:proofErr w:type="spellStart"/>
        <w:r w:rsidRPr="00421CAF">
          <w:rPr>
            <w:sz w:val="20"/>
            <w:lang w:val="en-US"/>
          </w:rPr>
          <w:t>mucopolysaccharidoses</w:t>
        </w:r>
        <w:proofErr w:type="spellEnd"/>
        <w:r w:rsidRPr="00421CAF">
          <w:rPr>
            <w:sz w:val="20"/>
            <w:lang w:val="en-US"/>
          </w:rPr>
          <w:t xml:space="preserve"> in Germany. J Inherit </w:t>
        </w:r>
        <w:proofErr w:type="spellStart"/>
        <w:r w:rsidRPr="00421CAF">
          <w:rPr>
            <w:sz w:val="20"/>
            <w:lang w:val="en-US"/>
          </w:rPr>
          <w:t>Me</w:t>
        </w:r>
        <w:r w:rsidRPr="00421CAF">
          <w:rPr>
            <w:sz w:val="20"/>
            <w:lang w:val="en-US"/>
          </w:rPr>
          <w:t>tab</w:t>
        </w:r>
        <w:proofErr w:type="spellEnd"/>
        <w:r w:rsidRPr="00421CAF">
          <w:rPr>
            <w:sz w:val="20"/>
            <w:lang w:val="en-US"/>
          </w:rPr>
          <w:t xml:space="preserve"> Dis. 2005</w:t>
        </w:r>
        <w:proofErr w:type="gramStart"/>
        <w:r w:rsidRPr="00421CAF">
          <w:rPr>
            <w:sz w:val="20"/>
            <w:lang w:val="en-US"/>
          </w:rPr>
          <w:t>;28</w:t>
        </w:r>
        <w:proofErr w:type="gramEnd"/>
        <w:r w:rsidRPr="00421CAF">
          <w:rPr>
            <w:sz w:val="20"/>
            <w:lang w:val="en-US"/>
          </w:rPr>
          <w:t>:</w:t>
        </w:r>
        <w:r w:rsidRPr="00421CAF">
          <w:rPr>
            <w:spacing w:val="-8"/>
            <w:sz w:val="20"/>
            <w:lang w:val="en-US"/>
          </w:rPr>
          <w:t xml:space="preserve"> </w:t>
        </w:r>
        <w:r w:rsidRPr="00421CAF">
          <w:rPr>
            <w:sz w:val="20"/>
            <w:lang w:val="en-US"/>
          </w:rPr>
          <w:t>1011–1017.</w:t>
        </w:r>
      </w:hyperlink>
    </w:p>
    <w:p w:rsidR="00A74668" w:rsidRDefault="00421CAF">
      <w:pPr>
        <w:pStyle w:val="PargrafodaLista"/>
        <w:numPr>
          <w:ilvl w:val="0"/>
          <w:numId w:val="6"/>
        </w:numPr>
        <w:tabs>
          <w:tab w:val="left" w:pos="942"/>
        </w:tabs>
        <w:ind w:right="590" w:firstLine="0"/>
        <w:jc w:val="both"/>
        <w:rPr>
          <w:sz w:val="20"/>
        </w:rPr>
      </w:pPr>
      <w:hyperlink r:id="rId179">
        <w:r w:rsidRPr="00421CAF">
          <w:rPr>
            <w:sz w:val="20"/>
            <w:lang w:val="en-US"/>
          </w:rPr>
          <w:t xml:space="preserve">Young ID, Harper PS, </w:t>
        </w:r>
        <w:proofErr w:type="spellStart"/>
        <w:r w:rsidRPr="00421CAF">
          <w:rPr>
            <w:sz w:val="20"/>
            <w:lang w:val="en-US"/>
          </w:rPr>
          <w:t>Newcombe</w:t>
        </w:r>
        <w:proofErr w:type="spellEnd"/>
        <w:r w:rsidRPr="00421CAF">
          <w:rPr>
            <w:sz w:val="20"/>
            <w:lang w:val="en-US"/>
          </w:rPr>
          <w:t xml:space="preserve"> RG, Archer IM. A clinical and genetic study of Hunter’s syndrome. 2</w:t>
        </w:r>
      </w:hyperlink>
      <w:hyperlink r:id="rId180">
        <w:r w:rsidRPr="00421CAF">
          <w:rPr>
            <w:sz w:val="20"/>
            <w:lang w:val="en-US"/>
          </w:rPr>
          <w:t xml:space="preserve"> Differences between the mild and severe forms. </w:t>
        </w:r>
        <w:r>
          <w:rPr>
            <w:sz w:val="20"/>
          </w:rPr>
          <w:t xml:space="preserve">J </w:t>
        </w:r>
        <w:proofErr w:type="spellStart"/>
        <w:r>
          <w:rPr>
            <w:sz w:val="20"/>
          </w:rPr>
          <w:t>Med</w:t>
        </w:r>
        <w:proofErr w:type="spellEnd"/>
        <w:r>
          <w:rPr>
            <w:sz w:val="20"/>
          </w:rPr>
          <w:t xml:space="preserve"> </w:t>
        </w:r>
        <w:proofErr w:type="spellStart"/>
        <w:r>
          <w:rPr>
            <w:sz w:val="20"/>
          </w:rPr>
          <w:t>Genet</w:t>
        </w:r>
        <w:proofErr w:type="spellEnd"/>
        <w:r>
          <w:rPr>
            <w:sz w:val="20"/>
          </w:rPr>
          <w:t xml:space="preserve">. </w:t>
        </w:r>
        <w:proofErr w:type="gramStart"/>
        <w:r>
          <w:rPr>
            <w:sz w:val="20"/>
          </w:rPr>
          <w:t>1982;</w:t>
        </w:r>
        <w:proofErr w:type="gramEnd"/>
        <w:r>
          <w:rPr>
            <w:sz w:val="20"/>
          </w:rPr>
          <w:t>19:</w:t>
        </w:r>
        <w:r>
          <w:rPr>
            <w:spacing w:val="3"/>
            <w:sz w:val="20"/>
          </w:rPr>
          <w:t xml:space="preserve"> </w:t>
        </w:r>
        <w:r>
          <w:rPr>
            <w:sz w:val="20"/>
          </w:rPr>
          <w:t>408–411.</w:t>
        </w:r>
      </w:hyperlink>
    </w:p>
    <w:p w:rsidR="00A74668" w:rsidRDefault="00421CAF">
      <w:pPr>
        <w:pStyle w:val="PargrafodaLista"/>
        <w:numPr>
          <w:ilvl w:val="0"/>
          <w:numId w:val="6"/>
        </w:numPr>
        <w:tabs>
          <w:tab w:val="left" w:pos="942"/>
        </w:tabs>
        <w:ind w:right="589" w:firstLine="0"/>
        <w:jc w:val="both"/>
        <w:rPr>
          <w:sz w:val="20"/>
        </w:rPr>
      </w:pPr>
      <w:hyperlink r:id="rId181">
        <w:r w:rsidRPr="00421CAF">
          <w:rPr>
            <w:sz w:val="20"/>
            <w:lang w:val="en-US"/>
          </w:rPr>
          <w:t xml:space="preserve">Wraith JE, Beck M, </w:t>
        </w:r>
        <w:proofErr w:type="spellStart"/>
        <w:r w:rsidRPr="00421CAF">
          <w:rPr>
            <w:sz w:val="20"/>
            <w:lang w:val="en-US"/>
          </w:rPr>
          <w:t>Giugliani</w:t>
        </w:r>
        <w:proofErr w:type="spellEnd"/>
        <w:r w:rsidRPr="00421CAF">
          <w:rPr>
            <w:sz w:val="20"/>
            <w:lang w:val="en-US"/>
          </w:rPr>
          <w:t xml:space="preserve"> R, Clarke J, Martin R, </w:t>
        </w:r>
        <w:proofErr w:type="spellStart"/>
        <w:r w:rsidRPr="00421CAF">
          <w:rPr>
            <w:sz w:val="20"/>
            <w:lang w:val="en-US"/>
          </w:rPr>
          <w:t>Muenzer</w:t>
        </w:r>
        <w:proofErr w:type="spellEnd"/>
        <w:r w:rsidRPr="00421CAF">
          <w:rPr>
            <w:sz w:val="20"/>
            <w:lang w:val="en-US"/>
          </w:rPr>
          <w:t xml:space="preserve"> J, et al. Initial report from the Hunter</w:t>
        </w:r>
      </w:hyperlink>
      <w:hyperlink r:id="rId182">
        <w:r w:rsidRPr="00421CAF">
          <w:rPr>
            <w:sz w:val="20"/>
            <w:lang w:val="en-US"/>
          </w:rPr>
          <w:t xml:space="preserve"> Outcome Survey. </w:t>
        </w:r>
        <w:proofErr w:type="spellStart"/>
        <w:r>
          <w:rPr>
            <w:sz w:val="20"/>
          </w:rPr>
          <w:t>Genet</w:t>
        </w:r>
        <w:proofErr w:type="spellEnd"/>
        <w:r>
          <w:rPr>
            <w:sz w:val="20"/>
          </w:rPr>
          <w:t xml:space="preserve"> Med. </w:t>
        </w:r>
        <w:proofErr w:type="gramStart"/>
        <w:r>
          <w:rPr>
            <w:sz w:val="20"/>
          </w:rPr>
          <w:t>2008;</w:t>
        </w:r>
        <w:proofErr w:type="gramEnd"/>
        <w:r>
          <w:rPr>
            <w:sz w:val="20"/>
          </w:rPr>
          <w:t>10:</w:t>
        </w:r>
        <w:r>
          <w:rPr>
            <w:spacing w:val="1"/>
            <w:sz w:val="20"/>
          </w:rPr>
          <w:t xml:space="preserve"> </w:t>
        </w:r>
        <w:r>
          <w:rPr>
            <w:sz w:val="20"/>
          </w:rPr>
          <w:t>508–516.</w:t>
        </w:r>
      </w:hyperlink>
    </w:p>
    <w:p w:rsidR="00A74668" w:rsidRDefault="00421CAF">
      <w:pPr>
        <w:pStyle w:val="PargrafodaLista"/>
        <w:numPr>
          <w:ilvl w:val="0"/>
          <w:numId w:val="6"/>
        </w:numPr>
        <w:tabs>
          <w:tab w:val="left" w:pos="942"/>
        </w:tabs>
        <w:ind w:right="587" w:firstLine="0"/>
        <w:jc w:val="both"/>
        <w:rPr>
          <w:sz w:val="20"/>
        </w:rPr>
      </w:pPr>
      <w:hyperlink r:id="rId183">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Federhen</w:t>
        </w:r>
        <w:proofErr w:type="spellEnd"/>
        <w:r w:rsidRPr="00421CAF">
          <w:rPr>
            <w:sz w:val="20"/>
            <w:lang w:val="en-US"/>
          </w:rPr>
          <w:t xml:space="preserve"> A, Michelin-</w:t>
        </w:r>
        <w:proofErr w:type="spellStart"/>
        <w:r w:rsidRPr="00421CAF">
          <w:rPr>
            <w:sz w:val="20"/>
            <w:lang w:val="en-US"/>
          </w:rPr>
          <w:t>Tirelli</w:t>
        </w:r>
        <w:proofErr w:type="spellEnd"/>
        <w:r w:rsidRPr="00421CAF">
          <w:rPr>
            <w:sz w:val="20"/>
            <w:lang w:val="en-US"/>
          </w:rPr>
          <w:t xml:space="preserve"> K, </w:t>
        </w:r>
        <w:proofErr w:type="spellStart"/>
        <w:r w:rsidRPr="00421CAF">
          <w:rPr>
            <w:sz w:val="20"/>
            <w:lang w:val="en-US"/>
          </w:rPr>
          <w:t>Riegel</w:t>
        </w:r>
        <w:proofErr w:type="spellEnd"/>
        <w:r w:rsidRPr="00421CAF">
          <w:rPr>
            <w:sz w:val="20"/>
            <w:lang w:val="en-US"/>
          </w:rPr>
          <w:t xml:space="preserve"> M, Burin M. Relative frequency and estimated</w:t>
        </w:r>
      </w:hyperlink>
      <w:hyperlink r:id="rId184">
        <w:r w:rsidRPr="00421CAF">
          <w:rPr>
            <w:sz w:val="20"/>
            <w:lang w:val="en-US"/>
          </w:rPr>
          <w:t xml:space="preserve"> minimal frequency of </w:t>
        </w:r>
        <w:proofErr w:type="spellStart"/>
        <w:r w:rsidRPr="00421CAF">
          <w:rPr>
            <w:sz w:val="20"/>
            <w:lang w:val="en-US"/>
          </w:rPr>
          <w:t>Lysosomal</w:t>
        </w:r>
        <w:proofErr w:type="spellEnd"/>
        <w:r w:rsidRPr="00421CAF">
          <w:rPr>
            <w:sz w:val="20"/>
            <w:lang w:val="en-US"/>
          </w:rPr>
          <w:t xml:space="preserve"> Storage Diseases in Brazil: Report from a Reference Laboratory. </w:t>
        </w:r>
        <w:proofErr w:type="spellStart"/>
        <w:r>
          <w:rPr>
            <w:sz w:val="20"/>
          </w:rPr>
          <w:t>Genet</w:t>
        </w:r>
        <w:proofErr w:type="spellEnd"/>
        <w:r>
          <w:rPr>
            <w:sz w:val="20"/>
          </w:rPr>
          <w:t xml:space="preserve"> Mol</w:t>
        </w:r>
      </w:hyperlink>
      <w:hyperlink r:id="rId185">
        <w:r>
          <w:rPr>
            <w:sz w:val="20"/>
          </w:rPr>
          <w:t xml:space="preserve"> Biol. </w:t>
        </w:r>
        <w:proofErr w:type="gramStart"/>
        <w:r>
          <w:rPr>
            <w:sz w:val="20"/>
          </w:rPr>
          <w:t>2017;</w:t>
        </w:r>
        <w:proofErr w:type="gramEnd"/>
        <w:r>
          <w:rPr>
            <w:sz w:val="20"/>
          </w:rPr>
          <w:t>40:</w:t>
        </w:r>
        <w:r>
          <w:rPr>
            <w:spacing w:val="-1"/>
            <w:sz w:val="20"/>
          </w:rPr>
          <w:t xml:space="preserve"> </w:t>
        </w:r>
        <w:r>
          <w:rPr>
            <w:sz w:val="20"/>
          </w:rPr>
          <w:t>31–39.</w:t>
        </w:r>
      </w:hyperlink>
    </w:p>
    <w:p w:rsidR="00A74668" w:rsidRDefault="00421CAF">
      <w:pPr>
        <w:pStyle w:val="PargrafodaLista"/>
        <w:numPr>
          <w:ilvl w:val="0"/>
          <w:numId w:val="6"/>
        </w:numPr>
        <w:tabs>
          <w:tab w:val="left" w:pos="942"/>
        </w:tabs>
        <w:ind w:right="583" w:firstLine="0"/>
        <w:jc w:val="both"/>
        <w:rPr>
          <w:sz w:val="20"/>
        </w:rPr>
      </w:pPr>
      <w:hyperlink r:id="rId186">
        <w:r>
          <w:rPr>
            <w:sz w:val="20"/>
          </w:rPr>
          <w:t xml:space="preserve">Scarpa M, </w:t>
        </w:r>
        <w:proofErr w:type="spellStart"/>
        <w:r>
          <w:rPr>
            <w:sz w:val="20"/>
          </w:rPr>
          <w:t>Almássy</w:t>
        </w:r>
        <w:proofErr w:type="spellEnd"/>
        <w:r>
          <w:rPr>
            <w:sz w:val="20"/>
          </w:rPr>
          <w:t xml:space="preserve"> Z, Beck M, </w:t>
        </w:r>
        <w:proofErr w:type="spellStart"/>
        <w:r>
          <w:rPr>
            <w:sz w:val="20"/>
          </w:rPr>
          <w:t>Bodamer</w:t>
        </w:r>
        <w:proofErr w:type="spellEnd"/>
        <w:r>
          <w:rPr>
            <w:sz w:val="20"/>
          </w:rPr>
          <w:t xml:space="preserve"> O, Bruce IA, De </w:t>
        </w:r>
        <w:proofErr w:type="spellStart"/>
        <w:r>
          <w:rPr>
            <w:sz w:val="20"/>
          </w:rPr>
          <w:t>Meirleir</w:t>
        </w:r>
        <w:proofErr w:type="spellEnd"/>
        <w:r>
          <w:rPr>
            <w:sz w:val="20"/>
          </w:rPr>
          <w:t xml:space="preserve"> L, </w:t>
        </w:r>
        <w:proofErr w:type="gramStart"/>
        <w:r>
          <w:rPr>
            <w:sz w:val="20"/>
          </w:rPr>
          <w:t>et</w:t>
        </w:r>
        <w:proofErr w:type="gramEnd"/>
        <w:r>
          <w:rPr>
            <w:sz w:val="20"/>
          </w:rPr>
          <w:t xml:space="preserve"> al. </w:t>
        </w:r>
        <w:proofErr w:type="spellStart"/>
        <w:r w:rsidRPr="00421CAF">
          <w:rPr>
            <w:sz w:val="20"/>
            <w:lang w:val="en-US"/>
          </w:rPr>
          <w:t>Mucopolysaccharidosis</w:t>
        </w:r>
        <w:proofErr w:type="spellEnd"/>
        <w:r w:rsidRPr="00421CAF">
          <w:rPr>
            <w:sz w:val="20"/>
            <w:lang w:val="en-US"/>
          </w:rPr>
          <w:t xml:space="preserve"> type</w:t>
        </w:r>
      </w:hyperlink>
      <w:hyperlink r:id="rId187">
        <w:r w:rsidRPr="00421CAF">
          <w:rPr>
            <w:sz w:val="20"/>
            <w:lang w:val="en-US"/>
          </w:rPr>
          <w:t xml:space="preserve"> II: European recommendations for the diagnosis and multidisciplinary management of a rare d</w:t>
        </w:r>
        <w:r w:rsidRPr="00421CAF">
          <w:rPr>
            <w:sz w:val="20"/>
            <w:lang w:val="en-US"/>
          </w:rPr>
          <w:t xml:space="preserve">isease. </w:t>
        </w:r>
        <w:proofErr w:type="spellStart"/>
        <w:r>
          <w:rPr>
            <w:sz w:val="20"/>
          </w:rPr>
          <w:t>Orphanet</w:t>
        </w:r>
        <w:proofErr w:type="spellEnd"/>
        <w:r>
          <w:rPr>
            <w:sz w:val="20"/>
          </w:rPr>
          <w:t xml:space="preserve"> J</w:t>
        </w:r>
      </w:hyperlink>
      <w:hyperlink r:id="rId188">
        <w:r>
          <w:rPr>
            <w:sz w:val="20"/>
          </w:rPr>
          <w:t xml:space="preserve"> </w:t>
        </w:r>
        <w:proofErr w:type="spellStart"/>
        <w:r>
          <w:rPr>
            <w:sz w:val="20"/>
          </w:rPr>
          <w:t>Rare</w:t>
        </w:r>
        <w:proofErr w:type="spellEnd"/>
        <w:r>
          <w:rPr>
            <w:sz w:val="20"/>
          </w:rPr>
          <w:t xml:space="preserve"> </w:t>
        </w:r>
        <w:proofErr w:type="spellStart"/>
        <w:r>
          <w:rPr>
            <w:sz w:val="20"/>
          </w:rPr>
          <w:t>Dis</w:t>
        </w:r>
        <w:proofErr w:type="spellEnd"/>
        <w:r>
          <w:rPr>
            <w:sz w:val="20"/>
          </w:rPr>
          <w:t xml:space="preserve">. </w:t>
        </w:r>
        <w:proofErr w:type="gramStart"/>
        <w:r>
          <w:rPr>
            <w:sz w:val="20"/>
          </w:rPr>
          <w:t>2011;</w:t>
        </w:r>
        <w:proofErr w:type="gramEnd"/>
        <w:r>
          <w:rPr>
            <w:sz w:val="20"/>
          </w:rPr>
          <w:t>6:</w:t>
        </w:r>
        <w:r>
          <w:rPr>
            <w:spacing w:val="-2"/>
            <w:sz w:val="20"/>
          </w:rPr>
          <w:t xml:space="preserve"> </w:t>
        </w:r>
        <w:r>
          <w:rPr>
            <w:sz w:val="20"/>
          </w:rPr>
          <w:t>72.</w:t>
        </w:r>
      </w:hyperlink>
    </w:p>
    <w:p w:rsidR="00A74668" w:rsidRDefault="00421CAF">
      <w:pPr>
        <w:pStyle w:val="PargrafodaLista"/>
        <w:numPr>
          <w:ilvl w:val="0"/>
          <w:numId w:val="6"/>
        </w:numPr>
        <w:tabs>
          <w:tab w:val="left" w:pos="942"/>
        </w:tabs>
        <w:ind w:right="589" w:firstLine="0"/>
        <w:jc w:val="both"/>
        <w:rPr>
          <w:sz w:val="20"/>
        </w:rPr>
      </w:pPr>
      <w:hyperlink r:id="rId189">
        <w:proofErr w:type="spellStart"/>
        <w:r w:rsidRPr="00421CAF">
          <w:rPr>
            <w:sz w:val="20"/>
            <w:lang w:val="en-US"/>
          </w:rPr>
          <w:t>Cobos</w:t>
        </w:r>
        <w:proofErr w:type="spellEnd"/>
        <w:r w:rsidRPr="00421CAF">
          <w:rPr>
            <w:sz w:val="20"/>
            <w:lang w:val="en-US"/>
          </w:rPr>
          <w:t xml:space="preserve"> PN, </w:t>
        </w:r>
        <w:proofErr w:type="spellStart"/>
        <w:r w:rsidRPr="00421CAF">
          <w:rPr>
            <w:sz w:val="20"/>
            <w:lang w:val="en-US"/>
          </w:rPr>
          <w:t>Steglich</w:t>
        </w:r>
        <w:proofErr w:type="spellEnd"/>
        <w:r w:rsidRPr="00421CAF">
          <w:rPr>
            <w:sz w:val="20"/>
            <w:lang w:val="en-US"/>
          </w:rPr>
          <w:t xml:space="preserve"> C, </w:t>
        </w:r>
        <w:proofErr w:type="spellStart"/>
        <w:r w:rsidRPr="00421CAF">
          <w:rPr>
            <w:sz w:val="20"/>
            <w:lang w:val="en-US"/>
          </w:rPr>
          <w:t>Santer</w:t>
        </w:r>
        <w:proofErr w:type="spellEnd"/>
        <w:r w:rsidRPr="00421CAF">
          <w:rPr>
            <w:sz w:val="20"/>
            <w:lang w:val="en-US"/>
          </w:rPr>
          <w:t xml:space="preserve"> R, </w:t>
        </w:r>
        <w:proofErr w:type="spellStart"/>
        <w:r w:rsidRPr="00421CAF">
          <w:rPr>
            <w:sz w:val="20"/>
            <w:lang w:val="en-US"/>
          </w:rPr>
          <w:t>Lukacs</w:t>
        </w:r>
        <w:proofErr w:type="spellEnd"/>
        <w:r w:rsidRPr="00421CAF">
          <w:rPr>
            <w:sz w:val="20"/>
            <w:lang w:val="en-US"/>
          </w:rPr>
          <w:t xml:space="preserve"> Z, Gal A. Dried blood spots allow targeted screening to diagnose</w:t>
        </w:r>
      </w:hyperlink>
      <w:hyperlink r:id="rId190">
        <w:r w:rsidRPr="00421CAF">
          <w:rPr>
            <w:sz w:val="20"/>
            <w:lang w:val="en-US"/>
          </w:rPr>
          <w:t xml:space="preserve"> </w:t>
        </w:r>
        <w:proofErr w:type="spellStart"/>
        <w:r w:rsidRPr="00421CAF">
          <w:rPr>
            <w:sz w:val="20"/>
            <w:lang w:val="en-US"/>
          </w:rPr>
          <w:t>mucopolysaccharidosis</w:t>
        </w:r>
        <w:proofErr w:type="spellEnd"/>
        <w:r w:rsidRPr="00421CAF">
          <w:rPr>
            <w:sz w:val="20"/>
            <w:lang w:val="en-US"/>
          </w:rPr>
          <w:t xml:space="preserve"> and </w:t>
        </w:r>
        <w:proofErr w:type="spellStart"/>
        <w:r w:rsidRPr="00421CAF">
          <w:rPr>
            <w:sz w:val="20"/>
            <w:lang w:val="en-US"/>
          </w:rPr>
          <w:t>mucolipidosis</w:t>
        </w:r>
        <w:proofErr w:type="spellEnd"/>
        <w:r w:rsidRPr="00421CAF">
          <w:rPr>
            <w:sz w:val="20"/>
            <w:lang w:val="en-US"/>
          </w:rPr>
          <w:t xml:space="preserve">. </w:t>
        </w:r>
        <w:r>
          <w:rPr>
            <w:sz w:val="20"/>
          </w:rPr>
          <w:t xml:space="preserve">JIMD Rep. </w:t>
        </w:r>
        <w:proofErr w:type="gramStart"/>
        <w:r>
          <w:rPr>
            <w:sz w:val="20"/>
          </w:rPr>
          <w:t>2015;</w:t>
        </w:r>
        <w:proofErr w:type="gramEnd"/>
        <w:r>
          <w:rPr>
            <w:sz w:val="20"/>
          </w:rPr>
          <w:t>15:</w:t>
        </w:r>
        <w:r>
          <w:rPr>
            <w:spacing w:val="-1"/>
            <w:sz w:val="20"/>
          </w:rPr>
          <w:t xml:space="preserve"> </w:t>
        </w:r>
        <w:r>
          <w:rPr>
            <w:sz w:val="20"/>
          </w:rPr>
          <w:t>123–132.</w:t>
        </w:r>
      </w:hyperlink>
    </w:p>
    <w:p w:rsidR="00A74668" w:rsidRDefault="00421CAF">
      <w:pPr>
        <w:pStyle w:val="PargrafodaLista"/>
        <w:numPr>
          <w:ilvl w:val="0"/>
          <w:numId w:val="6"/>
        </w:numPr>
        <w:tabs>
          <w:tab w:val="left" w:pos="942"/>
        </w:tabs>
        <w:ind w:firstLine="0"/>
        <w:jc w:val="both"/>
        <w:rPr>
          <w:sz w:val="20"/>
        </w:rPr>
      </w:pPr>
      <w:hyperlink r:id="rId191">
        <w:r>
          <w:rPr>
            <w:sz w:val="20"/>
          </w:rPr>
          <w:t>Rezende</w:t>
        </w:r>
        <w:r>
          <w:rPr>
            <w:spacing w:val="5"/>
            <w:sz w:val="20"/>
          </w:rPr>
          <w:t xml:space="preserve"> </w:t>
        </w:r>
        <w:r>
          <w:rPr>
            <w:sz w:val="20"/>
          </w:rPr>
          <w:t>MM,</w:t>
        </w:r>
        <w:r>
          <w:rPr>
            <w:spacing w:val="6"/>
            <w:sz w:val="20"/>
          </w:rPr>
          <w:t xml:space="preserve"> </w:t>
        </w:r>
        <w:r>
          <w:rPr>
            <w:sz w:val="20"/>
          </w:rPr>
          <w:t>Müller</w:t>
        </w:r>
        <w:r>
          <w:rPr>
            <w:spacing w:val="6"/>
            <w:sz w:val="20"/>
          </w:rPr>
          <w:t xml:space="preserve"> </w:t>
        </w:r>
        <w:r>
          <w:rPr>
            <w:sz w:val="20"/>
          </w:rPr>
          <w:t>KB,</w:t>
        </w:r>
        <w:r>
          <w:rPr>
            <w:spacing w:val="6"/>
            <w:sz w:val="20"/>
          </w:rPr>
          <w:t xml:space="preserve"> </w:t>
        </w:r>
        <w:r>
          <w:rPr>
            <w:sz w:val="20"/>
          </w:rPr>
          <w:t>Pereira</w:t>
        </w:r>
        <w:r>
          <w:rPr>
            <w:spacing w:val="5"/>
            <w:sz w:val="20"/>
          </w:rPr>
          <w:t xml:space="preserve"> </w:t>
        </w:r>
        <w:r>
          <w:rPr>
            <w:sz w:val="20"/>
          </w:rPr>
          <w:t>VG,</w:t>
        </w:r>
        <w:r>
          <w:rPr>
            <w:spacing w:val="7"/>
            <w:sz w:val="20"/>
          </w:rPr>
          <w:t xml:space="preserve"> </w:t>
        </w:r>
        <w:r>
          <w:rPr>
            <w:sz w:val="20"/>
          </w:rPr>
          <w:t>D’Almeida</w:t>
        </w:r>
        <w:r>
          <w:rPr>
            <w:spacing w:val="5"/>
            <w:sz w:val="20"/>
          </w:rPr>
          <w:t xml:space="preserve"> </w:t>
        </w:r>
        <w:r>
          <w:rPr>
            <w:sz w:val="20"/>
          </w:rPr>
          <w:t>V.</w:t>
        </w:r>
        <w:r>
          <w:rPr>
            <w:spacing w:val="6"/>
            <w:sz w:val="20"/>
          </w:rPr>
          <w:t xml:space="preserve"> </w:t>
        </w:r>
        <w:proofErr w:type="spellStart"/>
        <w:r>
          <w:rPr>
            <w:sz w:val="20"/>
          </w:rPr>
          <w:t>Brazilian</w:t>
        </w:r>
        <w:proofErr w:type="spellEnd"/>
        <w:r>
          <w:rPr>
            <w:spacing w:val="5"/>
            <w:sz w:val="20"/>
          </w:rPr>
          <w:t xml:space="preserve"> </w:t>
        </w:r>
        <w:proofErr w:type="spellStart"/>
        <w:r>
          <w:rPr>
            <w:sz w:val="20"/>
          </w:rPr>
          <w:t>reference</w:t>
        </w:r>
        <w:proofErr w:type="spellEnd"/>
        <w:r>
          <w:rPr>
            <w:spacing w:val="8"/>
            <w:sz w:val="20"/>
          </w:rPr>
          <w:t xml:space="preserve"> </w:t>
        </w:r>
        <w:proofErr w:type="spellStart"/>
        <w:r>
          <w:rPr>
            <w:sz w:val="20"/>
          </w:rPr>
          <w:t>values</w:t>
        </w:r>
        <w:proofErr w:type="spellEnd"/>
        <w:r>
          <w:rPr>
            <w:spacing w:val="7"/>
            <w:sz w:val="20"/>
          </w:rPr>
          <w:t xml:space="preserve"> </w:t>
        </w:r>
        <w:r>
          <w:rPr>
            <w:sz w:val="20"/>
          </w:rPr>
          <w:t>for</w:t>
        </w:r>
        <w:r>
          <w:rPr>
            <w:spacing w:val="6"/>
            <w:sz w:val="20"/>
          </w:rPr>
          <w:t xml:space="preserve"> </w:t>
        </w:r>
        <w:r>
          <w:rPr>
            <w:sz w:val="20"/>
          </w:rPr>
          <w:t>MPS</w:t>
        </w:r>
        <w:r>
          <w:rPr>
            <w:spacing w:val="5"/>
            <w:sz w:val="20"/>
          </w:rPr>
          <w:t xml:space="preserve"> </w:t>
        </w:r>
        <w:r>
          <w:rPr>
            <w:sz w:val="20"/>
          </w:rPr>
          <w:t>II</w:t>
        </w:r>
        <w:r>
          <w:rPr>
            <w:spacing w:val="5"/>
            <w:sz w:val="20"/>
          </w:rPr>
          <w:t xml:space="preserve"> </w:t>
        </w:r>
        <w:proofErr w:type="spellStart"/>
        <w:r>
          <w:rPr>
            <w:sz w:val="20"/>
          </w:rPr>
          <w:t>screening</w:t>
        </w:r>
        <w:proofErr w:type="spellEnd"/>
        <w:r>
          <w:rPr>
            <w:spacing w:val="5"/>
            <w:sz w:val="20"/>
          </w:rPr>
          <w:t xml:space="preserve"> </w:t>
        </w:r>
        <w:r>
          <w:rPr>
            <w:sz w:val="20"/>
          </w:rPr>
          <w:t>in</w:t>
        </w:r>
        <w:proofErr w:type="gramStart"/>
      </w:hyperlink>
      <w:proofErr w:type="gramEnd"/>
    </w:p>
    <w:p w:rsidR="00A74668" w:rsidRDefault="00A74668">
      <w:pPr>
        <w:jc w:val="both"/>
        <w:rPr>
          <w:sz w:val="20"/>
        </w:rPr>
        <w:sectPr w:rsidR="00A74668">
          <w:pgSz w:w="11910" w:h="16840"/>
          <w:pgMar w:top="1040" w:right="980" w:bottom="440" w:left="900" w:header="0" w:footer="254" w:gutter="0"/>
          <w:cols w:space="720"/>
        </w:sectPr>
      </w:pPr>
    </w:p>
    <w:p w:rsidR="00A74668" w:rsidRDefault="00421CAF">
      <w:pPr>
        <w:pStyle w:val="Corpodetexto"/>
        <w:spacing w:before="72"/>
      </w:pPr>
      <w:hyperlink r:id="rId192">
        <w:proofErr w:type="gramStart"/>
        <w:r w:rsidRPr="00421CAF">
          <w:rPr>
            <w:lang w:val="en-US"/>
          </w:rPr>
          <w:t>dried</w:t>
        </w:r>
        <w:proofErr w:type="gramEnd"/>
        <w:r w:rsidRPr="00421CAF">
          <w:rPr>
            <w:lang w:val="en-US"/>
          </w:rPr>
          <w:t xml:space="preserve"> blood spots--a </w:t>
        </w:r>
        <w:proofErr w:type="spellStart"/>
        <w:r w:rsidRPr="00421CAF">
          <w:rPr>
            <w:lang w:val="en-US"/>
          </w:rPr>
          <w:t>fluorimetric</w:t>
        </w:r>
        <w:proofErr w:type="spellEnd"/>
        <w:r w:rsidRPr="00421CAF">
          <w:rPr>
            <w:lang w:val="en-US"/>
          </w:rPr>
          <w:t xml:space="preserve"> assay. </w:t>
        </w:r>
        <w:proofErr w:type="spellStart"/>
        <w:proofErr w:type="gramStart"/>
        <w:r>
          <w:t>ClinBiochem</w:t>
        </w:r>
        <w:proofErr w:type="spellEnd"/>
        <w:proofErr w:type="gramEnd"/>
        <w:r>
          <w:t xml:space="preserve">. </w:t>
        </w:r>
        <w:proofErr w:type="gramStart"/>
        <w:r>
          <w:t>2014;</w:t>
        </w:r>
        <w:proofErr w:type="gramEnd"/>
        <w:r>
          <w:t>47: 1297–1299.</w:t>
        </w:r>
      </w:hyperlink>
    </w:p>
    <w:p w:rsidR="00A74668" w:rsidRDefault="00421CAF">
      <w:pPr>
        <w:pStyle w:val="PargrafodaLista"/>
        <w:numPr>
          <w:ilvl w:val="0"/>
          <w:numId w:val="6"/>
        </w:numPr>
        <w:tabs>
          <w:tab w:val="left" w:pos="942"/>
        </w:tabs>
        <w:spacing w:before="1"/>
        <w:ind w:right="587" w:firstLine="0"/>
        <w:jc w:val="both"/>
        <w:rPr>
          <w:sz w:val="20"/>
        </w:rPr>
      </w:pPr>
      <w:hyperlink r:id="rId193">
        <w:proofErr w:type="spellStart"/>
        <w:r w:rsidRPr="00421CAF">
          <w:rPr>
            <w:sz w:val="20"/>
            <w:lang w:val="en-US"/>
          </w:rPr>
          <w:t>Rezende</w:t>
        </w:r>
        <w:proofErr w:type="spellEnd"/>
        <w:r w:rsidRPr="00421CAF">
          <w:rPr>
            <w:sz w:val="20"/>
            <w:lang w:val="en-US"/>
          </w:rPr>
          <w:t xml:space="preserve"> MM, Müller KB, Pereira VG</w:t>
        </w:r>
        <w:r w:rsidRPr="00421CAF">
          <w:rPr>
            <w:sz w:val="20"/>
            <w:lang w:val="en-US"/>
          </w:rPr>
          <w:t xml:space="preserve">, </w:t>
        </w:r>
        <w:proofErr w:type="spellStart"/>
        <w:r w:rsidRPr="00421CAF">
          <w:rPr>
            <w:sz w:val="20"/>
            <w:lang w:val="en-US"/>
          </w:rPr>
          <w:t>D’Almeida</w:t>
        </w:r>
        <w:proofErr w:type="spellEnd"/>
        <w:r w:rsidRPr="00421CAF">
          <w:rPr>
            <w:sz w:val="20"/>
            <w:lang w:val="en-US"/>
          </w:rPr>
          <w:t xml:space="preserve"> V. Brazilian reference values for MPS II screening in</w:t>
        </w:r>
      </w:hyperlink>
      <w:hyperlink r:id="rId194">
        <w:r w:rsidRPr="00421CAF">
          <w:rPr>
            <w:sz w:val="20"/>
            <w:lang w:val="en-US"/>
          </w:rPr>
          <w:t xml:space="preserve"> dried blood spots--a </w:t>
        </w:r>
        <w:proofErr w:type="spellStart"/>
        <w:r w:rsidRPr="00421CAF">
          <w:rPr>
            <w:sz w:val="20"/>
            <w:lang w:val="en-US"/>
          </w:rPr>
          <w:t>fluorimetric</w:t>
        </w:r>
        <w:proofErr w:type="spellEnd"/>
        <w:r w:rsidRPr="00421CAF">
          <w:rPr>
            <w:sz w:val="20"/>
            <w:lang w:val="en-US"/>
          </w:rPr>
          <w:t xml:space="preserve"> assay. </w:t>
        </w:r>
        <w:proofErr w:type="spellStart"/>
        <w:proofErr w:type="gramStart"/>
        <w:r>
          <w:rPr>
            <w:sz w:val="20"/>
          </w:rPr>
          <w:t>ClinBiochem</w:t>
        </w:r>
        <w:proofErr w:type="spellEnd"/>
        <w:proofErr w:type="gramEnd"/>
        <w:r>
          <w:rPr>
            <w:sz w:val="20"/>
          </w:rPr>
          <w:t xml:space="preserve">. </w:t>
        </w:r>
        <w:proofErr w:type="gramStart"/>
        <w:r>
          <w:rPr>
            <w:sz w:val="20"/>
          </w:rPr>
          <w:t>2014;</w:t>
        </w:r>
        <w:proofErr w:type="gramEnd"/>
        <w:r>
          <w:rPr>
            <w:sz w:val="20"/>
          </w:rPr>
          <w:t>47:</w:t>
        </w:r>
        <w:r>
          <w:rPr>
            <w:spacing w:val="1"/>
            <w:sz w:val="20"/>
          </w:rPr>
          <w:t xml:space="preserve"> </w:t>
        </w:r>
        <w:r>
          <w:rPr>
            <w:sz w:val="20"/>
          </w:rPr>
          <w:t>1297–1299.</w:t>
        </w:r>
      </w:hyperlink>
    </w:p>
    <w:p w:rsidR="00A74668" w:rsidRDefault="00421CAF">
      <w:pPr>
        <w:pStyle w:val="PargrafodaLista"/>
        <w:numPr>
          <w:ilvl w:val="0"/>
          <w:numId w:val="6"/>
        </w:numPr>
        <w:tabs>
          <w:tab w:val="left" w:pos="942"/>
        </w:tabs>
        <w:spacing w:before="1"/>
        <w:ind w:right="587" w:firstLine="0"/>
        <w:jc w:val="both"/>
        <w:rPr>
          <w:sz w:val="20"/>
        </w:rPr>
      </w:pPr>
      <w:hyperlink r:id="rId195">
        <w:proofErr w:type="gramStart"/>
        <w:r w:rsidRPr="00421CAF">
          <w:rPr>
            <w:sz w:val="20"/>
            <w:lang w:val="en-US"/>
          </w:rPr>
          <w:t>de</w:t>
        </w:r>
        <w:proofErr w:type="gramEnd"/>
        <w:r w:rsidRPr="00421CAF">
          <w:rPr>
            <w:sz w:val="20"/>
            <w:lang w:val="en-US"/>
          </w:rPr>
          <w:t xml:space="preserve"> Jon</w:t>
        </w:r>
        <w:r w:rsidRPr="00421CAF">
          <w:rPr>
            <w:sz w:val="20"/>
            <w:lang w:val="en-US"/>
          </w:rPr>
          <w:t xml:space="preserve">g JG, </w:t>
        </w:r>
        <w:proofErr w:type="spellStart"/>
        <w:r w:rsidRPr="00421CAF">
          <w:rPr>
            <w:sz w:val="20"/>
            <w:lang w:val="en-US"/>
          </w:rPr>
          <w:t>Hasselman</w:t>
        </w:r>
        <w:proofErr w:type="spellEnd"/>
        <w:r w:rsidRPr="00421CAF">
          <w:rPr>
            <w:sz w:val="20"/>
            <w:lang w:val="en-US"/>
          </w:rPr>
          <w:t xml:space="preserve"> JJ, van </w:t>
        </w:r>
        <w:proofErr w:type="spellStart"/>
        <w:r w:rsidRPr="00421CAF">
          <w:rPr>
            <w:sz w:val="20"/>
            <w:lang w:val="en-US"/>
          </w:rPr>
          <w:t>Landeghem</w:t>
        </w:r>
        <w:proofErr w:type="spellEnd"/>
        <w:r w:rsidRPr="00421CAF">
          <w:rPr>
            <w:sz w:val="20"/>
            <w:lang w:val="en-US"/>
          </w:rPr>
          <w:t xml:space="preserve"> AA, Vader HL, </w:t>
        </w:r>
        <w:proofErr w:type="spellStart"/>
        <w:r w:rsidRPr="00421CAF">
          <w:rPr>
            <w:sz w:val="20"/>
            <w:lang w:val="en-US"/>
          </w:rPr>
          <w:t>Wevers</w:t>
        </w:r>
        <w:proofErr w:type="spellEnd"/>
        <w:r w:rsidRPr="00421CAF">
          <w:rPr>
            <w:sz w:val="20"/>
            <w:lang w:val="en-US"/>
          </w:rPr>
          <w:t xml:space="preserve"> RA. The spot test is not a reliable</w:t>
        </w:r>
      </w:hyperlink>
      <w:hyperlink r:id="rId196">
        <w:r w:rsidRPr="00421CAF">
          <w:rPr>
            <w:sz w:val="20"/>
            <w:lang w:val="en-US"/>
          </w:rPr>
          <w:t xml:space="preserve"> screening procedure for </w:t>
        </w:r>
        <w:proofErr w:type="spellStart"/>
        <w:r w:rsidRPr="00421CAF">
          <w:rPr>
            <w:sz w:val="20"/>
            <w:lang w:val="en-US"/>
          </w:rPr>
          <w:t>mucopolysaccharidoses</w:t>
        </w:r>
        <w:proofErr w:type="spellEnd"/>
        <w:r w:rsidRPr="00421CAF">
          <w:rPr>
            <w:sz w:val="20"/>
            <w:lang w:val="en-US"/>
          </w:rPr>
          <w:t xml:space="preserve">. </w:t>
        </w:r>
        <w:proofErr w:type="spellStart"/>
        <w:r>
          <w:rPr>
            <w:sz w:val="20"/>
          </w:rPr>
          <w:t>Clin</w:t>
        </w:r>
        <w:proofErr w:type="spellEnd"/>
        <w:r>
          <w:rPr>
            <w:sz w:val="20"/>
          </w:rPr>
          <w:t xml:space="preserve"> </w:t>
        </w:r>
        <w:proofErr w:type="spellStart"/>
        <w:r>
          <w:rPr>
            <w:sz w:val="20"/>
          </w:rPr>
          <w:t>Chem</w:t>
        </w:r>
        <w:proofErr w:type="spellEnd"/>
        <w:r>
          <w:rPr>
            <w:sz w:val="20"/>
          </w:rPr>
          <w:t xml:space="preserve">. </w:t>
        </w:r>
        <w:proofErr w:type="gramStart"/>
        <w:r>
          <w:rPr>
            <w:sz w:val="20"/>
          </w:rPr>
          <w:t>1991;</w:t>
        </w:r>
        <w:proofErr w:type="gramEnd"/>
        <w:r>
          <w:rPr>
            <w:sz w:val="20"/>
          </w:rPr>
          <w:t>37:</w:t>
        </w:r>
        <w:r>
          <w:rPr>
            <w:spacing w:val="-1"/>
            <w:sz w:val="20"/>
          </w:rPr>
          <w:t xml:space="preserve"> </w:t>
        </w:r>
        <w:r>
          <w:rPr>
            <w:sz w:val="20"/>
          </w:rPr>
          <w:t>572–575.</w:t>
        </w:r>
      </w:hyperlink>
    </w:p>
    <w:p w:rsidR="00A74668" w:rsidRDefault="00421CAF">
      <w:pPr>
        <w:pStyle w:val="PargrafodaLista"/>
        <w:numPr>
          <w:ilvl w:val="0"/>
          <w:numId w:val="6"/>
        </w:numPr>
        <w:tabs>
          <w:tab w:val="left" w:pos="942"/>
        </w:tabs>
        <w:spacing w:before="1"/>
        <w:ind w:right="580" w:firstLine="0"/>
        <w:jc w:val="both"/>
        <w:rPr>
          <w:sz w:val="20"/>
        </w:rPr>
      </w:pPr>
      <w:hyperlink r:id="rId197">
        <w:proofErr w:type="spellStart"/>
        <w:r w:rsidRPr="00421CAF">
          <w:rPr>
            <w:sz w:val="20"/>
            <w:lang w:val="en-US"/>
          </w:rPr>
          <w:t>Auray-Blais</w:t>
        </w:r>
        <w:proofErr w:type="spellEnd"/>
        <w:r w:rsidRPr="00421CAF">
          <w:rPr>
            <w:sz w:val="20"/>
            <w:lang w:val="en-US"/>
          </w:rPr>
          <w:t xml:space="preserve"> C, Lavoie P, </w:t>
        </w:r>
        <w:proofErr w:type="spellStart"/>
        <w:r w:rsidRPr="00421CAF">
          <w:rPr>
            <w:sz w:val="20"/>
            <w:lang w:val="en-US"/>
          </w:rPr>
          <w:t>Tomatsu</w:t>
        </w:r>
        <w:proofErr w:type="spellEnd"/>
        <w:r w:rsidRPr="00421CAF">
          <w:rPr>
            <w:sz w:val="20"/>
            <w:lang w:val="en-US"/>
          </w:rPr>
          <w:t xml:space="preserve"> S, </w:t>
        </w:r>
        <w:proofErr w:type="spellStart"/>
        <w:r w:rsidRPr="00421CAF">
          <w:rPr>
            <w:sz w:val="20"/>
            <w:lang w:val="en-US"/>
          </w:rPr>
          <w:t>Valayannopoulos</w:t>
        </w:r>
        <w:proofErr w:type="spellEnd"/>
        <w:r w:rsidRPr="00421CAF">
          <w:rPr>
            <w:sz w:val="20"/>
            <w:lang w:val="en-US"/>
          </w:rPr>
          <w:t xml:space="preserve"> V, Mitchell JJ, </w:t>
        </w:r>
        <w:proofErr w:type="spellStart"/>
        <w:r w:rsidRPr="00421CAF">
          <w:rPr>
            <w:sz w:val="20"/>
            <w:lang w:val="en-US"/>
          </w:rPr>
          <w:t>Raiman</w:t>
        </w:r>
        <w:proofErr w:type="spellEnd"/>
        <w:r w:rsidRPr="00421CAF">
          <w:rPr>
            <w:sz w:val="20"/>
            <w:lang w:val="en-US"/>
          </w:rPr>
          <w:t xml:space="preserve"> J, et al. UPLC-MS/MS</w:t>
        </w:r>
      </w:hyperlink>
      <w:hyperlink r:id="rId198">
        <w:r w:rsidRPr="00421CAF">
          <w:rPr>
            <w:sz w:val="20"/>
            <w:lang w:val="en-US"/>
          </w:rPr>
          <w:t xml:space="preserve"> detection of disaccharides derived from </w:t>
        </w:r>
        <w:proofErr w:type="spellStart"/>
        <w:r w:rsidRPr="00421CAF">
          <w:rPr>
            <w:sz w:val="20"/>
            <w:lang w:val="en-US"/>
          </w:rPr>
          <w:t>glycosaminoglycans</w:t>
        </w:r>
        <w:proofErr w:type="spellEnd"/>
        <w:r w:rsidRPr="00421CAF">
          <w:rPr>
            <w:sz w:val="20"/>
            <w:lang w:val="en-US"/>
          </w:rPr>
          <w:t xml:space="preserve"> as biomarkers of </w:t>
        </w:r>
        <w:proofErr w:type="spellStart"/>
        <w:r w:rsidRPr="00421CAF">
          <w:rPr>
            <w:sz w:val="20"/>
            <w:lang w:val="en-US"/>
          </w:rPr>
          <w:t>mucopoly</w:t>
        </w:r>
        <w:r w:rsidRPr="00421CAF">
          <w:rPr>
            <w:sz w:val="20"/>
            <w:lang w:val="en-US"/>
          </w:rPr>
          <w:t>saccharidoses</w:t>
        </w:r>
        <w:proofErr w:type="spellEnd"/>
        <w:r w:rsidRPr="00421CAF">
          <w:rPr>
            <w:sz w:val="20"/>
            <w:lang w:val="en-US"/>
          </w:rPr>
          <w:t xml:space="preserve">. </w:t>
        </w:r>
        <w:r>
          <w:rPr>
            <w:sz w:val="20"/>
          </w:rPr>
          <w:t>Anal</w:t>
        </w:r>
      </w:hyperlink>
      <w:hyperlink r:id="rId199">
        <w:r>
          <w:rPr>
            <w:sz w:val="20"/>
          </w:rPr>
          <w:t xml:space="preserve"> </w:t>
        </w:r>
        <w:proofErr w:type="spellStart"/>
        <w:proofErr w:type="gramStart"/>
        <w:r>
          <w:rPr>
            <w:sz w:val="20"/>
          </w:rPr>
          <w:t>ChimActa</w:t>
        </w:r>
        <w:proofErr w:type="spellEnd"/>
        <w:proofErr w:type="gramEnd"/>
        <w:r>
          <w:rPr>
            <w:sz w:val="20"/>
          </w:rPr>
          <w:t xml:space="preserve">. </w:t>
        </w:r>
        <w:proofErr w:type="gramStart"/>
        <w:r>
          <w:rPr>
            <w:sz w:val="20"/>
          </w:rPr>
          <w:t>2016;</w:t>
        </w:r>
        <w:proofErr w:type="gramEnd"/>
        <w:r>
          <w:rPr>
            <w:sz w:val="20"/>
          </w:rPr>
          <w:t>936:</w:t>
        </w:r>
        <w:r>
          <w:rPr>
            <w:spacing w:val="-2"/>
            <w:sz w:val="20"/>
          </w:rPr>
          <w:t xml:space="preserve"> </w:t>
        </w:r>
        <w:r>
          <w:rPr>
            <w:sz w:val="20"/>
          </w:rPr>
          <w:t>139–148.</w:t>
        </w:r>
      </w:hyperlink>
    </w:p>
    <w:p w:rsidR="00A74668" w:rsidRDefault="00421CAF">
      <w:pPr>
        <w:pStyle w:val="PargrafodaLista"/>
        <w:numPr>
          <w:ilvl w:val="0"/>
          <w:numId w:val="6"/>
        </w:numPr>
        <w:tabs>
          <w:tab w:val="left" w:pos="942"/>
        </w:tabs>
        <w:ind w:right="585" w:firstLine="0"/>
        <w:jc w:val="both"/>
        <w:rPr>
          <w:sz w:val="20"/>
        </w:rPr>
      </w:pPr>
      <w:hyperlink r:id="rId200">
        <w:proofErr w:type="spellStart"/>
        <w:r w:rsidRPr="00421CAF">
          <w:rPr>
            <w:sz w:val="20"/>
            <w:lang w:val="en-US"/>
          </w:rPr>
          <w:t>Muenzer</w:t>
        </w:r>
        <w:proofErr w:type="spellEnd"/>
        <w:r w:rsidRPr="00421CAF">
          <w:rPr>
            <w:sz w:val="20"/>
            <w:lang w:val="en-US"/>
          </w:rPr>
          <w:t xml:space="preserve"> J, Wraith JE, Beck M, </w:t>
        </w:r>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Harmatz</w:t>
        </w:r>
        <w:proofErr w:type="spellEnd"/>
        <w:r w:rsidRPr="00421CAF">
          <w:rPr>
            <w:sz w:val="20"/>
            <w:lang w:val="en-US"/>
          </w:rPr>
          <w:t xml:space="preserve"> P, </w:t>
        </w:r>
        <w:proofErr w:type="spellStart"/>
        <w:r w:rsidRPr="00421CAF">
          <w:rPr>
            <w:sz w:val="20"/>
            <w:lang w:val="en-US"/>
          </w:rPr>
          <w:t>Eng</w:t>
        </w:r>
        <w:proofErr w:type="spellEnd"/>
        <w:r w:rsidRPr="00421CAF">
          <w:rPr>
            <w:sz w:val="20"/>
            <w:lang w:val="en-US"/>
          </w:rPr>
          <w:t xml:space="preserve"> CM, et al. A phase II/III clinical study of</w:t>
        </w:r>
      </w:hyperlink>
      <w:hyperlink r:id="rId201">
        <w:r w:rsidRPr="00421CAF">
          <w:rPr>
            <w:sz w:val="20"/>
            <w:lang w:val="en-US"/>
          </w:rPr>
          <w:t xml:space="preserve"> enzyme replacement therapy with </w:t>
        </w:r>
        <w:proofErr w:type="spellStart"/>
        <w:r w:rsidRPr="00421CAF">
          <w:rPr>
            <w:sz w:val="20"/>
            <w:lang w:val="en-US"/>
          </w:rPr>
          <w:t>idursulfase</w:t>
        </w:r>
        <w:proofErr w:type="spellEnd"/>
        <w:r w:rsidRPr="00421CAF">
          <w:rPr>
            <w:sz w:val="20"/>
            <w:lang w:val="en-US"/>
          </w:rPr>
          <w:t xml:space="preserve"> in </w:t>
        </w:r>
        <w:proofErr w:type="spellStart"/>
        <w:r w:rsidRPr="00421CAF">
          <w:rPr>
            <w:sz w:val="20"/>
            <w:lang w:val="en-US"/>
          </w:rPr>
          <w:t>mucopolysaccharidosis</w:t>
        </w:r>
        <w:proofErr w:type="spellEnd"/>
        <w:r w:rsidRPr="00421CAF">
          <w:rPr>
            <w:sz w:val="20"/>
            <w:lang w:val="en-US"/>
          </w:rPr>
          <w:t xml:space="preserve"> II (Hunter syndrome). </w:t>
        </w:r>
        <w:proofErr w:type="spellStart"/>
        <w:r>
          <w:rPr>
            <w:sz w:val="20"/>
          </w:rPr>
          <w:t>Genet</w:t>
        </w:r>
        <w:proofErr w:type="spellEnd"/>
        <w:r>
          <w:rPr>
            <w:sz w:val="20"/>
          </w:rPr>
          <w:t xml:space="preserve"> Me</w:t>
        </w:r>
        <w:r>
          <w:rPr>
            <w:sz w:val="20"/>
          </w:rPr>
          <w:t>d.</w:t>
        </w:r>
      </w:hyperlink>
      <w:hyperlink r:id="rId202">
        <w:r>
          <w:rPr>
            <w:sz w:val="20"/>
          </w:rPr>
          <w:t xml:space="preserve"> </w:t>
        </w:r>
        <w:proofErr w:type="gramStart"/>
        <w:r>
          <w:rPr>
            <w:sz w:val="20"/>
          </w:rPr>
          <w:t>2006;</w:t>
        </w:r>
        <w:proofErr w:type="gramEnd"/>
        <w:r>
          <w:rPr>
            <w:sz w:val="20"/>
          </w:rPr>
          <w:t>8:</w:t>
        </w:r>
        <w:r>
          <w:rPr>
            <w:spacing w:val="-3"/>
            <w:sz w:val="20"/>
          </w:rPr>
          <w:t xml:space="preserve"> </w:t>
        </w:r>
        <w:r>
          <w:rPr>
            <w:sz w:val="20"/>
          </w:rPr>
          <w:t>465–473.</w:t>
        </w:r>
      </w:hyperlink>
    </w:p>
    <w:p w:rsidR="00A74668" w:rsidRDefault="00421CAF">
      <w:pPr>
        <w:pStyle w:val="PargrafodaLista"/>
        <w:numPr>
          <w:ilvl w:val="0"/>
          <w:numId w:val="6"/>
        </w:numPr>
        <w:tabs>
          <w:tab w:val="left" w:pos="942"/>
        </w:tabs>
        <w:spacing w:line="229" w:lineRule="exact"/>
        <w:ind w:firstLine="0"/>
        <w:jc w:val="both"/>
        <w:rPr>
          <w:sz w:val="20"/>
        </w:rPr>
      </w:pPr>
      <w:hyperlink r:id="rId203">
        <w:r w:rsidRPr="00421CAF">
          <w:rPr>
            <w:sz w:val="20"/>
            <w:lang w:val="en-US"/>
          </w:rPr>
          <w:t xml:space="preserve">HGMD® home page [Internet]. [cited 9 Aug 2017]. </w:t>
        </w:r>
        <w:r>
          <w:rPr>
            <w:sz w:val="20"/>
          </w:rPr>
          <w:t>Available:</w:t>
        </w:r>
        <w:r>
          <w:rPr>
            <w:spacing w:val="2"/>
            <w:sz w:val="20"/>
          </w:rPr>
          <w:t xml:space="preserve"> </w:t>
        </w:r>
      </w:hyperlink>
      <w:hyperlink r:id="rId204">
        <w:r>
          <w:rPr>
            <w:sz w:val="20"/>
          </w:rPr>
          <w:t>www.hgmd.cf.</w:t>
        </w:r>
        <w:r>
          <w:rPr>
            <w:sz w:val="20"/>
          </w:rPr>
          <w:t>ac.uk/</w:t>
        </w:r>
      </w:hyperlink>
    </w:p>
    <w:p w:rsidR="00A74668" w:rsidRDefault="00421CAF">
      <w:pPr>
        <w:pStyle w:val="PargrafodaLista"/>
        <w:numPr>
          <w:ilvl w:val="0"/>
          <w:numId w:val="6"/>
        </w:numPr>
        <w:tabs>
          <w:tab w:val="left" w:pos="942"/>
        </w:tabs>
        <w:ind w:right="583" w:firstLine="0"/>
        <w:jc w:val="both"/>
        <w:rPr>
          <w:sz w:val="20"/>
        </w:rPr>
      </w:pPr>
      <w:hyperlink r:id="rId205">
        <w:proofErr w:type="spellStart"/>
        <w:r w:rsidRPr="00421CAF">
          <w:rPr>
            <w:sz w:val="20"/>
            <w:lang w:val="en-US"/>
          </w:rPr>
          <w:t>Giugliani</w:t>
        </w:r>
        <w:proofErr w:type="spellEnd"/>
        <w:r w:rsidRPr="00421CAF">
          <w:rPr>
            <w:sz w:val="20"/>
            <w:lang w:val="en-US"/>
          </w:rPr>
          <w:t xml:space="preserve"> R, Villarreal MLS, Valdez CAA, </w:t>
        </w:r>
        <w:proofErr w:type="spellStart"/>
        <w:r w:rsidRPr="00421CAF">
          <w:rPr>
            <w:sz w:val="20"/>
            <w:lang w:val="en-US"/>
          </w:rPr>
          <w:t>Hawilou</w:t>
        </w:r>
        <w:proofErr w:type="spellEnd"/>
        <w:r w:rsidRPr="00421CAF">
          <w:rPr>
            <w:sz w:val="20"/>
            <w:lang w:val="en-US"/>
          </w:rPr>
          <w:t xml:space="preserve"> AM, </w:t>
        </w:r>
        <w:proofErr w:type="spellStart"/>
        <w:r w:rsidRPr="00421CAF">
          <w:rPr>
            <w:sz w:val="20"/>
            <w:lang w:val="en-US"/>
          </w:rPr>
          <w:t>Guelbert</w:t>
        </w:r>
        <w:proofErr w:type="spellEnd"/>
        <w:r w:rsidRPr="00421CAF">
          <w:rPr>
            <w:sz w:val="20"/>
            <w:lang w:val="en-US"/>
          </w:rPr>
          <w:t xml:space="preserve"> N, </w:t>
        </w:r>
        <w:proofErr w:type="spellStart"/>
        <w:r w:rsidRPr="00421CAF">
          <w:rPr>
            <w:sz w:val="20"/>
            <w:lang w:val="en-US"/>
          </w:rPr>
          <w:t>Garzón</w:t>
        </w:r>
        <w:proofErr w:type="spellEnd"/>
        <w:r w:rsidRPr="00421CAF">
          <w:rPr>
            <w:sz w:val="20"/>
            <w:lang w:val="en-US"/>
          </w:rPr>
          <w:t xml:space="preserve"> LNC, et al. Guidelines for</w:t>
        </w:r>
      </w:hyperlink>
      <w:hyperlink r:id="rId206">
        <w:r w:rsidRPr="00421CAF">
          <w:rPr>
            <w:sz w:val="20"/>
            <w:lang w:val="en-US"/>
          </w:rPr>
          <w:t xml:space="preserve"> diagnosis and treatment of Hunter Syndro</w:t>
        </w:r>
        <w:r w:rsidRPr="00421CAF">
          <w:rPr>
            <w:sz w:val="20"/>
            <w:lang w:val="en-US"/>
          </w:rPr>
          <w:t xml:space="preserve">me for clinicians in Latin America. </w:t>
        </w:r>
        <w:proofErr w:type="spellStart"/>
        <w:r>
          <w:rPr>
            <w:sz w:val="20"/>
          </w:rPr>
          <w:t>Genet</w:t>
        </w:r>
        <w:proofErr w:type="spellEnd"/>
        <w:r>
          <w:rPr>
            <w:sz w:val="20"/>
          </w:rPr>
          <w:t xml:space="preserve"> Mol Biol. </w:t>
        </w:r>
        <w:proofErr w:type="gramStart"/>
        <w:r>
          <w:rPr>
            <w:sz w:val="20"/>
          </w:rPr>
          <w:t>2014;</w:t>
        </w:r>
        <w:proofErr w:type="gramEnd"/>
        <w:r>
          <w:rPr>
            <w:sz w:val="20"/>
          </w:rPr>
          <w:t>37:</w:t>
        </w:r>
        <w:r>
          <w:rPr>
            <w:spacing w:val="-22"/>
            <w:sz w:val="20"/>
          </w:rPr>
          <w:t xml:space="preserve"> </w:t>
        </w:r>
        <w:r>
          <w:rPr>
            <w:sz w:val="20"/>
          </w:rPr>
          <w:t>315–329.</w:t>
        </w:r>
      </w:hyperlink>
    </w:p>
    <w:p w:rsidR="00A74668" w:rsidRDefault="00421CAF">
      <w:pPr>
        <w:pStyle w:val="PargrafodaLista"/>
        <w:numPr>
          <w:ilvl w:val="0"/>
          <w:numId w:val="6"/>
        </w:numPr>
        <w:tabs>
          <w:tab w:val="left" w:pos="942"/>
        </w:tabs>
        <w:ind w:right="583" w:firstLine="0"/>
        <w:jc w:val="both"/>
        <w:rPr>
          <w:sz w:val="20"/>
        </w:rPr>
      </w:pPr>
      <w:hyperlink r:id="rId207">
        <w:proofErr w:type="spellStart"/>
        <w:r>
          <w:rPr>
            <w:sz w:val="20"/>
          </w:rPr>
          <w:t>Froissart</w:t>
        </w:r>
        <w:proofErr w:type="spellEnd"/>
        <w:r>
          <w:rPr>
            <w:sz w:val="20"/>
          </w:rPr>
          <w:t xml:space="preserve"> R, Da Silva IM, Maire I. </w:t>
        </w:r>
        <w:proofErr w:type="spellStart"/>
        <w:r>
          <w:rPr>
            <w:sz w:val="20"/>
          </w:rPr>
          <w:t>Mucopolysaccharidosis</w:t>
        </w:r>
        <w:proofErr w:type="spellEnd"/>
        <w:r>
          <w:rPr>
            <w:sz w:val="20"/>
          </w:rPr>
          <w:t xml:space="preserve"> </w:t>
        </w:r>
        <w:proofErr w:type="spellStart"/>
        <w:r>
          <w:rPr>
            <w:sz w:val="20"/>
          </w:rPr>
          <w:t>type</w:t>
        </w:r>
        <w:proofErr w:type="spellEnd"/>
        <w:r>
          <w:rPr>
            <w:sz w:val="20"/>
          </w:rPr>
          <w:t xml:space="preserve"> II: </w:t>
        </w:r>
        <w:proofErr w:type="spellStart"/>
        <w:r>
          <w:rPr>
            <w:sz w:val="20"/>
          </w:rPr>
          <w:t>an</w:t>
        </w:r>
        <w:proofErr w:type="spellEnd"/>
        <w:r>
          <w:rPr>
            <w:sz w:val="20"/>
          </w:rPr>
          <w:t xml:space="preserve"> </w:t>
        </w:r>
        <w:proofErr w:type="spellStart"/>
        <w:r>
          <w:rPr>
            <w:sz w:val="20"/>
          </w:rPr>
          <w:t>update</w:t>
        </w:r>
        <w:proofErr w:type="spellEnd"/>
        <w:r>
          <w:rPr>
            <w:sz w:val="20"/>
          </w:rPr>
          <w:t xml:space="preserve"> </w:t>
        </w:r>
        <w:proofErr w:type="spellStart"/>
        <w:r>
          <w:rPr>
            <w:sz w:val="20"/>
          </w:rPr>
          <w:t>on</w:t>
        </w:r>
        <w:proofErr w:type="spellEnd"/>
        <w:r>
          <w:rPr>
            <w:sz w:val="20"/>
          </w:rPr>
          <w:t xml:space="preserve"> </w:t>
        </w:r>
        <w:proofErr w:type="spellStart"/>
        <w:r>
          <w:rPr>
            <w:sz w:val="20"/>
          </w:rPr>
          <w:t>mutation</w:t>
        </w:r>
        <w:proofErr w:type="spellEnd"/>
        <w:r>
          <w:rPr>
            <w:sz w:val="20"/>
          </w:rPr>
          <w:t xml:space="preserve"> </w:t>
        </w:r>
        <w:proofErr w:type="spellStart"/>
        <w:proofErr w:type="gramStart"/>
        <w:r>
          <w:rPr>
            <w:sz w:val="20"/>
          </w:rPr>
          <w:t>spectrum</w:t>
        </w:r>
        <w:proofErr w:type="spellEnd"/>
        <w:r>
          <w:rPr>
            <w:sz w:val="20"/>
          </w:rPr>
          <w:t>.</w:t>
        </w:r>
        <w:proofErr w:type="gramEnd"/>
      </w:hyperlink>
      <w:hyperlink r:id="rId208">
        <w:r>
          <w:rPr>
            <w:sz w:val="20"/>
          </w:rPr>
          <w:t xml:space="preserve"> </w:t>
        </w:r>
        <w:proofErr w:type="spellStart"/>
        <w:r>
          <w:rPr>
            <w:sz w:val="20"/>
          </w:rPr>
          <w:t>ActaPaediatr</w:t>
        </w:r>
        <w:proofErr w:type="spellEnd"/>
        <w:r>
          <w:rPr>
            <w:sz w:val="20"/>
          </w:rPr>
          <w:t xml:space="preserve">. </w:t>
        </w:r>
        <w:proofErr w:type="gramStart"/>
        <w:r>
          <w:rPr>
            <w:sz w:val="20"/>
          </w:rPr>
          <w:t>2007;</w:t>
        </w:r>
        <w:proofErr w:type="gramEnd"/>
        <w:r>
          <w:rPr>
            <w:sz w:val="20"/>
          </w:rPr>
          <w:t>96:</w:t>
        </w:r>
        <w:r>
          <w:rPr>
            <w:spacing w:val="-2"/>
            <w:sz w:val="20"/>
          </w:rPr>
          <w:t xml:space="preserve"> </w:t>
        </w:r>
        <w:r>
          <w:rPr>
            <w:sz w:val="20"/>
          </w:rPr>
          <w:t>71–77.</w:t>
        </w:r>
      </w:hyperlink>
    </w:p>
    <w:p w:rsidR="00A74668" w:rsidRDefault="00421CAF">
      <w:pPr>
        <w:pStyle w:val="PargrafodaLista"/>
        <w:numPr>
          <w:ilvl w:val="0"/>
          <w:numId w:val="6"/>
        </w:numPr>
        <w:tabs>
          <w:tab w:val="left" w:pos="942"/>
        </w:tabs>
        <w:spacing w:before="1"/>
        <w:ind w:right="586" w:firstLine="0"/>
        <w:jc w:val="both"/>
        <w:rPr>
          <w:sz w:val="20"/>
        </w:rPr>
      </w:pPr>
      <w:hyperlink r:id="rId209">
        <w:proofErr w:type="spellStart"/>
        <w:r>
          <w:rPr>
            <w:sz w:val="20"/>
          </w:rPr>
          <w:t>Brusius-Facchin</w:t>
        </w:r>
        <w:proofErr w:type="spellEnd"/>
        <w:r>
          <w:rPr>
            <w:sz w:val="20"/>
          </w:rPr>
          <w:t xml:space="preserve"> AC, Schwartz IVD, </w:t>
        </w:r>
        <w:proofErr w:type="spellStart"/>
        <w:r>
          <w:rPr>
            <w:sz w:val="20"/>
          </w:rPr>
          <w:t>Zimmer</w:t>
        </w:r>
        <w:proofErr w:type="spellEnd"/>
        <w:r>
          <w:rPr>
            <w:sz w:val="20"/>
          </w:rPr>
          <w:t xml:space="preserve"> C, Ribeiro MG, Acosta AX, </w:t>
        </w:r>
        <w:proofErr w:type="spellStart"/>
        <w:r>
          <w:rPr>
            <w:sz w:val="20"/>
          </w:rPr>
          <w:t>Horovitz</w:t>
        </w:r>
        <w:proofErr w:type="spellEnd"/>
        <w:r>
          <w:rPr>
            <w:sz w:val="20"/>
          </w:rPr>
          <w:t xml:space="preserve"> D, </w:t>
        </w:r>
        <w:proofErr w:type="gramStart"/>
        <w:r>
          <w:rPr>
            <w:sz w:val="20"/>
          </w:rPr>
          <w:t>et</w:t>
        </w:r>
        <w:proofErr w:type="gramEnd"/>
        <w:r>
          <w:rPr>
            <w:sz w:val="20"/>
          </w:rPr>
          <w:t xml:space="preserve"> al.</w:t>
        </w:r>
      </w:hyperlink>
      <w:hyperlink r:id="rId210">
        <w:r>
          <w:rPr>
            <w:sz w:val="20"/>
          </w:rPr>
          <w:t xml:space="preserve"> </w:t>
        </w:r>
        <w:proofErr w:type="spellStart"/>
        <w:r w:rsidRPr="00421CAF">
          <w:rPr>
            <w:sz w:val="20"/>
            <w:lang w:val="en-US"/>
          </w:rPr>
          <w:t>Mucopoly</w:t>
        </w:r>
        <w:r w:rsidRPr="00421CAF">
          <w:rPr>
            <w:sz w:val="20"/>
            <w:lang w:val="en-US"/>
          </w:rPr>
          <w:t>saccharidosis</w:t>
        </w:r>
        <w:proofErr w:type="spellEnd"/>
        <w:r w:rsidRPr="00421CAF">
          <w:rPr>
            <w:sz w:val="20"/>
            <w:lang w:val="en-US"/>
          </w:rPr>
          <w:t xml:space="preserve"> type II: identification of 30 novel mutations among Latin American patients. </w:t>
        </w:r>
        <w:r>
          <w:rPr>
            <w:sz w:val="20"/>
          </w:rPr>
          <w:t xml:space="preserve">Mol </w:t>
        </w:r>
        <w:proofErr w:type="spellStart"/>
        <w:r>
          <w:rPr>
            <w:sz w:val="20"/>
          </w:rPr>
          <w:t>Genet</w:t>
        </w:r>
        <w:proofErr w:type="spellEnd"/>
      </w:hyperlink>
      <w:hyperlink r:id="rId211">
        <w:r>
          <w:rPr>
            <w:sz w:val="20"/>
          </w:rPr>
          <w:t xml:space="preserve"> </w:t>
        </w:r>
        <w:proofErr w:type="spellStart"/>
        <w:r>
          <w:rPr>
            <w:sz w:val="20"/>
          </w:rPr>
          <w:t>Metab</w:t>
        </w:r>
        <w:proofErr w:type="spellEnd"/>
        <w:r>
          <w:rPr>
            <w:sz w:val="20"/>
          </w:rPr>
          <w:t xml:space="preserve">. </w:t>
        </w:r>
        <w:proofErr w:type="gramStart"/>
        <w:r>
          <w:rPr>
            <w:sz w:val="20"/>
          </w:rPr>
          <w:t>2014;</w:t>
        </w:r>
        <w:proofErr w:type="gramEnd"/>
        <w:r>
          <w:rPr>
            <w:sz w:val="20"/>
          </w:rPr>
          <w:t>111:</w:t>
        </w:r>
        <w:r>
          <w:rPr>
            <w:spacing w:val="-2"/>
            <w:sz w:val="20"/>
          </w:rPr>
          <w:t xml:space="preserve"> </w:t>
        </w:r>
        <w:r>
          <w:rPr>
            <w:sz w:val="20"/>
          </w:rPr>
          <w:t>133–138.</w:t>
        </w:r>
      </w:hyperlink>
    </w:p>
    <w:p w:rsidR="00A74668" w:rsidRDefault="00421CAF">
      <w:pPr>
        <w:pStyle w:val="PargrafodaLista"/>
        <w:numPr>
          <w:ilvl w:val="0"/>
          <w:numId w:val="6"/>
        </w:numPr>
        <w:tabs>
          <w:tab w:val="left" w:pos="942"/>
        </w:tabs>
        <w:ind w:right="591" w:firstLine="0"/>
        <w:jc w:val="both"/>
        <w:rPr>
          <w:sz w:val="20"/>
        </w:rPr>
      </w:pPr>
      <w:hyperlink r:id="rId212">
        <w:r w:rsidRPr="00421CAF">
          <w:rPr>
            <w:sz w:val="20"/>
            <w:lang w:val="en-US"/>
          </w:rPr>
          <w:t>Wraith JE, Edmond W</w:t>
        </w:r>
        <w:r w:rsidRPr="00421CAF">
          <w:rPr>
            <w:sz w:val="20"/>
            <w:lang w:val="en-US"/>
          </w:rPr>
          <w:t xml:space="preserve">raith J, Beck M, </w:t>
        </w:r>
        <w:proofErr w:type="spellStart"/>
        <w:r w:rsidRPr="00421CAF">
          <w:rPr>
            <w:sz w:val="20"/>
            <w:lang w:val="en-US"/>
          </w:rPr>
          <w:t>Giugliani</w:t>
        </w:r>
        <w:proofErr w:type="spellEnd"/>
        <w:r w:rsidRPr="00421CAF">
          <w:rPr>
            <w:sz w:val="20"/>
            <w:lang w:val="en-US"/>
          </w:rPr>
          <w:t xml:space="preserve"> R, Clarke J, Martin R, et al. </w:t>
        </w:r>
        <w:proofErr w:type="spellStart"/>
        <w:r>
          <w:rPr>
            <w:sz w:val="20"/>
          </w:rPr>
          <w:t>Initial</w:t>
        </w:r>
        <w:proofErr w:type="spellEnd"/>
        <w:r>
          <w:rPr>
            <w:sz w:val="20"/>
          </w:rPr>
          <w:t xml:space="preserve"> </w:t>
        </w:r>
        <w:proofErr w:type="spellStart"/>
        <w:r>
          <w:rPr>
            <w:sz w:val="20"/>
          </w:rPr>
          <w:t>report</w:t>
        </w:r>
        <w:proofErr w:type="spellEnd"/>
        <w:r>
          <w:rPr>
            <w:sz w:val="20"/>
          </w:rPr>
          <w:t xml:space="preserve"> </w:t>
        </w:r>
        <w:proofErr w:type="spellStart"/>
        <w:r>
          <w:rPr>
            <w:sz w:val="20"/>
          </w:rPr>
          <w:t>from</w:t>
        </w:r>
        <w:proofErr w:type="spellEnd"/>
        <w:r>
          <w:rPr>
            <w:sz w:val="20"/>
          </w:rPr>
          <w:t xml:space="preserve"> </w:t>
        </w:r>
        <w:proofErr w:type="spellStart"/>
        <w:r>
          <w:rPr>
            <w:sz w:val="20"/>
          </w:rPr>
          <w:t>the</w:t>
        </w:r>
        <w:proofErr w:type="spellEnd"/>
      </w:hyperlink>
      <w:hyperlink r:id="rId213">
        <w:r>
          <w:rPr>
            <w:sz w:val="20"/>
          </w:rPr>
          <w:t xml:space="preserve"> Hunter </w:t>
        </w:r>
        <w:proofErr w:type="spellStart"/>
        <w:r>
          <w:rPr>
            <w:sz w:val="20"/>
          </w:rPr>
          <w:t>Outcome</w:t>
        </w:r>
        <w:proofErr w:type="spellEnd"/>
        <w:r>
          <w:rPr>
            <w:sz w:val="20"/>
          </w:rPr>
          <w:t xml:space="preserve"> </w:t>
        </w:r>
        <w:proofErr w:type="spellStart"/>
        <w:r>
          <w:rPr>
            <w:sz w:val="20"/>
          </w:rPr>
          <w:t>Survey</w:t>
        </w:r>
        <w:proofErr w:type="spellEnd"/>
        <w:r>
          <w:rPr>
            <w:sz w:val="20"/>
          </w:rPr>
          <w:t xml:space="preserve">. </w:t>
        </w:r>
        <w:proofErr w:type="spellStart"/>
        <w:r>
          <w:rPr>
            <w:sz w:val="20"/>
          </w:rPr>
          <w:t>Genet</w:t>
        </w:r>
        <w:proofErr w:type="spellEnd"/>
        <w:r>
          <w:rPr>
            <w:sz w:val="20"/>
          </w:rPr>
          <w:t xml:space="preserve"> Med. </w:t>
        </w:r>
        <w:proofErr w:type="gramStart"/>
        <w:r>
          <w:rPr>
            <w:sz w:val="20"/>
          </w:rPr>
          <w:t>2008;</w:t>
        </w:r>
        <w:proofErr w:type="gramEnd"/>
        <w:r>
          <w:rPr>
            <w:sz w:val="20"/>
          </w:rPr>
          <w:t>10:</w:t>
        </w:r>
        <w:r>
          <w:rPr>
            <w:spacing w:val="-3"/>
            <w:sz w:val="20"/>
          </w:rPr>
          <w:t xml:space="preserve"> </w:t>
        </w:r>
        <w:r>
          <w:rPr>
            <w:sz w:val="20"/>
          </w:rPr>
          <w:t>508–516.</w:t>
        </w:r>
      </w:hyperlink>
    </w:p>
    <w:p w:rsidR="00A74668" w:rsidRDefault="00421CAF">
      <w:pPr>
        <w:pStyle w:val="PargrafodaLista"/>
        <w:numPr>
          <w:ilvl w:val="0"/>
          <w:numId w:val="6"/>
        </w:numPr>
        <w:tabs>
          <w:tab w:val="left" w:pos="942"/>
        </w:tabs>
        <w:ind w:right="589" w:firstLine="0"/>
        <w:jc w:val="both"/>
        <w:rPr>
          <w:sz w:val="20"/>
        </w:rPr>
      </w:pPr>
      <w:hyperlink r:id="rId214">
        <w:proofErr w:type="spellStart"/>
        <w:r w:rsidRPr="00421CAF">
          <w:rPr>
            <w:sz w:val="20"/>
            <w:lang w:val="en-US"/>
          </w:rPr>
          <w:t>Muenzer</w:t>
        </w:r>
        <w:proofErr w:type="spellEnd"/>
        <w:r w:rsidRPr="00421CAF">
          <w:rPr>
            <w:sz w:val="20"/>
            <w:lang w:val="en-US"/>
          </w:rPr>
          <w:t xml:space="preserve"> J, </w:t>
        </w:r>
        <w:proofErr w:type="spellStart"/>
        <w:r w:rsidRPr="00421CAF">
          <w:rPr>
            <w:sz w:val="20"/>
            <w:lang w:val="en-US"/>
          </w:rPr>
          <w:t>He</w:t>
        </w:r>
        <w:r w:rsidRPr="00421CAF">
          <w:rPr>
            <w:sz w:val="20"/>
            <w:lang w:val="en-US"/>
          </w:rPr>
          <w:t>ndriksz</w:t>
        </w:r>
        <w:proofErr w:type="spellEnd"/>
        <w:r w:rsidRPr="00421CAF">
          <w:rPr>
            <w:sz w:val="20"/>
            <w:lang w:val="en-US"/>
          </w:rPr>
          <w:t xml:space="preserve"> CJ, Fan Z, </w:t>
        </w:r>
        <w:proofErr w:type="spellStart"/>
        <w:r w:rsidRPr="00421CAF">
          <w:rPr>
            <w:sz w:val="20"/>
            <w:lang w:val="en-US"/>
          </w:rPr>
          <w:t>Vijayaraghavan</w:t>
        </w:r>
        <w:proofErr w:type="spellEnd"/>
        <w:r w:rsidRPr="00421CAF">
          <w:rPr>
            <w:sz w:val="20"/>
            <w:lang w:val="en-US"/>
          </w:rPr>
          <w:t xml:space="preserve"> S, Perry V, </w:t>
        </w:r>
        <w:proofErr w:type="spellStart"/>
        <w:r w:rsidRPr="00421CAF">
          <w:rPr>
            <w:sz w:val="20"/>
            <w:lang w:val="en-US"/>
          </w:rPr>
          <w:t>Santra</w:t>
        </w:r>
        <w:proofErr w:type="spellEnd"/>
        <w:r w:rsidRPr="00421CAF">
          <w:rPr>
            <w:sz w:val="20"/>
            <w:lang w:val="en-US"/>
          </w:rPr>
          <w:t xml:space="preserve"> S, et al. A phase I/II study of</w:t>
        </w:r>
      </w:hyperlink>
      <w:hyperlink r:id="rId215">
        <w:r w:rsidRPr="00421CAF">
          <w:rPr>
            <w:sz w:val="20"/>
            <w:lang w:val="en-US"/>
          </w:rPr>
          <w:t xml:space="preserve"> </w:t>
        </w:r>
        <w:proofErr w:type="spellStart"/>
        <w:r w:rsidRPr="00421CAF">
          <w:rPr>
            <w:sz w:val="20"/>
            <w:lang w:val="en-US"/>
          </w:rPr>
          <w:t>intrathecal</w:t>
        </w:r>
        <w:proofErr w:type="spellEnd"/>
        <w:r w:rsidRPr="00421CAF">
          <w:rPr>
            <w:sz w:val="20"/>
            <w:lang w:val="en-US"/>
          </w:rPr>
          <w:t xml:space="preserve"> </w:t>
        </w:r>
        <w:proofErr w:type="spellStart"/>
        <w:r w:rsidRPr="00421CAF">
          <w:rPr>
            <w:sz w:val="20"/>
            <w:lang w:val="en-US"/>
          </w:rPr>
          <w:t>idursulfase</w:t>
        </w:r>
        <w:proofErr w:type="spellEnd"/>
        <w:r w:rsidRPr="00421CAF">
          <w:rPr>
            <w:sz w:val="20"/>
            <w:lang w:val="en-US"/>
          </w:rPr>
          <w:t xml:space="preserve">-IT in children with severe </w:t>
        </w:r>
        <w:proofErr w:type="spellStart"/>
        <w:r w:rsidRPr="00421CAF">
          <w:rPr>
            <w:sz w:val="20"/>
            <w:lang w:val="en-US"/>
          </w:rPr>
          <w:t>mucopolysaccharidosis</w:t>
        </w:r>
        <w:proofErr w:type="spellEnd"/>
        <w:r w:rsidRPr="00421CAF">
          <w:rPr>
            <w:sz w:val="20"/>
            <w:lang w:val="en-US"/>
          </w:rPr>
          <w:t xml:space="preserve"> II. </w:t>
        </w:r>
        <w:proofErr w:type="spellStart"/>
        <w:r>
          <w:rPr>
            <w:sz w:val="20"/>
          </w:rPr>
          <w:t>Genet</w:t>
        </w:r>
        <w:proofErr w:type="spellEnd"/>
        <w:r>
          <w:rPr>
            <w:sz w:val="20"/>
          </w:rPr>
          <w:t xml:space="preserve"> Med. </w:t>
        </w:r>
        <w:proofErr w:type="gramStart"/>
        <w:r>
          <w:rPr>
            <w:sz w:val="20"/>
          </w:rPr>
          <w:t>2016;</w:t>
        </w:r>
        <w:proofErr w:type="gramEnd"/>
        <w:r>
          <w:rPr>
            <w:sz w:val="20"/>
          </w:rPr>
          <w:t>18:</w:t>
        </w:r>
        <w:r>
          <w:rPr>
            <w:spacing w:val="-10"/>
            <w:sz w:val="20"/>
          </w:rPr>
          <w:t xml:space="preserve"> </w:t>
        </w:r>
        <w:r>
          <w:rPr>
            <w:sz w:val="20"/>
          </w:rPr>
          <w:t>73–81.</w:t>
        </w:r>
      </w:hyperlink>
    </w:p>
    <w:p w:rsidR="00A74668" w:rsidRDefault="00421CAF">
      <w:pPr>
        <w:pStyle w:val="PargrafodaLista"/>
        <w:numPr>
          <w:ilvl w:val="0"/>
          <w:numId w:val="6"/>
        </w:numPr>
        <w:tabs>
          <w:tab w:val="left" w:pos="942"/>
        </w:tabs>
        <w:ind w:right="576" w:firstLine="0"/>
        <w:jc w:val="both"/>
        <w:rPr>
          <w:sz w:val="20"/>
        </w:rPr>
      </w:pPr>
      <w:hyperlink r:id="rId216">
        <w:proofErr w:type="spellStart"/>
        <w:r w:rsidRPr="00421CAF">
          <w:rPr>
            <w:sz w:val="20"/>
            <w:lang w:val="en-US"/>
          </w:rPr>
          <w:t>Muenzer</w:t>
        </w:r>
        <w:proofErr w:type="spellEnd"/>
        <w:r w:rsidRPr="00421CAF">
          <w:rPr>
            <w:sz w:val="20"/>
            <w:lang w:val="en-US"/>
          </w:rPr>
          <w:t xml:space="preserve"> J, </w:t>
        </w:r>
        <w:proofErr w:type="spellStart"/>
        <w:r w:rsidRPr="00421CAF">
          <w:rPr>
            <w:sz w:val="20"/>
            <w:lang w:val="en-US"/>
          </w:rPr>
          <w:t>Gucsavas-Calikoglu</w:t>
        </w:r>
        <w:proofErr w:type="spellEnd"/>
        <w:r w:rsidRPr="00421CAF">
          <w:rPr>
            <w:sz w:val="20"/>
            <w:lang w:val="en-US"/>
          </w:rPr>
          <w:t xml:space="preserve"> M, </w:t>
        </w:r>
        <w:proofErr w:type="spellStart"/>
        <w:r w:rsidRPr="00421CAF">
          <w:rPr>
            <w:sz w:val="20"/>
            <w:lang w:val="en-US"/>
          </w:rPr>
          <w:t>McCandless</w:t>
        </w:r>
        <w:proofErr w:type="spellEnd"/>
        <w:r w:rsidRPr="00421CAF">
          <w:rPr>
            <w:sz w:val="20"/>
            <w:lang w:val="en-US"/>
          </w:rPr>
          <w:t xml:space="preserve"> SE, </w:t>
        </w:r>
        <w:proofErr w:type="spellStart"/>
        <w:r w:rsidRPr="00421CAF">
          <w:rPr>
            <w:sz w:val="20"/>
            <w:lang w:val="en-US"/>
          </w:rPr>
          <w:t>Schuetz</w:t>
        </w:r>
        <w:proofErr w:type="spellEnd"/>
        <w:r w:rsidRPr="00421CAF">
          <w:rPr>
            <w:sz w:val="20"/>
            <w:lang w:val="en-US"/>
          </w:rPr>
          <w:t xml:space="preserve"> TJ, Kimura A. A phase I/II clinical trial of</w:t>
        </w:r>
      </w:hyperlink>
      <w:hyperlink r:id="rId217">
        <w:r w:rsidRPr="00421CAF">
          <w:rPr>
            <w:sz w:val="20"/>
            <w:lang w:val="en-US"/>
          </w:rPr>
          <w:t xml:space="preserve"> enzyme replacement therapy in </w:t>
        </w:r>
        <w:proofErr w:type="spellStart"/>
        <w:r w:rsidRPr="00421CAF">
          <w:rPr>
            <w:sz w:val="20"/>
            <w:lang w:val="en-US"/>
          </w:rPr>
          <w:t>mucopolysaccharid</w:t>
        </w:r>
        <w:r w:rsidRPr="00421CAF">
          <w:rPr>
            <w:sz w:val="20"/>
            <w:lang w:val="en-US"/>
          </w:rPr>
          <w:t>osis</w:t>
        </w:r>
        <w:proofErr w:type="spellEnd"/>
        <w:r w:rsidRPr="00421CAF">
          <w:rPr>
            <w:sz w:val="20"/>
            <w:lang w:val="en-US"/>
          </w:rPr>
          <w:t xml:space="preserve"> II (Hunter syndrome).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2007;</w:t>
        </w:r>
        <w:proofErr w:type="gramEnd"/>
        <w:r>
          <w:rPr>
            <w:sz w:val="20"/>
          </w:rPr>
          <w:t xml:space="preserve">90: </w:t>
        </w:r>
        <w:r>
          <w:rPr>
            <w:spacing w:val="2"/>
            <w:sz w:val="20"/>
          </w:rPr>
          <w:t>329–</w:t>
        </w:r>
      </w:hyperlink>
      <w:hyperlink r:id="rId218">
        <w:r>
          <w:rPr>
            <w:spacing w:val="2"/>
            <w:sz w:val="20"/>
          </w:rPr>
          <w:t xml:space="preserve"> </w:t>
        </w:r>
        <w:r>
          <w:rPr>
            <w:sz w:val="20"/>
          </w:rPr>
          <w:t>337.</w:t>
        </w:r>
      </w:hyperlink>
    </w:p>
    <w:p w:rsidR="00A74668" w:rsidRDefault="00421CAF">
      <w:pPr>
        <w:pStyle w:val="PargrafodaLista"/>
        <w:numPr>
          <w:ilvl w:val="0"/>
          <w:numId w:val="6"/>
        </w:numPr>
        <w:tabs>
          <w:tab w:val="left" w:pos="942"/>
        </w:tabs>
        <w:ind w:right="584" w:firstLine="0"/>
        <w:jc w:val="both"/>
        <w:rPr>
          <w:sz w:val="20"/>
        </w:rPr>
      </w:pPr>
      <w:hyperlink r:id="rId219">
        <w:proofErr w:type="spellStart"/>
        <w:r>
          <w:rPr>
            <w:sz w:val="20"/>
          </w:rPr>
          <w:t>Okuyama</w:t>
        </w:r>
        <w:proofErr w:type="spellEnd"/>
        <w:r>
          <w:rPr>
            <w:sz w:val="20"/>
          </w:rPr>
          <w:t xml:space="preserve"> T, Tanaka A, Suzuki Y, Ida H, Tanaka T, Cox GF, </w:t>
        </w:r>
        <w:proofErr w:type="gramStart"/>
        <w:r>
          <w:rPr>
            <w:sz w:val="20"/>
          </w:rPr>
          <w:t>et</w:t>
        </w:r>
        <w:proofErr w:type="gramEnd"/>
        <w:r>
          <w:rPr>
            <w:sz w:val="20"/>
          </w:rPr>
          <w:t xml:space="preserve"> al. </w:t>
        </w:r>
        <w:r w:rsidRPr="00421CAF">
          <w:rPr>
            <w:sz w:val="20"/>
            <w:lang w:val="en-US"/>
          </w:rPr>
          <w:t xml:space="preserve">Japan </w:t>
        </w:r>
        <w:proofErr w:type="spellStart"/>
        <w:r w:rsidRPr="00421CAF">
          <w:rPr>
            <w:sz w:val="20"/>
            <w:lang w:val="en-US"/>
          </w:rPr>
          <w:t>Elaprase</w:t>
        </w:r>
        <w:proofErr w:type="spellEnd"/>
        <w:r w:rsidRPr="00421CAF">
          <w:rPr>
            <w:sz w:val="20"/>
            <w:lang w:val="en-US"/>
          </w:rPr>
          <w:t xml:space="preserve"> Treat</w:t>
        </w:r>
        <w:r w:rsidRPr="00421CAF">
          <w:rPr>
            <w:sz w:val="20"/>
            <w:lang w:val="en-US"/>
          </w:rPr>
          <w:t>ment (JET) study:</w:t>
        </w:r>
      </w:hyperlink>
      <w:hyperlink r:id="rId220">
        <w:r w:rsidRPr="00421CAF">
          <w:rPr>
            <w:sz w:val="20"/>
            <w:lang w:val="en-US"/>
          </w:rPr>
          <w:t xml:space="preserve"> </w:t>
        </w:r>
        <w:proofErr w:type="spellStart"/>
        <w:r w:rsidRPr="00421CAF">
          <w:rPr>
            <w:sz w:val="20"/>
            <w:lang w:val="en-US"/>
          </w:rPr>
          <w:t>idursulfase</w:t>
        </w:r>
        <w:proofErr w:type="spellEnd"/>
        <w:r w:rsidRPr="00421CAF">
          <w:rPr>
            <w:sz w:val="20"/>
            <w:lang w:val="en-US"/>
          </w:rPr>
          <w:t xml:space="preserve"> enzyme replacement therapy in adult patients with attenuated Hunter syndrome</w:t>
        </w:r>
      </w:hyperlink>
      <w:hyperlink r:id="rId221">
        <w:r w:rsidRPr="00421CAF">
          <w:rPr>
            <w:sz w:val="20"/>
            <w:lang w:val="en-US"/>
          </w:rPr>
          <w:t xml:space="preserve"> (</w:t>
        </w:r>
        <w:proofErr w:type="spellStart"/>
        <w:r w:rsidRPr="00421CAF">
          <w:rPr>
            <w:sz w:val="20"/>
            <w:lang w:val="en-US"/>
          </w:rPr>
          <w:t>Mucopolysaccharidosis</w:t>
        </w:r>
        <w:proofErr w:type="spellEnd"/>
        <w:r w:rsidRPr="00421CAF">
          <w:rPr>
            <w:sz w:val="20"/>
            <w:lang w:val="en-US"/>
          </w:rPr>
          <w:t xml:space="preserve"> II, MPS II). </w:t>
        </w:r>
        <w:r>
          <w:rPr>
            <w:sz w:val="20"/>
          </w:rPr>
          <w:t>Mol</w:t>
        </w:r>
        <w:r>
          <w:rPr>
            <w:sz w:val="20"/>
          </w:rPr>
          <w:t xml:space="preserve">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2010;</w:t>
        </w:r>
        <w:proofErr w:type="gramEnd"/>
        <w:r>
          <w:rPr>
            <w:sz w:val="20"/>
          </w:rPr>
          <w:t>99:</w:t>
        </w:r>
        <w:r>
          <w:rPr>
            <w:spacing w:val="-7"/>
            <w:sz w:val="20"/>
          </w:rPr>
          <w:t xml:space="preserve"> </w:t>
        </w:r>
        <w:r>
          <w:rPr>
            <w:sz w:val="20"/>
          </w:rPr>
          <w:t>18–25.</w:t>
        </w:r>
      </w:hyperlink>
    </w:p>
    <w:p w:rsidR="00A74668" w:rsidRDefault="00421CAF">
      <w:pPr>
        <w:pStyle w:val="PargrafodaLista"/>
        <w:numPr>
          <w:ilvl w:val="0"/>
          <w:numId w:val="6"/>
        </w:numPr>
        <w:tabs>
          <w:tab w:val="left" w:pos="942"/>
        </w:tabs>
        <w:ind w:right="580" w:firstLine="0"/>
        <w:jc w:val="both"/>
        <w:rPr>
          <w:sz w:val="20"/>
        </w:rPr>
      </w:pPr>
      <w:hyperlink r:id="rId222">
        <w:proofErr w:type="spellStart"/>
        <w:r w:rsidRPr="00421CAF">
          <w:rPr>
            <w:sz w:val="20"/>
            <w:lang w:val="en-US"/>
          </w:rPr>
          <w:t>Muenzer</w:t>
        </w:r>
        <w:proofErr w:type="spellEnd"/>
        <w:r w:rsidRPr="00421CAF">
          <w:rPr>
            <w:sz w:val="20"/>
            <w:lang w:val="en-US"/>
          </w:rPr>
          <w:t xml:space="preserve"> J, Beck M, </w:t>
        </w:r>
        <w:proofErr w:type="spellStart"/>
        <w:r w:rsidRPr="00421CAF">
          <w:rPr>
            <w:sz w:val="20"/>
            <w:lang w:val="en-US"/>
          </w:rPr>
          <w:t>Eng</w:t>
        </w:r>
        <w:proofErr w:type="spellEnd"/>
        <w:r w:rsidRPr="00421CAF">
          <w:rPr>
            <w:sz w:val="20"/>
            <w:lang w:val="en-US"/>
          </w:rPr>
          <w:t xml:space="preserve"> CM, </w:t>
        </w:r>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Harmatz</w:t>
        </w:r>
        <w:proofErr w:type="spellEnd"/>
        <w:r w:rsidRPr="00421CAF">
          <w:rPr>
            <w:sz w:val="20"/>
            <w:lang w:val="en-US"/>
          </w:rPr>
          <w:t xml:space="preserve"> P, Martin R, et al. Long-term, open-labeled</w:t>
        </w:r>
      </w:hyperlink>
      <w:hyperlink r:id="rId223">
        <w:r w:rsidRPr="00421CAF">
          <w:rPr>
            <w:sz w:val="20"/>
            <w:lang w:val="en-US"/>
          </w:rPr>
          <w:t xml:space="preserve"> extension study of </w:t>
        </w:r>
        <w:proofErr w:type="spellStart"/>
        <w:r w:rsidRPr="00421CAF">
          <w:rPr>
            <w:sz w:val="20"/>
            <w:lang w:val="en-US"/>
          </w:rPr>
          <w:t>idursulfase</w:t>
        </w:r>
        <w:proofErr w:type="spellEnd"/>
        <w:r w:rsidRPr="00421CAF">
          <w:rPr>
            <w:sz w:val="20"/>
            <w:lang w:val="en-US"/>
          </w:rPr>
          <w:t xml:space="preserve"> in the treatment of Hunter syndrome. </w:t>
        </w:r>
        <w:proofErr w:type="spellStart"/>
        <w:r>
          <w:rPr>
            <w:sz w:val="20"/>
          </w:rPr>
          <w:t>Genet</w:t>
        </w:r>
        <w:proofErr w:type="spellEnd"/>
        <w:r>
          <w:rPr>
            <w:sz w:val="20"/>
          </w:rPr>
          <w:t xml:space="preserve"> Med. </w:t>
        </w:r>
        <w:proofErr w:type="gramStart"/>
        <w:r>
          <w:rPr>
            <w:sz w:val="20"/>
          </w:rPr>
          <w:t>2011;</w:t>
        </w:r>
        <w:proofErr w:type="gramEnd"/>
        <w:r>
          <w:rPr>
            <w:sz w:val="20"/>
          </w:rPr>
          <w:t>13:</w:t>
        </w:r>
        <w:r>
          <w:rPr>
            <w:spacing w:val="-14"/>
            <w:sz w:val="20"/>
          </w:rPr>
          <w:t xml:space="preserve"> </w:t>
        </w:r>
        <w:r>
          <w:rPr>
            <w:sz w:val="20"/>
          </w:rPr>
          <w:t>95–101.</w:t>
        </w:r>
      </w:hyperlink>
    </w:p>
    <w:p w:rsidR="00A74668" w:rsidRDefault="00421CAF">
      <w:pPr>
        <w:pStyle w:val="PargrafodaLista"/>
        <w:numPr>
          <w:ilvl w:val="0"/>
          <w:numId w:val="6"/>
        </w:numPr>
        <w:tabs>
          <w:tab w:val="left" w:pos="942"/>
        </w:tabs>
        <w:ind w:right="577" w:firstLine="0"/>
        <w:jc w:val="both"/>
        <w:rPr>
          <w:sz w:val="20"/>
        </w:rPr>
      </w:pPr>
      <w:hyperlink r:id="rId224">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Hwu</w:t>
        </w:r>
        <w:proofErr w:type="spellEnd"/>
        <w:r w:rsidRPr="00421CAF">
          <w:rPr>
            <w:sz w:val="20"/>
            <w:lang w:val="en-US"/>
          </w:rPr>
          <w:t xml:space="preserve"> W-L, </w:t>
        </w:r>
        <w:proofErr w:type="spellStart"/>
        <w:r w:rsidRPr="00421CAF">
          <w:rPr>
            <w:sz w:val="20"/>
            <w:lang w:val="en-US"/>
          </w:rPr>
          <w:t>Tylki-Szymanska</w:t>
        </w:r>
        <w:proofErr w:type="spellEnd"/>
        <w:r w:rsidRPr="00421CAF">
          <w:rPr>
            <w:sz w:val="20"/>
            <w:lang w:val="en-US"/>
          </w:rPr>
          <w:t xml:space="preserve"> A, Whiteman DAH, </w:t>
        </w:r>
        <w:proofErr w:type="spellStart"/>
        <w:r w:rsidRPr="00421CAF">
          <w:rPr>
            <w:sz w:val="20"/>
            <w:lang w:val="en-US"/>
          </w:rPr>
          <w:t>Pano</w:t>
        </w:r>
        <w:proofErr w:type="spellEnd"/>
        <w:r w:rsidRPr="00421CAF">
          <w:rPr>
            <w:sz w:val="20"/>
            <w:lang w:val="en-US"/>
          </w:rPr>
          <w:t xml:space="preserve"> A. A multicenter, open-label study</w:t>
        </w:r>
      </w:hyperlink>
      <w:hyperlink r:id="rId225">
        <w:r w:rsidRPr="00421CAF">
          <w:rPr>
            <w:sz w:val="20"/>
            <w:lang w:val="en-US"/>
          </w:rPr>
          <w:t xml:space="preserve"> evaluating safety and clinical outcomes in children (1.4-7.5 years) with Hunter syndrome receiving </w:t>
        </w:r>
        <w:proofErr w:type="spellStart"/>
        <w:r w:rsidRPr="00421CAF">
          <w:rPr>
            <w:sz w:val="20"/>
            <w:lang w:val="en-US"/>
          </w:rPr>
          <w:t>idursulfase</w:t>
        </w:r>
        <w:proofErr w:type="spellEnd"/>
      </w:hyperlink>
      <w:hyperlink r:id="rId226">
        <w:r w:rsidRPr="00421CAF">
          <w:rPr>
            <w:sz w:val="20"/>
            <w:lang w:val="en-US"/>
          </w:rPr>
          <w:t xml:space="preserve"> enzyme replacement therapy. </w:t>
        </w:r>
        <w:proofErr w:type="spellStart"/>
        <w:r>
          <w:rPr>
            <w:sz w:val="20"/>
          </w:rPr>
          <w:t>Genet</w:t>
        </w:r>
        <w:proofErr w:type="spellEnd"/>
        <w:r>
          <w:rPr>
            <w:sz w:val="20"/>
          </w:rPr>
          <w:t xml:space="preserve"> Med. </w:t>
        </w:r>
        <w:proofErr w:type="gramStart"/>
        <w:r>
          <w:rPr>
            <w:sz w:val="20"/>
          </w:rPr>
          <w:t>2014;</w:t>
        </w:r>
        <w:proofErr w:type="gramEnd"/>
        <w:r>
          <w:rPr>
            <w:sz w:val="20"/>
          </w:rPr>
          <w:t>16:</w:t>
        </w:r>
        <w:r>
          <w:rPr>
            <w:spacing w:val="-1"/>
            <w:sz w:val="20"/>
          </w:rPr>
          <w:t xml:space="preserve"> </w:t>
        </w:r>
        <w:r>
          <w:rPr>
            <w:sz w:val="20"/>
          </w:rPr>
          <w:t>435–441.</w:t>
        </w:r>
      </w:hyperlink>
    </w:p>
    <w:p w:rsidR="00A74668" w:rsidRDefault="00421CAF">
      <w:pPr>
        <w:pStyle w:val="PargrafodaLista"/>
        <w:numPr>
          <w:ilvl w:val="0"/>
          <w:numId w:val="6"/>
        </w:numPr>
        <w:tabs>
          <w:tab w:val="left" w:pos="942"/>
        </w:tabs>
        <w:spacing w:before="1"/>
        <w:ind w:right="589" w:firstLine="0"/>
        <w:jc w:val="both"/>
        <w:rPr>
          <w:sz w:val="20"/>
        </w:rPr>
      </w:pPr>
      <w:hyperlink r:id="rId227">
        <w:r w:rsidRPr="00421CAF">
          <w:rPr>
            <w:sz w:val="20"/>
            <w:lang w:val="en-US"/>
          </w:rPr>
          <w:t xml:space="preserve">Schwartz IV, de Souza CFM, </w:t>
        </w:r>
        <w:proofErr w:type="spellStart"/>
        <w:r w:rsidRPr="00421CAF">
          <w:rPr>
            <w:sz w:val="20"/>
            <w:lang w:val="en-US"/>
          </w:rPr>
          <w:t>Giugliani</w:t>
        </w:r>
        <w:proofErr w:type="spellEnd"/>
        <w:r w:rsidRPr="00421CAF">
          <w:rPr>
            <w:sz w:val="20"/>
            <w:lang w:val="en-US"/>
          </w:rPr>
          <w:t xml:space="preserve"> R. Treatment of inborn errors of metabolism. </w:t>
        </w:r>
        <w:r>
          <w:rPr>
            <w:sz w:val="20"/>
          </w:rPr>
          <w:t xml:space="preserve">J </w:t>
        </w:r>
        <w:proofErr w:type="spellStart"/>
        <w:proofErr w:type="gramStart"/>
        <w:r>
          <w:rPr>
            <w:sz w:val="20"/>
          </w:rPr>
          <w:t>Pediatr</w:t>
        </w:r>
        <w:proofErr w:type="spellEnd"/>
        <w:r>
          <w:rPr>
            <w:sz w:val="20"/>
          </w:rPr>
          <w:t xml:space="preserve"> .</w:t>
        </w:r>
        <w:proofErr w:type="gramEnd"/>
        <w:r>
          <w:rPr>
            <w:sz w:val="20"/>
          </w:rPr>
          <w:t xml:space="preserve"> </w:t>
        </w:r>
        <w:proofErr w:type="gramStart"/>
        <w:r>
          <w:rPr>
            <w:sz w:val="20"/>
          </w:rPr>
          <w:t>2008;</w:t>
        </w:r>
        <w:proofErr w:type="gramEnd"/>
        <w:r>
          <w:rPr>
            <w:sz w:val="20"/>
          </w:rPr>
          <w:t>0.</w:t>
        </w:r>
      </w:hyperlink>
      <w:hyperlink r:id="rId228">
        <w:r>
          <w:rPr>
            <w:sz w:val="20"/>
          </w:rPr>
          <w:t xml:space="preserve"> doi:</w:t>
        </w:r>
      </w:hyperlink>
      <w:hyperlink r:id="rId229">
        <w:r>
          <w:rPr>
            <w:sz w:val="20"/>
          </w:rPr>
          <w:t>10.2223/jped.1801</w:t>
        </w:r>
      </w:hyperlink>
    </w:p>
    <w:p w:rsidR="00A74668" w:rsidRDefault="00421CAF">
      <w:pPr>
        <w:pStyle w:val="PargrafodaLista"/>
        <w:numPr>
          <w:ilvl w:val="0"/>
          <w:numId w:val="6"/>
        </w:numPr>
        <w:tabs>
          <w:tab w:val="left" w:pos="942"/>
        </w:tabs>
        <w:ind w:right="582" w:firstLine="0"/>
        <w:jc w:val="both"/>
        <w:rPr>
          <w:sz w:val="20"/>
        </w:rPr>
      </w:pPr>
      <w:hyperlink r:id="rId230">
        <w:proofErr w:type="spellStart"/>
        <w:r w:rsidRPr="00421CAF">
          <w:rPr>
            <w:sz w:val="20"/>
            <w:lang w:val="en-US"/>
          </w:rPr>
          <w:t>Principi</w:t>
        </w:r>
        <w:proofErr w:type="spellEnd"/>
        <w:r w:rsidRPr="00421CAF">
          <w:rPr>
            <w:sz w:val="20"/>
            <w:lang w:val="en-US"/>
          </w:rPr>
          <w:t xml:space="preserve"> N, Esposito S. Nasal Irrigation: An Imprecisely Defined Medical Procedure. </w:t>
        </w:r>
        <w:proofErr w:type="spellStart"/>
        <w:r>
          <w:rPr>
            <w:sz w:val="20"/>
          </w:rPr>
          <w:t>Int</w:t>
        </w:r>
        <w:proofErr w:type="spellEnd"/>
        <w:r>
          <w:rPr>
            <w:sz w:val="20"/>
          </w:rPr>
          <w:t xml:space="preserve"> J </w:t>
        </w:r>
        <w:proofErr w:type="spellStart"/>
        <w:r>
          <w:rPr>
            <w:sz w:val="20"/>
          </w:rPr>
          <w:t>Environ</w:t>
        </w:r>
        <w:proofErr w:type="spellEnd"/>
        <w:r>
          <w:rPr>
            <w:sz w:val="20"/>
          </w:rPr>
          <w:t xml:space="preserve"> Res</w:t>
        </w:r>
      </w:hyperlink>
      <w:hyperlink r:id="rId231">
        <w:r>
          <w:rPr>
            <w:sz w:val="20"/>
          </w:rPr>
          <w:t xml:space="preserve"> </w:t>
        </w:r>
        <w:proofErr w:type="spellStart"/>
        <w:r>
          <w:rPr>
            <w:sz w:val="20"/>
          </w:rPr>
          <w:t>Public</w:t>
        </w:r>
        <w:proofErr w:type="spellEnd"/>
        <w:r>
          <w:rPr>
            <w:sz w:val="20"/>
          </w:rPr>
          <w:t xml:space="preserve"> Health. </w:t>
        </w:r>
        <w:proofErr w:type="gramStart"/>
        <w:r>
          <w:rPr>
            <w:sz w:val="20"/>
          </w:rPr>
          <w:t>2017;</w:t>
        </w:r>
        <w:proofErr w:type="gramEnd"/>
        <w:r>
          <w:rPr>
            <w:sz w:val="20"/>
          </w:rPr>
          <w:t>14.</w:t>
        </w:r>
        <w:r>
          <w:rPr>
            <w:spacing w:val="-3"/>
            <w:sz w:val="20"/>
          </w:rPr>
          <w:t xml:space="preserve"> </w:t>
        </w:r>
        <w:proofErr w:type="gramStart"/>
        <w:r>
          <w:rPr>
            <w:sz w:val="20"/>
          </w:rPr>
          <w:t>doi</w:t>
        </w:r>
        <w:proofErr w:type="gramEnd"/>
        <w:r>
          <w:rPr>
            <w:sz w:val="20"/>
          </w:rPr>
          <w:t>:</w:t>
        </w:r>
      </w:hyperlink>
      <w:hyperlink r:id="rId232">
        <w:r>
          <w:rPr>
            <w:sz w:val="20"/>
          </w:rPr>
          <w:t>10.3390/ijerph14050516</w:t>
        </w:r>
      </w:hyperlink>
    </w:p>
    <w:p w:rsidR="00A74668" w:rsidRDefault="00421CAF">
      <w:pPr>
        <w:pStyle w:val="PargrafodaLista"/>
        <w:numPr>
          <w:ilvl w:val="0"/>
          <w:numId w:val="6"/>
        </w:numPr>
        <w:tabs>
          <w:tab w:val="left" w:pos="942"/>
        </w:tabs>
        <w:ind w:right="578" w:firstLine="0"/>
        <w:jc w:val="both"/>
        <w:rPr>
          <w:sz w:val="20"/>
        </w:rPr>
      </w:pPr>
      <w:hyperlink r:id="rId233">
        <w:r>
          <w:rPr>
            <w:sz w:val="20"/>
          </w:rPr>
          <w:t>Protocolos Clínicos e Diretrizes Terapêuticas (PCDT) - Asma. In: Brasil, Ministério da Saúde [Internet].</w:t>
        </w:r>
      </w:hyperlink>
      <w:hyperlink r:id="rId234">
        <w:r>
          <w:rPr>
            <w:sz w:val="20"/>
          </w:rPr>
          <w:t xml:space="preserve"> Available:</w:t>
        </w:r>
      </w:hyperlink>
      <w:r>
        <w:rPr>
          <w:sz w:val="20"/>
        </w:rPr>
        <w:t xml:space="preserve"> </w:t>
      </w:r>
      <w:hyperlink r:id="rId235">
        <w:r>
          <w:rPr>
            <w:sz w:val="20"/>
          </w:rPr>
          <w:t>http://portalsaude.saude.gov.br/images/pdf/2014/julho/22/PT-SAS-N---1317-alterado-pela-603-de-21-</w:t>
        </w:r>
      </w:hyperlink>
      <w:hyperlink r:id="rId236">
        <w:r>
          <w:rPr>
            <w:sz w:val="20"/>
          </w:rPr>
          <w:t xml:space="preserve"> de-julho-de-</w:t>
        </w:r>
        <w:proofErr w:type="gramStart"/>
        <w:r>
          <w:rPr>
            <w:sz w:val="20"/>
          </w:rPr>
          <w:t>2014.</w:t>
        </w:r>
        <w:proofErr w:type="gramEnd"/>
        <w:r>
          <w:rPr>
            <w:sz w:val="20"/>
          </w:rPr>
          <w:t>pdf</w:t>
        </w:r>
      </w:hyperlink>
    </w:p>
    <w:p w:rsidR="00A74668" w:rsidRDefault="00421CAF">
      <w:pPr>
        <w:pStyle w:val="PargrafodaLista"/>
        <w:numPr>
          <w:ilvl w:val="0"/>
          <w:numId w:val="6"/>
        </w:numPr>
        <w:tabs>
          <w:tab w:val="left" w:pos="942"/>
        </w:tabs>
        <w:ind w:right="575" w:firstLine="0"/>
        <w:jc w:val="both"/>
        <w:rPr>
          <w:sz w:val="20"/>
        </w:rPr>
      </w:pPr>
      <w:hyperlink r:id="rId237">
        <w:r>
          <w:rPr>
            <w:sz w:val="20"/>
          </w:rPr>
          <w:t xml:space="preserve">Link B, de Camargo Pinto LL, </w:t>
        </w:r>
        <w:proofErr w:type="spellStart"/>
        <w:r>
          <w:rPr>
            <w:sz w:val="20"/>
          </w:rPr>
          <w:t>Giugliani</w:t>
        </w:r>
        <w:proofErr w:type="spellEnd"/>
        <w:r>
          <w:rPr>
            <w:sz w:val="20"/>
          </w:rPr>
          <w:t xml:space="preserve"> R, </w:t>
        </w:r>
        <w:proofErr w:type="spellStart"/>
        <w:r>
          <w:rPr>
            <w:sz w:val="20"/>
          </w:rPr>
          <w:t>Wraith</w:t>
        </w:r>
        <w:proofErr w:type="spellEnd"/>
        <w:r>
          <w:rPr>
            <w:sz w:val="20"/>
          </w:rPr>
          <w:t xml:space="preserve"> JE, </w:t>
        </w:r>
        <w:proofErr w:type="spellStart"/>
        <w:r>
          <w:rPr>
            <w:sz w:val="20"/>
          </w:rPr>
          <w:t>Guffon</w:t>
        </w:r>
        <w:proofErr w:type="spellEnd"/>
        <w:r>
          <w:rPr>
            <w:sz w:val="20"/>
          </w:rPr>
          <w:t xml:space="preserve"> N, </w:t>
        </w:r>
        <w:proofErr w:type="spellStart"/>
        <w:r>
          <w:rPr>
            <w:sz w:val="20"/>
          </w:rPr>
          <w:t>Eich</w:t>
        </w:r>
        <w:proofErr w:type="spellEnd"/>
        <w:r>
          <w:rPr>
            <w:sz w:val="20"/>
          </w:rPr>
          <w:t xml:space="preserve"> E, </w:t>
        </w:r>
        <w:proofErr w:type="gramStart"/>
        <w:r>
          <w:rPr>
            <w:sz w:val="20"/>
          </w:rPr>
          <w:t>et</w:t>
        </w:r>
        <w:proofErr w:type="gramEnd"/>
        <w:r>
          <w:rPr>
            <w:sz w:val="20"/>
          </w:rPr>
          <w:t xml:space="preserve"> al. </w:t>
        </w:r>
        <w:r w:rsidRPr="00421CAF">
          <w:rPr>
            <w:sz w:val="20"/>
            <w:lang w:val="en-US"/>
          </w:rPr>
          <w:t>Orthopedic</w:t>
        </w:r>
      </w:hyperlink>
      <w:r w:rsidRPr="00421CAF">
        <w:rPr>
          <w:sz w:val="20"/>
          <w:lang w:val="en-US"/>
        </w:rPr>
        <w:t xml:space="preserve"> </w:t>
      </w:r>
      <w:hyperlink r:id="rId238">
        <w:r w:rsidRPr="00421CAF">
          <w:rPr>
            <w:sz w:val="20"/>
            <w:lang w:val="en-US"/>
          </w:rPr>
          <w:t xml:space="preserve"> manif</w:t>
        </w:r>
        <w:r w:rsidRPr="00421CAF">
          <w:rPr>
            <w:sz w:val="20"/>
            <w:lang w:val="en-US"/>
          </w:rPr>
          <w:t xml:space="preserve">estations in patients with </w:t>
        </w:r>
        <w:proofErr w:type="spellStart"/>
        <w:r w:rsidRPr="00421CAF">
          <w:rPr>
            <w:sz w:val="20"/>
            <w:lang w:val="en-US"/>
          </w:rPr>
          <w:t>mucopolysaccharidosis</w:t>
        </w:r>
        <w:proofErr w:type="spellEnd"/>
        <w:r w:rsidRPr="00421CAF">
          <w:rPr>
            <w:sz w:val="20"/>
            <w:lang w:val="en-US"/>
          </w:rPr>
          <w:t xml:space="preserve"> type II (Hunter syndrome) enrolled in the Hunter Outcome</w:t>
        </w:r>
      </w:hyperlink>
      <w:hyperlink r:id="rId239">
        <w:r w:rsidRPr="00421CAF">
          <w:rPr>
            <w:sz w:val="20"/>
            <w:lang w:val="en-US"/>
          </w:rPr>
          <w:t xml:space="preserve"> Survey. </w:t>
        </w:r>
        <w:proofErr w:type="spellStart"/>
        <w:proofErr w:type="gramStart"/>
        <w:r>
          <w:rPr>
            <w:sz w:val="20"/>
          </w:rPr>
          <w:t>OrthopRev</w:t>
        </w:r>
        <w:proofErr w:type="spellEnd"/>
        <w:proofErr w:type="gramEnd"/>
        <w:r>
          <w:rPr>
            <w:sz w:val="20"/>
          </w:rPr>
          <w:t xml:space="preserve"> . </w:t>
        </w:r>
        <w:proofErr w:type="gramStart"/>
        <w:r>
          <w:rPr>
            <w:sz w:val="20"/>
          </w:rPr>
          <w:t>2010;</w:t>
        </w:r>
        <w:proofErr w:type="gramEnd"/>
        <w:r>
          <w:rPr>
            <w:sz w:val="20"/>
          </w:rPr>
          <w:t>2:</w:t>
        </w:r>
        <w:r>
          <w:rPr>
            <w:spacing w:val="-2"/>
            <w:sz w:val="20"/>
          </w:rPr>
          <w:t xml:space="preserve"> </w:t>
        </w:r>
        <w:r>
          <w:rPr>
            <w:sz w:val="20"/>
          </w:rPr>
          <w:t>e16.</w:t>
        </w:r>
      </w:hyperlink>
    </w:p>
    <w:p w:rsidR="00A74668" w:rsidRDefault="00421CAF">
      <w:pPr>
        <w:pStyle w:val="PargrafodaLista"/>
        <w:numPr>
          <w:ilvl w:val="0"/>
          <w:numId w:val="6"/>
        </w:numPr>
        <w:tabs>
          <w:tab w:val="left" w:pos="942"/>
        </w:tabs>
        <w:ind w:right="585" w:firstLine="0"/>
        <w:jc w:val="both"/>
        <w:rPr>
          <w:sz w:val="20"/>
        </w:rPr>
      </w:pPr>
      <w:hyperlink r:id="rId240">
        <w:proofErr w:type="spellStart"/>
        <w:r>
          <w:rPr>
            <w:sz w:val="20"/>
          </w:rPr>
          <w:t>Muenzer</w:t>
        </w:r>
        <w:proofErr w:type="spellEnd"/>
        <w:r>
          <w:rPr>
            <w:sz w:val="20"/>
          </w:rPr>
          <w:t xml:space="preserve"> J, Beck M, </w:t>
        </w:r>
        <w:proofErr w:type="spellStart"/>
        <w:r>
          <w:rPr>
            <w:sz w:val="20"/>
          </w:rPr>
          <w:t>Eng</w:t>
        </w:r>
        <w:proofErr w:type="spellEnd"/>
        <w:r>
          <w:rPr>
            <w:sz w:val="20"/>
          </w:rPr>
          <w:t xml:space="preserve"> CM, Escolar ML, </w:t>
        </w:r>
        <w:proofErr w:type="spellStart"/>
        <w:r>
          <w:rPr>
            <w:sz w:val="20"/>
          </w:rPr>
          <w:t>Giugliani</w:t>
        </w:r>
        <w:proofErr w:type="spellEnd"/>
        <w:r>
          <w:rPr>
            <w:sz w:val="20"/>
          </w:rPr>
          <w:t xml:space="preserve"> R, </w:t>
        </w:r>
        <w:proofErr w:type="spellStart"/>
        <w:r>
          <w:rPr>
            <w:sz w:val="20"/>
          </w:rPr>
          <w:t>Guffon</w:t>
        </w:r>
        <w:proofErr w:type="spellEnd"/>
        <w:r>
          <w:rPr>
            <w:sz w:val="20"/>
          </w:rPr>
          <w:t xml:space="preserve"> NH, </w:t>
        </w:r>
        <w:proofErr w:type="gramStart"/>
        <w:r>
          <w:rPr>
            <w:sz w:val="20"/>
          </w:rPr>
          <w:t>et</w:t>
        </w:r>
        <w:proofErr w:type="gramEnd"/>
        <w:r>
          <w:rPr>
            <w:sz w:val="20"/>
          </w:rPr>
          <w:t xml:space="preserve"> al. </w:t>
        </w:r>
        <w:proofErr w:type="spellStart"/>
        <w:r>
          <w:rPr>
            <w:sz w:val="20"/>
          </w:rPr>
          <w:t>Multidisciplinary</w:t>
        </w:r>
        <w:proofErr w:type="spellEnd"/>
        <w:r>
          <w:rPr>
            <w:sz w:val="20"/>
          </w:rPr>
          <w:t xml:space="preserve"> management</w:t>
        </w:r>
      </w:hyperlink>
      <w:hyperlink r:id="rId241">
        <w:r>
          <w:rPr>
            <w:sz w:val="20"/>
          </w:rPr>
          <w:t xml:space="preserve"> </w:t>
        </w:r>
        <w:proofErr w:type="spellStart"/>
        <w:r>
          <w:rPr>
            <w:sz w:val="20"/>
          </w:rPr>
          <w:t>of</w:t>
        </w:r>
        <w:proofErr w:type="spellEnd"/>
        <w:r>
          <w:rPr>
            <w:sz w:val="20"/>
          </w:rPr>
          <w:t xml:space="preserve"> Hunter </w:t>
        </w:r>
        <w:proofErr w:type="spellStart"/>
        <w:r>
          <w:rPr>
            <w:sz w:val="20"/>
          </w:rPr>
          <w:t>syndrome</w:t>
        </w:r>
        <w:proofErr w:type="spellEnd"/>
        <w:r>
          <w:rPr>
            <w:sz w:val="20"/>
          </w:rPr>
          <w:t xml:space="preserve">. </w:t>
        </w:r>
        <w:proofErr w:type="spellStart"/>
        <w:r>
          <w:rPr>
            <w:sz w:val="20"/>
          </w:rPr>
          <w:t>Pediatrics</w:t>
        </w:r>
        <w:proofErr w:type="spellEnd"/>
        <w:r>
          <w:rPr>
            <w:sz w:val="20"/>
          </w:rPr>
          <w:t xml:space="preserve">. </w:t>
        </w:r>
        <w:proofErr w:type="gramStart"/>
        <w:r>
          <w:rPr>
            <w:sz w:val="20"/>
          </w:rPr>
          <w:t>2009;</w:t>
        </w:r>
        <w:proofErr w:type="gramEnd"/>
        <w:r>
          <w:rPr>
            <w:sz w:val="20"/>
          </w:rPr>
          <w:t>124:</w:t>
        </w:r>
        <w:r>
          <w:rPr>
            <w:spacing w:val="-2"/>
            <w:sz w:val="20"/>
          </w:rPr>
          <w:t xml:space="preserve"> </w:t>
        </w:r>
        <w:r>
          <w:rPr>
            <w:sz w:val="20"/>
          </w:rPr>
          <w:t>e1228–39.</w:t>
        </w:r>
      </w:hyperlink>
    </w:p>
    <w:p w:rsidR="00A74668" w:rsidRDefault="00421CAF">
      <w:pPr>
        <w:pStyle w:val="PargrafodaLista"/>
        <w:numPr>
          <w:ilvl w:val="0"/>
          <w:numId w:val="6"/>
        </w:numPr>
        <w:tabs>
          <w:tab w:val="left" w:pos="942"/>
        </w:tabs>
        <w:ind w:right="576" w:firstLine="0"/>
        <w:jc w:val="both"/>
        <w:rPr>
          <w:sz w:val="20"/>
        </w:rPr>
      </w:pPr>
      <w:hyperlink r:id="rId242">
        <w:r>
          <w:rPr>
            <w:sz w:val="20"/>
          </w:rPr>
          <w:t>Pro</w:t>
        </w:r>
        <w:r>
          <w:rPr>
            <w:sz w:val="20"/>
          </w:rPr>
          <w:t>tocolos Clínicos e Diretrizes Terapêuticas (PCDT) - Epilepsia. In: Brasil, Ministério da Saúde</w:t>
        </w:r>
      </w:hyperlink>
      <w:hyperlink r:id="rId243">
        <w:r>
          <w:rPr>
            <w:sz w:val="20"/>
          </w:rPr>
          <w:t xml:space="preserve"> [Internet]. Available:</w:t>
        </w:r>
      </w:hyperlink>
      <w:r>
        <w:rPr>
          <w:spacing w:val="-12"/>
          <w:sz w:val="20"/>
        </w:rPr>
        <w:t xml:space="preserve"> </w:t>
      </w:r>
      <w:hyperlink r:id="rId244">
        <w:r>
          <w:rPr>
            <w:sz w:val="20"/>
          </w:rPr>
          <w:t>http://portalsaude.saude.gov.br/images/pdf/2016/fevereiro/04/Epilepsia---PCDT-Formatado-</w:t>
        </w:r>
      </w:hyperlink>
    </w:p>
    <w:p w:rsidR="00A74668" w:rsidRDefault="00421CAF">
      <w:pPr>
        <w:pStyle w:val="Corpodetexto"/>
      </w:pPr>
      <w:hyperlink r:id="rId245">
        <w:proofErr w:type="gramStart"/>
        <w:r>
          <w:t>-.</w:t>
        </w:r>
        <w:proofErr w:type="gramEnd"/>
        <w:r>
          <w:t>pdf</w:t>
        </w:r>
      </w:hyperlink>
    </w:p>
    <w:p w:rsidR="00A74668" w:rsidRDefault="00421CAF">
      <w:pPr>
        <w:pStyle w:val="PargrafodaLista"/>
        <w:numPr>
          <w:ilvl w:val="0"/>
          <w:numId w:val="6"/>
        </w:numPr>
        <w:tabs>
          <w:tab w:val="left" w:pos="942"/>
        </w:tabs>
        <w:ind w:right="589" w:firstLine="0"/>
        <w:jc w:val="both"/>
        <w:rPr>
          <w:sz w:val="20"/>
        </w:rPr>
      </w:pPr>
      <w:hyperlink r:id="rId246">
        <w:proofErr w:type="spellStart"/>
        <w:r w:rsidRPr="00421CAF">
          <w:rPr>
            <w:sz w:val="20"/>
            <w:lang w:val="en-US"/>
          </w:rPr>
          <w:t>Kampmann</w:t>
        </w:r>
        <w:proofErr w:type="spellEnd"/>
        <w:r w:rsidRPr="00421CAF">
          <w:rPr>
            <w:sz w:val="20"/>
            <w:lang w:val="en-US"/>
          </w:rPr>
          <w:t xml:space="preserve"> C, Beck M, Morin I, </w:t>
        </w:r>
        <w:proofErr w:type="spellStart"/>
        <w:r w:rsidRPr="00421CAF">
          <w:rPr>
            <w:sz w:val="20"/>
            <w:lang w:val="en-US"/>
          </w:rPr>
          <w:t>Loehr</w:t>
        </w:r>
        <w:proofErr w:type="spellEnd"/>
        <w:r w:rsidRPr="00421CAF">
          <w:rPr>
            <w:sz w:val="20"/>
            <w:lang w:val="en-US"/>
          </w:rPr>
          <w:t xml:space="preserve"> JP. Prevalence and characterization of cardiac involvement in</w:t>
        </w:r>
      </w:hyperlink>
      <w:hyperlink r:id="rId247">
        <w:r w:rsidRPr="00421CAF">
          <w:rPr>
            <w:sz w:val="20"/>
            <w:lang w:val="en-US"/>
          </w:rPr>
          <w:t xml:space="preserve"> Hunter syndrome. J </w:t>
        </w:r>
        <w:proofErr w:type="spellStart"/>
        <w:r w:rsidRPr="00421CAF">
          <w:rPr>
            <w:sz w:val="20"/>
            <w:lang w:val="en-US"/>
          </w:rPr>
          <w:t>Pediatr</w:t>
        </w:r>
        <w:proofErr w:type="spellEnd"/>
        <w:r w:rsidRPr="00421CAF">
          <w:rPr>
            <w:sz w:val="20"/>
            <w:lang w:val="en-US"/>
          </w:rPr>
          <w:t xml:space="preserve">. </w:t>
        </w:r>
        <w:proofErr w:type="gramStart"/>
        <w:r>
          <w:rPr>
            <w:sz w:val="20"/>
          </w:rPr>
          <w:t>2011;</w:t>
        </w:r>
        <w:proofErr w:type="gramEnd"/>
        <w:r>
          <w:rPr>
            <w:sz w:val="20"/>
          </w:rPr>
          <w:t>159:</w:t>
        </w:r>
        <w:r>
          <w:rPr>
            <w:spacing w:val="-1"/>
            <w:sz w:val="20"/>
          </w:rPr>
          <w:t xml:space="preserve"> </w:t>
        </w:r>
        <w:r>
          <w:rPr>
            <w:sz w:val="20"/>
          </w:rPr>
          <w:t>327–31.e2.</w:t>
        </w:r>
      </w:hyperlink>
    </w:p>
    <w:p w:rsidR="00A74668" w:rsidRDefault="00421CAF">
      <w:pPr>
        <w:pStyle w:val="PargrafodaLista"/>
        <w:numPr>
          <w:ilvl w:val="0"/>
          <w:numId w:val="6"/>
        </w:numPr>
        <w:tabs>
          <w:tab w:val="left" w:pos="942"/>
        </w:tabs>
        <w:ind w:right="582" w:firstLine="0"/>
        <w:jc w:val="both"/>
        <w:rPr>
          <w:sz w:val="20"/>
        </w:rPr>
      </w:pPr>
      <w:hyperlink r:id="rId248">
        <w:r w:rsidRPr="00421CAF">
          <w:rPr>
            <w:sz w:val="20"/>
            <w:lang w:val="en-US"/>
          </w:rPr>
          <w:t xml:space="preserve">Wilson W, </w:t>
        </w:r>
        <w:proofErr w:type="spellStart"/>
        <w:r w:rsidRPr="00421CAF">
          <w:rPr>
            <w:sz w:val="20"/>
            <w:lang w:val="en-US"/>
          </w:rPr>
          <w:t>Taubert</w:t>
        </w:r>
        <w:proofErr w:type="spellEnd"/>
        <w:r w:rsidRPr="00421CAF">
          <w:rPr>
            <w:sz w:val="20"/>
            <w:lang w:val="en-US"/>
          </w:rPr>
          <w:t xml:space="preserve"> KA, </w:t>
        </w:r>
        <w:proofErr w:type="spellStart"/>
        <w:r w:rsidRPr="00421CAF">
          <w:rPr>
            <w:sz w:val="20"/>
            <w:lang w:val="en-US"/>
          </w:rPr>
          <w:t>Gewitz</w:t>
        </w:r>
        <w:proofErr w:type="spellEnd"/>
        <w:r w:rsidRPr="00421CAF">
          <w:rPr>
            <w:sz w:val="20"/>
            <w:lang w:val="en-US"/>
          </w:rPr>
          <w:t xml:space="preserve"> M, Lockhart PB, </w:t>
        </w:r>
        <w:proofErr w:type="spellStart"/>
        <w:r w:rsidRPr="00421CAF">
          <w:rPr>
            <w:sz w:val="20"/>
            <w:lang w:val="en-US"/>
          </w:rPr>
          <w:t>Baddour</w:t>
        </w:r>
        <w:proofErr w:type="spellEnd"/>
        <w:r w:rsidRPr="00421CAF">
          <w:rPr>
            <w:sz w:val="20"/>
            <w:lang w:val="en-US"/>
          </w:rPr>
          <w:t xml:space="preserve"> LM, </w:t>
        </w:r>
        <w:proofErr w:type="spellStart"/>
        <w:r w:rsidRPr="00421CAF">
          <w:rPr>
            <w:sz w:val="20"/>
            <w:lang w:val="en-US"/>
          </w:rPr>
          <w:t>Levison</w:t>
        </w:r>
        <w:proofErr w:type="spellEnd"/>
        <w:r w:rsidRPr="00421CAF">
          <w:rPr>
            <w:sz w:val="20"/>
            <w:lang w:val="en-US"/>
          </w:rPr>
          <w:t xml:space="preserve"> M, et al. Prevention of infective</w:t>
        </w:r>
      </w:hyperlink>
      <w:hyperlink r:id="rId249">
        <w:r w:rsidRPr="00421CAF">
          <w:rPr>
            <w:sz w:val="20"/>
            <w:lang w:val="en-US"/>
          </w:rPr>
          <w:t xml:space="preserve"> endocarditis: guidelines from the American Heart </w:t>
        </w:r>
        <w:r w:rsidRPr="00421CAF">
          <w:rPr>
            <w:sz w:val="20"/>
            <w:lang w:val="en-US"/>
          </w:rPr>
          <w:t>Association: a guideline from the American Heart Association</w:t>
        </w:r>
      </w:hyperlink>
      <w:hyperlink r:id="rId250">
        <w:r w:rsidRPr="00421CAF">
          <w:rPr>
            <w:sz w:val="20"/>
            <w:lang w:val="en-US"/>
          </w:rPr>
          <w:t xml:space="preserve"> Rheumatic Fever, Endocarditis, and Kawasaki Disease Committee, Council on Cardiovascular Disease in the</w:t>
        </w:r>
      </w:hyperlink>
      <w:hyperlink r:id="rId251">
        <w:r w:rsidRPr="00421CAF">
          <w:rPr>
            <w:sz w:val="20"/>
            <w:lang w:val="en-US"/>
          </w:rPr>
          <w:t xml:space="preserve"> Young, and the Council on Clinical Cardiology, Council on Cardiovascular Surgery and Anesthesia, and the</w:t>
        </w:r>
      </w:hyperlink>
      <w:hyperlink r:id="rId252">
        <w:r w:rsidRPr="00421CAF">
          <w:rPr>
            <w:sz w:val="20"/>
            <w:lang w:val="en-US"/>
          </w:rPr>
          <w:t xml:space="preserve"> Quality of Care and Outcomes Research Inte</w:t>
        </w:r>
        <w:r w:rsidRPr="00421CAF">
          <w:rPr>
            <w:sz w:val="20"/>
            <w:lang w:val="en-US"/>
          </w:rPr>
          <w:t xml:space="preserve">rdisciplinary Working Group. </w:t>
        </w:r>
        <w:proofErr w:type="spellStart"/>
        <w:r>
          <w:rPr>
            <w:sz w:val="20"/>
          </w:rPr>
          <w:t>Circulation</w:t>
        </w:r>
        <w:proofErr w:type="spellEnd"/>
        <w:r>
          <w:rPr>
            <w:sz w:val="20"/>
          </w:rPr>
          <w:t xml:space="preserve">. </w:t>
        </w:r>
        <w:proofErr w:type="gramStart"/>
        <w:r>
          <w:rPr>
            <w:sz w:val="20"/>
          </w:rPr>
          <w:t>2007;</w:t>
        </w:r>
        <w:proofErr w:type="gramEnd"/>
        <w:r>
          <w:rPr>
            <w:sz w:val="20"/>
          </w:rPr>
          <w:t>116:</w:t>
        </w:r>
        <w:r>
          <w:rPr>
            <w:spacing w:val="-12"/>
            <w:sz w:val="20"/>
          </w:rPr>
          <w:t xml:space="preserve"> </w:t>
        </w:r>
        <w:r>
          <w:rPr>
            <w:sz w:val="20"/>
          </w:rPr>
          <w:t>1736–1754.</w:t>
        </w:r>
      </w:hyperlink>
    </w:p>
    <w:p w:rsidR="00A74668" w:rsidRDefault="00421CAF">
      <w:pPr>
        <w:pStyle w:val="PargrafodaLista"/>
        <w:numPr>
          <w:ilvl w:val="0"/>
          <w:numId w:val="6"/>
        </w:numPr>
        <w:tabs>
          <w:tab w:val="left" w:pos="942"/>
        </w:tabs>
        <w:ind w:right="588" w:firstLine="0"/>
        <w:jc w:val="both"/>
        <w:rPr>
          <w:sz w:val="20"/>
        </w:rPr>
      </w:pPr>
      <w:hyperlink r:id="rId253">
        <w:r w:rsidRPr="00421CAF">
          <w:rPr>
            <w:sz w:val="20"/>
            <w:lang w:val="en-US"/>
          </w:rPr>
          <w:t xml:space="preserve">Neufeld EF MJ. The </w:t>
        </w:r>
        <w:proofErr w:type="spellStart"/>
        <w:r w:rsidRPr="00421CAF">
          <w:rPr>
            <w:sz w:val="20"/>
            <w:lang w:val="en-US"/>
          </w:rPr>
          <w:t>Mucopolysaccharidoses</w:t>
        </w:r>
        <w:proofErr w:type="spellEnd"/>
        <w:r w:rsidRPr="00421CAF">
          <w:rPr>
            <w:sz w:val="20"/>
            <w:lang w:val="en-US"/>
          </w:rPr>
          <w:t xml:space="preserve">. In: </w:t>
        </w:r>
        <w:proofErr w:type="spellStart"/>
        <w:r w:rsidRPr="00421CAF">
          <w:rPr>
            <w:sz w:val="20"/>
            <w:lang w:val="en-US"/>
          </w:rPr>
          <w:t>Scriver</w:t>
        </w:r>
        <w:proofErr w:type="spellEnd"/>
        <w:r w:rsidRPr="00421CAF">
          <w:rPr>
            <w:sz w:val="20"/>
            <w:lang w:val="en-US"/>
          </w:rPr>
          <w:t xml:space="preserve"> CR, editor. The Metabolic &amp; Molecular Bases</w:t>
        </w:r>
      </w:hyperlink>
      <w:hyperlink r:id="rId254">
        <w:r w:rsidRPr="00421CAF">
          <w:rPr>
            <w:sz w:val="20"/>
            <w:lang w:val="en-US"/>
          </w:rPr>
          <w:t xml:space="preserve"> of Inherited Disease. </w:t>
        </w:r>
        <w:r>
          <w:rPr>
            <w:sz w:val="20"/>
          </w:rPr>
          <w:t xml:space="preserve">New </w:t>
        </w:r>
        <w:proofErr w:type="gramStart"/>
        <w:r>
          <w:rPr>
            <w:sz w:val="20"/>
          </w:rPr>
          <w:t>York ;</w:t>
        </w:r>
        <w:proofErr w:type="gramEnd"/>
        <w:r>
          <w:rPr>
            <w:sz w:val="20"/>
          </w:rPr>
          <w:t xml:space="preserve"> Montreal : McGraw-Hill;</w:t>
        </w:r>
        <w:r>
          <w:rPr>
            <w:spacing w:val="-7"/>
            <w:sz w:val="20"/>
          </w:rPr>
          <w:t xml:space="preserve"> </w:t>
        </w:r>
        <w:r>
          <w:rPr>
            <w:sz w:val="20"/>
          </w:rPr>
          <w:t>2010.</w:t>
        </w:r>
      </w:hyperlink>
    </w:p>
    <w:p w:rsidR="00A74668" w:rsidRDefault="00421CAF">
      <w:pPr>
        <w:pStyle w:val="PargrafodaLista"/>
        <w:numPr>
          <w:ilvl w:val="0"/>
          <w:numId w:val="6"/>
        </w:numPr>
        <w:tabs>
          <w:tab w:val="left" w:pos="942"/>
        </w:tabs>
        <w:ind w:right="589" w:firstLine="0"/>
        <w:jc w:val="both"/>
        <w:rPr>
          <w:sz w:val="20"/>
        </w:rPr>
      </w:pPr>
      <w:hyperlink r:id="rId255">
        <w:proofErr w:type="spellStart"/>
        <w:r w:rsidRPr="00421CAF">
          <w:rPr>
            <w:sz w:val="20"/>
            <w:lang w:val="en-US"/>
          </w:rPr>
          <w:t>Turra</w:t>
        </w:r>
        <w:proofErr w:type="spellEnd"/>
        <w:r w:rsidRPr="00421CAF">
          <w:rPr>
            <w:sz w:val="20"/>
            <w:lang w:val="en-US"/>
          </w:rPr>
          <w:t xml:space="preserve"> GS, Schwartz IVD. Evaluation of </w:t>
        </w:r>
        <w:proofErr w:type="spellStart"/>
        <w:r w:rsidRPr="00421CAF">
          <w:rPr>
            <w:sz w:val="20"/>
            <w:lang w:val="en-US"/>
          </w:rPr>
          <w:t>orofacial</w:t>
        </w:r>
        <w:proofErr w:type="spellEnd"/>
        <w:r w:rsidRPr="00421CAF">
          <w:rPr>
            <w:sz w:val="20"/>
            <w:lang w:val="en-US"/>
          </w:rPr>
          <w:t xml:space="preserve"> </w:t>
        </w:r>
        <w:proofErr w:type="spellStart"/>
        <w:r w:rsidRPr="00421CAF">
          <w:rPr>
            <w:sz w:val="20"/>
            <w:lang w:val="en-US"/>
          </w:rPr>
          <w:t>motricity</w:t>
        </w:r>
        <w:proofErr w:type="spellEnd"/>
        <w:r w:rsidRPr="00421CAF">
          <w:rPr>
            <w:sz w:val="20"/>
            <w:lang w:val="en-US"/>
          </w:rPr>
          <w:t xml:space="preserve"> in patients with </w:t>
        </w:r>
        <w:proofErr w:type="spellStart"/>
        <w:r w:rsidRPr="00421CAF">
          <w:rPr>
            <w:sz w:val="20"/>
            <w:lang w:val="en-US"/>
          </w:rPr>
          <w:t>mucopolysaccharidosis</w:t>
        </w:r>
        <w:proofErr w:type="spellEnd"/>
        <w:r w:rsidRPr="00421CAF">
          <w:rPr>
            <w:sz w:val="20"/>
            <w:lang w:val="en-US"/>
          </w:rPr>
          <w:t>: a</w:t>
        </w:r>
      </w:hyperlink>
      <w:hyperlink r:id="rId256">
        <w:r w:rsidRPr="00421CAF">
          <w:rPr>
            <w:sz w:val="20"/>
            <w:lang w:val="en-US"/>
          </w:rPr>
          <w:t xml:space="preserve"> cross-sectional study. </w:t>
        </w:r>
        <w:r>
          <w:rPr>
            <w:sz w:val="20"/>
          </w:rPr>
          <w:t xml:space="preserve">J </w:t>
        </w:r>
        <w:proofErr w:type="spellStart"/>
        <w:proofErr w:type="gramStart"/>
        <w:r>
          <w:rPr>
            <w:sz w:val="20"/>
          </w:rPr>
          <w:t>Pediatr</w:t>
        </w:r>
        <w:proofErr w:type="spellEnd"/>
        <w:r>
          <w:rPr>
            <w:sz w:val="20"/>
          </w:rPr>
          <w:t xml:space="preserve"> .</w:t>
        </w:r>
        <w:proofErr w:type="gramEnd"/>
        <w:r>
          <w:rPr>
            <w:sz w:val="20"/>
          </w:rPr>
          <w:t xml:space="preserve"> </w:t>
        </w:r>
        <w:proofErr w:type="gramStart"/>
        <w:r>
          <w:rPr>
            <w:sz w:val="20"/>
          </w:rPr>
          <w:t>2009;</w:t>
        </w:r>
        <w:proofErr w:type="gramEnd"/>
        <w:r>
          <w:rPr>
            <w:sz w:val="20"/>
          </w:rPr>
          <w:t>85:</w:t>
        </w:r>
        <w:r>
          <w:rPr>
            <w:spacing w:val="1"/>
            <w:sz w:val="20"/>
          </w:rPr>
          <w:t xml:space="preserve"> </w:t>
        </w:r>
        <w:r>
          <w:rPr>
            <w:sz w:val="20"/>
          </w:rPr>
          <w:t>254–260.</w:t>
        </w:r>
      </w:hyperlink>
    </w:p>
    <w:p w:rsidR="00A74668" w:rsidRDefault="00421CAF">
      <w:pPr>
        <w:pStyle w:val="PargrafodaLista"/>
        <w:numPr>
          <w:ilvl w:val="0"/>
          <w:numId w:val="6"/>
        </w:numPr>
        <w:tabs>
          <w:tab w:val="left" w:pos="942"/>
        </w:tabs>
        <w:ind w:right="588" w:firstLine="0"/>
        <w:jc w:val="both"/>
        <w:rPr>
          <w:sz w:val="20"/>
        </w:rPr>
      </w:pPr>
      <w:hyperlink r:id="rId257">
        <w:proofErr w:type="spellStart"/>
        <w:r w:rsidRPr="00421CAF">
          <w:rPr>
            <w:sz w:val="20"/>
            <w:lang w:val="en-US"/>
          </w:rPr>
          <w:t>D’Ascanio</w:t>
        </w:r>
        <w:proofErr w:type="spellEnd"/>
        <w:r w:rsidRPr="00421CAF">
          <w:rPr>
            <w:sz w:val="20"/>
            <w:lang w:val="en-US"/>
          </w:rPr>
          <w:t xml:space="preserve"> L, </w:t>
        </w:r>
        <w:proofErr w:type="spellStart"/>
        <w:r w:rsidRPr="00421CAF">
          <w:rPr>
            <w:sz w:val="20"/>
            <w:lang w:val="en-US"/>
          </w:rPr>
          <w:t>Manzini</w:t>
        </w:r>
        <w:proofErr w:type="spellEnd"/>
        <w:r w:rsidRPr="00421CAF">
          <w:rPr>
            <w:sz w:val="20"/>
            <w:lang w:val="en-US"/>
          </w:rPr>
          <w:t xml:space="preserve"> M. Safe and rapid approach to the deviated nasal septum in children.</w:t>
        </w:r>
      </w:hyperlink>
      <w:hyperlink r:id="rId258">
        <w:r w:rsidRPr="00421CAF">
          <w:rPr>
            <w:sz w:val="20"/>
            <w:lang w:val="en-US"/>
          </w:rPr>
          <w:t xml:space="preserve"> </w:t>
        </w:r>
        <w:proofErr w:type="spellStart"/>
        <w:r>
          <w:rPr>
            <w:sz w:val="20"/>
          </w:rPr>
          <w:t>Laryngoscope</w:t>
        </w:r>
        <w:proofErr w:type="spellEnd"/>
        <w:r>
          <w:rPr>
            <w:sz w:val="20"/>
          </w:rPr>
          <w:t xml:space="preserve">. </w:t>
        </w:r>
        <w:proofErr w:type="gramStart"/>
        <w:r>
          <w:rPr>
            <w:sz w:val="20"/>
          </w:rPr>
          <w:t>2009;</w:t>
        </w:r>
        <w:proofErr w:type="gramEnd"/>
        <w:r>
          <w:rPr>
            <w:sz w:val="20"/>
          </w:rPr>
          <w:t>119:</w:t>
        </w:r>
        <w:r>
          <w:rPr>
            <w:spacing w:val="-3"/>
            <w:sz w:val="20"/>
          </w:rPr>
          <w:t xml:space="preserve"> </w:t>
        </w:r>
        <w:r>
          <w:rPr>
            <w:sz w:val="20"/>
          </w:rPr>
          <w:t>2000–2003.</w:t>
        </w:r>
      </w:hyperlink>
    </w:p>
    <w:p w:rsidR="00A74668" w:rsidRDefault="00A74668">
      <w:pPr>
        <w:jc w:val="both"/>
        <w:rPr>
          <w:sz w:val="20"/>
        </w:rPr>
        <w:sectPr w:rsidR="00A74668">
          <w:pgSz w:w="11910" w:h="16840"/>
          <w:pgMar w:top="1040" w:right="980" w:bottom="440" w:left="900" w:header="0" w:footer="254" w:gutter="0"/>
          <w:cols w:space="720"/>
        </w:sectPr>
      </w:pPr>
    </w:p>
    <w:p w:rsidR="00A74668" w:rsidRDefault="00421CAF">
      <w:pPr>
        <w:pStyle w:val="PargrafodaLista"/>
        <w:numPr>
          <w:ilvl w:val="0"/>
          <w:numId w:val="6"/>
        </w:numPr>
        <w:tabs>
          <w:tab w:val="left" w:pos="942"/>
        </w:tabs>
        <w:spacing w:before="72"/>
        <w:ind w:right="579" w:firstLine="0"/>
        <w:jc w:val="both"/>
        <w:rPr>
          <w:sz w:val="20"/>
        </w:rPr>
      </w:pPr>
      <w:hyperlink r:id="rId259">
        <w:proofErr w:type="spellStart"/>
        <w:r w:rsidRPr="00421CAF">
          <w:rPr>
            <w:sz w:val="20"/>
            <w:lang w:val="en-US"/>
          </w:rPr>
          <w:t>Venekamp</w:t>
        </w:r>
        <w:proofErr w:type="spellEnd"/>
        <w:r w:rsidRPr="00421CAF">
          <w:rPr>
            <w:sz w:val="20"/>
            <w:lang w:val="en-US"/>
          </w:rPr>
          <w:t xml:space="preserve"> RP, Hearne BJ, </w:t>
        </w:r>
        <w:proofErr w:type="spellStart"/>
        <w:r w:rsidRPr="00421CAF">
          <w:rPr>
            <w:sz w:val="20"/>
            <w:lang w:val="en-US"/>
          </w:rPr>
          <w:t>Chandrasekharan</w:t>
        </w:r>
        <w:proofErr w:type="spellEnd"/>
        <w:r w:rsidRPr="00421CAF">
          <w:rPr>
            <w:sz w:val="20"/>
            <w:lang w:val="en-US"/>
          </w:rPr>
          <w:t xml:space="preserve"> D, </w:t>
        </w:r>
        <w:proofErr w:type="spellStart"/>
        <w:r w:rsidRPr="00421CAF">
          <w:rPr>
            <w:sz w:val="20"/>
            <w:lang w:val="en-US"/>
          </w:rPr>
          <w:t>Blackshaw</w:t>
        </w:r>
        <w:proofErr w:type="spellEnd"/>
        <w:r w:rsidRPr="00421CAF">
          <w:rPr>
            <w:sz w:val="20"/>
            <w:lang w:val="en-US"/>
          </w:rPr>
          <w:t xml:space="preserve"> H, Lim J, </w:t>
        </w:r>
        <w:proofErr w:type="spellStart"/>
        <w:r w:rsidRPr="00421CAF">
          <w:rPr>
            <w:sz w:val="20"/>
            <w:lang w:val="en-US"/>
          </w:rPr>
          <w:t>Schilder</w:t>
        </w:r>
        <w:proofErr w:type="spellEnd"/>
        <w:r w:rsidRPr="00421CAF">
          <w:rPr>
            <w:sz w:val="20"/>
            <w:lang w:val="en-US"/>
          </w:rPr>
          <w:t xml:space="preserve"> AGM. Tonsillectomy or</w:t>
        </w:r>
      </w:hyperlink>
      <w:hyperlink r:id="rId260">
        <w:r w:rsidRPr="00421CAF">
          <w:rPr>
            <w:sz w:val="20"/>
            <w:lang w:val="en-US"/>
          </w:rPr>
          <w:t xml:space="preserve"> </w:t>
        </w:r>
        <w:proofErr w:type="spellStart"/>
        <w:r w:rsidRPr="00421CAF">
          <w:rPr>
            <w:sz w:val="20"/>
            <w:lang w:val="en-US"/>
          </w:rPr>
          <w:t>adenotonsillectomy</w:t>
        </w:r>
        <w:proofErr w:type="spellEnd"/>
        <w:r w:rsidRPr="00421CAF">
          <w:rPr>
            <w:sz w:val="20"/>
            <w:lang w:val="en-US"/>
          </w:rPr>
          <w:t xml:space="preserve"> versus non-surgical management for obstructive sleep-disordered breathing in children.</w:t>
        </w:r>
      </w:hyperlink>
      <w:hyperlink r:id="rId261">
        <w:r w:rsidRPr="00421CAF">
          <w:rPr>
            <w:sz w:val="20"/>
            <w:lang w:val="en-US"/>
          </w:rPr>
          <w:t xml:space="preserve"> </w:t>
        </w:r>
        <w:r>
          <w:rPr>
            <w:sz w:val="20"/>
          </w:rPr>
          <w:t xml:space="preserve">Cochrane </w:t>
        </w:r>
        <w:proofErr w:type="spellStart"/>
        <w:r>
          <w:rPr>
            <w:sz w:val="20"/>
          </w:rPr>
          <w:t>Database</w:t>
        </w:r>
        <w:proofErr w:type="spellEnd"/>
        <w:r>
          <w:rPr>
            <w:sz w:val="20"/>
          </w:rPr>
          <w:t xml:space="preserve"> </w:t>
        </w:r>
        <w:proofErr w:type="spellStart"/>
        <w:r>
          <w:rPr>
            <w:sz w:val="20"/>
          </w:rPr>
          <w:t>of</w:t>
        </w:r>
        <w:proofErr w:type="spellEnd"/>
        <w:r>
          <w:rPr>
            <w:sz w:val="20"/>
          </w:rPr>
          <w:t xml:space="preserve"> </w:t>
        </w:r>
        <w:proofErr w:type="spellStart"/>
        <w:r>
          <w:rPr>
            <w:sz w:val="20"/>
          </w:rPr>
          <w:t>Systematic</w:t>
        </w:r>
        <w:proofErr w:type="spellEnd"/>
        <w:r>
          <w:rPr>
            <w:sz w:val="20"/>
          </w:rPr>
          <w:t xml:space="preserve"> </w:t>
        </w:r>
        <w:proofErr w:type="spellStart"/>
        <w:r>
          <w:rPr>
            <w:sz w:val="20"/>
          </w:rPr>
          <w:t>Reviews</w:t>
        </w:r>
        <w:proofErr w:type="spellEnd"/>
        <w:r>
          <w:rPr>
            <w:sz w:val="20"/>
          </w:rPr>
          <w:t>.</w:t>
        </w:r>
        <w:r>
          <w:rPr>
            <w:spacing w:val="-3"/>
            <w:sz w:val="20"/>
          </w:rPr>
          <w:t xml:space="preserve"> </w:t>
        </w:r>
        <w:proofErr w:type="gramStart"/>
        <w:r>
          <w:rPr>
            <w:sz w:val="20"/>
          </w:rPr>
          <w:t>2015.</w:t>
        </w:r>
        <w:proofErr w:type="gramEnd"/>
      </w:hyperlink>
    </w:p>
    <w:p w:rsidR="00A74668" w:rsidRDefault="00421CAF">
      <w:pPr>
        <w:pStyle w:val="PargrafodaLista"/>
        <w:numPr>
          <w:ilvl w:val="0"/>
          <w:numId w:val="6"/>
        </w:numPr>
        <w:tabs>
          <w:tab w:val="left" w:pos="942"/>
        </w:tabs>
        <w:spacing w:before="2"/>
        <w:ind w:right="581" w:firstLine="0"/>
        <w:jc w:val="both"/>
        <w:rPr>
          <w:sz w:val="20"/>
        </w:rPr>
      </w:pPr>
      <w:hyperlink r:id="rId262">
        <w:proofErr w:type="spellStart"/>
        <w:r w:rsidRPr="00421CAF">
          <w:rPr>
            <w:sz w:val="20"/>
            <w:lang w:val="en-US"/>
          </w:rPr>
          <w:t>Jeong</w:t>
        </w:r>
        <w:proofErr w:type="spellEnd"/>
        <w:r w:rsidRPr="00421CAF">
          <w:rPr>
            <w:sz w:val="20"/>
            <w:lang w:val="en-US"/>
          </w:rPr>
          <w:t xml:space="preserve"> H-S, Cho D-Y, </w:t>
        </w:r>
        <w:proofErr w:type="spellStart"/>
        <w:r w:rsidRPr="00421CAF">
          <w:rPr>
            <w:sz w:val="20"/>
            <w:lang w:val="en-US"/>
          </w:rPr>
          <w:t>Ahn</w:t>
        </w:r>
        <w:proofErr w:type="spellEnd"/>
        <w:r w:rsidRPr="00421CAF">
          <w:rPr>
            <w:sz w:val="20"/>
            <w:lang w:val="en-US"/>
          </w:rPr>
          <w:t xml:space="preserve"> KM, Jin D-K. Complications of tracheotomy in patients with</w:t>
        </w:r>
      </w:hyperlink>
      <w:hyperlink r:id="rId263">
        <w:r w:rsidRPr="00421CAF">
          <w:rPr>
            <w:sz w:val="20"/>
            <w:lang w:val="en-US"/>
          </w:rPr>
          <w:t xml:space="preserve"> </w:t>
        </w:r>
        <w:proofErr w:type="spellStart"/>
        <w:r w:rsidRPr="00421CAF">
          <w:rPr>
            <w:sz w:val="20"/>
            <w:lang w:val="en-US"/>
          </w:rPr>
          <w:t>mucopolysaccharidoses</w:t>
        </w:r>
        <w:proofErr w:type="spellEnd"/>
        <w:r w:rsidRPr="00421CAF">
          <w:rPr>
            <w:sz w:val="20"/>
            <w:lang w:val="en-US"/>
          </w:rPr>
          <w:t xml:space="preserve"> type II (Hunter syndrome). </w:t>
        </w:r>
        <w:proofErr w:type="spellStart"/>
        <w:r>
          <w:rPr>
            <w:sz w:val="20"/>
          </w:rPr>
          <w:t>Int</w:t>
        </w:r>
        <w:proofErr w:type="spellEnd"/>
        <w:r>
          <w:rPr>
            <w:sz w:val="20"/>
          </w:rPr>
          <w:t xml:space="preserve"> J </w:t>
        </w:r>
        <w:proofErr w:type="spellStart"/>
        <w:proofErr w:type="gramStart"/>
        <w:r>
          <w:rPr>
            <w:sz w:val="20"/>
          </w:rPr>
          <w:t>PediatrOtorhinolaryngol</w:t>
        </w:r>
        <w:proofErr w:type="spellEnd"/>
        <w:proofErr w:type="gramEnd"/>
        <w:r>
          <w:rPr>
            <w:sz w:val="20"/>
          </w:rPr>
          <w:t xml:space="preserve">. </w:t>
        </w:r>
        <w:proofErr w:type="gramStart"/>
        <w:r>
          <w:rPr>
            <w:sz w:val="20"/>
          </w:rPr>
          <w:t>2</w:t>
        </w:r>
        <w:r>
          <w:rPr>
            <w:sz w:val="20"/>
          </w:rPr>
          <w:t>006;</w:t>
        </w:r>
        <w:proofErr w:type="gramEnd"/>
        <w:r>
          <w:rPr>
            <w:sz w:val="20"/>
          </w:rPr>
          <w:t>70:</w:t>
        </w:r>
        <w:r>
          <w:rPr>
            <w:spacing w:val="-4"/>
            <w:sz w:val="20"/>
          </w:rPr>
          <w:t xml:space="preserve"> </w:t>
        </w:r>
        <w:r>
          <w:rPr>
            <w:sz w:val="20"/>
          </w:rPr>
          <w:t>1765–1769.</w:t>
        </w:r>
      </w:hyperlink>
    </w:p>
    <w:p w:rsidR="00A74668" w:rsidRDefault="00421CAF">
      <w:pPr>
        <w:pStyle w:val="PargrafodaLista"/>
        <w:numPr>
          <w:ilvl w:val="0"/>
          <w:numId w:val="6"/>
        </w:numPr>
        <w:tabs>
          <w:tab w:val="left" w:pos="942"/>
        </w:tabs>
        <w:spacing w:before="1" w:line="229" w:lineRule="exact"/>
        <w:ind w:firstLine="0"/>
        <w:jc w:val="both"/>
        <w:rPr>
          <w:sz w:val="20"/>
        </w:rPr>
      </w:pPr>
      <w:hyperlink r:id="rId264">
        <w:r>
          <w:rPr>
            <w:sz w:val="20"/>
          </w:rPr>
          <w:t xml:space="preserve">Fraga JC, Souza JCK de, </w:t>
        </w:r>
        <w:proofErr w:type="spellStart"/>
        <w:r>
          <w:rPr>
            <w:sz w:val="20"/>
          </w:rPr>
          <w:t>Kruel</w:t>
        </w:r>
        <w:proofErr w:type="spellEnd"/>
        <w:r>
          <w:rPr>
            <w:sz w:val="20"/>
          </w:rPr>
          <w:t xml:space="preserve"> J. </w:t>
        </w:r>
        <w:proofErr w:type="spellStart"/>
        <w:r>
          <w:rPr>
            <w:sz w:val="20"/>
          </w:rPr>
          <w:t>Pediatrictracheostomy</w:t>
        </w:r>
        <w:proofErr w:type="spellEnd"/>
        <w:r>
          <w:rPr>
            <w:sz w:val="20"/>
          </w:rPr>
          <w:t xml:space="preserve">. J </w:t>
        </w:r>
        <w:proofErr w:type="spellStart"/>
        <w:proofErr w:type="gramStart"/>
        <w:r>
          <w:rPr>
            <w:sz w:val="20"/>
          </w:rPr>
          <w:t>Pediatr</w:t>
        </w:r>
        <w:proofErr w:type="spellEnd"/>
        <w:r>
          <w:rPr>
            <w:sz w:val="20"/>
          </w:rPr>
          <w:t xml:space="preserve"> .</w:t>
        </w:r>
        <w:proofErr w:type="gramEnd"/>
        <w:r>
          <w:rPr>
            <w:sz w:val="20"/>
          </w:rPr>
          <w:t>2009;85:</w:t>
        </w:r>
        <w:r>
          <w:rPr>
            <w:spacing w:val="-8"/>
            <w:sz w:val="20"/>
          </w:rPr>
          <w:t xml:space="preserve"> </w:t>
        </w:r>
        <w:r>
          <w:rPr>
            <w:sz w:val="20"/>
          </w:rPr>
          <w:t>97–103.</w:t>
        </w:r>
      </w:hyperlink>
    </w:p>
    <w:p w:rsidR="00A74668" w:rsidRDefault="00421CAF">
      <w:pPr>
        <w:pStyle w:val="PargrafodaLista"/>
        <w:numPr>
          <w:ilvl w:val="0"/>
          <w:numId w:val="6"/>
        </w:numPr>
        <w:tabs>
          <w:tab w:val="left" w:pos="942"/>
        </w:tabs>
        <w:ind w:right="591" w:firstLine="0"/>
        <w:jc w:val="both"/>
        <w:rPr>
          <w:sz w:val="20"/>
        </w:rPr>
      </w:pPr>
      <w:hyperlink r:id="rId265">
        <w:r w:rsidRPr="00421CAF">
          <w:rPr>
            <w:sz w:val="20"/>
            <w:lang w:val="en-US"/>
          </w:rPr>
          <w:t xml:space="preserve">Sheridan M, Johnston I. Hydrocephalus and </w:t>
        </w:r>
        <w:proofErr w:type="spellStart"/>
        <w:r w:rsidRPr="00421CAF">
          <w:rPr>
            <w:sz w:val="20"/>
            <w:lang w:val="en-US"/>
          </w:rPr>
          <w:t>p</w:t>
        </w:r>
        <w:r w:rsidRPr="00421CAF">
          <w:rPr>
            <w:sz w:val="20"/>
            <w:lang w:val="en-US"/>
          </w:rPr>
          <w:t>seudotumourcerebri</w:t>
        </w:r>
        <w:proofErr w:type="spellEnd"/>
        <w:r w:rsidRPr="00421CAF">
          <w:rPr>
            <w:sz w:val="20"/>
            <w:lang w:val="en-US"/>
          </w:rPr>
          <w:t xml:space="preserve"> in the </w:t>
        </w:r>
        <w:proofErr w:type="spellStart"/>
        <w:r w:rsidRPr="00421CAF">
          <w:rPr>
            <w:sz w:val="20"/>
            <w:lang w:val="en-US"/>
          </w:rPr>
          <w:t>mucopolysaccharidoses</w:t>
        </w:r>
        <w:proofErr w:type="spellEnd"/>
        <w:r w:rsidRPr="00421CAF">
          <w:rPr>
            <w:sz w:val="20"/>
            <w:lang w:val="en-US"/>
          </w:rPr>
          <w:t xml:space="preserve">. </w:t>
        </w:r>
        <w:proofErr w:type="spellStart"/>
        <w:r>
          <w:rPr>
            <w:sz w:val="20"/>
          </w:rPr>
          <w:t>Childs</w:t>
        </w:r>
        <w:proofErr w:type="spellEnd"/>
      </w:hyperlink>
      <w:hyperlink r:id="rId266">
        <w:r>
          <w:rPr>
            <w:sz w:val="20"/>
          </w:rPr>
          <w:t xml:space="preserve"> </w:t>
        </w:r>
        <w:proofErr w:type="spellStart"/>
        <w:r>
          <w:rPr>
            <w:sz w:val="20"/>
          </w:rPr>
          <w:t>Nerv</w:t>
        </w:r>
        <w:proofErr w:type="spellEnd"/>
        <w:r>
          <w:rPr>
            <w:sz w:val="20"/>
          </w:rPr>
          <w:t xml:space="preserve"> </w:t>
        </w:r>
        <w:proofErr w:type="spellStart"/>
        <w:r>
          <w:rPr>
            <w:sz w:val="20"/>
          </w:rPr>
          <w:t>Syst</w:t>
        </w:r>
        <w:proofErr w:type="spellEnd"/>
        <w:r>
          <w:rPr>
            <w:sz w:val="20"/>
          </w:rPr>
          <w:t xml:space="preserve">. </w:t>
        </w:r>
        <w:proofErr w:type="gramStart"/>
        <w:r>
          <w:rPr>
            <w:sz w:val="20"/>
          </w:rPr>
          <w:t>1994;</w:t>
        </w:r>
        <w:proofErr w:type="gramEnd"/>
        <w:r>
          <w:rPr>
            <w:sz w:val="20"/>
          </w:rPr>
          <w:t>10:</w:t>
        </w:r>
        <w:r>
          <w:rPr>
            <w:spacing w:val="-3"/>
            <w:sz w:val="20"/>
          </w:rPr>
          <w:t xml:space="preserve"> </w:t>
        </w:r>
        <w:r>
          <w:rPr>
            <w:sz w:val="20"/>
          </w:rPr>
          <w:t>148–150.</w:t>
        </w:r>
      </w:hyperlink>
    </w:p>
    <w:p w:rsidR="00A74668" w:rsidRDefault="00421CAF">
      <w:pPr>
        <w:pStyle w:val="PargrafodaLista"/>
        <w:numPr>
          <w:ilvl w:val="0"/>
          <w:numId w:val="6"/>
        </w:numPr>
        <w:tabs>
          <w:tab w:val="left" w:pos="942"/>
        </w:tabs>
        <w:ind w:right="584" w:firstLine="0"/>
        <w:jc w:val="both"/>
        <w:rPr>
          <w:sz w:val="20"/>
        </w:rPr>
      </w:pPr>
      <w:hyperlink r:id="rId267">
        <w:proofErr w:type="spellStart"/>
        <w:r w:rsidRPr="00421CAF">
          <w:rPr>
            <w:sz w:val="20"/>
            <w:lang w:val="en-US"/>
          </w:rPr>
          <w:t>Dalla</w:t>
        </w:r>
        <w:proofErr w:type="spellEnd"/>
        <w:r w:rsidRPr="00421CAF">
          <w:rPr>
            <w:sz w:val="20"/>
            <w:lang w:val="en-US"/>
          </w:rPr>
          <w:t xml:space="preserve"> Corte A, Corte AD, de Souza CFM, </w:t>
        </w:r>
        <w:proofErr w:type="spellStart"/>
        <w:r w:rsidRPr="00421CAF">
          <w:rPr>
            <w:sz w:val="20"/>
            <w:lang w:val="en-US"/>
          </w:rPr>
          <w:t>Anés</w:t>
        </w:r>
        <w:proofErr w:type="spellEnd"/>
        <w:r w:rsidRPr="00421CAF">
          <w:rPr>
            <w:sz w:val="20"/>
            <w:lang w:val="en-US"/>
          </w:rPr>
          <w:t xml:space="preserve"> M, </w:t>
        </w:r>
        <w:proofErr w:type="spellStart"/>
        <w:r w:rsidRPr="00421CAF">
          <w:rPr>
            <w:sz w:val="20"/>
            <w:lang w:val="en-US"/>
          </w:rPr>
          <w:t>Giugliani</w:t>
        </w:r>
        <w:proofErr w:type="spellEnd"/>
        <w:r w:rsidRPr="00421CAF">
          <w:rPr>
            <w:sz w:val="20"/>
            <w:lang w:val="en-US"/>
          </w:rPr>
          <w:t xml:space="preserve"> R. Hydrocephalus and</w:t>
        </w:r>
      </w:hyperlink>
      <w:hyperlink r:id="rId268">
        <w:r w:rsidRPr="00421CAF">
          <w:rPr>
            <w:sz w:val="20"/>
            <w:lang w:val="en-US"/>
          </w:rPr>
          <w:t xml:space="preserve"> </w:t>
        </w:r>
        <w:proofErr w:type="spellStart"/>
        <w:r w:rsidRPr="00421CAF">
          <w:rPr>
            <w:sz w:val="20"/>
            <w:lang w:val="en-US"/>
          </w:rPr>
          <w:t>mucopolysaccharidoses</w:t>
        </w:r>
        <w:proofErr w:type="spellEnd"/>
        <w:r w:rsidRPr="00421CAF">
          <w:rPr>
            <w:sz w:val="20"/>
            <w:lang w:val="en-US"/>
          </w:rPr>
          <w:t xml:space="preserve">: what do </w:t>
        </w:r>
        <w:r w:rsidRPr="00421CAF">
          <w:rPr>
            <w:spacing w:val="-3"/>
            <w:sz w:val="20"/>
            <w:lang w:val="en-US"/>
          </w:rPr>
          <w:t xml:space="preserve">we </w:t>
        </w:r>
        <w:r w:rsidRPr="00421CAF">
          <w:rPr>
            <w:sz w:val="20"/>
            <w:lang w:val="en-US"/>
          </w:rPr>
          <w:t xml:space="preserve">know and what do we not know? </w:t>
        </w:r>
        <w:proofErr w:type="spellStart"/>
        <w:r>
          <w:rPr>
            <w:sz w:val="20"/>
          </w:rPr>
          <w:t>Childs</w:t>
        </w:r>
        <w:proofErr w:type="spellEnd"/>
        <w:r>
          <w:rPr>
            <w:sz w:val="20"/>
          </w:rPr>
          <w:t xml:space="preserve"> </w:t>
        </w:r>
        <w:proofErr w:type="spellStart"/>
        <w:r>
          <w:rPr>
            <w:sz w:val="20"/>
          </w:rPr>
          <w:t>Nerv</w:t>
        </w:r>
        <w:proofErr w:type="spellEnd"/>
        <w:r>
          <w:rPr>
            <w:sz w:val="20"/>
          </w:rPr>
          <w:t xml:space="preserve"> </w:t>
        </w:r>
        <w:proofErr w:type="spellStart"/>
        <w:r>
          <w:rPr>
            <w:sz w:val="20"/>
          </w:rPr>
          <w:t>Syst</w:t>
        </w:r>
        <w:proofErr w:type="spellEnd"/>
        <w:r>
          <w:rPr>
            <w:sz w:val="20"/>
          </w:rPr>
          <w:t xml:space="preserve">. </w:t>
        </w:r>
        <w:proofErr w:type="gramStart"/>
        <w:r>
          <w:rPr>
            <w:sz w:val="20"/>
          </w:rPr>
          <w:t>2017;</w:t>
        </w:r>
        <w:proofErr w:type="gramEnd"/>
        <w:r>
          <w:rPr>
            <w:sz w:val="20"/>
          </w:rPr>
          <w:t>33:</w:t>
        </w:r>
        <w:r>
          <w:rPr>
            <w:spacing w:val="-10"/>
            <w:sz w:val="20"/>
          </w:rPr>
          <w:t xml:space="preserve"> </w:t>
        </w:r>
        <w:r>
          <w:rPr>
            <w:sz w:val="20"/>
          </w:rPr>
          <w:t>1073–1080.</w:t>
        </w:r>
      </w:hyperlink>
    </w:p>
    <w:p w:rsidR="00A74668" w:rsidRDefault="00421CAF">
      <w:pPr>
        <w:pStyle w:val="PargrafodaLista"/>
        <w:numPr>
          <w:ilvl w:val="0"/>
          <w:numId w:val="6"/>
        </w:numPr>
        <w:tabs>
          <w:tab w:val="left" w:pos="942"/>
        </w:tabs>
        <w:ind w:right="592" w:firstLine="0"/>
        <w:jc w:val="both"/>
        <w:rPr>
          <w:sz w:val="20"/>
        </w:rPr>
      </w:pPr>
      <w:hyperlink r:id="rId269">
        <w:proofErr w:type="spellStart"/>
        <w:r w:rsidRPr="00421CAF">
          <w:rPr>
            <w:sz w:val="20"/>
            <w:lang w:val="en-US"/>
          </w:rPr>
          <w:t>Yatziv</w:t>
        </w:r>
        <w:proofErr w:type="spellEnd"/>
        <w:r w:rsidRPr="00421CAF">
          <w:rPr>
            <w:sz w:val="20"/>
            <w:lang w:val="en-US"/>
          </w:rPr>
          <w:t xml:space="preserve"> S, Epstein CJ. Hunter syndrome presenting as macrocephaly and hydrocephalus. </w:t>
        </w:r>
        <w:r>
          <w:rPr>
            <w:sz w:val="20"/>
          </w:rPr>
          <w:t xml:space="preserve">J </w:t>
        </w:r>
        <w:proofErr w:type="spellStart"/>
        <w:r>
          <w:rPr>
            <w:sz w:val="20"/>
          </w:rPr>
          <w:t>Med</w:t>
        </w:r>
        <w:proofErr w:type="spellEnd"/>
        <w:r>
          <w:rPr>
            <w:sz w:val="20"/>
          </w:rPr>
          <w:t xml:space="preserve"> </w:t>
        </w:r>
        <w:proofErr w:type="spellStart"/>
        <w:proofErr w:type="gramStart"/>
        <w:r>
          <w:rPr>
            <w:sz w:val="20"/>
          </w:rPr>
          <w:t>Genet</w:t>
        </w:r>
        <w:proofErr w:type="spellEnd"/>
        <w:r>
          <w:rPr>
            <w:sz w:val="20"/>
          </w:rPr>
          <w:t>.</w:t>
        </w:r>
        <w:proofErr w:type="gramEnd"/>
      </w:hyperlink>
      <w:hyperlink r:id="rId270">
        <w:r>
          <w:rPr>
            <w:sz w:val="20"/>
          </w:rPr>
          <w:t xml:space="preserve"> 1977;14:</w:t>
        </w:r>
        <w:r>
          <w:rPr>
            <w:spacing w:val="-1"/>
            <w:sz w:val="20"/>
          </w:rPr>
          <w:t xml:space="preserve"> </w:t>
        </w:r>
        <w:r>
          <w:rPr>
            <w:sz w:val="20"/>
          </w:rPr>
          <w:t>445–447.</w:t>
        </w:r>
      </w:hyperlink>
    </w:p>
    <w:p w:rsidR="00A74668" w:rsidRDefault="00421CAF">
      <w:pPr>
        <w:pStyle w:val="PargrafodaLista"/>
        <w:numPr>
          <w:ilvl w:val="0"/>
          <w:numId w:val="6"/>
        </w:numPr>
        <w:tabs>
          <w:tab w:val="left" w:pos="942"/>
        </w:tabs>
        <w:ind w:right="576" w:firstLine="0"/>
        <w:jc w:val="both"/>
        <w:rPr>
          <w:sz w:val="20"/>
        </w:rPr>
      </w:pPr>
      <w:hyperlink r:id="rId271">
        <w:proofErr w:type="spellStart"/>
        <w:r w:rsidRPr="00421CAF">
          <w:rPr>
            <w:sz w:val="20"/>
            <w:lang w:val="en-US"/>
          </w:rPr>
          <w:t>Kachur</w:t>
        </w:r>
        <w:proofErr w:type="spellEnd"/>
        <w:r w:rsidRPr="00421CAF">
          <w:rPr>
            <w:sz w:val="20"/>
            <w:lang w:val="en-US"/>
          </w:rPr>
          <w:t xml:space="preserve"> E, Del Maestro R. </w:t>
        </w:r>
        <w:proofErr w:type="spellStart"/>
        <w:r w:rsidRPr="00421CAF">
          <w:rPr>
            <w:sz w:val="20"/>
            <w:lang w:val="en-US"/>
          </w:rPr>
          <w:t>Mucopolysaccharidoses</w:t>
        </w:r>
        <w:proofErr w:type="spellEnd"/>
        <w:r w:rsidRPr="00421CAF">
          <w:rPr>
            <w:sz w:val="20"/>
            <w:lang w:val="en-US"/>
          </w:rPr>
          <w:t xml:space="preserve"> and spinal cord compression: case report and review</w:t>
        </w:r>
      </w:hyperlink>
      <w:hyperlink r:id="rId272">
        <w:r w:rsidRPr="00421CAF">
          <w:rPr>
            <w:sz w:val="20"/>
            <w:lang w:val="en-US"/>
          </w:rPr>
          <w:t xml:space="preserve"> of the literature with implications of bone marrow transplantation. </w:t>
        </w:r>
        <w:proofErr w:type="spellStart"/>
        <w:r>
          <w:rPr>
            <w:sz w:val="20"/>
          </w:rPr>
          <w:t>Neurosurgery</w:t>
        </w:r>
        <w:proofErr w:type="spellEnd"/>
        <w:r>
          <w:rPr>
            <w:sz w:val="20"/>
          </w:rPr>
          <w:t xml:space="preserve">. </w:t>
        </w:r>
        <w:proofErr w:type="gramStart"/>
        <w:r>
          <w:rPr>
            <w:sz w:val="20"/>
          </w:rPr>
          <w:t>2000;</w:t>
        </w:r>
        <w:proofErr w:type="gramEnd"/>
        <w:r>
          <w:rPr>
            <w:sz w:val="20"/>
          </w:rPr>
          <w:t xml:space="preserve">47: </w:t>
        </w:r>
        <w:r>
          <w:rPr>
            <w:spacing w:val="2"/>
            <w:sz w:val="20"/>
          </w:rPr>
          <w:t xml:space="preserve">223–8; </w:t>
        </w:r>
        <w:proofErr w:type="spellStart"/>
        <w:r>
          <w:rPr>
            <w:sz w:val="20"/>
          </w:rPr>
          <w:t>d</w:t>
        </w:r>
        <w:r>
          <w:rPr>
            <w:sz w:val="20"/>
          </w:rPr>
          <w:t>iscussion</w:t>
        </w:r>
        <w:proofErr w:type="spellEnd"/>
        <w:r>
          <w:rPr>
            <w:sz w:val="20"/>
          </w:rPr>
          <w:t xml:space="preserve"> 228–</w:t>
        </w:r>
      </w:hyperlink>
      <w:hyperlink r:id="rId273">
        <w:r>
          <w:rPr>
            <w:sz w:val="20"/>
          </w:rPr>
          <w:t xml:space="preserve"> 9.</w:t>
        </w:r>
      </w:hyperlink>
    </w:p>
    <w:p w:rsidR="00A74668" w:rsidRDefault="00421CAF">
      <w:pPr>
        <w:pStyle w:val="PargrafodaLista"/>
        <w:numPr>
          <w:ilvl w:val="0"/>
          <w:numId w:val="6"/>
        </w:numPr>
        <w:tabs>
          <w:tab w:val="left" w:pos="942"/>
        </w:tabs>
        <w:spacing w:before="1"/>
        <w:ind w:right="579" w:firstLine="0"/>
        <w:jc w:val="both"/>
        <w:rPr>
          <w:sz w:val="20"/>
        </w:rPr>
      </w:pPr>
      <w:hyperlink r:id="rId274">
        <w:r w:rsidRPr="00421CAF">
          <w:rPr>
            <w:sz w:val="20"/>
            <w:lang w:val="en-US"/>
          </w:rPr>
          <w:t xml:space="preserve">Ballenger CE, Swift TR, </w:t>
        </w:r>
        <w:proofErr w:type="spellStart"/>
        <w:r w:rsidRPr="00421CAF">
          <w:rPr>
            <w:sz w:val="20"/>
            <w:lang w:val="en-US"/>
          </w:rPr>
          <w:t>Leshner</w:t>
        </w:r>
        <w:proofErr w:type="spellEnd"/>
        <w:r w:rsidRPr="00421CAF">
          <w:rPr>
            <w:sz w:val="20"/>
            <w:lang w:val="en-US"/>
          </w:rPr>
          <w:t xml:space="preserve"> RT, El </w:t>
        </w:r>
        <w:proofErr w:type="spellStart"/>
        <w:r w:rsidRPr="00421CAF">
          <w:rPr>
            <w:sz w:val="20"/>
            <w:lang w:val="en-US"/>
          </w:rPr>
          <w:t>Gammal</w:t>
        </w:r>
        <w:proofErr w:type="spellEnd"/>
        <w:r w:rsidRPr="00421CAF">
          <w:rPr>
            <w:sz w:val="20"/>
            <w:lang w:val="en-US"/>
          </w:rPr>
          <w:t xml:space="preserve"> TA, McDonald TF. </w:t>
        </w:r>
        <w:proofErr w:type="spellStart"/>
        <w:r>
          <w:rPr>
            <w:sz w:val="20"/>
          </w:rPr>
          <w:t>Myelopathy</w:t>
        </w:r>
        <w:proofErr w:type="spellEnd"/>
        <w:r>
          <w:rPr>
            <w:sz w:val="20"/>
          </w:rPr>
          <w:t xml:space="preserve"> in</w:t>
        </w:r>
      </w:hyperlink>
      <w:hyperlink r:id="rId275">
        <w:r>
          <w:rPr>
            <w:sz w:val="20"/>
          </w:rPr>
          <w:t xml:space="preserve"> </w:t>
        </w:r>
        <w:proofErr w:type="spellStart"/>
        <w:r>
          <w:rPr>
            <w:sz w:val="20"/>
          </w:rPr>
          <w:t>mucopolysaccharidosis</w:t>
        </w:r>
        <w:proofErr w:type="spellEnd"/>
        <w:r>
          <w:rPr>
            <w:sz w:val="20"/>
          </w:rPr>
          <w:t xml:space="preserve"> </w:t>
        </w:r>
        <w:proofErr w:type="spellStart"/>
        <w:r>
          <w:rPr>
            <w:sz w:val="20"/>
          </w:rPr>
          <w:t>type</w:t>
        </w:r>
        <w:proofErr w:type="spellEnd"/>
        <w:r>
          <w:rPr>
            <w:sz w:val="20"/>
          </w:rPr>
          <w:t xml:space="preserve"> II (Hunter </w:t>
        </w:r>
        <w:proofErr w:type="spellStart"/>
        <w:r>
          <w:rPr>
            <w:sz w:val="20"/>
          </w:rPr>
          <w:t>syndrome</w:t>
        </w:r>
        <w:proofErr w:type="spellEnd"/>
        <w:r>
          <w:rPr>
            <w:sz w:val="20"/>
          </w:rPr>
          <w:t xml:space="preserve">). Ann </w:t>
        </w:r>
        <w:proofErr w:type="spellStart"/>
        <w:r>
          <w:rPr>
            <w:sz w:val="20"/>
          </w:rPr>
          <w:t>Neurol</w:t>
        </w:r>
        <w:proofErr w:type="spellEnd"/>
        <w:r>
          <w:rPr>
            <w:sz w:val="20"/>
          </w:rPr>
          <w:t xml:space="preserve">. </w:t>
        </w:r>
        <w:proofErr w:type="gramStart"/>
        <w:r>
          <w:rPr>
            <w:sz w:val="20"/>
          </w:rPr>
          <w:t>1980;</w:t>
        </w:r>
        <w:proofErr w:type="gramEnd"/>
        <w:r>
          <w:rPr>
            <w:sz w:val="20"/>
          </w:rPr>
          <w:t>7:</w:t>
        </w:r>
        <w:r>
          <w:rPr>
            <w:spacing w:val="-6"/>
            <w:sz w:val="20"/>
          </w:rPr>
          <w:t xml:space="preserve"> </w:t>
        </w:r>
        <w:r>
          <w:rPr>
            <w:sz w:val="20"/>
          </w:rPr>
          <w:t>382–385.</w:t>
        </w:r>
      </w:hyperlink>
    </w:p>
    <w:p w:rsidR="00A74668" w:rsidRDefault="00421CAF">
      <w:pPr>
        <w:pStyle w:val="PargrafodaLista"/>
        <w:numPr>
          <w:ilvl w:val="0"/>
          <w:numId w:val="6"/>
        </w:numPr>
        <w:tabs>
          <w:tab w:val="left" w:pos="942"/>
        </w:tabs>
        <w:spacing w:before="1"/>
        <w:ind w:right="577" w:firstLine="0"/>
        <w:jc w:val="both"/>
        <w:rPr>
          <w:sz w:val="20"/>
        </w:rPr>
      </w:pPr>
      <w:hyperlink r:id="rId276">
        <w:proofErr w:type="spellStart"/>
        <w:r w:rsidRPr="00421CAF">
          <w:rPr>
            <w:sz w:val="20"/>
            <w:lang w:val="en-US"/>
          </w:rPr>
          <w:t>Aslam</w:t>
        </w:r>
        <w:proofErr w:type="spellEnd"/>
        <w:r w:rsidRPr="00421CAF">
          <w:rPr>
            <w:sz w:val="20"/>
            <w:lang w:val="en-US"/>
          </w:rPr>
          <w:t xml:space="preserve"> R, </w:t>
        </w:r>
        <w:proofErr w:type="spellStart"/>
        <w:r w:rsidRPr="00421CAF">
          <w:rPr>
            <w:sz w:val="20"/>
            <w:lang w:val="en-US"/>
          </w:rPr>
          <w:t>Hendriksz</w:t>
        </w:r>
        <w:proofErr w:type="spellEnd"/>
        <w:r w:rsidRPr="00421CAF">
          <w:rPr>
            <w:sz w:val="20"/>
            <w:lang w:val="en-US"/>
          </w:rPr>
          <w:t xml:space="preserve"> CJ, Jester A. Objective results of median nerve decompression and </w:t>
        </w:r>
        <w:proofErr w:type="spellStart"/>
        <w:r w:rsidRPr="00421CAF">
          <w:rPr>
            <w:sz w:val="20"/>
            <w:lang w:val="en-US"/>
          </w:rPr>
          <w:t>tenosynovectomy</w:t>
        </w:r>
        <w:proofErr w:type="spellEnd"/>
      </w:hyperlink>
      <w:hyperlink r:id="rId277">
        <w:r w:rsidRPr="00421CAF">
          <w:rPr>
            <w:sz w:val="20"/>
            <w:lang w:val="en-US"/>
          </w:rPr>
          <w:t xml:space="preserve"> for carpal tunnel syndrome in patients with </w:t>
        </w:r>
        <w:proofErr w:type="spellStart"/>
        <w:r w:rsidRPr="00421CAF">
          <w:rPr>
            <w:sz w:val="20"/>
            <w:lang w:val="en-US"/>
          </w:rPr>
          <w:t>mucopolysaccharidoses</w:t>
        </w:r>
        <w:proofErr w:type="spellEnd"/>
        <w:r w:rsidRPr="00421CAF">
          <w:rPr>
            <w:sz w:val="20"/>
            <w:lang w:val="en-US"/>
          </w:rPr>
          <w:t xml:space="preserve"> Types I and II. </w:t>
        </w:r>
        <w:r>
          <w:rPr>
            <w:sz w:val="20"/>
          </w:rPr>
          <w:t xml:space="preserve">J </w:t>
        </w:r>
        <w:proofErr w:type="spellStart"/>
        <w:r>
          <w:rPr>
            <w:sz w:val="20"/>
          </w:rPr>
          <w:t>Hand</w:t>
        </w:r>
        <w:proofErr w:type="spellEnd"/>
        <w:r>
          <w:rPr>
            <w:sz w:val="20"/>
          </w:rPr>
          <w:t xml:space="preserve"> </w:t>
        </w:r>
        <w:proofErr w:type="spellStart"/>
        <w:proofErr w:type="gramStart"/>
        <w:r>
          <w:rPr>
            <w:sz w:val="20"/>
          </w:rPr>
          <w:t>SurgEur</w:t>
        </w:r>
        <w:proofErr w:type="spellEnd"/>
        <w:proofErr w:type="gramEnd"/>
        <w:r>
          <w:rPr>
            <w:sz w:val="20"/>
          </w:rPr>
          <w:t xml:space="preserve"> Vol. 2015;40:</w:t>
        </w:r>
      </w:hyperlink>
      <w:hyperlink r:id="rId278">
        <w:r>
          <w:rPr>
            <w:sz w:val="20"/>
          </w:rPr>
          <w:t xml:space="preserve"> 216–218.</w:t>
        </w:r>
      </w:hyperlink>
    </w:p>
    <w:p w:rsidR="00A74668" w:rsidRPr="00421CAF" w:rsidRDefault="00421CAF">
      <w:pPr>
        <w:pStyle w:val="PargrafodaLista"/>
        <w:numPr>
          <w:ilvl w:val="0"/>
          <w:numId w:val="6"/>
        </w:numPr>
        <w:tabs>
          <w:tab w:val="left" w:pos="942"/>
        </w:tabs>
        <w:ind w:right="579" w:firstLine="0"/>
        <w:jc w:val="both"/>
        <w:rPr>
          <w:sz w:val="20"/>
          <w:lang w:val="en-US"/>
        </w:rPr>
      </w:pPr>
      <w:hyperlink r:id="rId279">
        <w:r w:rsidRPr="00421CAF">
          <w:rPr>
            <w:sz w:val="20"/>
            <w:lang w:val="en-US"/>
          </w:rPr>
          <w:t xml:space="preserve">Haddad FS, Jones DH, </w:t>
        </w:r>
        <w:proofErr w:type="spellStart"/>
        <w:r w:rsidRPr="00421CAF">
          <w:rPr>
            <w:sz w:val="20"/>
            <w:lang w:val="en-US"/>
          </w:rPr>
          <w:t>Vellodi</w:t>
        </w:r>
        <w:proofErr w:type="spellEnd"/>
        <w:r w:rsidRPr="00421CAF">
          <w:rPr>
            <w:sz w:val="20"/>
            <w:lang w:val="en-US"/>
          </w:rPr>
          <w:t xml:space="preserve"> A, Kane N, Pitt MC. Carpal tunnel syndrome in the</w:t>
        </w:r>
      </w:hyperlink>
      <w:hyperlink r:id="rId280">
        <w:r w:rsidRPr="00421CAF">
          <w:rPr>
            <w:sz w:val="20"/>
            <w:lang w:val="en-US"/>
          </w:rPr>
          <w:t xml:space="preserve"> </w:t>
        </w:r>
        <w:proofErr w:type="spellStart"/>
        <w:r w:rsidRPr="00421CAF">
          <w:rPr>
            <w:sz w:val="20"/>
            <w:lang w:val="en-US"/>
          </w:rPr>
          <w:t>mucopolysaccharidoses</w:t>
        </w:r>
        <w:proofErr w:type="spellEnd"/>
        <w:r w:rsidRPr="00421CAF">
          <w:rPr>
            <w:sz w:val="20"/>
            <w:lang w:val="en-US"/>
          </w:rPr>
          <w:t xml:space="preserve"> and </w:t>
        </w:r>
        <w:proofErr w:type="spellStart"/>
        <w:r w:rsidRPr="00421CAF">
          <w:rPr>
            <w:sz w:val="20"/>
            <w:lang w:val="en-US"/>
          </w:rPr>
          <w:t>mucolipidoses</w:t>
        </w:r>
        <w:proofErr w:type="spellEnd"/>
        <w:r w:rsidRPr="00421CAF">
          <w:rPr>
            <w:sz w:val="20"/>
            <w:lang w:val="en-US"/>
          </w:rPr>
          <w:t xml:space="preserve">. J Bone Joint </w:t>
        </w:r>
        <w:proofErr w:type="spellStart"/>
        <w:r w:rsidRPr="00421CAF">
          <w:rPr>
            <w:sz w:val="20"/>
            <w:lang w:val="en-US"/>
          </w:rPr>
          <w:t>Surg</w:t>
        </w:r>
        <w:proofErr w:type="spellEnd"/>
        <w:r w:rsidRPr="00421CAF">
          <w:rPr>
            <w:sz w:val="20"/>
            <w:lang w:val="en-US"/>
          </w:rPr>
          <w:t xml:space="preserve"> Br. 1997</w:t>
        </w:r>
        <w:proofErr w:type="gramStart"/>
        <w:r w:rsidRPr="00421CAF">
          <w:rPr>
            <w:sz w:val="20"/>
            <w:lang w:val="en-US"/>
          </w:rPr>
          <w:t>;79</w:t>
        </w:r>
        <w:proofErr w:type="gramEnd"/>
        <w:r w:rsidRPr="00421CAF">
          <w:rPr>
            <w:sz w:val="20"/>
            <w:lang w:val="en-US"/>
          </w:rPr>
          <w:t>:</w:t>
        </w:r>
        <w:r w:rsidRPr="00421CAF">
          <w:rPr>
            <w:spacing w:val="-6"/>
            <w:sz w:val="20"/>
            <w:lang w:val="en-US"/>
          </w:rPr>
          <w:t xml:space="preserve"> </w:t>
        </w:r>
        <w:r w:rsidRPr="00421CAF">
          <w:rPr>
            <w:sz w:val="20"/>
            <w:lang w:val="en-US"/>
          </w:rPr>
          <w:t>576–582.</w:t>
        </w:r>
      </w:hyperlink>
    </w:p>
    <w:p w:rsidR="00A74668" w:rsidRDefault="00421CAF">
      <w:pPr>
        <w:pStyle w:val="PargrafodaLista"/>
        <w:numPr>
          <w:ilvl w:val="0"/>
          <w:numId w:val="6"/>
        </w:numPr>
        <w:tabs>
          <w:tab w:val="left" w:pos="942"/>
        </w:tabs>
        <w:ind w:right="586" w:firstLine="0"/>
        <w:jc w:val="both"/>
        <w:rPr>
          <w:sz w:val="20"/>
        </w:rPr>
      </w:pPr>
      <w:hyperlink r:id="rId281">
        <w:r w:rsidRPr="00421CAF">
          <w:rPr>
            <w:sz w:val="20"/>
            <w:lang w:val="en-US"/>
          </w:rPr>
          <w:t xml:space="preserve">Clark BM, Sprung J, Weingarten TN, Warner ME. Anesthesia for patients with </w:t>
        </w:r>
        <w:proofErr w:type="spellStart"/>
        <w:r w:rsidRPr="00421CAF">
          <w:rPr>
            <w:sz w:val="20"/>
            <w:lang w:val="en-US"/>
          </w:rPr>
          <w:t>mucopolysaccharidoses</w:t>
        </w:r>
        <w:proofErr w:type="spellEnd"/>
        <w:r w:rsidRPr="00421CAF">
          <w:rPr>
            <w:sz w:val="20"/>
            <w:lang w:val="en-US"/>
          </w:rPr>
          <w:t>:</w:t>
        </w:r>
      </w:hyperlink>
      <w:hyperlink r:id="rId282">
        <w:r w:rsidRPr="00421CAF">
          <w:rPr>
            <w:sz w:val="20"/>
            <w:lang w:val="en-US"/>
          </w:rPr>
          <w:t xml:space="preserve"> Comprehensive review of the literature with emphasis on airway management. </w:t>
        </w:r>
        <w:proofErr w:type="spellStart"/>
        <w:r>
          <w:rPr>
            <w:sz w:val="20"/>
          </w:rPr>
          <w:t>Bosn</w:t>
        </w:r>
        <w:proofErr w:type="spellEnd"/>
        <w:r>
          <w:rPr>
            <w:sz w:val="20"/>
          </w:rPr>
          <w:t xml:space="preserve"> J Basic </w:t>
        </w:r>
        <w:proofErr w:type="spellStart"/>
        <w:r>
          <w:rPr>
            <w:sz w:val="20"/>
          </w:rPr>
          <w:t>Med</w:t>
        </w:r>
        <w:proofErr w:type="spellEnd"/>
        <w:r>
          <w:rPr>
            <w:sz w:val="20"/>
          </w:rPr>
          <w:t xml:space="preserve"> </w:t>
        </w:r>
        <w:proofErr w:type="spellStart"/>
        <w:r>
          <w:rPr>
            <w:sz w:val="20"/>
          </w:rPr>
          <w:t>Sci</w:t>
        </w:r>
        <w:proofErr w:type="spellEnd"/>
        <w:r>
          <w:rPr>
            <w:sz w:val="20"/>
          </w:rPr>
          <w:t xml:space="preserve">. </w:t>
        </w:r>
        <w:proofErr w:type="gramStart"/>
        <w:r>
          <w:rPr>
            <w:sz w:val="20"/>
          </w:rPr>
          <w:t>2017;</w:t>
        </w:r>
        <w:proofErr w:type="gramEnd"/>
      </w:hyperlink>
      <w:hyperlink r:id="rId283">
        <w:r>
          <w:rPr>
            <w:sz w:val="20"/>
          </w:rPr>
          <w:t xml:space="preserve"> doi:</w:t>
        </w:r>
      </w:hyperlink>
      <w:hyperlink r:id="rId284">
        <w:r>
          <w:rPr>
            <w:sz w:val="20"/>
          </w:rPr>
          <w:t>10.17305/bjbms.2017.2201</w:t>
        </w:r>
      </w:hyperlink>
    </w:p>
    <w:p w:rsidR="00A74668" w:rsidRDefault="00421CAF">
      <w:pPr>
        <w:pStyle w:val="PargrafodaLista"/>
        <w:numPr>
          <w:ilvl w:val="0"/>
          <w:numId w:val="6"/>
        </w:numPr>
        <w:tabs>
          <w:tab w:val="left" w:pos="942"/>
        </w:tabs>
        <w:ind w:right="580" w:firstLine="0"/>
        <w:jc w:val="both"/>
        <w:rPr>
          <w:sz w:val="20"/>
        </w:rPr>
      </w:pPr>
      <w:hyperlink r:id="rId285">
        <w:proofErr w:type="spellStart"/>
        <w:r w:rsidRPr="00421CAF">
          <w:rPr>
            <w:sz w:val="20"/>
            <w:lang w:val="en-US"/>
          </w:rPr>
          <w:t>Kamin</w:t>
        </w:r>
        <w:proofErr w:type="spellEnd"/>
        <w:r w:rsidRPr="00421CAF">
          <w:rPr>
            <w:sz w:val="20"/>
            <w:lang w:val="en-US"/>
          </w:rPr>
          <w:t xml:space="preserve"> W. Diagnosis and management of respiratory involvement in Hunter syndrome. </w:t>
        </w:r>
        <w:r>
          <w:rPr>
            <w:sz w:val="20"/>
          </w:rPr>
          <w:t xml:space="preserve">Acta </w:t>
        </w:r>
        <w:proofErr w:type="spellStart"/>
        <w:proofErr w:type="gramStart"/>
        <w:r>
          <w:rPr>
            <w:sz w:val="20"/>
          </w:rPr>
          <w:t>Paediatr</w:t>
        </w:r>
        <w:proofErr w:type="spellEnd"/>
        <w:r>
          <w:rPr>
            <w:sz w:val="20"/>
          </w:rPr>
          <w:t>.</w:t>
        </w:r>
        <w:proofErr w:type="gramEnd"/>
      </w:hyperlink>
      <w:hyperlink r:id="rId286">
        <w:r>
          <w:rPr>
            <w:sz w:val="20"/>
          </w:rPr>
          <w:t xml:space="preserve"> 2008;97:</w:t>
        </w:r>
        <w:r>
          <w:rPr>
            <w:spacing w:val="-2"/>
            <w:sz w:val="20"/>
          </w:rPr>
          <w:t xml:space="preserve"> </w:t>
        </w:r>
        <w:r>
          <w:rPr>
            <w:sz w:val="20"/>
          </w:rPr>
          <w:t>57–60.</w:t>
        </w:r>
      </w:hyperlink>
    </w:p>
    <w:p w:rsidR="00A74668" w:rsidRDefault="00421CAF">
      <w:pPr>
        <w:pStyle w:val="PargrafodaLista"/>
        <w:numPr>
          <w:ilvl w:val="0"/>
          <w:numId w:val="6"/>
        </w:numPr>
        <w:tabs>
          <w:tab w:val="left" w:pos="942"/>
        </w:tabs>
        <w:ind w:right="579" w:firstLine="0"/>
        <w:jc w:val="both"/>
        <w:rPr>
          <w:sz w:val="20"/>
        </w:rPr>
      </w:pPr>
      <w:hyperlink r:id="rId287">
        <w:r>
          <w:rPr>
            <w:sz w:val="20"/>
          </w:rPr>
          <w:t xml:space="preserve">Alegra T, </w:t>
        </w:r>
        <w:proofErr w:type="spellStart"/>
        <w:r>
          <w:rPr>
            <w:sz w:val="20"/>
          </w:rPr>
          <w:t>Eizerik</w:t>
        </w:r>
        <w:proofErr w:type="spellEnd"/>
        <w:r>
          <w:rPr>
            <w:sz w:val="20"/>
          </w:rPr>
          <w:t xml:space="preserve"> DP, de Cerqueira CCS, Pereira TV, Dornelles AD, Schwartz IVD. </w:t>
        </w:r>
        <w:r w:rsidRPr="00421CAF">
          <w:rPr>
            <w:sz w:val="20"/>
            <w:lang w:val="en-US"/>
          </w:rPr>
          <w:t>[Efficacy and safety</w:t>
        </w:r>
      </w:hyperlink>
      <w:hyperlink r:id="rId288">
        <w:r w:rsidRPr="00421CAF">
          <w:rPr>
            <w:sz w:val="20"/>
            <w:lang w:val="en-US"/>
          </w:rPr>
          <w:t xml:space="preserve"> of </w:t>
        </w:r>
        <w:proofErr w:type="spellStart"/>
        <w:r w:rsidRPr="00421CAF">
          <w:rPr>
            <w:sz w:val="20"/>
            <w:lang w:val="en-US"/>
          </w:rPr>
          <w:t>idursulfase</w:t>
        </w:r>
        <w:proofErr w:type="spellEnd"/>
        <w:r w:rsidRPr="00421CAF">
          <w:rPr>
            <w:sz w:val="20"/>
            <w:lang w:val="en-US"/>
          </w:rPr>
          <w:t xml:space="preserve"> therapy in patients with </w:t>
        </w:r>
        <w:proofErr w:type="spellStart"/>
        <w:r w:rsidRPr="00421CAF">
          <w:rPr>
            <w:sz w:val="20"/>
            <w:lang w:val="en-US"/>
          </w:rPr>
          <w:t>mucopolysaccharidosis</w:t>
        </w:r>
        <w:proofErr w:type="spellEnd"/>
        <w:r w:rsidRPr="00421CAF">
          <w:rPr>
            <w:sz w:val="20"/>
            <w:lang w:val="en-US"/>
          </w:rPr>
          <w:t xml:space="preserve"> type II with and without compa</w:t>
        </w:r>
        <w:r w:rsidRPr="00421CAF">
          <w:rPr>
            <w:sz w:val="20"/>
            <w:lang w:val="en-US"/>
          </w:rPr>
          <w:t>rison to placebo:</w:t>
        </w:r>
      </w:hyperlink>
      <w:hyperlink r:id="rId289">
        <w:r w:rsidRPr="00421CAF">
          <w:rPr>
            <w:sz w:val="20"/>
            <w:lang w:val="en-US"/>
          </w:rPr>
          <w:t xml:space="preserve"> systematic review and meta-analysis]. </w:t>
        </w:r>
        <w:proofErr w:type="spellStart"/>
        <w:proofErr w:type="gramStart"/>
        <w:r>
          <w:rPr>
            <w:sz w:val="20"/>
          </w:rPr>
          <w:t>CadSaude</w:t>
        </w:r>
        <w:proofErr w:type="spellEnd"/>
        <w:proofErr w:type="gramEnd"/>
        <w:r>
          <w:rPr>
            <w:sz w:val="20"/>
          </w:rPr>
          <w:t xml:space="preserve"> Publica. </w:t>
        </w:r>
        <w:proofErr w:type="gramStart"/>
        <w:r>
          <w:rPr>
            <w:sz w:val="20"/>
          </w:rPr>
          <w:t>2013;</w:t>
        </w:r>
        <w:proofErr w:type="gramEnd"/>
        <w:r>
          <w:rPr>
            <w:sz w:val="20"/>
          </w:rPr>
          <w:t xml:space="preserve">29 </w:t>
        </w:r>
        <w:proofErr w:type="spellStart"/>
        <w:r>
          <w:rPr>
            <w:sz w:val="20"/>
          </w:rPr>
          <w:t>Suppl</w:t>
        </w:r>
        <w:proofErr w:type="spellEnd"/>
        <w:r>
          <w:rPr>
            <w:sz w:val="20"/>
          </w:rPr>
          <w:t xml:space="preserve"> 1:</w:t>
        </w:r>
        <w:r>
          <w:rPr>
            <w:spacing w:val="-3"/>
            <w:sz w:val="20"/>
          </w:rPr>
          <w:t xml:space="preserve"> </w:t>
        </w:r>
        <w:r>
          <w:rPr>
            <w:sz w:val="20"/>
          </w:rPr>
          <w:t>S45–58.</w:t>
        </w:r>
      </w:hyperlink>
    </w:p>
    <w:p w:rsidR="00A74668" w:rsidRPr="00421CAF" w:rsidRDefault="00421CAF">
      <w:pPr>
        <w:pStyle w:val="PargrafodaLista"/>
        <w:numPr>
          <w:ilvl w:val="0"/>
          <w:numId w:val="6"/>
        </w:numPr>
        <w:tabs>
          <w:tab w:val="left" w:pos="942"/>
        </w:tabs>
        <w:ind w:right="584" w:firstLine="0"/>
        <w:jc w:val="both"/>
        <w:rPr>
          <w:sz w:val="20"/>
          <w:lang w:val="en-US"/>
        </w:rPr>
      </w:pPr>
      <w:hyperlink r:id="rId290">
        <w:r>
          <w:rPr>
            <w:sz w:val="20"/>
          </w:rPr>
          <w:t>Elaprase: Idursulfase. In: Bulário Eletrônico A</w:t>
        </w:r>
        <w:r>
          <w:rPr>
            <w:sz w:val="20"/>
          </w:rPr>
          <w:t xml:space="preserve">NVISA [Internet]. </w:t>
        </w:r>
        <w:r w:rsidRPr="00421CAF">
          <w:rPr>
            <w:sz w:val="20"/>
            <w:lang w:val="en-US"/>
          </w:rPr>
          <w:t>[cited 30 Aug 2017]. Available:</w:t>
        </w:r>
      </w:hyperlink>
      <w:hyperlink r:id="rId291">
        <w:r w:rsidRPr="00421CAF">
          <w:rPr>
            <w:sz w:val="20"/>
            <w:lang w:val="en-US"/>
          </w:rPr>
          <w:t xml:space="preserve"> </w:t>
        </w:r>
        <w:r w:rsidRPr="00421CAF">
          <w:rPr>
            <w:w w:val="95"/>
            <w:sz w:val="20"/>
            <w:lang w:val="en-US"/>
          </w:rPr>
          <w:t>http://www.anvisa.gov.br/datavisa/fila_bula/frmVisualizarBula.asp?pNuTransa</w:t>
        </w:r>
        <w:r w:rsidRPr="00421CAF">
          <w:rPr>
            <w:w w:val="95"/>
            <w:sz w:val="20"/>
            <w:lang w:val="en-US"/>
          </w:rPr>
          <w:t>cao=28133292016&amp;pIdAnexo=422</w:t>
        </w:r>
      </w:hyperlink>
      <w:r w:rsidRPr="00421CAF">
        <w:rPr>
          <w:w w:val="95"/>
          <w:sz w:val="20"/>
          <w:lang w:val="en-US"/>
        </w:rPr>
        <w:t xml:space="preserve"> </w:t>
      </w:r>
      <w:hyperlink r:id="rId292">
        <w:r w:rsidRPr="00421CAF">
          <w:rPr>
            <w:w w:val="95"/>
            <w:sz w:val="20"/>
            <w:lang w:val="en-US"/>
          </w:rPr>
          <w:t xml:space="preserve"> </w:t>
        </w:r>
        <w:r w:rsidRPr="00421CAF">
          <w:rPr>
            <w:sz w:val="20"/>
            <w:lang w:val="en-US"/>
          </w:rPr>
          <w:t>7533</w:t>
        </w:r>
      </w:hyperlink>
    </w:p>
    <w:p w:rsidR="00A74668" w:rsidRDefault="00421CAF">
      <w:pPr>
        <w:pStyle w:val="PargrafodaLista"/>
        <w:numPr>
          <w:ilvl w:val="0"/>
          <w:numId w:val="6"/>
        </w:numPr>
        <w:tabs>
          <w:tab w:val="left" w:pos="942"/>
        </w:tabs>
        <w:ind w:right="583" w:firstLine="0"/>
        <w:jc w:val="both"/>
        <w:rPr>
          <w:sz w:val="20"/>
        </w:rPr>
      </w:pPr>
      <w:hyperlink r:id="rId293">
        <w:r>
          <w:rPr>
            <w:sz w:val="20"/>
          </w:rPr>
          <w:t xml:space="preserve">Scarpa M, </w:t>
        </w:r>
        <w:proofErr w:type="spellStart"/>
        <w:r>
          <w:rPr>
            <w:sz w:val="20"/>
          </w:rPr>
          <w:t>Almássy</w:t>
        </w:r>
        <w:proofErr w:type="spellEnd"/>
        <w:r>
          <w:rPr>
            <w:sz w:val="20"/>
          </w:rPr>
          <w:t xml:space="preserve"> Z, Beck M, </w:t>
        </w:r>
        <w:proofErr w:type="spellStart"/>
        <w:r>
          <w:rPr>
            <w:sz w:val="20"/>
          </w:rPr>
          <w:t>Bodamer</w:t>
        </w:r>
        <w:proofErr w:type="spellEnd"/>
        <w:r>
          <w:rPr>
            <w:sz w:val="20"/>
          </w:rPr>
          <w:t xml:space="preserve"> O, Bruce IA, De </w:t>
        </w:r>
        <w:proofErr w:type="spellStart"/>
        <w:r>
          <w:rPr>
            <w:sz w:val="20"/>
          </w:rPr>
          <w:t>Meirleir</w:t>
        </w:r>
        <w:proofErr w:type="spellEnd"/>
        <w:r>
          <w:rPr>
            <w:sz w:val="20"/>
          </w:rPr>
          <w:t xml:space="preserve"> L, </w:t>
        </w:r>
        <w:proofErr w:type="gramStart"/>
        <w:r>
          <w:rPr>
            <w:sz w:val="20"/>
          </w:rPr>
          <w:t>et</w:t>
        </w:r>
        <w:proofErr w:type="gramEnd"/>
        <w:r>
          <w:rPr>
            <w:sz w:val="20"/>
          </w:rPr>
          <w:t xml:space="preserve"> al. </w:t>
        </w:r>
        <w:proofErr w:type="spellStart"/>
        <w:r w:rsidRPr="00421CAF">
          <w:rPr>
            <w:sz w:val="20"/>
            <w:lang w:val="en-US"/>
          </w:rPr>
          <w:t>Mucopolysaccharidosis</w:t>
        </w:r>
        <w:proofErr w:type="spellEnd"/>
        <w:r w:rsidRPr="00421CAF">
          <w:rPr>
            <w:sz w:val="20"/>
            <w:lang w:val="en-US"/>
          </w:rPr>
          <w:t xml:space="preserve"> type</w:t>
        </w:r>
      </w:hyperlink>
      <w:hyperlink r:id="rId294">
        <w:r w:rsidRPr="00421CAF">
          <w:rPr>
            <w:sz w:val="20"/>
            <w:lang w:val="en-US"/>
          </w:rPr>
          <w:t xml:space="preserve"> II: European recommendations for the diagnosis and multidisciplinary management of a rare disease. </w:t>
        </w:r>
        <w:proofErr w:type="spellStart"/>
        <w:r>
          <w:rPr>
            <w:sz w:val="20"/>
          </w:rPr>
          <w:t>Orp</w:t>
        </w:r>
        <w:r>
          <w:rPr>
            <w:sz w:val="20"/>
          </w:rPr>
          <w:t>hanet</w:t>
        </w:r>
        <w:proofErr w:type="spellEnd"/>
        <w:r>
          <w:rPr>
            <w:sz w:val="20"/>
          </w:rPr>
          <w:t xml:space="preserve"> J</w:t>
        </w:r>
      </w:hyperlink>
      <w:hyperlink r:id="rId295">
        <w:r>
          <w:rPr>
            <w:sz w:val="20"/>
          </w:rPr>
          <w:t xml:space="preserve"> </w:t>
        </w:r>
        <w:proofErr w:type="spellStart"/>
        <w:r>
          <w:rPr>
            <w:sz w:val="20"/>
          </w:rPr>
          <w:t>Rare</w:t>
        </w:r>
        <w:proofErr w:type="spellEnd"/>
        <w:r>
          <w:rPr>
            <w:sz w:val="20"/>
          </w:rPr>
          <w:t xml:space="preserve"> </w:t>
        </w:r>
        <w:proofErr w:type="spellStart"/>
        <w:r>
          <w:rPr>
            <w:sz w:val="20"/>
          </w:rPr>
          <w:t>Dis</w:t>
        </w:r>
        <w:proofErr w:type="spellEnd"/>
        <w:r>
          <w:rPr>
            <w:sz w:val="20"/>
          </w:rPr>
          <w:t xml:space="preserve">. </w:t>
        </w:r>
        <w:proofErr w:type="gramStart"/>
        <w:r>
          <w:rPr>
            <w:sz w:val="20"/>
          </w:rPr>
          <w:t>2011;</w:t>
        </w:r>
        <w:proofErr w:type="gramEnd"/>
        <w:r>
          <w:rPr>
            <w:sz w:val="20"/>
          </w:rPr>
          <w:t>6:</w:t>
        </w:r>
        <w:r>
          <w:rPr>
            <w:spacing w:val="-2"/>
            <w:sz w:val="20"/>
          </w:rPr>
          <w:t xml:space="preserve"> </w:t>
        </w:r>
        <w:r>
          <w:rPr>
            <w:sz w:val="20"/>
          </w:rPr>
          <w:t>72.</w:t>
        </w:r>
      </w:hyperlink>
    </w:p>
    <w:p w:rsidR="00A74668" w:rsidRDefault="00421CAF">
      <w:pPr>
        <w:pStyle w:val="PargrafodaLista"/>
        <w:numPr>
          <w:ilvl w:val="0"/>
          <w:numId w:val="6"/>
        </w:numPr>
        <w:tabs>
          <w:tab w:val="left" w:pos="942"/>
        </w:tabs>
        <w:spacing w:line="229" w:lineRule="exact"/>
        <w:ind w:firstLine="0"/>
        <w:jc w:val="both"/>
        <w:rPr>
          <w:sz w:val="20"/>
        </w:rPr>
      </w:pPr>
      <w:hyperlink r:id="rId296">
        <w:proofErr w:type="spellStart"/>
        <w:r w:rsidRPr="00421CAF">
          <w:rPr>
            <w:sz w:val="20"/>
            <w:lang w:val="en-US"/>
          </w:rPr>
          <w:t>Sweetman</w:t>
        </w:r>
        <w:proofErr w:type="spellEnd"/>
        <w:r w:rsidRPr="00421CAF">
          <w:rPr>
            <w:sz w:val="20"/>
            <w:lang w:val="en-US"/>
          </w:rPr>
          <w:t xml:space="preserve"> S. </w:t>
        </w:r>
        <w:proofErr w:type="spellStart"/>
        <w:r w:rsidRPr="00421CAF">
          <w:rPr>
            <w:sz w:val="20"/>
            <w:lang w:val="en-US"/>
          </w:rPr>
          <w:t>Idursulfase</w:t>
        </w:r>
        <w:proofErr w:type="spellEnd"/>
        <w:r w:rsidRPr="00421CAF">
          <w:rPr>
            <w:sz w:val="20"/>
            <w:lang w:val="en-US"/>
          </w:rPr>
          <w:t xml:space="preserve">. Martindale: The Complete Drug Reference. </w:t>
        </w:r>
        <w:r>
          <w:rPr>
            <w:sz w:val="20"/>
          </w:rPr>
          <w:t xml:space="preserve">2009. </w:t>
        </w:r>
        <w:proofErr w:type="gramStart"/>
        <w:r>
          <w:rPr>
            <w:sz w:val="20"/>
          </w:rPr>
          <w:t>p.</w:t>
        </w:r>
        <w:proofErr w:type="gramEnd"/>
        <w:r>
          <w:rPr>
            <w:spacing w:val="-6"/>
            <w:sz w:val="20"/>
          </w:rPr>
          <w:t xml:space="preserve"> </w:t>
        </w:r>
        <w:r>
          <w:rPr>
            <w:sz w:val="20"/>
          </w:rPr>
          <w:t>2324.</w:t>
        </w:r>
      </w:hyperlink>
    </w:p>
    <w:p w:rsidR="00A74668" w:rsidRDefault="00421CAF">
      <w:pPr>
        <w:pStyle w:val="PargrafodaLista"/>
        <w:numPr>
          <w:ilvl w:val="0"/>
          <w:numId w:val="6"/>
        </w:numPr>
        <w:tabs>
          <w:tab w:val="left" w:pos="942"/>
        </w:tabs>
        <w:ind w:right="576" w:firstLine="0"/>
        <w:jc w:val="both"/>
        <w:rPr>
          <w:sz w:val="20"/>
        </w:rPr>
      </w:pPr>
      <w:hyperlink r:id="rId297">
        <w:proofErr w:type="spellStart"/>
        <w:r w:rsidRPr="00421CAF">
          <w:rPr>
            <w:sz w:val="20"/>
            <w:lang w:val="en-US"/>
          </w:rPr>
          <w:t>Muenzer</w:t>
        </w:r>
        <w:proofErr w:type="spellEnd"/>
        <w:r w:rsidRPr="00421CAF">
          <w:rPr>
            <w:sz w:val="20"/>
            <w:lang w:val="en-US"/>
          </w:rPr>
          <w:t xml:space="preserve"> J, Wraith JE, Beck M, </w:t>
        </w:r>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Harmatz</w:t>
        </w:r>
        <w:proofErr w:type="spellEnd"/>
        <w:r w:rsidRPr="00421CAF">
          <w:rPr>
            <w:sz w:val="20"/>
            <w:lang w:val="en-US"/>
          </w:rPr>
          <w:t xml:space="preserve"> P, </w:t>
        </w:r>
        <w:proofErr w:type="spellStart"/>
        <w:r w:rsidRPr="00421CAF">
          <w:rPr>
            <w:sz w:val="20"/>
            <w:lang w:val="en-US"/>
          </w:rPr>
          <w:t>Eng</w:t>
        </w:r>
        <w:proofErr w:type="spellEnd"/>
        <w:r w:rsidRPr="00421CAF">
          <w:rPr>
            <w:sz w:val="20"/>
            <w:lang w:val="en-US"/>
          </w:rPr>
          <w:t xml:space="preserve"> CM, et al. A phase II/III clinical study of</w:t>
        </w:r>
      </w:hyperlink>
      <w:hyperlink r:id="rId298">
        <w:r w:rsidRPr="00421CAF">
          <w:rPr>
            <w:sz w:val="20"/>
            <w:lang w:val="en-US"/>
          </w:rPr>
          <w:t xml:space="preserve"> enzyme replacement therapy with </w:t>
        </w:r>
        <w:proofErr w:type="spellStart"/>
        <w:r w:rsidRPr="00421CAF">
          <w:rPr>
            <w:sz w:val="20"/>
            <w:lang w:val="en-US"/>
          </w:rPr>
          <w:t>idursulfase</w:t>
        </w:r>
        <w:proofErr w:type="spellEnd"/>
        <w:r w:rsidRPr="00421CAF">
          <w:rPr>
            <w:sz w:val="20"/>
            <w:lang w:val="en-US"/>
          </w:rPr>
          <w:t xml:space="preserve"> in </w:t>
        </w:r>
        <w:proofErr w:type="spellStart"/>
        <w:r w:rsidRPr="00421CAF">
          <w:rPr>
            <w:sz w:val="20"/>
            <w:lang w:val="en-US"/>
          </w:rPr>
          <w:t>mucopolysaccharidosis</w:t>
        </w:r>
        <w:proofErr w:type="spellEnd"/>
        <w:r w:rsidRPr="00421CAF">
          <w:rPr>
            <w:sz w:val="20"/>
            <w:lang w:val="en-US"/>
          </w:rPr>
          <w:t xml:space="preserve"> II (Hunter</w:t>
        </w:r>
        <w:r w:rsidRPr="00421CAF">
          <w:rPr>
            <w:sz w:val="20"/>
            <w:lang w:val="en-US"/>
          </w:rPr>
          <w:t xml:space="preserve"> syndrome). </w:t>
        </w:r>
        <w:proofErr w:type="spellStart"/>
        <w:r>
          <w:rPr>
            <w:sz w:val="20"/>
          </w:rPr>
          <w:t>Genet</w:t>
        </w:r>
        <w:proofErr w:type="spellEnd"/>
        <w:proofErr w:type="gramStart"/>
        <w:r>
          <w:rPr>
            <w:sz w:val="20"/>
          </w:rPr>
          <w:t xml:space="preserve">  </w:t>
        </w:r>
        <w:proofErr w:type="gramEnd"/>
        <w:r>
          <w:rPr>
            <w:sz w:val="20"/>
          </w:rPr>
          <w:t>Med.</w:t>
        </w:r>
      </w:hyperlink>
      <w:hyperlink r:id="rId299">
        <w:r>
          <w:rPr>
            <w:sz w:val="20"/>
          </w:rPr>
          <w:t xml:space="preserve"> 2006;8:</w:t>
        </w:r>
        <w:r>
          <w:rPr>
            <w:spacing w:val="-3"/>
            <w:sz w:val="20"/>
          </w:rPr>
          <w:t xml:space="preserve"> </w:t>
        </w:r>
        <w:r>
          <w:rPr>
            <w:sz w:val="20"/>
          </w:rPr>
          <w:t>465–473.</w:t>
        </w:r>
      </w:hyperlink>
    </w:p>
    <w:p w:rsidR="00A74668" w:rsidRDefault="00421CAF">
      <w:pPr>
        <w:pStyle w:val="PargrafodaLista"/>
        <w:numPr>
          <w:ilvl w:val="0"/>
          <w:numId w:val="6"/>
        </w:numPr>
        <w:tabs>
          <w:tab w:val="left" w:pos="942"/>
        </w:tabs>
        <w:spacing w:before="1"/>
        <w:ind w:right="576" w:firstLine="0"/>
        <w:jc w:val="both"/>
        <w:rPr>
          <w:sz w:val="20"/>
        </w:rPr>
      </w:pPr>
      <w:hyperlink r:id="rId300">
        <w:proofErr w:type="spellStart"/>
        <w:r w:rsidRPr="00421CAF">
          <w:rPr>
            <w:sz w:val="20"/>
            <w:lang w:val="en-US"/>
          </w:rPr>
          <w:t>Muenzer</w:t>
        </w:r>
        <w:proofErr w:type="spellEnd"/>
        <w:r w:rsidRPr="00421CAF">
          <w:rPr>
            <w:sz w:val="20"/>
            <w:lang w:val="en-US"/>
          </w:rPr>
          <w:t xml:space="preserve"> J, </w:t>
        </w:r>
        <w:proofErr w:type="spellStart"/>
        <w:r w:rsidRPr="00421CAF">
          <w:rPr>
            <w:sz w:val="20"/>
            <w:lang w:val="en-US"/>
          </w:rPr>
          <w:t>Gucsavas-Calikoglu</w:t>
        </w:r>
        <w:proofErr w:type="spellEnd"/>
        <w:r w:rsidRPr="00421CAF">
          <w:rPr>
            <w:sz w:val="20"/>
            <w:lang w:val="en-US"/>
          </w:rPr>
          <w:t xml:space="preserve"> M, </w:t>
        </w:r>
        <w:proofErr w:type="spellStart"/>
        <w:r w:rsidRPr="00421CAF">
          <w:rPr>
            <w:sz w:val="20"/>
            <w:lang w:val="en-US"/>
          </w:rPr>
          <w:t>McCandless</w:t>
        </w:r>
        <w:proofErr w:type="spellEnd"/>
        <w:r w:rsidRPr="00421CAF">
          <w:rPr>
            <w:sz w:val="20"/>
            <w:lang w:val="en-US"/>
          </w:rPr>
          <w:t xml:space="preserve"> SE, </w:t>
        </w:r>
        <w:proofErr w:type="spellStart"/>
        <w:r w:rsidRPr="00421CAF">
          <w:rPr>
            <w:sz w:val="20"/>
            <w:lang w:val="en-US"/>
          </w:rPr>
          <w:t>Schuetz</w:t>
        </w:r>
        <w:proofErr w:type="spellEnd"/>
        <w:r w:rsidRPr="00421CAF">
          <w:rPr>
            <w:sz w:val="20"/>
            <w:lang w:val="en-US"/>
          </w:rPr>
          <w:t xml:space="preserve"> TJ, Kimura A. A phase I/II clinical trial of</w:t>
        </w:r>
      </w:hyperlink>
      <w:hyperlink r:id="rId301">
        <w:r w:rsidRPr="00421CAF">
          <w:rPr>
            <w:sz w:val="20"/>
            <w:lang w:val="en-US"/>
          </w:rPr>
          <w:t xml:space="preserve"> enzyme replacement therapy in </w:t>
        </w:r>
        <w:proofErr w:type="spellStart"/>
        <w:r w:rsidRPr="00421CAF">
          <w:rPr>
            <w:sz w:val="20"/>
            <w:lang w:val="en-US"/>
          </w:rPr>
          <w:t>mucopolysaccharidosis</w:t>
        </w:r>
        <w:proofErr w:type="spellEnd"/>
        <w:r w:rsidRPr="00421CAF">
          <w:rPr>
            <w:sz w:val="20"/>
            <w:lang w:val="en-US"/>
          </w:rPr>
          <w:t xml:space="preserve"> II (Hunter syndrome).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2007;</w:t>
        </w:r>
        <w:proofErr w:type="gramEnd"/>
        <w:r>
          <w:rPr>
            <w:sz w:val="20"/>
          </w:rPr>
          <w:t>90: 329–</w:t>
        </w:r>
      </w:hyperlink>
      <w:hyperlink r:id="rId302">
        <w:r>
          <w:rPr>
            <w:sz w:val="20"/>
          </w:rPr>
          <w:t xml:space="preserve"> 337.</w:t>
        </w:r>
      </w:hyperlink>
    </w:p>
    <w:p w:rsidR="00A74668" w:rsidRDefault="00421CAF">
      <w:pPr>
        <w:pStyle w:val="PargrafodaLista"/>
        <w:numPr>
          <w:ilvl w:val="0"/>
          <w:numId w:val="6"/>
        </w:numPr>
        <w:tabs>
          <w:tab w:val="left" w:pos="942"/>
        </w:tabs>
        <w:ind w:right="581" w:firstLine="0"/>
        <w:jc w:val="both"/>
        <w:rPr>
          <w:sz w:val="20"/>
        </w:rPr>
      </w:pPr>
      <w:hyperlink r:id="rId303">
        <w:proofErr w:type="spellStart"/>
        <w:r>
          <w:rPr>
            <w:sz w:val="20"/>
          </w:rPr>
          <w:t>Okuyama</w:t>
        </w:r>
        <w:proofErr w:type="spellEnd"/>
        <w:r>
          <w:rPr>
            <w:sz w:val="20"/>
          </w:rPr>
          <w:t xml:space="preserve"> T, Tanaka A, Suzuki Y, Ida H, Tanaka T, Cox GF, </w:t>
        </w:r>
        <w:proofErr w:type="gramStart"/>
        <w:r>
          <w:rPr>
            <w:sz w:val="20"/>
          </w:rPr>
          <w:t>et</w:t>
        </w:r>
        <w:proofErr w:type="gramEnd"/>
        <w:r>
          <w:rPr>
            <w:sz w:val="20"/>
          </w:rPr>
          <w:t xml:space="preserve"> al. </w:t>
        </w:r>
        <w:r w:rsidRPr="00421CAF">
          <w:rPr>
            <w:sz w:val="20"/>
            <w:lang w:val="en-US"/>
          </w:rPr>
          <w:t xml:space="preserve">Japan </w:t>
        </w:r>
        <w:proofErr w:type="spellStart"/>
        <w:r w:rsidRPr="00421CAF">
          <w:rPr>
            <w:sz w:val="20"/>
            <w:lang w:val="en-US"/>
          </w:rPr>
          <w:t>Elaprase</w:t>
        </w:r>
        <w:proofErr w:type="spellEnd"/>
        <w:r w:rsidRPr="00421CAF">
          <w:rPr>
            <w:sz w:val="20"/>
            <w:lang w:val="en-US"/>
          </w:rPr>
          <w:t xml:space="preserve"> Treatment (JET) study:</w:t>
        </w:r>
      </w:hyperlink>
      <w:hyperlink r:id="rId304">
        <w:r w:rsidRPr="00421CAF">
          <w:rPr>
            <w:sz w:val="20"/>
            <w:lang w:val="en-US"/>
          </w:rPr>
          <w:t xml:space="preserve"> </w:t>
        </w:r>
        <w:proofErr w:type="spellStart"/>
        <w:r w:rsidRPr="00421CAF">
          <w:rPr>
            <w:sz w:val="20"/>
            <w:lang w:val="en-US"/>
          </w:rPr>
          <w:t>idursulfase</w:t>
        </w:r>
        <w:proofErr w:type="spellEnd"/>
        <w:r w:rsidRPr="00421CAF">
          <w:rPr>
            <w:sz w:val="20"/>
            <w:lang w:val="en-US"/>
          </w:rPr>
          <w:t xml:space="preserve"> enzyme replacement therapy in adult patients with attenuated Hunter sy</w:t>
        </w:r>
        <w:r w:rsidRPr="00421CAF">
          <w:rPr>
            <w:sz w:val="20"/>
            <w:lang w:val="en-US"/>
          </w:rPr>
          <w:t>ndrome</w:t>
        </w:r>
      </w:hyperlink>
      <w:hyperlink r:id="rId305">
        <w:r w:rsidRPr="00421CAF">
          <w:rPr>
            <w:sz w:val="20"/>
            <w:lang w:val="en-US"/>
          </w:rPr>
          <w:t xml:space="preserve"> (</w:t>
        </w:r>
        <w:proofErr w:type="spellStart"/>
        <w:r w:rsidRPr="00421CAF">
          <w:rPr>
            <w:sz w:val="20"/>
            <w:lang w:val="en-US"/>
          </w:rPr>
          <w:t>Mucopolysaccharidosis</w:t>
        </w:r>
        <w:proofErr w:type="spellEnd"/>
        <w:r w:rsidRPr="00421CAF">
          <w:rPr>
            <w:sz w:val="20"/>
            <w:lang w:val="en-US"/>
          </w:rPr>
          <w:t xml:space="preserve"> II, MPS II).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2010;</w:t>
        </w:r>
        <w:proofErr w:type="gramEnd"/>
        <w:r>
          <w:rPr>
            <w:sz w:val="20"/>
          </w:rPr>
          <w:t>99:</w:t>
        </w:r>
        <w:r>
          <w:rPr>
            <w:spacing w:val="-7"/>
            <w:sz w:val="20"/>
          </w:rPr>
          <w:t xml:space="preserve"> </w:t>
        </w:r>
        <w:r>
          <w:rPr>
            <w:sz w:val="20"/>
          </w:rPr>
          <w:t>18–25.</w:t>
        </w:r>
      </w:hyperlink>
    </w:p>
    <w:p w:rsidR="00A74668" w:rsidRDefault="00421CAF">
      <w:pPr>
        <w:pStyle w:val="PargrafodaLista"/>
        <w:numPr>
          <w:ilvl w:val="0"/>
          <w:numId w:val="6"/>
        </w:numPr>
        <w:tabs>
          <w:tab w:val="left" w:pos="942"/>
        </w:tabs>
        <w:ind w:right="580" w:firstLine="0"/>
        <w:jc w:val="both"/>
        <w:rPr>
          <w:sz w:val="20"/>
        </w:rPr>
      </w:pPr>
      <w:hyperlink r:id="rId306">
        <w:proofErr w:type="spellStart"/>
        <w:r w:rsidRPr="00421CAF">
          <w:rPr>
            <w:sz w:val="20"/>
            <w:lang w:val="en-US"/>
          </w:rPr>
          <w:t>Muenzer</w:t>
        </w:r>
        <w:proofErr w:type="spellEnd"/>
        <w:r w:rsidRPr="00421CAF">
          <w:rPr>
            <w:sz w:val="20"/>
            <w:lang w:val="en-US"/>
          </w:rPr>
          <w:t xml:space="preserve"> J, Beck M, </w:t>
        </w:r>
        <w:proofErr w:type="spellStart"/>
        <w:r w:rsidRPr="00421CAF">
          <w:rPr>
            <w:sz w:val="20"/>
            <w:lang w:val="en-US"/>
          </w:rPr>
          <w:t>Eng</w:t>
        </w:r>
        <w:proofErr w:type="spellEnd"/>
        <w:r w:rsidRPr="00421CAF">
          <w:rPr>
            <w:sz w:val="20"/>
            <w:lang w:val="en-US"/>
          </w:rPr>
          <w:t xml:space="preserve"> CM, </w:t>
        </w:r>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Harmatz</w:t>
        </w:r>
        <w:proofErr w:type="spellEnd"/>
        <w:r w:rsidRPr="00421CAF">
          <w:rPr>
            <w:sz w:val="20"/>
            <w:lang w:val="en-US"/>
          </w:rPr>
          <w:t xml:space="preserve"> P, Martin R, et al. Lo</w:t>
        </w:r>
        <w:r w:rsidRPr="00421CAF">
          <w:rPr>
            <w:sz w:val="20"/>
            <w:lang w:val="en-US"/>
          </w:rPr>
          <w:t>ng-term, open-labeled</w:t>
        </w:r>
      </w:hyperlink>
      <w:hyperlink r:id="rId307">
        <w:r w:rsidRPr="00421CAF">
          <w:rPr>
            <w:sz w:val="20"/>
            <w:lang w:val="en-US"/>
          </w:rPr>
          <w:t xml:space="preserve"> extension study of </w:t>
        </w:r>
        <w:proofErr w:type="spellStart"/>
        <w:r w:rsidRPr="00421CAF">
          <w:rPr>
            <w:sz w:val="20"/>
            <w:lang w:val="en-US"/>
          </w:rPr>
          <w:t>idursulfase</w:t>
        </w:r>
        <w:proofErr w:type="spellEnd"/>
        <w:r w:rsidRPr="00421CAF">
          <w:rPr>
            <w:sz w:val="20"/>
            <w:lang w:val="en-US"/>
          </w:rPr>
          <w:t xml:space="preserve"> in the treatment of Hunter syndrome. </w:t>
        </w:r>
        <w:proofErr w:type="spellStart"/>
        <w:r>
          <w:rPr>
            <w:sz w:val="20"/>
          </w:rPr>
          <w:t>Genet</w:t>
        </w:r>
        <w:proofErr w:type="spellEnd"/>
        <w:r>
          <w:rPr>
            <w:sz w:val="20"/>
          </w:rPr>
          <w:t xml:space="preserve"> Med. </w:t>
        </w:r>
        <w:proofErr w:type="gramStart"/>
        <w:r>
          <w:rPr>
            <w:sz w:val="20"/>
          </w:rPr>
          <w:t>2011;</w:t>
        </w:r>
        <w:proofErr w:type="gramEnd"/>
        <w:r>
          <w:rPr>
            <w:sz w:val="20"/>
          </w:rPr>
          <w:t>13:</w:t>
        </w:r>
        <w:r>
          <w:rPr>
            <w:spacing w:val="-14"/>
            <w:sz w:val="20"/>
          </w:rPr>
          <w:t xml:space="preserve"> </w:t>
        </w:r>
        <w:r>
          <w:rPr>
            <w:sz w:val="20"/>
          </w:rPr>
          <w:t>95–101.</w:t>
        </w:r>
      </w:hyperlink>
    </w:p>
    <w:p w:rsidR="00A74668" w:rsidRDefault="00421CAF">
      <w:pPr>
        <w:pStyle w:val="PargrafodaLista"/>
        <w:numPr>
          <w:ilvl w:val="0"/>
          <w:numId w:val="6"/>
        </w:numPr>
        <w:tabs>
          <w:tab w:val="left" w:pos="942"/>
        </w:tabs>
        <w:ind w:right="583" w:firstLine="0"/>
        <w:jc w:val="both"/>
        <w:rPr>
          <w:sz w:val="20"/>
        </w:rPr>
      </w:pPr>
      <w:hyperlink r:id="rId308">
        <w:r w:rsidRPr="00421CAF">
          <w:rPr>
            <w:sz w:val="20"/>
            <w:lang w:val="en-US"/>
          </w:rPr>
          <w:t xml:space="preserve">Brands MMMG, </w:t>
        </w:r>
        <w:proofErr w:type="spellStart"/>
        <w:r w:rsidRPr="00421CAF">
          <w:rPr>
            <w:sz w:val="20"/>
            <w:lang w:val="en-US"/>
          </w:rPr>
          <w:t>Frohn</w:t>
        </w:r>
        <w:proofErr w:type="spellEnd"/>
        <w:r w:rsidRPr="00421CAF">
          <w:rPr>
            <w:sz w:val="20"/>
            <w:lang w:val="en-US"/>
          </w:rPr>
          <w:t>-Mulder IM</w:t>
        </w:r>
        <w:r w:rsidRPr="00421CAF">
          <w:rPr>
            <w:sz w:val="20"/>
            <w:lang w:val="en-US"/>
          </w:rPr>
          <w:t xml:space="preserve">, </w:t>
        </w:r>
        <w:proofErr w:type="spellStart"/>
        <w:r w:rsidRPr="00421CAF">
          <w:rPr>
            <w:sz w:val="20"/>
            <w:lang w:val="en-US"/>
          </w:rPr>
          <w:t>Hagemans</w:t>
        </w:r>
        <w:proofErr w:type="spellEnd"/>
        <w:r w:rsidRPr="00421CAF">
          <w:rPr>
            <w:sz w:val="20"/>
            <w:lang w:val="en-US"/>
          </w:rPr>
          <w:t xml:space="preserve"> MLC, Hop WCJ, </w:t>
        </w:r>
        <w:proofErr w:type="spellStart"/>
        <w:r w:rsidRPr="00421CAF">
          <w:rPr>
            <w:sz w:val="20"/>
            <w:lang w:val="en-US"/>
          </w:rPr>
          <w:t>Oussoren</w:t>
        </w:r>
        <w:proofErr w:type="spellEnd"/>
        <w:r w:rsidRPr="00421CAF">
          <w:rPr>
            <w:sz w:val="20"/>
            <w:lang w:val="en-US"/>
          </w:rPr>
          <w:t xml:space="preserve"> E, </w:t>
        </w:r>
        <w:proofErr w:type="spellStart"/>
        <w:r w:rsidRPr="00421CAF">
          <w:rPr>
            <w:sz w:val="20"/>
            <w:lang w:val="en-US"/>
          </w:rPr>
          <w:t>Helbing</w:t>
        </w:r>
        <w:proofErr w:type="spellEnd"/>
        <w:r w:rsidRPr="00421CAF">
          <w:rPr>
            <w:sz w:val="20"/>
            <w:lang w:val="en-US"/>
          </w:rPr>
          <w:t xml:space="preserve"> WA, et al.</w:t>
        </w:r>
      </w:hyperlink>
      <w:hyperlink r:id="rId309">
        <w:r w:rsidRPr="00421CAF">
          <w:rPr>
            <w:sz w:val="20"/>
            <w:lang w:val="en-US"/>
          </w:rPr>
          <w:t xml:space="preserve"> </w:t>
        </w:r>
        <w:proofErr w:type="spellStart"/>
        <w:r w:rsidRPr="00421CAF">
          <w:rPr>
            <w:sz w:val="20"/>
            <w:lang w:val="en-US"/>
          </w:rPr>
          <w:t>Mucopolysaccharidosis</w:t>
        </w:r>
        <w:proofErr w:type="spellEnd"/>
        <w:r w:rsidRPr="00421CAF">
          <w:rPr>
            <w:sz w:val="20"/>
            <w:lang w:val="en-US"/>
          </w:rPr>
          <w:t>: cardiologic features and effects of enzyme-replacement therapy in 24 children with MPS</w:t>
        </w:r>
      </w:hyperlink>
      <w:hyperlink r:id="rId310">
        <w:r w:rsidRPr="00421CAF">
          <w:rPr>
            <w:sz w:val="20"/>
            <w:lang w:val="en-US"/>
          </w:rPr>
          <w:t xml:space="preserve"> I, II and VI. </w:t>
        </w:r>
        <w:r>
          <w:rPr>
            <w:sz w:val="20"/>
          </w:rPr>
          <w:t xml:space="preserve">J </w:t>
        </w:r>
        <w:proofErr w:type="spellStart"/>
        <w:r>
          <w:rPr>
            <w:sz w:val="20"/>
          </w:rPr>
          <w:t>Inherit</w:t>
        </w:r>
        <w:proofErr w:type="spellEnd"/>
        <w:r>
          <w:rPr>
            <w:sz w:val="20"/>
          </w:rPr>
          <w:t xml:space="preserve"> </w:t>
        </w:r>
        <w:proofErr w:type="spellStart"/>
        <w:r>
          <w:rPr>
            <w:sz w:val="20"/>
          </w:rPr>
          <w:t>Metab</w:t>
        </w:r>
        <w:proofErr w:type="spellEnd"/>
        <w:r>
          <w:rPr>
            <w:sz w:val="20"/>
          </w:rPr>
          <w:t xml:space="preserve"> </w:t>
        </w:r>
        <w:proofErr w:type="spellStart"/>
        <w:r>
          <w:rPr>
            <w:sz w:val="20"/>
          </w:rPr>
          <w:t>Dis</w:t>
        </w:r>
        <w:proofErr w:type="spellEnd"/>
        <w:r>
          <w:rPr>
            <w:sz w:val="20"/>
          </w:rPr>
          <w:t xml:space="preserve">. </w:t>
        </w:r>
        <w:proofErr w:type="gramStart"/>
        <w:r>
          <w:rPr>
            <w:sz w:val="20"/>
          </w:rPr>
          <w:t>2013;</w:t>
        </w:r>
        <w:proofErr w:type="gramEnd"/>
        <w:r>
          <w:rPr>
            <w:sz w:val="20"/>
          </w:rPr>
          <w:t>36:</w:t>
        </w:r>
        <w:r>
          <w:rPr>
            <w:spacing w:val="-2"/>
            <w:sz w:val="20"/>
          </w:rPr>
          <w:t xml:space="preserve"> </w:t>
        </w:r>
        <w:r>
          <w:rPr>
            <w:sz w:val="20"/>
          </w:rPr>
          <w:t>227–234.</w:t>
        </w:r>
      </w:hyperlink>
    </w:p>
    <w:p w:rsidR="00A74668" w:rsidRDefault="00421CAF">
      <w:pPr>
        <w:pStyle w:val="PargrafodaLista"/>
        <w:numPr>
          <w:ilvl w:val="0"/>
          <w:numId w:val="6"/>
        </w:numPr>
        <w:tabs>
          <w:tab w:val="left" w:pos="942"/>
        </w:tabs>
        <w:spacing w:before="1"/>
        <w:ind w:right="583" w:firstLine="0"/>
        <w:jc w:val="both"/>
        <w:rPr>
          <w:sz w:val="20"/>
        </w:rPr>
      </w:pPr>
      <w:hyperlink r:id="rId311">
        <w:r w:rsidRPr="00421CAF">
          <w:rPr>
            <w:sz w:val="20"/>
            <w:lang w:val="en-US"/>
          </w:rPr>
          <w:t xml:space="preserve">Kim J, Park MR, Kim DS, Lee JO, </w:t>
        </w:r>
        <w:proofErr w:type="spellStart"/>
        <w:r w:rsidRPr="00421CAF">
          <w:rPr>
            <w:sz w:val="20"/>
            <w:lang w:val="en-US"/>
          </w:rPr>
          <w:t>Maeng</w:t>
        </w:r>
        <w:proofErr w:type="spellEnd"/>
        <w:r w:rsidRPr="00421CAF">
          <w:rPr>
            <w:sz w:val="20"/>
            <w:lang w:val="en-US"/>
          </w:rPr>
          <w:t xml:space="preserve"> SH, Cho SY, et al. </w:t>
        </w:r>
        <w:proofErr w:type="spellStart"/>
        <w:r w:rsidRPr="00421CAF">
          <w:rPr>
            <w:sz w:val="20"/>
            <w:lang w:val="en-US"/>
          </w:rPr>
          <w:t>IgE</w:t>
        </w:r>
        <w:proofErr w:type="spellEnd"/>
        <w:r w:rsidRPr="00421CAF">
          <w:rPr>
            <w:sz w:val="20"/>
            <w:lang w:val="en-US"/>
          </w:rPr>
          <w:t>-mediated anaphylaxis and allergic</w:t>
        </w:r>
      </w:hyperlink>
      <w:hyperlink r:id="rId312">
        <w:r w:rsidRPr="00421CAF">
          <w:rPr>
            <w:sz w:val="20"/>
            <w:lang w:val="en-US"/>
          </w:rPr>
          <w:t xml:space="preserve"> reactions to </w:t>
        </w:r>
        <w:proofErr w:type="spellStart"/>
        <w:r w:rsidRPr="00421CAF">
          <w:rPr>
            <w:sz w:val="20"/>
            <w:lang w:val="en-US"/>
          </w:rPr>
          <w:t>idursulfase</w:t>
        </w:r>
        <w:proofErr w:type="spellEnd"/>
        <w:r w:rsidRPr="00421CAF">
          <w:rPr>
            <w:sz w:val="20"/>
            <w:lang w:val="en-US"/>
          </w:rPr>
          <w:t xml:space="preserve"> in patients with Hunter syndrome. </w:t>
        </w:r>
        <w:proofErr w:type="spellStart"/>
        <w:r>
          <w:rPr>
            <w:sz w:val="20"/>
          </w:rPr>
          <w:t>Allergy</w:t>
        </w:r>
        <w:proofErr w:type="spellEnd"/>
        <w:r>
          <w:rPr>
            <w:sz w:val="20"/>
          </w:rPr>
          <w:t xml:space="preserve">. </w:t>
        </w:r>
        <w:proofErr w:type="gramStart"/>
        <w:r>
          <w:rPr>
            <w:sz w:val="20"/>
          </w:rPr>
          <w:t>2013;</w:t>
        </w:r>
        <w:proofErr w:type="gramEnd"/>
        <w:r>
          <w:rPr>
            <w:sz w:val="20"/>
          </w:rPr>
          <w:t>68:</w:t>
        </w:r>
        <w:r>
          <w:rPr>
            <w:spacing w:val="-3"/>
            <w:sz w:val="20"/>
          </w:rPr>
          <w:t xml:space="preserve"> </w:t>
        </w:r>
        <w:r>
          <w:rPr>
            <w:sz w:val="20"/>
          </w:rPr>
          <w:t>796–802.</w:t>
        </w:r>
      </w:hyperlink>
    </w:p>
    <w:p w:rsidR="00A74668" w:rsidRDefault="00421CAF">
      <w:pPr>
        <w:pStyle w:val="PargrafodaLista"/>
        <w:numPr>
          <w:ilvl w:val="0"/>
          <w:numId w:val="6"/>
        </w:numPr>
        <w:tabs>
          <w:tab w:val="left" w:pos="942"/>
        </w:tabs>
        <w:ind w:right="577" w:firstLine="0"/>
        <w:jc w:val="both"/>
        <w:rPr>
          <w:sz w:val="20"/>
        </w:rPr>
      </w:pPr>
      <w:hyperlink r:id="rId313">
        <w:proofErr w:type="spellStart"/>
        <w:r w:rsidRPr="00421CAF">
          <w:rPr>
            <w:sz w:val="20"/>
            <w:lang w:val="en-US"/>
          </w:rPr>
          <w:t>Giugliani</w:t>
        </w:r>
        <w:proofErr w:type="spellEnd"/>
        <w:r w:rsidRPr="00421CAF">
          <w:rPr>
            <w:sz w:val="20"/>
            <w:lang w:val="en-US"/>
          </w:rPr>
          <w:t xml:space="preserve"> R, </w:t>
        </w:r>
        <w:proofErr w:type="spellStart"/>
        <w:r w:rsidRPr="00421CAF">
          <w:rPr>
            <w:sz w:val="20"/>
            <w:lang w:val="en-US"/>
          </w:rPr>
          <w:t>Hwu</w:t>
        </w:r>
        <w:proofErr w:type="spellEnd"/>
        <w:r w:rsidRPr="00421CAF">
          <w:rPr>
            <w:sz w:val="20"/>
            <w:lang w:val="en-US"/>
          </w:rPr>
          <w:t xml:space="preserve"> W-L, </w:t>
        </w:r>
        <w:proofErr w:type="spellStart"/>
        <w:r w:rsidRPr="00421CAF">
          <w:rPr>
            <w:sz w:val="20"/>
            <w:lang w:val="en-US"/>
          </w:rPr>
          <w:t>Tylki-Szymanska</w:t>
        </w:r>
        <w:proofErr w:type="spellEnd"/>
        <w:r w:rsidRPr="00421CAF">
          <w:rPr>
            <w:sz w:val="20"/>
            <w:lang w:val="en-US"/>
          </w:rPr>
          <w:t xml:space="preserve"> A, Whiteman DAH, </w:t>
        </w:r>
        <w:proofErr w:type="spellStart"/>
        <w:r w:rsidRPr="00421CAF">
          <w:rPr>
            <w:sz w:val="20"/>
            <w:lang w:val="en-US"/>
          </w:rPr>
          <w:t>Pano</w:t>
        </w:r>
        <w:proofErr w:type="spellEnd"/>
        <w:r w:rsidRPr="00421CAF">
          <w:rPr>
            <w:sz w:val="20"/>
            <w:lang w:val="en-US"/>
          </w:rPr>
          <w:t xml:space="preserve"> A. A multicenter, open-label stud</w:t>
        </w:r>
        <w:r w:rsidRPr="00421CAF">
          <w:rPr>
            <w:sz w:val="20"/>
            <w:lang w:val="en-US"/>
          </w:rPr>
          <w:t>y</w:t>
        </w:r>
      </w:hyperlink>
      <w:hyperlink r:id="rId314">
        <w:r w:rsidRPr="00421CAF">
          <w:rPr>
            <w:sz w:val="20"/>
            <w:lang w:val="en-US"/>
          </w:rPr>
          <w:t xml:space="preserve"> evaluating safety and clinical outcomes in children (1.4-7.5 years) with Hunter syndrome receiving </w:t>
        </w:r>
        <w:proofErr w:type="spellStart"/>
        <w:r w:rsidRPr="00421CAF">
          <w:rPr>
            <w:sz w:val="20"/>
            <w:lang w:val="en-US"/>
          </w:rPr>
          <w:t>idursulfase</w:t>
        </w:r>
        <w:proofErr w:type="spellEnd"/>
      </w:hyperlink>
      <w:hyperlink r:id="rId315">
        <w:r w:rsidRPr="00421CAF">
          <w:rPr>
            <w:sz w:val="20"/>
            <w:lang w:val="en-US"/>
          </w:rPr>
          <w:t xml:space="preserve"> enzyme replacement therapy. </w:t>
        </w:r>
        <w:proofErr w:type="spellStart"/>
        <w:r>
          <w:rPr>
            <w:sz w:val="20"/>
          </w:rPr>
          <w:t>Genet</w:t>
        </w:r>
        <w:proofErr w:type="spellEnd"/>
        <w:r>
          <w:rPr>
            <w:sz w:val="20"/>
          </w:rPr>
          <w:t xml:space="preserve"> Med. </w:t>
        </w:r>
        <w:proofErr w:type="gramStart"/>
        <w:r>
          <w:rPr>
            <w:sz w:val="20"/>
          </w:rPr>
          <w:t>2014;</w:t>
        </w:r>
        <w:proofErr w:type="gramEnd"/>
        <w:r>
          <w:rPr>
            <w:sz w:val="20"/>
          </w:rPr>
          <w:t>16:</w:t>
        </w:r>
        <w:r>
          <w:rPr>
            <w:spacing w:val="-1"/>
            <w:sz w:val="20"/>
          </w:rPr>
          <w:t xml:space="preserve"> </w:t>
        </w:r>
        <w:r>
          <w:rPr>
            <w:sz w:val="20"/>
          </w:rPr>
          <w:t>435–441.</w:t>
        </w:r>
      </w:hyperlink>
    </w:p>
    <w:p w:rsidR="00A74668" w:rsidRDefault="00421CAF">
      <w:pPr>
        <w:pStyle w:val="PargrafodaLista"/>
        <w:numPr>
          <w:ilvl w:val="0"/>
          <w:numId w:val="6"/>
        </w:numPr>
        <w:tabs>
          <w:tab w:val="left" w:pos="942"/>
        </w:tabs>
        <w:ind w:right="576" w:firstLine="0"/>
        <w:jc w:val="both"/>
        <w:rPr>
          <w:sz w:val="20"/>
        </w:rPr>
      </w:pPr>
      <w:hyperlink r:id="rId316">
        <w:proofErr w:type="spellStart"/>
        <w:r>
          <w:rPr>
            <w:sz w:val="20"/>
          </w:rPr>
          <w:t>Giugliani</w:t>
        </w:r>
        <w:proofErr w:type="spellEnd"/>
        <w:r>
          <w:rPr>
            <w:sz w:val="20"/>
          </w:rPr>
          <w:t xml:space="preserve"> R, </w:t>
        </w:r>
        <w:proofErr w:type="spellStart"/>
        <w:r>
          <w:rPr>
            <w:sz w:val="20"/>
          </w:rPr>
          <w:t>Harmatz</w:t>
        </w:r>
        <w:proofErr w:type="spellEnd"/>
        <w:r>
          <w:rPr>
            <w:sz w:val="20"/>
          </w:rPr>
          <w:t xml:space="preserve"> P, Jones SA, </w:t>
        </w:r>
        <w:proofErr w:type="spellStart"/>
        <w:r>
          <w:rPr>
            <w:sz w:val="20"/>
          </w:rPr>
          <w:t>Mendelsohn</w:t>
        </w:r>
        <w:proofErr w:type="spellEnd"/>
        <w:r>
          <w:rPr>
            <w:sz w:val="20"/>
          </w:rPr>
          <w:t xml:space="preserve"> NJ, </w:t>
        </w:r>
        <w:proofErr w:type="spellStart"/>
        <w:r>
          <w:rPr>
            <w:sz w:val="20"/>
          </w:rPr>
          <w:t>Vellodi</w:t>
        </w:r>
        <w:proofErr w:type="spellEnd"/>
        <w:r>
          <w:rPr>
            <w:sz w:val="20"/>
          </w:rPr>
          <w:t xml:space="preserve"> A, </w:t>
        </w:r>
        <w:proofErr w:type="spellStart"/>
        <w:r>
          <w:rPr>
            <w:sz w:val="20"/>
          </w:rPr>
          <w:t>Qiu</w:t>
        </w:r>
        <w:proofErr w:type="spellEnd"/>
        <w:r>
          <w:rPr>
            <w:sz w:val="20"/>
          </w:rPr>
          <w:t xml:space="preserve"> Y, </w:t>
        </w:r>
        <w:proofErr w:type="gramStart"/>
        <w:r>
          <w:rPr>
            <w:sz w:val="20"/>
          </w:rPr>
          <w:t>et</w:t>
        </w:r>
        <w:proofErr w:type="gramEnd"/>
        <w:r>
          <w:rPr>
            <w:sz w:val="20"/>
          </w:rPr>
          <w:t xml:space="preserve"> al. </w:t>
        </w:r>
        <w:r w:rsidRPr="00421CAF">
          <w:rPr>
            <w:sz w:val="20"/>
            <w:lang w:val="en-US"/>
          </w:rPr>
          <w:t xml:space="preserve">Evaluation of impact of </w:t>
        </w:r>
        <w:r w:rsidRPr="00421CAF">
          <w:rPr>
            <w:spacing w:val="3"/>
            <w:sz w:val="20"/>
            <w:lang w:val="en-US"/>
          </w:rPr>
          <w:t>anti-</w:t>
        </w:r>
      </w:hyperlink>
      <w:hyperlink r:id="rId317">
        <w:r w:rsidRPr="00421CAF">
          <w:rPr>
            <w:spacing w:val="3"/>
            <w:sz w:val="20"/>
            <w:lang w:val="en-US"/>
          </w:rPr>
          <w:t xml:space="preserve"> </w:t>
        </w:r>
        <w:proofErr w:type="spellStart"/>
        <w:r w:rsidRPr="00421CAF">
          <w:rPr>
            <w:sz w:val="20"/>
            <w:lang w:val="en-US"/>
          </w:rPr>
          <w:t>idursulfase</w:t>
        </w:r>
        <w:proofErr w:type="spellEnd"/>
        <w:r w:rsidRPr="00421CAF">
          <w:rPr>
            <w:sz w:val="20"/>
            <w:lang w:val="en-US"/>
          </w:rPr>
          <w:t xml:space="preserve"> antibodies during long-term </w:t>
        </w:r>
        <w:proofErr w:type="spellStart"/>
        <w:r w:rsidRPr="00421CAF">
          <w:rPr>
            <w:sz w:val="20"/>
            <w:lang w:val="en-US"/>
          </w:rPr>
          <w:t>idursulfase</w:t>
        </w:r>
        <w:proofErr w:type="spellEnd"/>
        <w:r w:rsidRPr="00421CAF">
          <w:rPr>
            <w:sz w:val="20"/>
            <w:lang w:val="en-US"/>
          </w:rPr>
          <w:t xml:space="preserve"> enzyme replacement therapy in </w:t>
        </w:r>
        <w:proofErr w:type="spellStart"/>
        <w:r w:rsidRPr="00421CAF">
          <w:rPr>
            <w:sz w:val="20"/>
            <w:lang w:val="en-US"/>
          </w:rPr>
          <w:t>mucopolysaccharidosis</w:t>
        </w:r>
        <w:proofErr w:type="spellEnd"/>
        <w:r w:rsidRPr="00421CAF">
          <w:rPr>
            <w:sz w:val="20"/>
            <w:lang w:val="en-US"/>
          </w:rPr>
          <w:t xml:space="preserve"> II</w:t>
        </w:r>
      </w:hyperlink>
      <w:hyperlink r:id="rId318">
        <w:r w:rsidRPr="00421CAF">
          <w:rPr>
            <w:sz w:val="20"/>
            <w:lang w:val="en-US"/>
          </w:rPr>
          <w:t xml:space="preserve"> patients.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Rep. </w:t>
        </w:r>
        <w:proofErr w:type="gramStart"/>
        <w:r>
          <w:rPr>
            <w:sz w:val="20"/>
          </w:rPr>
          <w:t>2017;</w:t>
        </w:r>
        <w:proofErr w:type="gramEnd"/>
        <w:r>
          <w:rPr>
            <w:sz w:val="20"/>
          </w:rPr>
          <w:t>12:</w:t>
        </w:r>
        <w:r>
          <w:rPr>
            <w:spacing w:val="-5"/>
            <w:sz w:val="20"/>
          </w:rPr>
          <w:t xml:space="preserve"> </w:t>
        </w:r>
        <w:r>
          <w:rPr>
            <w:sz w:val="20"/>
          </w:rPr>
          <w:t>2–7.</w:t>
        </w:r>
      </w:hyperlink>
    </w:p>
    <w:p w:rsidR="00A74668" w:rsidRDefault="00421CAF">
      <w:pPr>
        <w:pStyle w:val="PargrafodaLista"/>
        <w:numPr>
          <w:ilvl w:val="0"/>
          <w:numId w:val="6"/>
        </w:numPr>
        <w:tabs>
          <w:tab w:val="left" w:pos="942"/>
        </w:tabs>
        <w:ind w:right="590" w:firstLine="0"/>
        <w:jc w:val="both"/>
        <w:rPr>
          <w:sz w:val="20"/>
        </w:rPr>
      </w:pPr>
      <w:hyperlink r:id="rId319">
        <w:r>
          <w:rPr>
            <w:sz w:val="20"/>
          </w:rPr>
          <w:t xml:space="preserve">Pano A, </w:t>
        </w:r>
        <w:proofErr w:type="spellStart"/>
        <w:r>
          <w:rPr>
            <w:sz w:val="20"/>
          </w:rPr>
          <w:t>Barbier</w:t>
        </w:r>
        <w:proofErr w:type="spellEnd"/>
        <w:r>
          <w:rPr>
            <w:sz w:val="20"/>
          </w:rPr>
          <w:t xml:space="preserve"> AJ, Bielefeld B, </w:t>
        </w:r>
        <w:proofErr w:type="spellStart"/>
        <w:r>
          <w:rPr>
            <w:sz w:val="20"/>
          </w:rPr>
          <w:t>Whiteman</w:t>
        </w:r>
        <w:proofErr w:type="spellEnd"/>
        <w:r>
          <w:rPr>
            <w:sz w:val="20"/>
          </w:rPr>
          <w:t xml:space="preserve"> DAH, Amato DA. </w:t>
        </w:r>
        <w:r w:rsidRPr="00421CAF">
          <w:rPr>
            <w:sz w:val="20"/>
            <w:lang w:val="en-US"/>
          </w:rPr>
          <w:t xml:space="preserve">Immunogenicity of </w:t>
        </w:r>
        <w:proofErr w:type="spellStart"/>
        <w:r w:rsidRPr="00421CAF">
          <w:rPr>
            <w:sz w:val="20"/>
            <w:lang w:val="en-US"/>
          </w:rPr>
          <w:t>idursulfase</w:t>
        </w:r>
        <w:proofErr w:type="spellEnd"/>
        <w:r w:rsidRPr="00421CAF">
          <w:rPr>
            <w:sz w:val="20"/>
            <w:lang w:val="en-US"/>
          </w:rPr>
          <w:t xml:space="preserve"> and</w:t>
        </w:r>
      </w:hyperlink>
      <w:hyperlink r:id="rId320">
        <w:r w:rsidRPr="00421CAF">
          <w:rPr>
            <w:sz w:val="20"/>
            <w:lang w:val="en-US"/>
          </w:rPr>
          <w:t xml:space="preserve"> clinical outcomes in very </w:t>
        </w:r>
        <w:proofErr w:type="gramStart"/>
        <w:r w:rsidRPr="00421CAF">
          <w:rPr>
            <w:sz w:val="20"/>
            <w:lang w:val="en-US"/>
          </w:rPr>
          <w:t>young</w:t>
        </w:r>
        <w:proofErr w:type="gramEnd"/>
        <w:r w:rsidRPr="00421CAF">
          <w:rPr>
            <w:sz w:val="20"/>
            <w:lang w:val="en-US"/>
          </w:rPr>
          <w:t xml:space="preserve"> patients (16 months to 7.</w:t>
        </w:r>
        <w:r w:rsidRPr="00421CAF">
          <w:rPr>
            <w:sz w:val="20"/>
            <w:lang w:val="en-US"/>
          </w:rPr>
          <w:t xml:space="preserve">5 years) with </w:t>
        </w:r>
        <w:proofErr w:type="spellStart"/>
        <w:r w:rsidRPr="00421CAF">
          <w:rPr>
            <w:sz w:val="20"/>
            <w:lang w:val="en-US"/>
          </w:rPr>
          <w:t>mucopolysaccharidosis</w:t>
        </w:r>
        <w:proofErr w:type="spellEnd"/>
        <w:r w:rsidRPr="00421CAF">
          <w:rPr>
            <w:sz w:val="20"/>
            <w:lang w:val="en-US"/>
          </w:rPr>
          <w:t xml:space="preserve"> II (Hunter</w:t>
        </w:r>
      </w:hyperlink>
      <w:hyperlink r:id="rId321">
        <w:r w:rsidRPr="00421CAF">
          <w:rPr>
            <w:sz w:val="20"/>
            <w:lang w:val="en-US"/>
          </w:rPr>
          <w:t xml:space="preserve"> syndrome). </w:t>
        </w:r>
        <w:proofErr w:type="spellStart"/>
        <w:r>
          <w:rPr>
            <w:sz w:val="20"/>
          </w:rPr>
          <w:t>Orphanet</w:t>
        </w:r>
        <w:proofErr w:type="spellEnd"/>
        <w:r>
          <w:rPr>
            <w:sz w:val="20"/>
          </w:rPr>
          <w:t xml:space="preserve"> J </w:t>
        </w:r>
        <w:proofErr w:type="spellStart"/>
        <w:proofErr w:type="gramStart"/>
        <w:r>
          <w:rPr>
            <w:sz w:val="20"/>
          </w:rPr>
          <w:t>RareDis</w:t>
        </w:r>
        <w:proofErr w:type="spellEnd"/>
        <w:proofErr w:type="gramEnd"/>
        <w:r>
          <w:rPr>
            <w:sz w:val="20"/>
          </w:rPr>
          <w:t xml:space="preserve">. </w:t>
        </w:r>
        <w:proofErr w:type="gramStart"/>
        <w:r>
          <w:rPr>
            <w:sz w:val="20"/>
          </w:rPr>
          <w:t>2015;</w:t>
        </w:r>
        <w:proofErr w:type="gramEnd"/>
        <w:r>
          <w:rPr>
            <w:sz w:val="20"/>
          </w:rPr>
          <w:t>10: 50.</w:t>
        </w:r>
      </w:hyperlink>
    </w:p>
    <w:p w:rsidR="00A74668" w:rsidRDefault="00A74668">
      <w:pPr>
        <w:jc w:val="both"/>
        <w:rPr>
          <w:sz w:val="20"/>
        </w:rPr>
        <w:sectPr w:rsidR="00A74668">
          <w:pgSz w:w="11910" w:h="16840"/>
          <w:pgMar w:top="1040" w:right="980" w:bottom="440" w:left="900" w:header="0" w:footer="254" w:gutter="0"/>
          <w:cols w:space="720"/>
        </w:sectPr>
      </w:pPr>
    </w:p>
    <w:p w:rsidR="00A74668" w:rsidRDefault="00421CAF">
      <w:pPr>
        <w:pStyle w:val="PargrafodaLista"/>
        <w:numPr>
          <w:ilvl w:val="0"/>
          <w:numId w:val="6"/>
        </w:numPr>
        <w:tabs>
          <w:tab w:val="left" w:pos="942"/>
        </w:tabs>
        <w:spacing w:before="72"/>
        <w:ind w:right="579" w:firstLine="0"/>
        <w:jc w:val="both"/>
        <w:rPr>
          <w:sz w:val="20"/>
        </w:rPr>
      </w:pPr>
      <w:hyperlink r:id="rId322">
        <w:proofErr w:type="spellStart"/>
        <w:r>
          <w:rPr>
            <w:sz w:val="20"/>
          </w:rPr>
          <w:t>Barbier</w:t>
        </w:r>
        <w:proofErr w:type="spellEnd"/>
        <w:r>
          <w:rPr>
            <w:sz w:val="20"/>
          </w:rPr>
          <w:t xml:space="preserve"> AJ, Bielefeld B, </w:t>
        </w:r>
        <w:proofErr w:type="spellStart"/>
        <w:r>
          <w:rPr>
            <w:sz w:val="20"/>
          </w:rPr>
          <w:t>Whiteman</w:t>
        </w:r>
        <w:proofErr w:type="spellEnd"/>
        <w:r>
          <w:rPr>
            <w:sz w:val="20"/>
          </w:rPr>
          <w:t xml:space="preserve"> DAH</w:t>
        </w:r>
        <w:r>
          <w:rPr>
            <w:sz w:val="20"/>
          </w:rPr>
          <w:t xml:space="preserve">, </w:t>
        </w:r>
        <w:proofErr w:type="spellStart"/>
        <w:r>
          <w:rPr>
            <w:sz w:val="20"/>
          </w:rPr>
          <w:t>Natarajan</w:t>
        </w:r>
        <w:proofErr w:type="spellEnd"/>
        <w:r>
          <w:rPr>
            <w:sz w:val="20"/>
          </w:rPr>
          <w:t xml:space="preserve"> M, Pano A, Amato DA. </w:t>
        </w:r>
        <w:r w:rsidRPr="00421CAF">
          <w:rPr>
            <w:sz w:val="20"/>
            <w:lang w:val="en-US"/>
          </w:rPr>
          <w:t>The relationship between</w:t>
        </w:r>
      </w:hyperlink>
      <w:hyperlink r:id="rId323">
        <w:r w:rsidRPr="00421CAF">
          <w:rPr>
            <w:sz w:val="20"/>
            <w:lang w:val="en-US"/>
          </w:rPr>
          <w:t xml:space="preserve"> anti-</w:t>
        </w:r>
        <w:proofErr w:type="spellStart"/>
        <w:r w:rsidRPr="00421CAF">
          <w:rPr>
            <w:sz w:val="20"/>
            <w:lang w:val="en-US"/>
          </w:rPr>
          <w:t>idursulfase</w:t>
        </w:r>
        <w:proofErr w:type="spellEnd"/>
        <w:r w:rsidRPr="00421CAF">
          <w:rPr>
            <w:sz w:val="20"/>
            <w:lang w:val="en-US"/>
          </w:rPr>
          <w:t xml:space="preserve"> antibody status and safety and efficacy outcomes in attenuated </w:t>
        </w:r>
        <w:proofErr w:type="spellStart"/>
        <w:r w:rsidRPr="00421CAF">
          <w:rPr>
            <w:sz w:val="20"/>
            <w:lang w:val="en-US"/>
          </w:rPr>
          <w:t>mucopolysaccharidosis</w:t>
        </w:r>
        <w:proofErr w:type="spellEnd"/>
        <w:r w:rsidRPr="00421CAF">
          <w:rPr>
            <w:sz w:val="20"/>
            <w:lang w:val="en-US"/>
          </w:rPr>
          <w:t xml:space="preserve"> II patients</w:t>
        </w:r>
      </w:hyperlink>
      <w:hyperlink r:id="rId324">
        <w:r w:rsidRPr="00421CAF">
          <w:rPr>
            <w:sz w:val="20"/>
            <w:lang w:val="en-US"/>
          </w:rPr>
          <w:t xml:space="preserve"> aged </w:t>
        </w:r>
        <w:proofErr w:type="gramStart"/>
        <w:r w:rsidRPr="00421CAF">
          <w:rPr>
            <w:sz w:val="20"/>
            <w:lang w:val="en-US"/>
          </w:rPr>
          <w:t>5</w:t>
        </w:r>
        <w:proofErr w:type="gramEnd"/>
        <w:r w:rsidRPr="00421CAF">
          <w:rPr>
            <w:sz w:val="20"/>
            <w:lang w:val="en-US"/>
          </w:rPr>
          <w:t xml:space="preserve"> years and older treated with intravenous </w:t>
        </w:r>
        <w:proofErr w:type="spellStart"/>
        <w:r w:rsidRPr="00421CAF">
          <w:rPr>
            <w:sz w:val="20"/>
            <w:lang w:val="en-US"/>
          </w:rPr>
          <w:t>idursulfase</w:t>
        </w:r>
        <w:proofErr w:type="spellEnd"/>
        <w:r w:rsidRPr="00421CAF">
          <w:rPr>
            <w:sz w:val="20"/>
            <w:lang w:val="en-US"/>
          </w:rPr>
          <w:t xml:space="preserve">.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2013;</w:t>
        </w:r>
        <w:proofErr w:type="gramEnd"/>
        <w:r>
          <w:rPr>
            <w:sz w:val="20"/>
          </w:rPr>
          <w:t>110:</w:t>
        </w:r>
        <w:r>
          <w:rPr>
            <w:spacing w:val="-7"/>
            <w:sz w:val="20"/>
          </w:rPr>
          <w:t xml:space="preserve"> </w:t>
        </w:r>
        <w:r>
          <w:rPr>
            <w:sz w:val="20"/>
          </w:rPr>
          <w:t>303–310.</w:t>
        </w:r>
      </w:hyperlink>
    </w:p>
    <w:p w:rsidR="00A74668" w:rsidRDefault="00421CAF">
      <w:pPr>
        <w:pStyle w:val="PargrafodaLista"/>
        <w:numPr>
          <w:ilvl w:val="0"/>
          <w:numId w:val="6"/>
        </w:numPr>
        <w:tabs>
          <w:tab w:val="left" w:pos="942"/>
        </w:tabs>
        <w:spacing w:before="2"/>
        <w:ind w:right="576" w:firstLine="0"/>
        <w:jc w:val="both"/>
        <w:rPr>
          <w:sz w:val="20"/>
        </w:rPr>
      </w:pPr>
      <w:hyperlink r:id="rId325">
        <w:proofErr w:type="spellStart"/>
        <w:r w:rsidRPr="00421CAF">
          <w:rPr>
            <w:sz w:val="20"/>
            <w:lang w:val="en-US"/>
          </w:rPr>
          <w:t>Muenzer</w:t>
        </w:r>
        <w:proofErr w:type="spellEnd"/>
        <w:r w:rsidRPr="00421CAF">
          <w:rPr>
            <w:sz w:val="20"/>
            <w:lang w:val="en-US"/>
          </w:rPr>
          <w:t xml:space="preserve"> J, </w:t>
        </w:r>
        <w:proofErr w:type="spellStart"/>
        <w:r w:rsidRPr="00421CAF">
          <w:rPr>
            <w:sz w:val="20"/>
            <w:lang w:val="en-US"/>
          </w:rPr>
          <w:t>Gucsavas-Calikoglu</w:t>
        </w:r>
        <w:proofErr w:type="spellEnd"/>
        <w:r w:rsidRPr="00421CAF">
          <w:rPr>
            <w:sz w:val="20"/>
            <w:lang w:val="en-US"/>
          </w:rPr>
          <w:t xml:space="preserve"> M, </w:t>
        </w:r>
        <w:proofErr w:type="spellStart"/>
        <w:r w:rsidRPr="00421CAF">
          <w:rPr>
            <w:sz w:val="20"/>
            <w:lang w:val="en-US"/>
          </w:rPr>
          <w:t>McCandless</w:t>
        </w:r>
        <w:proofErr w:type="spellEnd"/>
        <w:r w:rsidRPr="00421CAF">
          <w:rPr>
            <w:sz w:val="20"/>
            <w:lang w:val="en-US"/>
          </w:rPr>
          <w:t xml:space="preserve"> SE, </w:t>
        </w:r>
        <w:proofErr w:type="spellStart"/>
        <w:r w:rsidRPr="00421CAF">
          <w:rPr>
            <w:sz w:val="20"/>
            <w:lang w:val="en-US"/>
          </w:rPr>
          <w:t>Schuetz</w:t>
        </w:r>
        <w:proofErr w:type="spellEnd"/>
        <w:r w:rsidRPr="00421CAF">
          <w:rPr>
            <w:sz w:val="20"/>
            <w:lang w:val="en-US"/>
          </w:rPr>
          <w:t xml:space="preserve"> TJ, Kimura A. A phase </w:t>
        </w:r>
        <w:r w:rsidRPr="00421CAF">
          <w:rPr>
            <w:sz w:val="20"/>
            <w:lang w:val="en-US"/>
          </w:rPr>
          <w:t>I/II clinical trial of</w:t>
        </w:r>
      </w:hyperlink>
      <w:hyperlink r:id="rId326">
        <w:r w:rsidRPr="00421CAF">
          <w:rPr>
            <w:sz w:val="20"/>
            <w:lang w:val="en-US"/>
          </w:rPr>
          <w:t xml:space="preserve"> enzyme replacement therapy in </w:t>
        </w:r>
        <w:proofErr w:type="spellStart"/>
        <w:r w:rsidRPr="00421CAF">
          <w:rPr>
            <w:sz w:val="20"/>
            <w:lang w:val="en-US"/>
          </w:rPr>
          <w:t>mucopolysaccharidosis</w:t>
        </w:r>
        <w:proofErr w:type="spellEnd"/>
        <w:r w:rsidRPr="00421CAF">
          <w:rPr>
            <w:sz w:val="20"/>
            <w:lang w:val="en-US"/>
          </w:rPr>
          <w:t xml:space="preserve"> II (Hunter syndrome). </w:t>
        </w:r>
        <w:r>
          <w:rPr>
            <w:sz w:val="20"/>
          </w:rPr>
          <w:t xml:space="preserve">Mol </w:t>
        </w:r>
        <w:proofErr w:type="spellStart"/>
        <w:proofErr w:type="gramStart"/>
        <w:r>
          <w:rPr>
            <w:sz w:val="20"/>
          </w:rPr>
          <w:t>GenetMetab</w:t>
        </w:r>
        <w:proofErr w:type="spellEnd"/>
        <w:proofErr w:type="gramEnd"/>
        <w:r>
          <w:rPr>
            <w:sz w:val="20"/>
          </w:rPr>
          <w:t xml:space="preserve">. </w:t>
        </w:r>
        <w:proofErr w:type="gramStart"/>
        <w:r>
          <w:rPr>
            <w:sz w:val="20"/>
          </w:rPr>
          <w:t>2007;</w:t>
        </w:r>
        <w:proofErr w:type="gramEnd"/>
        <w:r>
          <w:rPr>
            <w:sz w:val="20"/>
          </w:rPr>
          <w:t>90: 329–</w:t>
        </w:r>
      </w:hyperlink>
      <w:hyperlink r:id="rId327">
        <w:r>
          <w:rPr>
            <w:sz w:val="20"/>
          </w:rPr>
          <w:t xml:space="preserve"> 337.</w:t>
        </w:r>
      </w:hyperlink>
    </w:p>
    <w:p w:rsidR="00A74668" w:rsidRDefault="00421CAF">
      <w:pPr>
        <w:pStyle w:val="PargrafodaLista"/>
        <w:numPr>
          <w:ilvl w:val="0"/>
          <w:numId w:val="6"/>
        </w:numPr>
        <w:tabs>
          <w:tab w:val="left" w:pos="942"/>
        </w:tabs>
        <w:ind w:right="580" w:firstLine="0"/>
        <w:jc w:val="both"/>
        <w:rPr>
          <w:sz w:val="20"/>
        </w:rPr>
      </w:pPr>
      <w:hyperlink r:id="rId328">
        <w:proofErr w:type="spellStart"/>
        <w:r>
          <w:rPr>
            <w:sz w:val="20"/>
          </w:rPr>
          <w:t>Tomanin</w:t>
        </w:r>
        <w:proofErr w:type="spellEnd"/>
        <w:r>
          <w:rPr>
            <w:sz w:val="20"/>
          </w:rPr>
          <w:t xml:space="preserve"> R, Zanetti A, D’</w:t>
        </w:r>
        <w:proofErr w:type="spellStart"/>
        <w:r>
          <w:rPr>
            <w:sz w:val="20"/>
          </w:rPr>
          <w:t>Avanzo</w:t>
        </w:r>
        <w:proofErr w:type="spellEnd"/>
        <w:r>
          <w:rPr>
            <w:sz w:val="20"/>
          </w:rPr>
          <w:t xml:space="preserve"> F, </w:t>
        </w:r>
        <w:proofErr w:type="spellStart"/>
        <w:r>
          <w:rPr>
            <w:sz w:val="20"/>
          </w:rPr>
          <w:t>Rampazzo</w:t>
        </w:r>
        <w:proofErr w:type="spellEnd"/>
        <w:r>
          <w:rPr>
            <w:sz w:val="20"/>
          </w:rPr>
          <w:t xml:space="preserve"> A, </w:t>
        </w:r>
        <w:proofErr w:type="spellStart"/>
        <w:r>
          <w:rPr>
            <w:sz w:val="20"/>
          </w:rPr>
          <w:t>Gasparotto</w:t>
        </w:r>
        <w:proofErr w:type="spellEnd"/>
        <w:r>
          <w:rPr>
            <w:sz w:val="20"/>
          </w:rPr>
          <w:t xml:space="preserve"> N, </w:t>
        </w:r>
        <w:proofErr w:type="spellStart"/>
        <w:r>
          <w:rPr>
            <w:sz w:val="20"/>
          </w:rPr>
          <w:t>Parini</w:t>
        </w:r>
        <w:proofErr w:type="spellEnd"/>
        <w:r>
          <w:rPr>
            <w:sz w:val="20"/>
          </w:rPr>
          <w:t xml:space="preserve"> R, </w:t>
        </w:r>
        <w:proofErr w:type="gramStart"/>
        <w:r>
          <w:rPr>
            <w:sz w:val="20"/>
          </w:rPr>
          <w:t>et</w:t>
        </w:r>
        <w:proofErr w:type="gramEnd"/>
        <w:r>
          <w:rPr>
            <w:sz w:val="20"/>
          </w:rPr>
          <w:t xml:space="preserve"> al. </w:t>
        </w:r>
        <w:r w:rsidRPr="00421CAF">
          <w:rPr>
            <w:sz w:val="20"/>
            <w:lang w:val="en-US"/>
          </w:rPr>
          <w:t>Clinical efficacy of</w:t>
        </w:r>
      </w:hyperlink>
      <w:hyperlink r:id="rId329">
        <w:r w:rsidRPr="00421CAF">
          <w:rPr>
            <w:sz w:val="20"/>
            <w:lang w:val="en-US"/>
          </w:rPr>
          <w:t xml:space="preserve"> enzyme replacement therapy in </w:t>
        </w:r>
        <w:proofErr w:type="spellStart"/>
        <w:r w:rsidRPr="00421CAF">
          <w:rPr>
            <w:sz w:val="20"/>
            <w:lang w:val="en-US"/>
          </w:rPr>
          <w:t>paediatric</w:t>
        </w:r>
        <w:proofErr w:type="spellEnd"/>
        <w:r w:rsidRPr="00421CAF">
          <w:rPr>
            <w:sz w:val="20"/>
            <w:lang w:val="en-US"/>
          </w:rPr>
          <w:t xml:space="preserve"> Hunter patients, an i</w:t>
        </w:r>
        <w:r w:rsidRPr="00421CAF">
          <w:rPr>
            <w:sz w:val="20"/>
            <w:lang w:val="en-US"/>
          </w:rPr>
          <w:t xml:space="preserve">ndependent study of 3.5 years. </w:t>
        </w:r>
        <w:proofErr w:type="spellStart"/>
        <w:r>
          <w:rPr>
            <w:sz w:val="20"/>
          </w:rPr>
          <w:t>Orphanet</w:t>
        </w:r>
        <w:proofErr w:type="spellEnd"/>
        <w:r>
          <w:rPr>
            <w:sz w:val="20"/>
          </w:rPr>
          <w:t xml:space="preserve"> J </w:t>
        </w:r>
        <w:proofErr w:type="spellStart"/>
        <w:r>
          <w:rPr>
            <w:sz w:val="20"/>
          </w:rPr>
          <w:t>Rare</w:t>
        </w:r>
        <w:proofErr w:type="spellEnd"/>
        <w:r>
          <w:rPr>
            <w:sz w:val="20"/>
          </w:rPr>
          <w:t xml:space="preserve"> </w:t>
        </w:r>
        <w:proofErr w:type="spellStart"/>
        <w:proofErr w:type="gramStart"/>
        <w:r>
          <w:rPr>
            <w:sz w:val="20"/>
          </w:rPr>
          <w:t>Dis</w:t>
        </w:r>
        <w:proofErr w:type="spellEnd"/>
        <w:r>
          <w:rPr>
            <w:sz w:val="20"/>
          </w:rPr>
          <w:t>.</w:t>
        </w:r>
        <w:proofErr w:type="gramEnd"/>
      </w:hyperlink>
      <w:hyperlink r:id="rId330">
        <w:r>
          <w:rPr>
            <w:sz w:val="20"/>
          </w:rPr>
          <w:t xml:space="preserve"> 2014;9:</w:t>
        </w:r>
        <w:r>
          <w:rPr>
            <w:spacing w:val="-3"/>
            <w:sz w:val="20"/>
          </w:rPr>
          <w:t xml:space="preserve"> </w:t>
        </w:r>
        <w:r>
          <w:rPr>
            <w:sz w:val="20"/>
          </w:rPr>
          <w:t>129.</w:t>
        </w:r>
      </w:hyperlink>
    </w:p>
    <w:p w:rsidR="00A74668" w:rsidRDefault="00421CAF">
      <w:pPr>
        <w:pStyle w:val="PargrafodaLista"/>
        <w:numPr>
          <w:ilvl w:val="0"/>
          <w:numId w:val="6"/>
        </w:numPr>
        <w:tabs>
          <w:tab w:val="left" w:pos="942"/>
        </w:tabs>
        <w:ind w:right="585" w:firstLine="0"/>
        <w:jc w:val="both"/>
        <w:rPr>
          <w:sz w:val="20"/>
        </w:rPr>
      </w:pPr>
      <w:hyperlink r:id="rId331">
        <w:proofErr w:type="spellStart"/>
        <w:r w:rsidRPr="00421CAF">
          <w:rPr>
            <w:sz w:val="20"/>
            <w:lang w:val="en-US"/>
          </w:rPr>
          <w:t>Parini</w:t>
        </w:r>
        <w:proofErr w:type="spellEnd"/>
        <w:r w:rsidRPr="00421CAF">
          <w:rPr>
            <w:sz w:val="20"/>
            <w:lang w:val="en-US"/>
          </w:rPr>
          <w:t xml:space="preserve"> R, </w:t>
        </w:r>
        <w:proofErr w:type="spellStart"/>
        <w:r w:rsidRPr="00421CAF">
          <w:rPr>
            <w:sz w:val="20"/>
            <w:lang w:val="en-US"/>
          </w:rPr>
          <w:t>Rigoldi</w:t>
        </w:r>
        <w:proofErr w:type="spellEnd"/>
        <w:r w:rsidRPr="00421CAF">
          <w:rPr>
            <w:sz w:val="20"/>
            <w:lang w:val="en-US"/>
          </w:rPr>
          <w:t xml:space="preserve"> M, Tedesco L, </w:t>
        </w:r>
        <w:proofErr w:type="spellStart"/>
        <w:r w:rsidRPr="00421CAF">
          <w:rPr>
            <w:sz w:val="20"/>
            <w:lang w:val="en-US"/>
          </w:rPr>
          <w:t>Boffi</w:t>
        </w:r>
        <w:proofErr w:type="spellEnd"/>
        <w:r w:rsidRPr="00421CAF">
          <w:rPr>
            <w:sz w:val="20"/>
            <w:lang w:val="en-US"/>
          </w:rPr>
          <w:t xml:space="preserve"> L, </w:t>
        </w:r>
        <w:proofErr w:type="spellStart"/>
        <w:r w:rsidRPr="00421CAF">
          <w:rPr>
            <w:sz w:val="20"/>
            <w:lang w:val="en-US"/>
          </w:rPr>
          <w:t>Brambilla</w:t>
        </w:r>
        <w:proofErr w:type="spellEnd"/>
        <w:r w:rsidRPr="00421CAF">
          <w:rPr>
            <w:sz w:val="20"/>
            <w:lang w:val="en-US"/>
          </w:rPr>
          <w:t xml:space="preserve"> A, </w:t>
        </w:r>
        <w:proofErr w:type="spellStart"/>
        <w:proofErr w:type="gramStart"/>
        <w:r w:rsidRPr="00421CAF">
          <w:rPr>
            <w:sz w:val="20"/>
            <w:lang w:val="en-US"/>
          </w:rPr>
          <w:t>Bertoletti</w:t>
        </w:r>
        <w:proofErr w:type="spellEnd"/>
        <w:r w:rsidRPr="00421CAF">
          <w:rPr>
            <w:sz w:val="20"/>
            <w:lang w:val="en-US"/>
          </w:rPr>
          <w:t xml:space="preserve"> S, et al. Enzyma</w:t>
        </w:r>
        <w:r w:rsidRPr="00421CAF">
          <w:rPr>
            <w:sz w:val="20"/>
            <w:lang w:val="en-US"/>
          </w:rPr>
          <w:t>tic replacement therapy</w:t>
        </w:r>
      </w:hyperlink>
      <w:hyperlink r:id="rId332">
        <w:proofErr w:type="gramEnd"/>
        <w:r w:rsidRPr="00421CAF">
          <w:rPr>
            <w:sz w:val="20"/>
            <w:lang w:val="en-US"/>
          </w:rPr>
          <w:t xml:space="preserve"> for Hunter disease: Up to 9 </w:t>
        </w:r>
        <w:proofErr w:type="spellStart"/>
        <w:r w:rsidRPr="00421CAF">
          <w:rPr>
            <w:sz w:val="20"/>
            <w:lang w:val="en-US"/>
          </w:rPr>
          <w:t>years experience</w:t>
        </w:r>
        <w:proofErr w:type="spellEnd"/>
        <w:r w:rsidRPr="00421CAF">
          <w:rPr>
            <w:sz w:val="20"/>
            <w:lang w:val="en-US"/>
          </w:rPr>
          <w:t xml:space="preserve"> with 17 patients.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Rep. </w:t>
        </w:r>
        <w:proofErr w:type="gramStart"/>
        <w:r>
          <w:rPr>
            <w:sz w:val="20"/>
          </w:rPr>
          <w:t>2015;</w:t>
        </w:r>
        <w:proofErr w:type="gramEnd"/>
        <w:r>
          <w:rPr>
            <w:sz w:val="20"/>
          </w:rPr>
          <w:t>3:</w:t>
        </w:r>
        <w:r>
          <w:rPr>
            <w:spacing w:val="-8"/>
            <w:sz w:val="20"/>
          </w:rPr>
          <w:t xml:space="preserve"> </w:t>
        </w:r>
        <w:r>
          <w:rPr>
            <w:spacing w:val="2"/>
            <w:sz w:val="20"/>
          </w:rPr>
          <w:t>65–74.</w:t>
        </w:r>
      </w:hyperlink>
    </w:p>
    <w:p w:rsidR="00A74668" w:rsidRDefault="00421CAF">
      <w:pPr>
        <w:pStyle w:val="PargrafodaLista"/>
        <w:numPr>
          <w:ilvl w:val="0"/>
          <w:numId w:val="6"/>
        </w:numPr>
        <w:tabs>
          <w:tab w:val="left" w:pos="942"/>
        </w:tabs>
        <w:spacing w:before="1"/>
        <w:ind w:right="585" w:firstLine="0"/>
        <w:jc w:val="both"/>
        <w:rPr>
          <w:sz w:val="20"/>
        </w:rPr>
      </w:pPr>
      <w:hyperlink r:id="rId333">
        <w:proofErr w:type="spellStart"/>
        <w:r w:rsidRPr="00421CAF">
          <w:rPr>
            <w:sz w:val="20"/>
            <w:lang w:val="en-US"/>
          </w:rPr>
          <w:t>Parini</w:t>
        </w:r>
        <w:proofErr w:type="spellEnd"/>
        <w:r w:rsidRPr="00421CAF">
          <w:rPr>
            <w:sz w:val="20"/>
            <w:lang w:val="en-US"/>
          </w:rPr>
          <w:t xml:space="preserve"> R, </w:t>
        </w:r>
        <w:proofErr w:type="spellStart"/>
        <w:r w:rsidRPr="00421CAF">
          <w:rPr>
            <w:sz w:val="20"/>
            <w:lang w:val="en-US"/>
          </w:rPr>
          <w:t>Rigoldi</w:t>
        </w:r>
        <w:proofErr w:type="spellEnd"/>
        <w:r w:rsidRPr="00421CAF">
          <w:rPr>
            <w:sz w:val="20"/>
            <w:lang w:val="en-US"/>
          </w:rPr>
          <w:t xml:space="preserve"> M, Te</w:t>
        </w:r>
        <w:r w:rsidRPr="00421CAF">
          <w:rPr>
            <w:sz w:val="20"/>
            <w:lang w:val="en-US"/>
          </w:rPr>
          <w:t xml:space="preserve">desco L, </w:t>
        </w:r>
        <w:proofErr w:type="spellStart"/>
        <w:r w:rsidRPr="00421CAF">
          <w:rPr>
            <w:sz w:val="20"/>
            <w:lang w:val="en-US"/>
          </w:rPr>
          <w:t>Boffi</w:t>
        </w:r>
        <w:proofErr w:type="spellEnd"/>
        <w:r w:rsidRPr="00421CAF">
          <w:rPr>
            <w:sz w:val="20"/>
            <w:lang w:val="en-US"/>
          </w:rPr>
          <w:t xml:space="preserve"> L, </w:t>
        </w:r>
        <w:proofErr w:type="spellStart"/>
        <w:r w:rsidRPr="00421CAF">
          <w:rPr>
            <w:sz w:val="20"/>
            <w:lang w:val="en-US"/>
          </w:rPr>
          <w:t>Brambilla</w:t>
        </w:r>
        <w:proofErr w:type="spellEnd"/>
        <w:r w:rsidRPr="00421CAF">
          <w:rPr>
            <w:sz w:val="20"/>
            <w:lang w:val="en-US"/>
          </w:rPr>
          <w:t xml:space="preserve"> A, </w:t>
        </w:r>
        <w:proofErr w:type="spellStart"/>
        <w:proofErr w:type="gramStart"/>
        <w:r w:rsidRPr="00421CAF">
          <w:rPr>
            <w:sz w:val="20"/>
            <w:lang w:val="en-US"/>
          </w:rPr>
          <w:t>Bertoletti</w:t>
        </w:r>
        <w:proofErr w:type="spellEnd"/>
        <w:r w:rsidRPr="00421CAF">
          <w:rPr>
            <w:sz w:val="20"/>
            <w:lang w:val="en-US"/>
          </w:rPr>
          <w:t xml:space="preserve"> S, et al. Enzymatic replacement therapy</w:t>
        </w:r>
      </w:hyperlink>
      <w:hyperlink r:id="rId334">
        <w:proofErr w:type="gramEnd"/>
        <w:r w:rsidRPr="00421CAF">
          <w:rPr>
            <w:sz w:val="20"/>
            <w:lang w:val="en-US"/>
          </w:rPr>
          <w:t xml:space="preserve"> for Hunter disease: Up to 9 </w:t>
        </w:r>
        <w:proofErr w:type="spellStart"/>
        <w:r w:rsidRPr="00421CAF">
          <w:rPr>
            <w:sz w:val="20"/>
            <w:lang w:val="en-US"/>
          </w:rPr>
          <w:t>years experience</w:t>
        </w:r>
        <w:proofErr w:type="spellEnd"/>
        <w:r w:rsidRPr="00421CAF">
          <w:rPr>
            <w:sz w:val="20"/>
            <w:lang w:val="en-US"/>
          </w:rPr>
          <w:t xml:space="preserve"> with 17 patients.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Rep. </w:t>
        </w:r>
        <w:proofErr w:type="gramStart"/>
        <w:r>
          <w:rPr>
            <w:sz w:val="20"/>
          </w:rPr>
          <w:t>2015;</w:t>
        </w:r>
        <w:proofErr w:type="gramEnd"/>
        <w:r>
          <w:rPr>
            <w:sz w:val="20"/>
          </w:rPr>
          <w:t>3:</w:t>
        </w:r>
        <w:r>
          <w:rPr>
            <w:spacing w:val="1"/>
            <w:sz w:val="20"/>
          </w:rPr>
          <w:t xml:space="preserve"> </w:t>
        </w:r>
        <w:r>
          <w:rPr>
            <w:sz w:val="20"/>
          </w:rPr>
          <w:t>65–74.</w:t>
        </w:r>
      </w:hyperlink>
    </w:p>
    <w:p w:rsidR="00A74668" w:rsidRDefault="00421CAF">
      <w:pPr>
        <w:pStyle w:val="PargrafodaLista"/>
        <w:numPr>
          <w:ilvl w:val="0"/>
          <w:numId w:val="6"/>
        </w:numPr>
        <w:tabs>
          <w:tab w:val="left" w:pos="942"/>
        </w:tabs>
        <w:ind w:right="576" w:firstLine="0"/>
        <w:jc w:val="both"/>
        <w:rPr>
          <w:sz w:val="20"/>
        </w:rPr>
      </w:pPr>
      <w:hyperlink r:id="rId335">
        <w:r>
          <w:rPr>
            <w:sz w:val="20"/>
          </w:rPr>
          <w:t>CALENDÁRIO NACIONAL DE VACINAÇÃO. In: Portal da Saúde – Ministério da Saúde –</w:t>
        </w:r>
      </w:hyperlink>
      <w:hyperlink r:id="rId336">
        <w:r>
          <w:rPr>
            <w:sz w:val="20"/>
          </w:rPr>
          <w:t xml:space="preserve"> www.saude.gov.br [Internet]. [cited 10 Sep 2017]. Available:</w:t>
        </w:r>
      </w:hyperlink>
      <w:r>
        <w:rPr>
          <w:sz w:val="20"/>
        </w:rPr>
        <w:t xml:space="preserve"> </w:t>
      </w:r>
      <w:hyperlink r:id="rId337">
        <w:r>
          <w:rPr>
            <w:sz w:val="20"/>
          </w:rPr>
          <w:t>http://portalsaude.saude.gov.br/index.php/o-</w:t>
        </w:r>
      </w:hyperlink>
      <w:hyperlink r:id="rId338">
        <w:r>
          <w:rPr>
            <w:sz w:val="20"/>
          </w:rPr>
          <w:t xml:space="preserve"> ministerio/principal/leia-mais-o-ministerio/197-secretaria-svs/13600-calendario-nacional-de-vacinacao</w:t>
        </w:r>
        <w:proofErr w:type="gramStart"/>
      </w:hyperlink>
      <w:proofErr w:type="gramEnd"/>
    </w:p>
    <w:p w:rsidR="00A74668" w:rsidRDefault="00A74668">
      <w:pPr>
        <w:jc w:val="both"/>
        <w:rPr>
          <w:sz w:val="20"/>
        </w:rPr>
        <w:sectPr w:rsidR="00A74668">
          <w:pgSz w:w="11910" w:h="16840"/>
          <w:pgMar w:top="1040" w:right="980" w:bottom="440" w:left="900" w:header="0" w:footer="254" w:gutter="0"/>
          <w:cols w:space="720"/>
        </w:sectPr>
      </w:pPr>
    </w:p>
    <w:p w:rsidR="00A74668" w:rsidRDefault="00421CAF">
      <w:pPr>
        <w:spacing w:before="77" w:line="228" w:lineRule="exact"/>
        <w:ind w:left="233"/>
        <w:rPr>
          <w:b/>
          <w:sz w:val="16"/>
        </w:rPr>
      </w:pPr>
      <w:r>
        <w:rPr>
          <w:b/>
          <w:sz w:val="20"/>
        </w:rPr>
        <w:lastRenderedPageBreak/>
        <w:t>T</w:t>
      </w:r>
      <w:r>
        <w:rPr>
          <w:b/>
          <w:sz w:val="16"/>
        </w:rPr>
        <w:t xml:space="preserve">ERMO DE </w:t>
      </w:r>
      <w:r>
        <w:rPr>
          <w:b/>
          <w:sz w:val="20"/>
        </w:rPr>
        <w:t>E</w:t>
      </w:r>
      <w:r>
        <w:rPr>
          <w:b/>
          <w:sz w:val="16"/>
        </w:rPr>
        <w:t xml:space="preserve">SCLARECIMENTO E </w:t>
      </w:r>
      <w:r>
        <w:rPr>
          <w:b/>
          <w:sz w:val="20"/>
        </w:rPr>
        <w:t>R</w:t>
      </w:r>
      <w:r>
        <w:rPr>
          <w:b/>
          <w:sz w:val="16"/>
        </w:rPr>
        <w:t>ESPONSABILIDADE</w:t>
      </w:r>
    </w:p>
    <w:p w:rsidR="00A74668" w:rsidRDefault="00421CAF">
      <w:pPr>
        <w:spacing w:line="228" w:lineRule="exact"/>
        <w:ind w:left="233"/>
        <w:rPr>
          <w:sz w:val="16"/>
        </w:rPr>
      </w:pPr>
      <w:r>
        <w:rPr>
          <w:sz w:val="20"/>
        </w:rPr>
        <w:t>I</w:t>
      </w:r>
      <w:r>
        <w:rPr>
          <w:sz w:val="16"/>
        </w:rPr>
        <w:t>DURSULFASE ALFA</w:t>
      </w:r>
    </w:p>
    <w:p w:rsidR="00A74668" w:rsidRDefault="00A74668">
      <w:pPr>
        <w:pStyle w:val="Corpodetexto"/>
        <w:spacing w:before="1"/>
        <w:ind w:left="0"/>
        <w:jc w:val="left"/>
      </w:pPr>
    </w:p>
    <w:p w:rsidR="00A74668" w:rsidRDefault="00421CAF">
      <w:pPr>
        <w:pStyle w:val="Corpodetexto"/>
        <w:tabs>
          <w:tab w:val="left" w:pos="5842"/>
        </w:tabs>
        <w:ind w:right="589"/>
      </w:pPr>
      <w:r>
        <w:t>Eu,</w:t>
      </w:r>
      <w:r>
        <w:rPr>
          <w:u w:val="single"/>
        </w:rPr>
        <w:t xml:space="preserve"> </w:t>
      </w:r>
      <w:r>
        <w:rPr>
          <w:u w:val="single"/>
        </w:rPr>
        <w:tab/>
      </w:r>
      <w:proofErr w:type="gramStart"/>
      <w:r>
        <w:t>(</w:t>
      </w:r>
      <w:proofErr w:type="gramEnd"/>
      <w:r>
        <w:t xml:space="preserve">nome do(a) paciente), declaro ter sido informado(a) claramente sobre benefícios, riscos, contraindicações e principais efeitos adversos relacionados ao uso de </w:t>
      </w:r>
      <w:proofErr w:type="spellStart"/>
      <w:r>
        <w:rPr>
          <w:b/>
        </w:rPr>
        <w:t>idursulfase</w:t>
      </w:r>
      <w:proofErr w:type="spellEnd"/>
      <w:r>
        <w:rPr>
          <w:b/>
        </w:rPr>
        <w:t xml:space="preserve"> alfa, </w:t>
      </w:r>
      <w:r>
        <w:t xml:space="preserve">indicados para o tratamento da </w:t>
      </w:r>
      <w:proofErr w:type="spellStart"/>
      <w:r>
        <w:rPr>
          <w:b/>
        </w:rPr>
        <w:t>mucopolissacaridose</w:t>
      </w:r>
      <w:proofErr w:type="spellEnd"/>
      <w:r>
        <w:rPr>
          <w:b/>
        </w:rPr>
        <w:t xml:space="preserve"> tipo</w:t>
      </w:r>
      <w:r>
        <w:rPr>
          <w:b/>
          <w:spacing w:val="2"/>
        </w:rPr>
        <w:t xml:space="preserve"> </w:t>
      </w:r>
      <w:r>
        <w:rPr>
          <w:b/>
        </w:rPr>
        <w:t>II</w:t>
      </w:r>
      <w:r>
        <w:t>.</w:t>
      </w:r>
    </w:p>
    <w:p w:rsidR="00A74668" w:rsidRDefault="00421CAF">
      <w:pPr>
        <w:pStyle w:val="Corpodetexto"/>
        <w:spacing w:line="229" w:lineRule="exact"/>
        <w:jc w:val="left"/>
      </w:pPr>
      <w:r>
        <w:t>Os termos médicos foram explicados e todas as minhas dúvidas foram resolvidas pelo médico</w:t>
      </w:r>
    </w:p>
    <w:p w:rsidR="00A74668" w:rsidRDefault="00421CAF">
      <w:pPr>
        <w:pStyle w:val="Corpodetexto"/>
        <w:tabs>
          <w:tab w:val="left" w:pos="4873"/>
        </w:tabs>
        <w:jc w:val="left"/>
      </w:pPr>
      <w:r>
        <w:rPr>
          <w:w w:val="99"/>
          <w:u w:val="single"/>
        </w:rPr>
        <w:t xml:space="preserve"> </w:t>
      </w:r>
      <w:r>
        <w:rPr>
          <w:u w:val="single"/>
        </w:rPr>
        <w:tab/>
      </w:r>
      <w:r>
        <w:t>(nome do médico que</w:t>
      </w:r>
      <w:r>
        <w:rPr>
          <w:spacing w:val="2"/>
        </w:rPr>
        <w:t xml:space="preserve"> </w:t>
      </w:r>
      <w:r>
        <w:t>prescreve).</w:t>
      </w:r>
    </w:p>
    <w:p w:rsidR="00A74668" w:rsidRDefault="00421CAF">
      <w:pPr>
        <w:pStyle w:val="Corpodetexto"/>
        <w:spacing w:before="1"/>
        <w:ind w:right="591"/>
        <w:jc w:val="left"/>
      </w:pPr>
      <w:r>
        <w:t xml:space="preserve">Assim, declaro que fui claramente </w:t>
      </w:r>
      <w:proofErr w:type="gramStart"/>
      <w:r>
        <w:t>informado(</w:t>
      </w:r>
      <w:proofErr w:type="gramEnd"/>
      <w:r>
        <w:t xml:space="preserve">a) de que os medicamentos que passo a receber podem trazer </w:t>
      </w:r>
      <w:r>
        <w:t>os seguintes benefícios:</w:t>
      </w:r>
    </w:p>
    <w:p w:rsidR="00A74668" w:rsidRDefault="00421CAF">
      <w:pPr>
        <w:pStyle w:val="PargrafodaLista"/>
        <w:numPr>
          <w:ilvl w:val="0"/>
          <w:numId w:val="14"/>
        </w:numPr>
        <w:tabs>
          <w:tab w:val="left" w:pos="351"/>
        </w:tabs>
        <w:ind w:left="350" w:hanging="117"/>
        <w:jc w:val="left"/>
        <w:rPr>
          <w:sz w:val="20"/>
        </w:rPr>
      </w:pPr>
      <w:proofErr w:type="gramStart"/>
      <w:r>
        <w:rPr>
          <w:sz w:val="20"/>
        </w:rPr>
        <w:t>melhora</w:t>
      </w:r>
      <w:proofErr w:type="gramEnd"/>
      <w:r>
        <w:rPr>
          <w:sz w:val="20"/>
        </w:rPr>
        <w:t xml:space="preserve"> dos sintomas da doença, como </w:t>
      </w:r>
      <w:proofErr w:type="spellStart"/>
      <w:r>
        <w:rPr>
          <w:sz w:val="20"/>
        </w:rPr>
        <w:t>hepatomegalia</w:t>
      </w:r>
      <w:proofErr w:type="spellEnd"/>
      <w:r>
        <w:rPr>
          <w:sz w:val="20"/>
        </w:rPr>
        <w:t xml:space="preserve"> e rigidez</w:t>
      </w:r>
      <w:r>
        <w:rPr>
          <w:spacing w:val="-4"/>
          <w:sz w:val="20"/>
        </w:rPr>
        <w:t xml:space="preserve"> </w:t>
      </w:r>
      <w:r>
        <w:rPr>
          <w:sz w:val="20"/>
        </w:rPr>
        <w:t>articular;</w:t>
      </w:r>
    </w:p>
    <w:p w:rsidR="00A74668" w:rsidRDefault="00421CAF">
      <w:pPr>
        <w:pStyle w:val="Corpodetexto"/>
        <w:spacing w:before="1"/>
        <w:ind w:right="591"/>
        <w:jc w:val="left"/>
      </w:pPr>
      <w:r>
        <w:t xml:space="preserve">Fui também claramente </w:t>
      </w:r>
      <w:proofErr w:type="gramStart"/>
      <w:r>
        <w:t>informado(</w:t>
      </w:r>
      <w:proofErr w:type="gramEnd"/>
      <w:r>
        <w:t>a) a respeito das seguintes contraindicações, potenciais efeitos adversos e riscos:</w:t>
      </w:r>
    </w:p>
    <w:p w:rsidR="00A74668" w:rsidRDefault="00421CAF">
      <w:pPr>
        <w:pStyle w:val="PargrafodaLista"/>
        <w:numPr>
          <w:ilvl w:val="0"/>
          <w:numId w:val="14"/>
        </w:numPr>
        <w:tabs>
          <w:tab w:val="left" w:pos="359"/>
        </w:tabs>
        <w:ind w:right="594" w:firstLine="0"/>
        <w:jc w:val="left"/>
        <w:rPr>
          <w:sz w:val="20"/>
        </w:rPr>
      </w:pPr>
      <w:proofErr w:type="gramStart"/>
      <w:r>
        <w:rPr>
          <w:sz w:val="20"/>
        </w:rPr>
        <w:t>desenvolvimento</w:t>
      </w:r>
      <w:proofErr w:type="gramEnd"/>
      <w:r>
        <w:rPr>
          <w:sz w:val="20"/>
        </w:rPr>
        <w:t xml:space="preserve"> de regressão neurológica (p</w:t>
      </w:r>
      <w:r>
        <w:rPr>
          <w:sz w:val="20"/>
        </w:rPr>
        <w:t>erda de funções adquiridas) durante a vigência do tratamento, uma vez que não há benefício comprovado da TRE nos pacientes que já possuem regressão</w:t>
      </w:r>
      <w:r>
        <w:rPr>
          <w:spacing w:val="-15"/>
          <w:sz w:val="20"/>
        </w:rPr>
        <w:t xml:space="preserve"> </w:t>
      </w:r>
      <w:r>
        <w:rPr>
          <w:sz w:val="20"/>
        </w:rPr>
        <w:t>neurológica;</w:t>
      </w:r>
    </w:p>
    <w:p w:rsidR="00A74668" w:rsidRDefault="00421CAF">
      <w:pPr>
        <w:pStyle w:val="PargrafodaLista"/>
        <w:numPr>
          <w:ilvl w:val="0"/>
          <w:numId w:val="14"/>
        </w:numPr>
        <w:tabs>
          <w:tab w:val="left" w:pos="349"/>
        </w:tabs>
        <w:ind w:firstLine="0"/>
        <w:jc w:val="left"/>
        <w:rPr>
          <w:sz w:val="20"/>
        </w:rPr>
      </w:pPr>
      <w:proofErr w:type="gramStart"/>
      <w:r>
        <w:rPr>
          <w:sz w:val="20"/>
        </w:rPr>
        <w:t>o</w:t>
      </w:r>
      <w:proofErr w:type="gramEnd"/>
      <w:r>
        <w:rPr>
          <w:sz w:val="20"/>
        </w:rPr>
        <w:t xml:space="preserve"> uso da TRE com </w:t>
      </w:r>
      <w:proofErr w:type="spellStart"/>
      <w:r>
        <w:rPr>
          <w:sz w:val="20"/>
        </w:rPr>
        <w:t>idursulfase</w:t>
      </w:r>
      <w:proofErr w:type="spellEnd"/>
      <w:r>
        <w:rPr>
          <w:sz w:val="20"/>
        </w:rPr>
        <w:t xml:space="preserve"> em mulheres grávidas ou que estejam amamentando não é</w:t>
      </w:r>
      <w:r>
        <w:rPr>
          <w:spacing w:val="-18"/>
          <w:sz w:val="20"/>
        </w:rPr>
        <w:t xml:space="preserve"> </w:t>
      </w:r>
      <w:r>
        <w:rPr>
          <w:sz w:val="20"/>
        </w:rPr>
        <w:t>recomendado;</w:t>
      </w:r>
    </w:p>
    <w:p w:rsidR="00A74668" w:rsidRDefault="00421CAF">
      <w:pPr>
        <w:pStyle w:val="PargrafodaLista"/>
        <w:numPr>
          <w:ilvl w:val="0"/>
          <w:numId w:val="14"/>
        </w:numPr>
        <w:tabs>
          <w:tab w:val="left" w:pos="356"/>
        </w:tabs>
        <w:ind w:right="582" w:firstLine="0"/>
        <w:jc w:val="left"/>
        <w:rPr>
          <w:sz w:val="20"/>
        </w:rPr>
      </w:pPr>
      <w:proofErr w:type="gramStart"/>
      <w:r>
        <w:rPr>
          <w:sz w:val="20"/>
        </w:rPr>
        <w:t>os</w:t>
      </w:r>
      <w:proofErr w:type="gramEnd"/>
      <w:r>
        <w:rPr>
          <w:sz w:val="20"/>
        </w:rPr>
        <w:t xml:space="preserve"> eventos adversos da </w:t>
      </w:r>
      <w:proofErr w:type="spellStart"/>
      <w:r>
        <w:rPr>
          <w:sz w:val="20"/>
        </w:rPr>
        <w:t>idursulfase</w:t>
      </w:r>
      <w:proofErr w:type="spellEnd"/>
      <w:r>
        <w:rPr>
          <w:sz w:val="20"/>
        </w:rPr>
        <w:t xml:space="preserve"> alfa relacionados à infusão mais comuns são cefaleia, febre, reações cutâneas (urticária e</w:t>
      </w:r>
      <w:r>
        <w:rPr>
          <w:spacing w:val="-1"/>
          <w:sz w:val="20"/>
        </w:rPr>
        <w:t xml:space="preserve"> </w:t>
      </w:r>
      <w:r>
        <w:rPr>
          <w:sz w:val="20"/>
        </w:rPr>
        <w:t>eritema);</w:t>
      </w:r>
    </w:p>
    <w:p w:rsidR="00A74668" w:rsidRDefault="00421CAF">
      <w:pPr>
        <w:pStyle w:val="PargrafodaLista"/>
        <w:numPr>
          <w:ilvl w:val="0"/>
          <w:numId w:val="14"/>
        </w:numPr>
        <w:tabs>
          <w:tab w:val="left" w:pos="349"/>
        </w:tabs>
        <w:spacing w:line="228" w:lineRule="exact"/>
        <w:ind w:firstLine="0"/>
        <w:jc w:val="left"/>
        <w:rPr>
          <w:sz w:val="20"/>
        </w:rPr>
      </w:pPr>
      <w:proofErr w:type="gramStart"/>
      <w:r>
        <w:rPr>
          <w:sz w:val="20"/>
        </w:rPr>
        <w:t>contraindicação</w:t>
      </w:r>
      <w:proofErr w:type="gramEnd"/>
      <w:r>
        <w:rPr>
          <w:sz w:val="20"/>
        </w:rPr>
        <w:t xml:space="preserve"> em casos de hipersensibilidade (alergia) ao fármaco ou aos componentes da</w:t>
      </w:r>
      <w:r>
        <w:rPr>
          <w:spacing w:val="-10"/>
          <w:sz w:val="20"/>
        </w:rPr>
        <w:t xml:space="preserve"> </w:t>
      </w:r>
      <w:r>
        <w:rPr>
          <w:sz w:val="20"/>
        </w:rPr>
        <w:t>fórmula.</w:t>
      </w:r>
    </w:p>
    <w:p w:rsidR="00A74668" w:rsidRDefault="00421CAF">
      <w:pPr>
        <w:pStyle w:val="Corpodetexto"/>
        <w:spacing w:before="1"/>
        <w:ind w:right="580"/>
      </w:pPr>
      <w:r>
        <w:t xml:space="preserve">Estou ciente de que este medicamento somente pode ser utilizado por mim, comprometendo-me a devolvê-lo caso não queira ou não possa utilizá-lo ou se o tratamento for interrompido. Sei também que continuarei a ser </w:t>
      </w:r>
      <w:proofErr w:type="gramStart"/>
      <w:r>
        <w:t>atendido(</w:t>
      </w:r>
      <w:proofErr w:type="gramEnd"/>
      <w:r>
        <w:t xml:space="preserve">a), inclusive em caso de desistir </w:t>
      </w:r>
      <w:r>
        <w:t>de usar o medicamento.</w:t>
      </w:r>
    </w:p>
    <w:p w:rsidR="00A74668" w:rsidRDefault="00421CAF">
      <w:pPr>
        <w:pStyle w:val="Corpodetexto"/>
        <w:tabs>
          <w:tab w:val="left" w:pos="5240"/>
        </w:tabs>
        <w:spacing w:before="1" w:after="5"/>
        <w:ind w:right="591"/>
        <w:jc w:val="left"/>
      </w:pPr>
      <w:r>
        <w:t xml:space="preserve">Autorizo o Ministério da Saúde e as Secretarias de Saúde a fazerem uso de informações relativas ao meu tratamento, desde que assegurado o anonimato. </w:t>
      </w:r>
      <w:proofErr w:type="gramStart"/>
      <w:r>
        <w:t>(</w:t>
      </w:r>
      <w:r>
        <w:rPr>
          <w:spacing w:val="-11"/>
        </w:rPr>
        <w:t xml:space="preserve"> </w:t>
      </w:r>
      <w:proofErr w:type="gramEnd"/>
      <w:r>
        <w:t>)</w:t>
      </w:r>
      <w:r>
        <w:rPr>
          <w:spacing w:val="-2"/>
        </w:rPr>
        <w:t xml:space="preserve"> </w:t>
      </w:r>
      <w:r>
        <w:t>Sim</w:t>
      </w:r>
      <w:r>
        <w:tab/>
        <w:t>( ) Não</w:t>
      </w: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8"/>
      </w:tblGrid>
      <w:tr w:rsidR="00A74668">
        <w:trPr>
          <w:trHeight w:val="230"/>
        </w:trPr>
        <w:tc>
          <w:tcPr>
            <w:tcW w:w="8188" w:type="dxa"/>
          </w:tcPr>
          <w:p w:rsidR="00A74668" w:rsidRDefault="00421CAF">
            <w:pPr>
              <w:pStyle w:val="TableParagraph"/>
              <w:tabs>
                <w:tab w:val="left" w:pos="5105"/>
              </w:tabs>
              <w:spacing w:line="210" w:lineRule="exact"/>
              <w:rPr>
                <w:sz w:val="20"/>
              </w:rPr>
            </w:pPr>
            <w:r>
              <w:rPr>
                <w:sz w:val="20"/>
              </w:rPr>
              <w:t>Local:</w:t>
            </w:r>
            <w:r>
              <w:rPr>
                <w:sz w:val="20"/>
              </w:rPr>
              <w:tab/>
              <w:t>Data:</w:t>
            </w:r>
          </w:p>
        </w:tc>
      </w:tr>
      <w:tr w:rsidR="00A74668">
        <w:trPr>
          <w:trHeight w:val="230"/>
        </w:trPr>
        <w:tc>
          <w:tcPr>
            <w:tcW w:w="8188" w:type="dxa"/>
          </w:tcPr>
          <w:p w:rsidR="00A74668" w:rsidRDefault="00421CAF">
            <w:pPr>
              <w:pStyle w:val="TableParagraph"/>
              <w:spacing w:line="210" w:lineRule="exact"/>
              <w:rPr>
                <w:sz w:val="20"/>
              </w:rPr>
            </w:pPr>
            <w:r>
              <w:rPr>
                <w:sz w:val="20"/>
              </w:rPr>
              <w:t>Nome do paciente:</w:t>
            </w:r>
          </w:p>
        </w:tc>
      </w:tr>
      <w:tr w:rsidR="00A74668">
        <w:trPr>
          <w:trHeight w:val="230"/>
        </w:trPr>
        <w:tc>
          <w:tcPr>
            <w:tcW w:w="8188" w:type="dxa"/>
          </w:tcPr>
          <w:p w:rsidR="00A74668" w:rsidRDefault="00421CAF">
            <w:pPr>
              <w:pStyle w:val="TableParagraph"/>
              <w:spacing w:line="210" w:lineRule="exact"/>
              <w:rPr>
                <w:sz w:val="20"/>
              </w:rPr>
            </w:pPr>
            <w:r>
              <w:rPr>
                <w:sz w:val="20"/>
              </w:rPr>
              <w:t>Cartão Nacional do SUS:</w:t>
            </w:r>
          </w:p>
        </w:tc>
      </w:tr>
      <w:tr w:rsidR="00A74668">
        <w:trPr>
          <w:trHeight w:val="230"/>
        </w:trPr>
        <w:tc>
          <w:tcPr>
            <w:tcW w:w="8188" w:type="dxa"/>
          </w:tcPr>
          <w:p w:rsidR="00A74668" w:rsidRDefault="00421CAF">
            <w:pPr>
              <w:pStyle w:val="TableParagraph"/>
              <w:spacing w:line="210" w:lineRule="exact"/>
              <w:rPr>
                <w:sz w:val="20"/>
              </w:rPr>
            </w:pPr>
            <w:r>
              <w:rPr>
                <w:sz w:val="20"/>
              </w:rPr>
              <w:t>Nome do re</w:t>
            </w:r>
            <w:r>
              <w:rPr>
                <w:sz w:val="20"/>
              </w:rPr>
              <w:t>sponsável legal:</w:t>
            </w:r>
          </w:p>
        </w:tc>
      </w:tr>
      <w:tr w:rsidR="00A74668">
        <w:trPr>
          <w:trHeight w:val="230"/>
        </w:trPr>
        <w:tc>
          <w:tcPr>
            <w:tcW w:w="8188" w:type="dxa"/>
          </w:tcPr>
          <w:p w:rsidR="00A74668" w:rsidRDefault="00421CAF">
            <w:pPr>
              <w:pStyle w:val="TableParagraph"/>
              <w:spacing w:line="210" w:lineRule="exact"/>
              <w:rPr>
                <w:sz w:val="20"/>
              </w:rPr>
            </w:pPr>
            <w:r>
              <w:rPr>
                <w:sz w:val="20"/>
              </w:rPr>
              <w:t>Documento de identificação do responsável legal:</w:t>
            </w:r>
          </w:p>
        </w:tc>
      </w:tr>
      <w:tr w:rsidR="00A74668">
        <w:trPr>
          <w:trHeight w:val="460"/>
        </w:trPr>
        <w:tc>
          <w:tcPr>
            <w:tcW w:w="8188" w:type="dxa"/>
          </w:tcPr>
          <w:p w:rsidR="00A74668" w:rsidRDefault="00421CAF">
            <w:pPr>
              <w:pStyle w:val="TableParagraph"/>
              <w:rPr>
                <w:sz w:val="20"/>
              </w:rPr>
            </w:pPr>
            <w:r>
              <w:rPr>
                <w:sz w:val="20"/>
              </w:rPr>
              <w:t>Assinatura do paciente ou do responsável legal</w:t>
            </w:r>
          </w:p>
        </w:tc>
      </w:tr>
      <w:tr w:rsidR="00A74668">
        <w:trPr>
          <w:trHeight w:val="230"/>
        </w:trPr>
        <w:tc>
          <w:tcPr>
            <w:tcW w:w="8188" w:type="dxa"/>
          </w:tcPr>
          <w:p w:rsidR="00A74668" w:rsidRDefault="00421CAF">
            <w:pPr>
              <w:pStyle w:val="TableParagraph"/>
              <w:tabs>
                <w:tab w:val="left" w:pos="4512"/>
                <w:tab w:val="left" w:pos="6660"/>
              </w:tabs>
              <w:spacing w:line="210" w:lineRule="exact"/>
              <w:rPr>
                <w:sz w:val="20"/>
              </w:rPr>
            </w:pPr>
            <w:r>
              <w:rPr>
                <w:sz w:val="20"/>
              </w:rPr>
              <w:t>Médico:</w:t>
            </w:r>
            <w:r>
              <w:rPr>
                <w:sz w:val="20"/>
              </w:rPr>
              <w:tab/>
              <w:t>CRM:</w:t>
            </w:r>
            <w:r>
              <w:rPr>
                <w:sz w:val="20"/>
              </w:rPr>
              <w:tab/>
              <w:t>RS:</w:t>
            </w:r>
          </w:p>
        </w:tc>
      </w:tr>
      <w:tr w:rsidR="00A74668">
        <w:trPr>
          <w:trHeight w:val="690"/>
        </w:trPr>
        <w:tc>
          <w:tcPr>
            <w:tcW w:w="8188" w:type="dxa"/>
          </w:tcPr>
          <w:p w:rsidR="00A74668" w:rsidRDefault="00A74668">
            <w:pPr>
              <w:pStyle w:val="TableParagraph"/>
              <w:spacing w:before="7" w:after="1" w:line="240" w:lineRule="auto"/>
              <w:ind w:left="0"/>
              <w:rPr>
                <w:sz w:val="18"/>
              </w:rPr>
            </w:pPr>
          </w:p>
          <w:p w:rsidR="00A74668" w:rsidRDefault="00421CAF">
            <w:pPr>
              <w:pStyle w:val="TableParagraph"/>
              <w:spacing w:line="20" w:lineRule="exact"/>
              <w:ind w:left="103"/>
              <w:rPr>
                <w:sz w:val="2"/>
              </w:rPr>
            </w:pPr>
            <w:r>
              <w:rPr>
                <w:sz w:val="2"/>
              </w:rPr>
            </w:r>
            <w:r>
              <w:rPr>
                <w:sz w:val="2"/>
              </w:rPr>
              <w:pict>
                <v:group id="_x0000_s2051" style="width:149.9pt;height:.4pt;mso-position-horizontal-relative:char;mso-position-vertical-relative:line" coordsize="2998,8">
                  <v:line id="_x0000_s2052" style="position:absolute" from="0,4" to="2997,4" strokeweight=".14056mm"/>
                  <w10:wrap type="none"/>
                  <w10:anchorlock/>
                </v:group>
              </w:pict>
            </w:r>
          </w:p>
          <w:p w:rsidR="00A74668" w:rsidRDefault="00421CAF">
            <w:pPr>
              <w:pStyle w:val="TableParagraph"/>
              <w:spacing w:line="230" w:lineRule="atLeast"/>
              <w:ind w:right="5069"/>
              <w:rPr>
                <w:sz w:val="20"/>
              </w:rPr>
            </w:pPr>
            <w:r>
              <w:rPr>
                <w:sz w:val="20"/>
              </w:rPr>
              <w:t>Assinatura e carimbo do médico Data:</w:t>
            </w:r>
          </w:p>
        </w:tc>
      </w:tr>
    </w:tbl>
    <w:p w:rsidR="00A74668" w:rsidRDefault="00A74668">
      <w:pPr>
        <w:spacing w:line="230" w:lineRule="atLeast"/>
        <w:rPr>
          <w:sz w:val="20"/>
        </w:rPr>
        <w:sectPr w:rsidR="00A74668">
          <w:pgSz w:w="11910" w:h="16840"/>
          <w:pgMar w:top="1040" w:right="980" w:bottom="440" w:left="900" w:header="0" w:footer="254" w:gutter="0"/>
          <w:cols w:space="720"/>
        </w:sectPr>
      </w:pPr>
    </w:p>
    <w:p w:rsidR="00A74668" w:rsidRDefault="00421CAF">
      <w:pPr>
        <w:pStyle w:val="Corpodetexto"/>
        <w:spacing w:before="73" w:after="8"/>
        <w:jc w:val="left"/>
      </w:pPr>
      <w:r>
        <w:rPr>
          <w:b/>
        </w:rPr>
        <w:lastRenderedPageBreak/>
        <w:t xml:space="preserve">Tabela 1- </w:t>
      </w:r>
      <w:r>
        <w:t>Principais manifestações clínicas das MPS e opções de tratamentos de suporte/sintomáticos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4057"/>
        <w:gridCol w:w="3236"/>
      </w:tblGrid>
      <w:tr w:rsidR="00A74668">
        <w:trPr>
          <w:trHeight w:val="299"/>
        </w:trPr>
        <w:tc>
          <w:tcPr>
            <w:tcW w:w="2156" w:type="dxa"/>
          </w:tcPr>
          <w:p w:rsidR="00A74668" w:rsidRDefault="00421CAF">
            <w:pPr>
              <w:pStyle w:val="TableParagraph"/>
              <w:spacing w:line="228" w:lineRule="exact"/>
              <w:ind w:left="108"/>
              <w:rPr>
                <w:b/>
                <w:sz w:val="20"/>
              </w:rPr>
            </w:pPr>
            <w:r>
              <w:rPr>
                <w:b/>
                <w:sz w:val="20"/>
              </w:rPr>
              <w:t>Órgão/sistema</w:t>
            </w:r>
          </w:p>
        </w:tc>
        <w:tc>
          <w:tcPr>
            <w:tcW w:w="4057" w:type="dxa"/>
          </w:tcPr>
          <w:p w:rsidR="00A74668" w:rsidRDefault="00421CAF">
            <w:pPr>
              <w:pStyle w:val="TableParagraph"/>
              <w:spacing w:line="228" w:lineRule="exact"/>
              <w:ind w:left="109"/>
              <w:rPr>
                <w:b/>
                <w:sz w:val="20"/>
              </w:rPr>
            </w:pPr>
            <w:r>
              <w:rPr>
                <w:b/>
                <w:sz w:val="20"/>
              </w:rPr>
              <w:t>Manifestação clínica</w:t>
            </w:r>
          </w:p>
        </w:tc>
        <w:tc>
          <w:tcPr>
            <w:tcW w:w="3236" w:type="dxa"/>
          </w:tcPr>
          <w:p w:rsidR="00A74668" w:rsidRDefault="00421CAF">
            <w:pPr>
              <w:pStyle w:val="TableParagraph"/>
              <w:spacing w:line="228" w:lineRule="exact"/>
              <w:rPr>
                <w:b/>
                <w:sz w:val="20"/>
              </w:rPr>
            </w:pPr>
            <w:r>
              <w:rPr>
                <w:b/>
                <w:sz w:val="20"/>
              </w:rPr>
              <w:t>Avaliação/Tratamento</w:t>
            </w:r>
          </w:p>
        </w:tc>
      </w:tr>
      <w:tr w:rsidR="00A74668">
        <w:trPr>
          <w:trHeight w:val="460"/>
        </w:trPr>
        <w:tc>
          <w:tcPr>
            <w:tcW w:w="2156" w:type="dxa"/>
          </w:tcPr>
          <w:p w:rsidR="00A74668" w:rsidRDefault="00421CAF">
            <w:pPr>
              <w:pStyle w:val="TableParagraph"/>
              <w:tabs>
                <w:tab w:val="left" w:pos="1379"/>
              </w:tabs>
              <w:spacing w:line="230" w:lineRule="exact"/>
              <w:ind w:left="108" w:right="99"/>
              <w:rPr>
                <w:b/>
                <w:sz w:val="20"/>
              </w:rPr>
            </w:pPr>
            <w:r>
              <w:rPr>
                <w:b/>
                <w:sz w:val="20"/>
              </w:rPr>
              <w:t>Sistema</w:t>
            </w:r>
            <w:r>
              <w:rPr>
                <w:b/>
                <w:sz w:val="20"/>
              </w:rPr>
              <w:tab/>
              <w:t>nervoso</w:t>
            </w:r>
            <w:r>
              <w:rPr>
                <w:b/>
                <w:w w:val="99"/>
                <w:sz w:val="20"/>
              </w:rPr>
              <w:t xml:space="preserve"> </w:t>
            </w:r>
            <w:r>
              <w:rPr>
                <w:b/>
                <w:sz w:val="20"/>
              </w:rPr>
              <w:t>central</w:t>
            </w:r>
          </w:p>
        </w:tc>
        <w:tc>
          <w:tcPr>
            <w:tcW w:w="4057" w:type="dxa"/>
          </w:tcPr>
          <w:p w:rsidR="00A74668" w:rsidRDefault="00421CAF">
            <w:pPr>
              <w:pStyle w:val="TableParagraph"/>
              <w:ind w:left="109"/>
              <w:rPr>
                <w:sz w:val="20"/>
              </w:rPr>
            </w:pPr>
            <w:r>
              <w:rPr>
                <w:sz w:val="20"/>
              </w:rPr>
              <w:t xml:space="preserve">Atraso de desenvolvimento </w:t>
            </w:r>
            <w:proofErr w:type="spellStart"/>
            <w:r>
              <w:rPr>
                <w:sz w:val="20"/>
              </w:rPr>
              <w:t>neuropsicomotor</w:t>
            </w:r>
            <w:proofErr w:type="spellEnd"/>
            <w:r>
              <w:rPr>
                <w:sz w:val="20"/>
              </w:rPr>
              <w:t>.</w:t>
            </w:r>
          </w:p>
        </w:tc>
        <w:tc>
          <w:tcPr>
            <w:tcW w:w="3236" w:type="dxa"/>
          </w:tcPr>
          <w:p w:rsidR="00A74668" w:rsidRDefault="00421CAF">
            <w:pPr>
              <w:pStyle w:val="TableParagraph"/>
              <w:tabs>
                <w:tab w:val="left" w:pos="1865"/>
              </w:tabs>
              <w:rPr>
                <w:sz w:val="20"/>
              </w:rPr>
            </w:pPr>
            <w:proofErr w:type="spellStart"/>
            <w:r>
              <w:rPr>
                <w:sz w:val="20"/>
              </w:rPr>
              <w:t>Psicopedagogía</w:t>
            </w:r>
            <w:proofErr w:type="spellEnd"/>
            <w:r>
              <w:rPr>
                <w:sz w:val="20"/>
              </w:rPr>
              <w:t>,</w:t>
            </w:r>
            <w:r>
              <w:rPr>
                <w:sz w:val="20"/>
              </w:rPr>
              <w:tab/>
            </w:r>
            <w:proofErr w:type="spellStart"/>
            <w:r>
              <w:rPr>
                <w:sz w:val="20"/>
              </w:rPr>
              <w:t>fonoaudiología</w:t>
            </w:r>
            <w:proofErr w:type="spellEnd"/>
            <w:r>
              <w:rPr>
                <w:sz w:val="20"/>
              </w:rPr>
              <w:t>,</w:t>
            </w:r>
          </w:p>
          <w:p w:rsidR="00A74668" w:rsidRDefault="00421CAF">
            <w:pPr>
              <w:pStyle w:val="TableParagraph"/>
              <w:spacing w:line="217" w:lineRule="exact"/>
              <w:rPr>
                <w:sz w:val="20"/>
              </w:rPr>
            </w:pPr>
            <w:proofErr w:type="gramStart"/>
            <w:r>
              <w:rPr>
                <w:sz w:val="20"/>
              </w:rPr>
              <w:t>fisioterapia</w:t>
            </w:r>
            <w:proofErr w:type="gramEnd"/>
            <w:r>
              <w:rPr>
                <w:sz w:val="20"/>
              </w:rPr>
              <w:t>, psicomotricidade.</w:t>
            </w:r>
          </w:p>
        </w:tc>
      </w:tr>
      <w:tr w:rsidR="00A74668">
        <w:trPr>
          <w:trHeight w:val="690"/>
        </w:trPr>
        <w:tc>
          <w:tcPr>
            <w:tcW w:w="2156" w:type="dxa"/>
          </w:tcPr>
          <w:p w:rsidR="00A74668" w:rsidRDefault="00A74668">
            <w:pPr>
              <w:pStyle w:val="TableParagraph"/>
              <w:spacing w:line="240" w:lineRule="auto"/>
              <w:ind w:left="0"/>
              <w:rPr>
                <w:sz w:val="18"/>
              </w:rPr>
            </w:pPr>
          </w:p>
        </w:tc>
        <w:tc>
          <w:tcPr>
            <w:tcW w:w="4057" w:type="dxa"/>
          </w:tcPr>
          <w:p w:rsidR="00A74668" w:rsidRDefault="00421CAF">
            <w:pPr>
              <w:pStyle w:val="TableParagraph"/>
              <w:ind w:left="109"/>
              <w:rPr>
                <w:sz w:val="20"/>
              </w:rPr>
            </w:pPr>
            <w:r>
              <w:rPr>
                <w:sz w:val="20"/>
              </w:rPr>
              <w:t>Hidrocefalia / Hipertensão intracraniana.</w:t>
            </w:r>
          </w:p>
        </w:tc>
        <w:tc>
          <w:tcPr>
            <w:tcW w:w="3236" w:type="dxa"/>
          </w:tcPr>
          <w:p w:rsidR="00A74668" w:rsidRDefault="00421CAF">
            <w:pPr>
              <w:pStyle w:val="TableParagraph"/>
              <w:tabs>
                <w:tab w:val="left" w:pos="1397"/>
                <w:tab w:val="left" w:pos="2157"/>
                <w:tab w:val="left" w:pos="2576"/>
              </w:tabs>
              <w:spacing w:line="240" w:lineRule="auto"/>
              <w:ind w:right="98"/>
              <w:rPr>
                <w:sz w:val="20"/>
              </w:rPr>
            </w:pPr>
            <w:r>
              <w:rPr>
                <w:sz w:val="20"/>
              </w:rPr>
              <w:t>Derivação</w:t>
            </w:r>
            <w:r>
              <w:rPr>
                <w:sz w:val="20"/>
              </w:rPr>
              <w:tab/>
              <w:t xml:space="preserve">ventrículo-peritoneal, </w:t>
            </w:r>
            <w:proofErr w:type="spellStart"/>
            <w:r>
              <w:rPr>
                <w:sz w:val="20"/>
              </w:rPr>
              <w:t>Ressonanciamagnética</w:t>
            </w:r>
            <w:proofErr w:type="spellEnd"/>
            <w:r>
              <w:rPr>
                <w:sz w:val="20"/>
              </w:rPr>
              <w:tab/>
              <w:t>de</w:t>
            </w:r>
            <w:r>
              <w:rPr>
                <w:sz w:val="20"/>
              </w:rPr>
              <w:tab/>
              <w:t>crânio,</w:t>
            </w:r>
          </w:p>
          <w:p w:rsidR="00A74668" w:rsidRDefault="00421CAF">
            <w:pPr>
              <w:pStyle w:val="TableParagraph"/>
              <w:spacing w:line="217" w:lineRule="exact"/>
              <w:rPr>
                <w:sz w:val="20"/>
              </w:rPr>
            </w:pPr>
            <w:proofErr w:type="spellStart"/>
            <w:proofErr w:type="gramStart"/>
            <w:r>
              <w:rPr>
                <w:sz w:val="20"/>
              </w:rPr>
              <w:t>raquimanimetria</w:t>
            </w:r>
            <w:proofErr w:type="spellEnd"/>
            <w:proofErr w:type="gramEnd"/>
            <w:r>
              <w:rPr>
                <w:sz w:val="20"/>
              </w:rPr>
              <w:t>.</w:t>
            </w:r>
          </w:p>
        </w:tc>
      </w:tr>
      <w:tr w:rsidR="00A74668">
        <w:trPr>
          <w:trHeight w:val="458"/>
        </w:trPr>
        <w:tc>
          <w:tcPr>
            <w:tcW w:w="2156" w:type="dxa"/>
          </w:tcPr>
          <w:p w:rsidR="00A74668" w:rsidRDefault="00A74668">
            <w:pPr>
              <w:pStyle w:val="TableParagraph"/>
              <w:spacing w:line="240" w:lineRule="auto"/>
              <w:ind w:left="0"/>
              <w:rPr>
                <w:sz w:val="18"/>
              </w:rPr>
            </w:pPr>
          </w:p>
        </w:tc>
        <w:tc>
          <w:tcPr>
            <w:tcW w:w="4057" w:type="dxa"/>
          </w:tcPr>
          <w:p w:rsidR="00A74668" w:rsidRDefault="00421CAF">
            <w:pPr>
              <w:pStyle w:val="TableParagraph"/>
              <w:ind w:left="109"/>
              <w:rPr>
                <w:sz w:val="20"/>
              </w:rPr>
            </w:pPr>
            <w:r>
              <w:rPr>
                <w:sz w:val="20"/>
              </w:rPr>
              <w:t xml:space="preserve">Crises convulsivas, alterações </w:t>
            </w:r>
            <w:proofErr w:type="gramStart"/>
            <w:r>
              <w:rPr>
                <w:sz w:val="20"/>
              </w:rPr>
              <w:t>ciclo</w:t>
            </w:r>
            <w:proofErr w:type="gramEnd"/>
          </w:p>
          <w:p w:rsidR="00A74668" w:rsidRDefault="00421CAF">
            <w:pPr>
              <w:pStyle w:val="TableParagraph"/>
              <w:spacing w:line="215" w:lineRule="exact"/>
              <w:ind w:left="109"/>
              <w:rPr>
                <w:sz w:val="20"/>
              </w:rPr>
            </w:pPr>
            <w:proofErr w:type="gramStart"/>
            <w:r>
              <w:rPr>
                <w:sz w:val="20"/>
              </w:rPr>
              <w:t>sono</w:t>
            </w:r>
            <w:proofErr w:type="gramEnd"/>
            <w:r>
              <w:rPr>
                <w:sz w:val="20"/>
              </w:rPr>
              <w:t>-vigília, distúrbio do comportamento.</w:t>
            </w:r>
          </w:p>
        </w:tc>
        <w:tc>
          <w:tcPr>
            <w:tcW w:w="3236" w:type="dxa"/>
          </w:tcPr>
          <w:p w:rsidR="00A74668" w:rsidRDefault="00421CAF">
            <w:pPr>
              <w:pStyle w:val="TableParagraph"/>
              <w:rPr>
                <w:sz w:val="20"/>
              </w:rPr>
            </w:pPr>
            <w:r>
              <w:rPr>
                <w:sz w:val="20"/>
              </w:rPr>
              <w:t>Farmacológico, psicologia.</w:t>
            </w:r>
          </w:p>
        </w:tc>
      </w:tr>
      <w:tr w:rsidR="00A74668">
        <w:trPr>
          <w:trHeight w:val="690"/>
        </w:trPr>
        <w:tc>
          <w:tcPr>
            <w:tcW w:w="2156" w:type="dxa"/>
          </w:tcPr>
          <w:p w:rsidR="00A74668" w:rsidRDefault="00421CAF">
            <w:pPr>
              <w:pStyle w:val="TableParagraph"/>
              <w:tabs>
                <w:tab w:val="left" w:pos="1345"/>
              </w:tabs>
              <w:spacing w:line="240" w:lineRule="auto"/>
              <w:ind w:left="108" w:right="99"/>
              <w:rPr>
                <w:b/>
                <w:sz w:val="20"/>
              </w:rPr>
            </w:pPr>
            <w:r>
              <w:rPr>
                <w:b/>
                <w:sz w:val="20"/>
              </w:rPr>
              <w:t>Sistema</w:t>
            </w:r>
            <w:r>
              <w:rPr>
                <w:b/>
                <w:sz w:val="20"/>
              </w:rPr>
              <w:tab/>
              <w:t>Nervoso Periférico</w:t>
            </w:r>
          </w:p>
        </w:tc>
        <w:tc>
          <w:tcPr>
            <w:tcW w:w="4057" w:type="dxa"/>
          </w:tcPr>
          <w:p w:rsidR="00A74668" w:rsidRDefault="00421CAF">
            <w:pPr>
              <w:pStyle w:val="TableParagraph"/>
              <w:spacing w:line="225" w:lineRule="exact"/>
              <w:ind w:left="109"/>
              <w:rPr>
                <w:sz w:val="20"/>
              </w:rPr>
            </w:pPr>
            <w:r>
              <w:rPr>
                <w:sz w:val="20"/>
              </w:rPr>
              <w:t>Compressão medular.</w:t>
            </w:r>
          </w:p>
        </w:tc>
        <w:tc>
          <w:tcPr>
            <w:tcW w:w="3236" w:type="dxa"/>
          </w:tcPr>
          <w:p w:rsidR="00A74668" w:rsidRDefault="00421CAF">
            <w:pPr>
              <w:pStyle w:val="TableParagraph"/>
              <w:spacing w:line="237" w:lineRule="auto"/>
              <w:ind w:right="405"/>
              <w:rPr>
                <w:sz w:val="20"/>
              </w:rPr>
            </w:pPr>
            <w:proofErr w:type="spellStart"/>
            <w:r>
              <w:rPr>
                <w:sz w:val="20"/>
              </w:rPr>
              <w:t>Ressonanciamagnética</w:t>
            </w:r>
            <w:proofErr w:type="spellEnd"/>
            <w:r>
              <w:rPr>
                <w:sz w:val="20"/>
              </w:rPr>
              <w:t xml:space="preserve"> de coluna. Estudos neurofisiológicos.</w:t>
            </w:r>
          </w:p>
          <w:p w:rsidR="00A74668" w:rsidRDefault="00421CAF">
            <w:pPr>
              <w:pStyle w:val="TableParagraph"/>
              <w:spacing w:line="217" w:lineRule="exact"/>
              <w:rPr>
                <w:sz w:val="20"/>
              </w:rPr>
            </w:pPr>
            <w:r>
              <w:rPr>
                <w:sz w:val="20"/>
              </w:rPr>
              <w:t>Cirurgia, fisioterapia.</w:t>
            </w:r>
          </w:p>
        </w:tc>
      </w:tr>
      <w:tr w:rsidR="00A74668">
        <w:trPr>
          <w:trHeight w:val="230"/>
        </w:trPr>
        <w:tc>
          <w:tcPr>
            <w:tcW w:w="2156" w:type="dxa"/>
          </w:tcPr>
          <w:p w:rsidR="00A74668" w:rsidRDefault="00A74668">
            <w:pPr>
              <w:pStyle w:val="TableParagraph"/>
              <w:spacing w:line="240" w:lineRule="auto"/>
              <w:ind w:left="0"/>
              <w:rPr>
                <w:sz w:val="16"/>
              </w:rPr>
            </w:pPr>
          </w:p>
        </w:tc>
        <w:tc>
          <w:tcPr>
            <w:tcW w:w="4057" w:type="dxa"/>
          </w:tcPr>
          <w:p w:rsidR="00A74668" w:rsidRDefault="00421CAF">
            <w:pPr>
              <w:pStyle w:val="TableParagraph"/>
              <w:spacing w:line="211" w:lineRule="exact"/>
              <w:ind w:left="109"/>
              <w:rPr>
                <w:sz w:val="20"/>
              </w:rPr>
            </w:pPr>
            <w:r>
              <w:rPr>
                <w:sz w:val="20"/>
              </w:rPr>
              <w:t>Síndrome do Túnel do Carpo.</w:t>
            </w:r>
          </w:p>
        </w:tc>
        <w:tc>
          <w:tcPr>
            <w:tcW w:w="3236" w:type="dxa"/>
          </w:tcPr>
          <w:p w:rsidR="00A74668" w:rsidRDefault="00421CAF">
            <w:pPr>
              <w:pStyle w:val="TableParagraph"/>
              <w:spacing w:line="211" w:lineRule="exact"/>
              <w:rPr>
                <w:sz w:val="20"/>
              </w:rPr>
            </w:pPr>
            <w:r>
              <w:rPr>
                <w:sz w:val="20"/>
              </w:rPr>
              <w:t>Cirurgia.</w:t>
            </w:r>
          </w:p>
        </w:tc>
      </w:tr>
      <w:tr w:rsidR="00A74668">
        <w:trPr>
          <w:trHeight w:val="921"/>
        </w:trPr>
        <w:tc>
          <w:tcPr>
            <w:tcW w:w="2156" w:type="dxa"/>
          </w:tcPr>
          <w:p w:rsidR="00A74668" w:rsidRDefault="00421CAF">
            <w:pPr>
              <w:pStyle w:val="TableParagraph"/>
              <w:spacing w:line="228" w:lineRule="exact"/>
              <w:ind w:left="108"/>
              <w:rPr>
                <w:b/>
                <w:sz w:val="20"/>
              </w:rPr>
            </w:pPr>
            <w:r>
              <w:rPr>
                <w:b/>
                <w:sz w:val="20"/>
              </w:rPr>
              <w:t>Olhos</w:t>
            </w:r>
          </w:p>
        </w:tc>
        <w:tc>
          <w:tcPr>
            <w:tcW w:w="4057" w:type="dxa"/>
          </w:tcPr>
          <w:p w:rsidR="00A74668" w:rsidRDefault="00421CAF">
            <w:pPr>
              <w:pStyle w:val="TableParagraph"/>
              <w:spacing w:line="240" w:lineRule="auto"/>
              <w:ind w:left="109" w:right="1175"/>
              <w:rPr>
                <w:sz w:val="20"/>
              </w:rPr>
            </w:pPr>
            <w:r>
              <w:rPr>
                <w:sz w:val="20"/>
              </w:rPr>
              <w:t>Acuidade visual diminuída. Atrofia do Nervo Óptico. Glaucoma.</w:t>
            </w:r>
          </w:p>
          <w:p w:rsidR="00A74668" w:rsidRDefault="00421CAF">
            <w:pPr>
              <w:pStyle w:val="TableParagraph"/>
              <w:spacing w:line="217" w:lineRule="exact"/>
              <w:ind w:left="109"/>
              <w:rPr>
                <w:sz w:val="20"/>
              </w:rPr>
            </w:pPr>
            <w:proofErr w:type="spellStart"/>
            <w:r>
              <w:rPr>
                <w:sz w:val="20"/>
              </w:rPr>
              <w:t>Retinose</w:t>
            </w:r>
            <w:proofErr w:type="spellEnd"/>
            <w:r>
              <w:rPr>
                <w:sz w:val="20"/>
              </w:rPr>
              <w:t xml:space="preserve"> pigmentar.</w:t>
            </w:r>
          </w:p>
        </w:tc>
        <w:tc>
          <w:tcPr>
            <w:tcW w:w="3236" w:type="dxa"/>
          </w:tcPr>
          <w:p w:rsidR="00A74668" w:rsidRDefault="00421CAF">
            <w:pPr>
              <w:pStyle w:val="TableParagraph"/>
              <w:rPr>
                <w:sz w:val="20"/>
              </w:rPr>
            </w:pPr>
            <w:r>
              <w:rPr>
                <w:sz w:val="20"/>
              </w:rPr>
              <w:t>Avaliação oftalmológica.</w:t>
            </w:r>
          </w:p>
        </w:tc>
      </w:tr>
      <w:tr w:rsidR="00A74668">
        <w:trPr>
          <w:trHeight w:val="230"/>
        </w:trPr>
        <w:tc>
          <w:tcPr>
            <w:tcW w:w="2156" w:type="dxa"/>
          </w:tcPr>
          <w:p w:rsidR="00A74668" w:rsidRDefault="00A74668">
            <w:pPr>
              <w:pStyle w:val="TableParagraph"/>
              <w:spacing w:line="240" w:lineRule="auto"/>
              <w:ind w:left="0"/>
              <w:rPr>
                <w:sz w:val="16"/>
              </w:rPr>
            </w:pPr>
          </w:p>
        </w:tc>
        <w:tc>
          <w:tcPr>
            <w:tcW w:w="4057" w:type="dxa"/>
          </w:tcPr>
          <w:p w:rsidR="00A74668" w:rsidRDefault="00A74668">
            <w:pPr>
              <w:pStyle w:val="TableParagraph"/>
              <w:spacing w:line="240" w:lineRule="auto"/>
              <w:ind w:left="0"/>
              <w:rPr>
                <w:sz w:val="16"/>
              </w:rPr>
            </w:pPr>
          </w:p>
        </w:tc>
        <w:tc>
          <w:tcPr>
            <w:tcW w:w="3236" w:type="dxa"/>
          </w:tcPr>
          <w:p w:rsidR="00A74668" w:rsidRDefault="00A74668">
            <w:pPr>
              <w:pStyle w:val="TableParagraph"/>
              <w:spacing w:line="240" w:lineRule="auto"/>
              <w:ind w:left="0"/>
              <w:rPr>
                <w:sz w:val="16"/>
              </w:rPr>
            </w:pPr>
          </w:p>
        </w:tc>
      </w:tr>
      <w:tr w:rsidR="00A74668">
        <w:trPr>
          <w:trHeight w:val="688"/>
        </w:trPr>
        <w:tc>
          <w:tcPr>
            <w:tcW w:w="2156" w:type="dxa"/>
          </w:tcPr>
          <w:p w:rsidR="00A74668" w:rsidRDefault="00421CAF">
            <w:pPr>
              <w:pStyle w:val="TableParagraph"/>
              <w:spacing w:line="228" w:lineRule="exact"/>
              <w:ind w:left="108"/>
              <w:rPr>
                <w:b/>
                <w:sz w:val="20"/>
              </w:rPr>
            </w:pPr>
            <w:r>
              <w:rPr>
                <w:b/>
                <w:sz w:val="20"/>
              </w:rPr>
              <w:t>Vias aéreas</w:t>
            </w:r>
          </w:p>
        </w:tc>
        <w:tc>
          <w:tcPr>
            <w:tcW w:w="4057" w:type="dxa"/>
          </w:tcPr>
          <w:p w:rsidR="00A74668" w:rsidRDefault="00421CAF">
            <w:pPr>
              <w:pStyle w:val="TableParagraph"/>
              <w:ind w:left="109"/>
              <w:rPr>
                <w:sz w:val="20"/>
              </w:rPr>
            </w:pPr>
            <w:r>
              <w:rPr>
                <w:sz w:val="20"/>
              </w:rPr>
              <w:t>Síndrome da apneia obstrutiva do sono.</w:t>
            </w:r>
          </w:p>
        </w:tc>
        <w:tc>
          <w:tcPr>
            <w:tcW w:w="3236" w:type="dxa"/>
          </w:tcPr>
          <w:p w:rsidR="00A74668" w:rsidRDefault="00421CAF">
            <w:pPr>
              <w:pStyle w:val="TableParagraph"/>
              <w:tabs>
                <w:tab w:val="left" w:pos="1807"/>
              </w:tabs>
              <w:spacing w:line="240" w:lineRule="auto"/>
              <w:ind w:right="103"/>
              <w:rPr>
                <w:sz w:val="20"/>
              </w:rPr>
            </w:pPr>
            <w:r>
              <w:rPr>
                <w:sz w:val="20"/>
              </w:rPr>
              <w:t>Amigdalectomia,</w:t>
            </w:r>
            <w:r>
              <w:rPr>
                <w:sz w:val="20"/>
              </w:rPr>
              <w:tab/>
            </w:r>
            <w:proofErr w:type="spellStart"/>
            <w:r>
              <w:rPr>
                <w:w w:val="95"/>
                <w:sz w:val="20"/>
              </w:rPr>
              <w:t>adenoidectomia</w:t>
            </w:r>
            <w:proofErr w:type="spellEnd"/>
            <w:r>
              <w:rPr>
                <w:w w:val="95"/>
                <w:sz w:val="20"/>
              </w:rPr>
              <w:t xml:space="preserve">, </w:t>
            </w:r>
            <w:proofErr w:type="spellStart"/>
            <w:r>
              <w:rPr>
                <w:sz w:val="20"/>
              </w:rPr>
              <w:t>oxigenoterapia</w:t>
            </w:r>
            <w:proofErr w:type="spellEnd"/>
            <w:r>
              <w:rPr>
                <w:sz w:val="20"/>
              </w:rPr>
              <w:t>.</w:t>
            </w:r>
          </w:p>
          <w:p w:rsidR="00A74668" w:rsidRDefault="00421CAF">
            <w:pPr>
              <w:pStyle w:val="TableParagraph"/>
              <w:spacing w:line="215" w:lineRule="exact"/>
              <w:rPr>
                <w:sz w:val="20"/>
              </w:rPr>
            </w:pPr>
            <w:r>
              <w:rPr>
                <w:sz w:val="20"/>
              </w:rPr>
              <w:t xml:space="preserve">Avaliação </w:t>
            </w:r>
            <w:proofErr w:type="spellStart"/>
            <w:r>
              <w:rPr>
                <w:sz w:val="20"/>
              </w:rPr>
              <w:t>pneumológica</w:t>
            </w:r>
            <w:proofErr w:type="spellEnd"/>
            <w:r>
              <w:rPr>
                <w:sz w:val="20"/>
              </w:rPr>
              <w:t>.</w:t>
            </w:r>
          </w:p>
        </w:tc>
      </w:tr>
      <w:tr w:rsidR="00A74668">
        <w:trPr>
          <w:trHeight w:val="261"/>
        </w:trPr>
        <w:tc>
          <w:tcPr>
            <w:tcW w:w="2156" w:type="dxa"/>
          </w:tcPr>
          <w:p w:rsidR="00A74668" w:rsidRDefault="00A74668">
            <w:pPr>
              <w:pStyle w:val="TableParagraph"/>
              <w:spacing w:line="240" w:lineRule="auto"/>
              <w:ind w:left="0"/>
              <w:rPr>
                <w:sz w:val="18"/>
              </w:rPr>
            </w:pPr>
          </w:p>
        </w:tc>
        <w:tc>
          <w:tcPr>
            <w:tcW w:w="4057" w:type="dxa"/>
          </w:tcPr>
          <w:p w:rsidR="00A74668" w:rsidRDefault="00421CAF">
            <w:pPr>
              <w:pStyle w:val="TableParagraph"/>
              <w:ind w:left="109"/>
              <w:rPr>
                <w:sz w:val="20"/>
              </w:rPr>
            </w:pPr>
            <w:r>
              <w:rPr>
                <w:sz w:val="20"/>
              </w:rPr>
              <w:t>Infecções de repetição, hipersecreção.</w:t>
            </w:r>
          </w:p>
        </w:tc>
        <w:tc>
          <w:tcPr>
            <w:tcW w:w="3236" w:type="dxa"/>
          </w:tcPr>
          <w:p w:rsidR="00A74668" w:rsidRDefault="00421CAF">
            <w:pPr>
              <w:pStyle w:val="TableParagraph"/>
              <w:rPr>
                <w:sz w:val="20"/>
              </w:rPr>
            </w:pPr>
            <w:r>
              <w:rPr>
                <w:sz w:val="20"/>
              </w:rPr>
              <w:t>Farmacológico.</w:t>
            </w:r>
          </w:p>
        </w:tc>
      </w:tr>
      <w:tr w:rsidR="00A74668">
        <w:trPr>
          <w:trHeight w:val="230"/>
        </w:trPr>
        <w:tc>
          <w:tcPr>
            <w:tcW w:w="2156" w:type="dxa"/>
          </w:tcPr>
          <w:p w:rsidR="00A74668" w:rsidRDefault="00A74668">
            <w:pPr>
              <w:pStyle w:val="TableParagraph"/>
              <w:spacing w:line="240" w:lineRule="auto"/>
              <w:ind w:left="0"/>
              <w:rPr>
                <w:sz w:val="16"/>
              </w:rPr>
            </w:pPr>
          </w:p>
        </w:tc>
        <w:tc>
          <w:tcPr>
            <w:tcW w:w="4057" w:type="dxa"/>
          </w:tcPr>
          <w:p w:rsidR="00A74668" w:rsidRDefault="00421CAF">
            <w:pPr>
              <w:pStyle w:val="TableParagraph"/>
              <w:spacing w:line="210" w:lineRule="exact"/>
              <w:ind w:left="109"/>
              <w:rPr>
                <w:sz w:val="20"/>
              </w:rPr>
            </w:pPr>
            <w:r>
              <w:rPr>
                <w:sz w:val="20"/>
              </w:rPr>
              <w:t>Doença pulmonar restritiva.</w:t>
            </w:r>
          </w:p>
        </w:tc>
        <w:tc>
          <w:tcPr>
            <w:tcW w:w="3236" w:type="dxa"/>
          </w:tcPr>
          <w:p w:rsidR="00A74668" w:rsidRDefault="00421CAF">
            <w:pPr>
              <w:pStyle w:val="TableParagraph"/>
              <w:spacing w:line="210" w:lineRule="exact"/>
              <w:rPr>
                <w:sz w:val="20"/>
              </w:rPr>
            </w:pPr>
            <w:r>
              <w:rPr>
                <w:sz w:val="20"/>
              </w:rPr>
              <w:t>Fisioterapia.</w:t>
            </w:r>
          </w:p>
        </w:tc>
      </w:tr>
      <w:tr w:rsidR="00A74668">
        <w:trPr>
          <w:trHeight w:val="230"/>
        </w:trPr>
        <w:tc>
          <w:tcPr>
            <w:tcW w:w="2156" w:type="dxa"/>
          </w:tcPr>
          <w:p w:rsidR="00A74668" w:rsidRDefault="00421CAF">
            <w:pPr>
              <w:pStyle w:val="TableParagraph"/>
              <w:spacing w:line="210" w:lineRule="exact"/>
              <w:ind w:left="108"/>
              <w:rPr>
                <w:b/>
                <w:sz w:val="20"/>
              </w:rPr>
            </w:pPr>
            <w:r>
              <w:rPr>
                <w:b/>
                <w:sz w:val="20"/>
              </w:rPr>
              <w:t>Tecido conjuntivo</w:t>
            </w:r>
          </w:p>
        </w:tc>
        <w:tc>
          <w:tcPr>
            <w:tcW w:w="4057" w:type="dxa"/>
          </w:tcPr>
          <w:p w:rsidR="00A74668" w:rsidRDefault="00421CAF">
            <w:pPr>
              <w:pStyle w:val="TableParagraph"/>
              <w:spacing w:line="210" w:lineRule="exact"/>
              <w:ind w:left="109"/>
              <w:rPr>
                <w:sz w:val="20"/>
              </w:rPr>
            </w:pPr>
            <w:r>
              <w:rPr>
                <w:sz w:val="20"/>
              </w:rPr>
              <w:t>Hérnias.</w:t>
            </w:r>
          </w:p>
        </w:tc>
        <w:tc>
          <w:tcPr>
            <w:tcW w:w="3236" w:type="dxa"/>
          </w:tcPr>
          <w:p w:rsidR="00A74668" w:rsidRDefault="00421CAF">
            <w:pPr>
              <w:pStyle w:val="TableParagraph"/>
              <w:spacing w:line="210" w:lineRule="exact"/>
              <w:rPr>
                <w:sz w:val="20"/>
              </w:rPr>
            </w:pPr>
            <w:r>
              <w:rPr>
                <w:sz w:val="20"/>
              </w:rPr>
              <w:t>Cirurgia.</w:t>
            </w:r>
          </w:p>
        </w:tc>
      </w:tr>
      <w:tr w:rsidR="00A74668">
        <w:trPr>
          <w:trHeight w:val="458"/>
        </w:trPr>
        <w:tc>
          <w:tcPr>
            <w:tcW w:w="2156" w:type="dxa"/>
          </w:tcPr>
          <w:p w:rsidR="00A74668" w:rsidRDefault="00421CAF">
            <w:pPr>
              <w:pStyle w:val="TableParagraph"/>
              <w:spacing w:line="228" w:lineRule="exact"/>
              <w:ind w:left="108"/>
              <w:rPr>
                <w:b/>
                <w:sz w:val="20"/>
              </w:rPr>
            </w:pPr>
            <w:r>
              <w:rPr>
                <w:b/>
                <w:sz w:val="20"/>
              </w:rPr>
              <w:t>Articulações</w:t>
            </w:r>
          </w:p>
        </w:tc>
        <w:tc>
          <w:tcPr>
            <w:tcW w:w="4057" w:type="dxa"/>
          </w:tcPr>
          <w:p w:rsidR="00A74668" w:rsidRDefault="00421CAF">
            <w:pPr>
              <w:pStyle w:val="TableParagraph"/>
              <w:ind w:left="109"/>
              <w:rPr>
                <w:sz w:val="20"/>
              </w:rPr>
            </w:pPr>
            <w:r>
              <w:rPr>
                <w:sz w:val="20"/>
              </w:rPr>
              <w:t>Dor, contraturas.</w:t>
            </w:r>
          </w:p>
        </w:tc>
        <w:tc>
          <w:tcPr>
            <w:tcW w:w="3236" w:type="dxa"/>
          </w:tcPr>
          <w:p w:rsidR="00A74668" w:rsidRDefault="00421CAF">
            <w:pPr>
              <w:pStyle w:val="TableParagraph"/>
              <w:rPr>
                <w:sz w:val="20"/>
              </w:rPr>
            </w:pPr>
            <w:r>
              <w:rPr>
                <w:sz w:val="20"/>
              </w:rPr>
              <w:t>Fisioterapia, terapia ocupacional.</w:t>
            </w:r>
          </w:p>
          <w:p w:rsidR="00A74668" w:rsidRDefault="00421CAF">
            <w:pPr>
              <w:pStyle w:val="TableParagraph"/>
              <w:spacing w:before="1" w:line="215" w:lineRule="exact"/>
              <w:rPr>
                <w:sz w:val="20"/>
              </w:rPr>
            </w:pPr>
            <w:r>
              <w:rPr>
                <w:sz w:val="20"/>
              </w:rPr>
              <w:t>Farmacológico.</w:t>
            </w:r>
          </w:p>
        </w:tc>
      </w:tr>
      <w:tr w:rsidR="00A74668">
        <w:trPr>
          <w:trHeight w:val="230"/>
        </w:trPr>
        <w:tc>
          <w:tcPr>
            <w:tcW w:w="2156" w:type="dxa"/>
          </w:tcPr>
          <w:p w:rsidR="00A74668" w:rsidRDefault="00421CAF">
            <w:pPr>
              <w:pStyle w:val="TableParagraph"/>
              <w:spacing w:line="210" w:lineRule="exact"/>
              <w:ind w:left="108"/>
              <w:rPr>
                <w:b/>
                <w:sz w:val="20"/>
              </w:rPr>
            </w:pPr>
            <w:r>
              <w:rPr>
                <w:b/>
                <w:sz w:val="20"/>
              </w:rPr>
              <w:t>Ossos</w:t>
            </w:r>
          </w:p>
        </w:tc>
        <w:tc>
          <w:tcPr>
            <w:tcW w:w="4057" w:type="dxa"/>
          </w:tcPr>
          <w:p w:rsidR="00A74668" w:rsidRDefault="00421CAF">
            <w:pPr>
              <w:pStyle w:val="TableParagraph"/>
              <w:spacing w:line="210" w:lineRule="exact"/>
              <w:ind w:left="109"/>
              <w:rPr>
                <w:sz w:val="20"/>
              </w:rPr>
            </w:pPr>
            <w:r>
              <w:rPr>
                <w:sz w:val="20"/>
              </w:rPr>
              <w:t xml:space="preserve">Giba </w:t>
            </w:r>
            <w:proofErr w:type="spellStart"/>
            <w:r>
              <w:rPr>
                <w:sz w:val="20"/>
              </w:rPr>
              <w:t>toracolombar</w:t>
            </w:r>
            <w:proofErr w:type="spellEnd"/>
            <w:r>
              <w:rPr>
                <w:sz w:val="20"/>
              </w:rPr>
              <w:t xml:space="preserve">, </w:t>
            </w:r>
            <w:proofErr w:type="spellStart"/>
            <w:r>
              <w:rPr>
                <w:sz w:val="20"/>
              </w:rPr>
              <w:t>genu</w:t>
            </w:r>
            <w:proofErr w:type="spellEnd"/>
            <w:r>
              <w:rPr>
                <w:sz w:val="20"/>
              </w:rPr>
              <w:t xml:space="preserve"> valgo.</w:t>
            </w:r>
          </w:p>
        </w:tc>
        <w:tc>
          <w:tcPr>
            <w:tcW w:w="3236" w:type="dxa"/>
          </w:tcPr>
          <w:p w:rsidR="00A74668" w:rsidRDefault="00421CAF">
            <w:pPr>
              <w:pStyle w:val="TableParagraph"/>
              <w:spacing w:line="210" w:lineRule="exact"/>
              <w:rPr>
                <w:sz w:val="20"/>
              </w:rPr>
            </w:pPr>
            <w:r>
              <w:rPr>
                <w:sz w:val="20"/>
              </w:rPr>
              <w:t>Coletes, cirurgia.</w:t>
            </w:r>
          </w:p>
        </w:tc>
      </w:tr>
      <w:tr w:rsidR="00A74668">
        <w:trPr>
          <w:trHeight w:val="230"/>
        </w:trPr>
        <w:tc>
          <w:tcPr>
            <w:tcW w:w="2156" w:type="dxa"/>
          </w:tcPr>
          <w:p w:rsidR="00A74668" w:rsidRDefault="00421CAF">
            <w:pPr>
              <w:pStyle w:val="TableParagraph"/>
              <w:spacing w:line="210" w:lineRule="exact"/>
              <w:ind w:left="108"/>
              <w:rPr>
                <w:b/>
                <w:sz w:val="20"/>
              </w:rPr>
            </w:pPr>
            <w:r>
              <w:rPr>
                <w:b/>
                <w:sz w:val="20"/>
              </w:rPr>
              <w:t>Orelhas</w:t>
            </w:r>
          </w:p>
        </w:tc>
        <w:tc>
          <w:tcPr>
            <w:tcW w:w="4057" w:type="dxa"/>
          </w:tcPr>
          <w:p w:rsidR="00A74668" w:rsidRDefault="00421CAF">
            <w:pPr>
              <w:pStyle w:val="TableParagraph"/>
              <w:spacing w:line="210" w:lineRule="exact"/>
              <w:ind w:left="109"/>
              <w:rPr>
                <w:sz w:val="20"/>
              </w:rPr>
            </w:pPr>
            <w:proofErr w:type="spellStart"/>
            <w:r>
              <w:rPr>
                <w:sz w:val="20"/>
              </w:rPr>
              <w:t>Hipoacusia</w:t>
            </w:r>
            <w:proofErr w:type="spellEnd"/>
            <w:r>
              <w:rPr>
                <w:sz w:val="20"/>
              </w:rPr>
              <w:t>.</w:t>
            </w:r>
          </w:p>
        </w:tc>
        <w:tc>
          <w:tcPr>
            <w:tcW w:w="3236" w:type="dxa"/>
          </w:tcPr>
          <w:p w:rsidR="00A74668" w:rsidRDefault="00421CAF">
            <w:pPr>
              <w:pStyle w:val="TableParagraph"/>
              <w:spacing w:line="210" w:lineRule="exact"/>
              <w:rPr>
                <w:sz w:val="20"/>
              </w:rPr>
            </w:pPr>
            <w:r>
              <w:rPr>
                <w:sz w:val="20"/>
              </w:rPr>
              <w:t>Próteses (em casos específicos).</w:t>
            </w:r>
          </w:p>
        </w:tc>
      </w:tr>
      <w:tr w:rsidR="00A74668">
        <w:trPr>
          <w:trHeight w:val="230"/>
        </w:trPr>
        <w:tc>
          <w:tcPr>
            <w:tcW w:w="2156" w:type="dxa"/>
          </w:tcPr>
          <w:p w:rsidR="00A74668" w:rsidRDefault="00A74668">
            <w:pPr>
              <w:pStyle w:val="TableParagraph"/>
              <w:spacing w:line="240" w:lineRule="auto"/>
              <w:ind w:left="0"/>
              <w:rPr>
                <w:sz w:val="16"/>
              </w:rPr>
            </w:pPr>
          </w:p>
        </w:tc>
        <w:tc>
          <w:tcPr>
            <w:tcW w:w="4057" w:type="dxa"/>
          </w:tcPr>
          <w:p w:rsidR="00A74668" w:rsidRDefault="00421CAF">
            <w:pPr>
              <w:pStyle w:val="TableParagraph"/>
              <w:spacing w:line="210" w:lineRule="exact"/>
              <w:ind w:left="109"/>
              <w:rPr>
                <w:sz w:val="20"/>
              </w:rPr>
            </w:pPr>
            <w:r>
              <w:rPr>
                <w:sz w:val="20"/>
              </w:rPr>
              <w:t>Otites de repetição.</w:t>
            </w:r>
          </w:p>
        </w:tc>
        <w:tc>
          <w:tcPr>
            <w:tcW w:w="3236" w:type="dxa"/>
          </w:tcPr>
          <w:p w:rsidR="00A74668" w:rsidRDefault="00421CAF">
            <w:pPr>
              <w:pStyle w:val="TableParagraph"/>
              <w:spacing w:line="210" w:lineRule="exact"/>
              <w:rPr>
                <w:sz w:val="20"/>
              </w:rPr>
            </w:pPr>
            <w:r>
              <w:rPr>
                <w:sz w:val="20"/>
              </w:rPr>
              <w:t>Farmacológico, cirúrgico.</w:t>
            </w:r>
          </w:p>
        </w:tc>
      </w:tr>
      <w:tr w:rsidR="00A74668">
        <w:trPr>
          <w:trHeight w:val="230"/>
        </w:trPr>
        <w:tc>
          <w:tcPr>
            <w:tcW w:w="2156" w:type="dxa"/>
          </w:tcPr>
          <w:p w:rsidR="00A74668" w:rsidRDefault="00421CAF">
            <w:pPr>
              <w:pStyle w:val="TableParagraph"/>
              <w:spacing w:line="210" w:lineRule="exact"/>
              <w:ind w:left="108"/>
              <w:rPr>
                <w:b/>
                <w:sz w:val="20"/>
              </w:rPr>
            </w:pPr>
            <w:r>
              <w:rPr>
                <w:b/>
                <w:sz w:val="20"/>
              </w:rPr>
              <w:t>Gastrointestinal</w:t>
            </w:r>
          </w:p>
        </w:tc>
        <w:tc>
          <w:tcPr>
            <w:tcW w:w="4057" w:type="dxa"/>
          </w:tcPr>
          <w:p w:rsidR="00A74668" w:rsidRDefault="00421CAF">
            <w:pPr>
              <w:pStyle w:val="TableParagraph"/>
              <w:spacing w:line="210" w:lineRule="exact"/>
              <w:ind w:left="109"/>
              <w:rPr>
                <w:sz w:val="20"/>
              </w:rPr>
            </w:pPr>
            <w:r>
              <w:rPr>
                <w:sz w:val="20"/>
              </w:rPr>
              <w:t>Diarreia.</w:t>
            </w:r>
          </w:p>
        </w:tc>
        <w:tc>
          <w:tcPr>
            <w:tcW w:w="3236" w:type="dxa"/>
          </w:tcPr>
          <w:p w:rsidR="00A74668" w:rsidRDefault="00421CAF">
            <w:pPr>
              <w:pStyle w:val="TableParagraph"/>
              <w:spacing w:line="210" w:lineRule="exact"/>
              <w:rPr>
                <w:sz w:val="20"/>
              </w:rPr>
            </w:pPr>
            <w:r>
              <w:rPr>
                <w:sz w:val="20"/>
              </w:rPr>
              <w:t>Orientação nutricional.</w:t>
            </w:r>
          </w:p>
        </w:tc>
      </w:tr>
      <w:tr w:rsidR="00A74668">
        <w:trPr>
          <w:trHeight w:val="230"/>
        </w:trPr>
        <w:tc>
          <w:tcPr>
            <w:tcW w:w="2156" w:type="dxa"/>
          </w:tcPr>
          <w:p w:rsidR="00A74668" w:rsidRDefault="00A74668">
            <w:pPr>
              <w:pStyle w:val="TableParagraph"/>
              <w:spacing w:line="240" w:lineRule="auto"/>
              <w:ind w:left="0"/>
              <w:rPr>
                <w:sz w:val="16"/>
              </w:rPr>
            </w:pPr>
          </w:p>
        </w:tc>
        <w:tc>
          <w:tcPr>
            <w:tcW w:w="4057" w:type="dxa"/>
          </w:tcPr>
          <w:p w:rsidR="00A74668" w:rsidRDefault="00421CAF">
            <w:pPr>
              <w:pStyle w:val="TableParagraph"/>
              <w:spacing w:line="210" w:lineRule="exact"/>
              <w:ind w:left="109"/>
              <w:rPr>
                <w:sz w:val="20"/>
              </w:rPr>
            </w:pPr>
            <w:r>
              <w:rPr>
                <w:sz w:val="20"/>
              </w:rPr>
              <w:t>Ganho inadequado ou excessivo de peso.</w:t>
            </w:r>
          </w:p>
        </w:tc>
        <w:tc>
          <w:tcPr>
            <w:tcW w:w="3236" w:type="dxa"/>
          </w:tcPr>
          <w:p w:rsidR="00A74668" w:rsidRDefault="00421CAF">
            <w:pPr>
              <w:pStyle w:val="TableParagraph"/>
              <w:spacing w:line="210" w:lineRule="exact"/>
              <w:rPr>
                <w:sz w:val="20"/>
              </w:rPr>
            </w:pPr>
            <w:r>
              <w:rPr>
                <w:sz w:val="20"/>
              </w:rPr>
              <w:t>Orientação nutricional.</w:t>
            </w:r>
          </w:p>
        </w:tc>
      </w:tr>
      <w:tr w:rsidR="00A74668">
        <w:trPr>
          <w:trHeight w:val="460"/>
        </w:trPr>
        <w:tc>
          <w:tcPr>
            <w:tcW w:w="2156" w:type="dxa"/>
          </w:tcPr>
          <w:p w:rsidR="00A74668" w:rsidRDefault="00A74668">
            <w:pPr>
              <w:pStyle w:val="TableParagraph"/>
              <w:spacing w:line="240" w:lineRule="auto"/>
              <w:ind w:left="0"/>
              <w:rPr>
                <w:sz w:val="18"/>
              </w:rPr>
            </w:pPr>
          </w:p>
        </w:tc>
        <w:tc>
          <w:tcPr>
            <w:tcW w:w="4057" w:type="dxa"/>
          </w:tcPr>
          <w:p w:rsidR="00A74668" w:rsidRDefault="00421CAF">
            <w:pPr>
              <w:pStyle w:val="TableParagraph"/>
              <w:spacing w:line="225" w:lineRule="exact"/>
              <w:ind w:left="109"/>
              <w:rPr>
                <w:sz w:val="20"/>
              </w:rPr>
            </w:pPr>
            <w:r>
              <w:rPr>
                <w:sz w:val="20"/>
              </w:rPr>
              <w:t>Distúrbio deglutição.</w:t>
            </w:r>
          </w:p>
        </w:tc>
        <w:tc>
          <w:tcPr>
            <w:tcW w:w="3236" w:type="dxa"/>
          </w:tcPr>
          <w:p w:rsidR="00A74668" w:rsidRDefault="00421CAF">
            <w:pPr>
              <w:pStyle w:val="TableParagraph"/>
              <w:spacing w:line="224" w:lineRule="exact"/>
              <w:rPr>
                <w:sz w:val="20"/>
              </w:rPr>
            </w:pPr>
            <w:r>
              <w:rPr>
                <w:sz w:val="20"/>
              </w:rPr>
              <w:t>Farmacológico, fonoaudiologia.</w:t>
            </w:r>
          </w:p>
          <w:p w:rsidR="00A74668" w:rsidRDefault="00421CAF">
            <w:pPr>
              <w:pStyle w:val="TableParagraph"/>
              <w:spacing w:line="216" w:lineRule="exact"/>
              <w:rPr>
                <w:sz w:val="20"/>
              </w:rPr>
            </w:pPr>
            <w:r>
              <w:rPr>
                <w:sz w:val="20"/>
              </w:rPr>
              <w:t>Cirurgia (</w:t>
            </w:r>
            <w:proofErr w:type="spellStart"/>
            <w:r>
              <w:rPr>
                <w:sz w:val="20"/>
              </w:rPr>
              <w:t>gastrostomia</w:t>
            </w:r>
            <w:proofErr w:type="spellEnd"/>
            <w:r>
              <w:rPr>
                <w:sz w:val="20"/>
              </w:rPr>
              <w:t>).</w:t>
            </w:r>
          </w:p>
        </w:tc>
      </w:tr>
      <w:tr w:rsidR="00A74668">
        <w:trPr>
          <w:trHeight w:val="460"/>
        </w:trPr>
        <w:tc>
          <w:tcPr>
            <w:tcW w:w="2156" w:type="dxa"/>
          </w:tcPr>
          <w:p w:rsidR="00A74668" w:rsidRDefault="00421CAF">
            <w:pPr>
              <w:pStyle w:val="TableParagraph"/>
              <w:spacing w:line="228" w:lineRule="exact"/>
              <w:ind w:left="108"/>
              <w:rPr>
                <w:b/>
                <w:sz w:val="20"/>
              </w:rPr>
            </w:pPr>
            <w:proofErr w:type="spellStart"/>
            <w:r>
              <w:rPr>
                <w:b/>
                <w:sz w:val="20"/>
              </w:rPr>
              <w:t>Bucomaxilo</w:t>
            </w:r>
            <w:proofErr w:type="spellEnd"/>
          </w:p>
        </w:tc>
        <w:tc>
          <w:tcPr>
            <w:tcW w:w="4057" w:type="dxa"/>
          </w:tcPr>
          <w:p w:rsidR="00A74668" w:rsidRDefault="00421CAF">
            <w:pPr>
              <w:pStyle w:val="TableParagraph"/>
              <w:ind w:left="109"/>
              <w:rPr>
                <w:sz w:val="20"/>
              </w:rPr>
            </w:pPr>
            <w:r>
              <w:rPr>
                <w:sz w:val="20"/>
              </w:rPr>
              <w:t>Má oclusão, dentição anômala.</w:t>
            </w:r>
          </w:p>
        </w:tc>
        <w:tc>
          <w:tcPr>
            <w:tcW w:w="3236" w:type="dxa"/>
          </w:tcPr>
          <w:p w:rsidR="00A74668" w:rsidRDefault="00421CAF">
            <w:pPr>
              <w:pStyle w:val="TableParagraph"/>
              <w:rPr>
                <w:sz w:val="20"/>
              </w:rPr>
            </w:pPr>
            <w:r>
              <w:rPr>
                <w:sz w:val="20"/>
              </w:rPr>
              <w:t>Cirurgia.</w:t>
            </w:r>
          </w:p>
          <w:p w:rsidR="00A74668" w:rsidRDefault="00421CAF">
            <w:pPr>
              <w:pStyle w:val="TableParagraph"/>
              <w:spacing w:line="217" w:lineRule="exact"/>
              <w:rPr>
                <w:sz w:val="20"/>
              </w:rPr>
            </w:pPr>
            <w:r>
              <w:rPr>
                <w:sz w:val="20"/>
              </w:rPr>
              <w:t>Aparelho ortodôntico.</w:t>
            </w:r>
          </w:p>
        </w:tc>
      </w:tr>
      <w:tr w:rsidR="00A74668">
        <w:trPr>
          <w:trHeight w:val="460"/>
        </w:trPr>
        <w:tc>
          <w:tcPr>
            <w:tcW w:w="2156" w:type="dxa"/>
          </w:tcPr>
          <w:p w:rsidR="00A74668" w:rsidRDefault="00421CAF">
            <w:pPr>
              <w:pStyle w:val="TableParagraph"/>
              <w:spacing w:line="228" w:lineRule="exact"/>
              <w:ind w:left="108"/>
              <w:rPr>
                <w:b/>
                <w:sz w:val="20"/>
              </w:rPr>
            </w:pPr>
            <w:r>
              <w:rPr>
                <w:b/>
                <w:sz w:val="20"/>
              </w:rPr>
              <w:t>Cardiovascular</w:t>
            </w:r>
          </w:p>
        </w:tc>
        <w:tc>
          <w:tcPr>
            <w:tcW w:w="4057" w:type="dxa"/>
          </w:tcPr>
          <w:p w:rsidR="00A74668" w:rsidRDefault="00421CAF">
            <w:pPr>
              <w:pStyle w:val="TableParagraph"/>
              <w:tabs>
                <w:tab w:val="left" w:pos="1472"/>
                <w:tab w:val="left" w:pos="2924"/>
              </w:tabs>
              <w:ind w:left="109"/>
              <w:rPr>
                <w:sz w:val="20"/>
              </w:rPr>
            </w:pPr>
            <w:proofErr w:type="spellStart"/>
            <w:r>
              <w:rPr>
                <w:sz w:val="20"/>
              </w:rPr>
              <w:t>Valvulopatias</w:t>
            </w:r>
            <w:proofErr w:type="spellEnd"/>
            <w:r>
              <w:rPr>
                <w:sz w:val="20"/>
              </w:rPr>
              <w:t>,</w:t>
            </w:r>
            <w:r>
              <w:rPr>
                <w:sz w:val="20"/>
              </w:rPr>
              <w:tab/>
              <w:t>cardiomiopatia,</w:t>
            </w:r>
            <w:r>
              <w:rPr>
                <w:sz w:val="20"/>
              </w:rPr>
              <w:tab/>
            </w:r>
            <w:proofErr w:type="gramStart"/>
            <w:r>
              <w:rPr>
                <w:sz w:val="20"/>
              </w:rPr>
              <w:t>insuficiência</w:t>
            </w:r>
            <w:proofErr w:type="gramEnd"/>
          </w:p>
          <w:p w:rsidR="00A74668" w:rsidRDefault="00421CAF">
            <w:pPr>
              <w:pStyle w:val="TableParagraph"/>
              <w:spacing w:line="217" w:lineRule="exact"/>
              <w:ind w:left="109"/>
              <w:rPr>
                <w:sz w:val="20"/>
              </w:rPr>
            </w:pPr>
            <w:proofErr w:type="gramStart"/>
            <w:r>
              <w:rPr>
                <w:sz w:val="20"/>
              </w:rPr>
              <w:t>cardíaca</w:t>
            </w:r>
            <w:proofErr w:type="gramEnd"/>
            <w:r>
              <w:rPr>
                <w:sz w:val="20"/>
              </w:rPr>
              <w:t>.</w:t>
            </w:r>
          </w:p>
        </w:tc>
        <w:tc>
          <w:tcPr>
            <w:tcW w:w="3236" w:type="dxa"/>
          </w:tcPr>
          <w:p w:rsidR="00A74668" w:rsidRDefault="00421CAF">
            <w:pPr>
              <w:pStyle w:val="TableParagraph"/>
              <w:rPr>
                <w:sz w:val="20"/>
              </w:rPr>
            </w:pPr>
            <w:r>
              <w:rPr>
                <w:sz w:val="20"/>
              </w:rPr>
              <w:t>Farmacológico, cirúrgico.</w:t>
            </w:r>
          </w:p>
        </w:tc>
      </w:tr>
    </w:tbl>
    <w:p w:rsidR="00A74668" w:rsidRDefault="00A74668">
      <w:pPr>
        <w:rPr>
          <w:sz w:val="20"/>
        </w:rPr>
        <w:sectPr w:rsidR="00A74668">
          <w:pgSz w:w="11910" w:h="16840"/>
          <w:pgMar w:top="1500" w:right="980" w:bottom="440" w:left="900" w:header="0" w:footer="254" w:gutter="0"/>
          <w:cols w:space="720"/>
        </w:sectPr>
      </w:pPr>
    </w:p>
    <w:p w:rsidR="00A74668" w:rsidRDefault="00421CAF">
      <w:pPr>
        <w:pStyle w:val="Corpodetexto"/>
        <w:spacing w:before="72"/>
        <w:ind w:right="586"/>
      </w:pPr>
      <w:r>
        <w:rPr>
          <w:b/>
        </w:rPr>
        <w:lastRenderedPageBreak/>
        <w:t xml:space="preserve">Tabela 2 </w:t>
      </w:r>
      <w:proofErr w:type="gramStart"/>
      <w:r>
        <w:rPr>
          <w:b/>
        </w:rPr>
        <w:t>-</w:t>
      </w:r>
      <w:r>
        <w:t>Programa</w:t>
      </w:r>
      <w:proofErr w:type="gramEnd"/>
      <w:r>
        <w:t xml:space="preserve"> mínimo de avaliações para seguimento clínico dos pacientes com </w:t>
      </w:r>
      <w:proofErr w:type="spellStart"/>
      <w:r>
        <w:t>Mucopolissacaridose</w:t>
      </w:r>
      <w:proofErr w:type="spellEnd"/>
      <w:r>
        <w:t xml:space="preserve"> tipo II (MPS II), em tratamento específico ou não</w:t>
      </w:r>
      <w:hyperlink r:id="rId339">
        <w:r>
          <w:rPr>
            <w:vertAlign w:val="superscript"/>
          </w:rPr>
          <w:t>15,24,32</w:t>
        </w:r>
        <w:r>
          <w:t>.</w:t>
        </w:r>
      </w:hyperlink>
    </w:p>
    <w:p w:rsidR="00A74668" w:rsidRDefault="00A74668">
      <w:pPr>
        <w:pStyle w:val="Corpodetexto"/>
        <w:spacing w:before="8" w:after="1"/>
        <w:ind w:left="0"/>
        <w:jc w:val="left"/>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8"/>
        <w:gridCol w:w="1050"/>
        <w:gridCol w:w="1009"/>
        <w:gridCol w:w="1014"/>
      </w:tblGrid>
      <w:tr w:rsidR="00A74668">
        <w:trPr>
          <w:trHeight w:val="539"/>
        </w:trPr>
        <w:tc>
          <w:tcPr>
            <w:tcW w:w="5478" w:type="dxa"/>
          </w:tcPr>
          <w:p w:rsidR="00A74668" w:rsidRDefault="00421CAF">
            <w:pPr>
              <w:pStyle w:val="TableParagraph"/>
              <w:spacing w:line="228" w:lineRule="exact"/>
              <w:ind w:left="110"/>
              <w:rPr>
                <w:b/>
                <w:sz w:val="20"/>
              </w:rPr>
            </w:pPr>
            <w:r>
              <w:rPr>
                <w:b/>
                <w:sz w:val="20"/>
              </w:rPr>
              <w:t>Avaliações</w:t>
            </w:r>
          </w:p>
        </w:tc>
        <w:tc>
          <w:tcPr>
            <w:tcW w:w="1050" w:type="dxa"/>
          </w:tcPr>
          <w:p w:rsidR="00A74668" w:rsidRDefault="00421CAF">
            <w:pPr>
              <w:pStyle w:val="TableParagraph"/>
              <w:spacing w:line="240" w:lineRule="auto"/>
              <w:ind w:right="168"/>
              <w:rPr>
                <w:b/>
                <w:sz w:val="20"/>
              </w:rPr>
            </w:pPr>
            <w:proofErr w:type="spellStart"/>
            <w:r>
              <w:rPr>
                <w:b/>
                <w:sz w:val="20"/>
              </w:rPr>
              <w:t>Avaliaçã</w:t>
            </w:r>
            <w:proofErr w:type="spellEnd"/>
            <w:r>
              <w:rPr>
                <w:b/>
                <w:sz w:val="20"/>
              </w:rPr>
              <w:t xml:space="preserve"> o Inicial</w:t>
            </w:r>
          </w:p>
        </w:tc>
        <w:tc>
          <w:tcPr>
            <w:tcW w:w="1009" w:type="dxa"/>
          </w:tcPr>
          <w:p w:rsidR="00A74668" w:rsidRDefault="00421CAF">
            <w:pPr>
              <w:pStyle w:val="TableParagraph"/>
              <w:spacing w:line="240" w:lineRule="auto"/>
              <w:ind w:left="109"/>
              <w:rPr>
                <w:b/>
                <w:sz w:val="20"/>
              </w:rPr>
            </w:pPr>
            <w:r>
              <w:rPr>
                <w:b/>
                <w:sz w:val="20"/>
              </w:rPr>
              <w:t xml:space="preserve">A cada </w:t>
            </w:r>
            <w:proofErr w:type="gramStart"/>
            <w:r>
              <w:rPr>
                <w:b/>
                <w:sz w:val="20"/>
              </w:rPr>
              <w:t>6</w:t>
            </w:r>
            <w:proofErr w:type="gramEnd"/>
            <w:r>
              <w:rPr>
                <w:b/>
                <w:sz w:val="20"/>
              </w:rPr>
              <w:t xml:space="preserve"> meses*</w:t>
            </w:r>
          </w:p>
        </w:tc>
        <w:tc>
          <w:tcPr>
            <w:tcW w:w="1014" w:type="dxa"/>
          </w:tcPr>
          <w:p w:rsidR="00A74668" w:rsidRDefault="00421CAF">
            <w:pPr>
              <w:pStyle w:val="TableParagraph"/>
              <w:spacing w:line="240" w:lineRule="auto"/>
              <w:ind w:left="105"/>
              <w:rPr>
                <w:b/>
                <w:sz w:val="20"/>
              </w:rPr>
            </w:pPr>
            <w:r>
              <w:rPr>
                <w:b/>
                <w:sz w:val="20"/>
              </w:rPr>
              <w:t xml:space="preserve">A cada </w:t>
            </w:r>
            <w:proofErr w:type="gramStart"/>
            <w:r>
              <w:rPr>
                <w:b/>
                <w:sz w:val="20"/>
              </w:rPr>
              <w:t>1</w:t>
            </w:r>
            <w:proofErr w:type="gramEnd"/>
            <w:r>
              <w:rPr>
                <w:b/>
                <w:sz w:val="20"/>
              </w:rPr>
              <w:t xml:space="preserve"> ano</w:t>
            </w:r>
          </w:p>
        </w:tc>
      </w:tr>
      <w:tr w:rsidR="00A74668">
        <w:trPr>
          <w:trHeight w:val="381"/>
        </w:trPr>
        <w:tc>
          <w:tcPr>
            <w:tcW w:w="5478" w:type="dxa"/>
          </w:tcPr>
          <w:p w:rsidR="00A74668" w:rsidRDefault="00421CAF">
            <w:pPr>
              <w:pStyle w:val="TableParagraph"/>
              <w:ind w:left="110"/>
              <w:rPr>
                <w:sz w:val="20"/>
              </w:rPr>
            </w:pPr>
            <w:r>
              <w:rPr>
                <w:sz w:val="20"/>
              </w:rPr>
              <w:t>Atividade enzimática</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proofErr w:type="spellStart"/>
            <w:proofErr w:type="gramStart"/>
            <w:r>
              <w:rPr>
                <w:sz w:val="20"/>
              </w:rPr>
              <w:t>GAGs</w:t>
            </w:r>
            <w:proofErr w:type="spellEnd"/>
            <w:proofErr w:type="gramEnd"/>
            <w:r>
              <w:rPr>
                <w:sz w:val="20"/>
              </w:rPr>
              <w:t xml:space="preserve"> urinários</w:t>
            </w:r>
          </w:p>
        </w:tc>
        <w:tc>
          <w:tcPr>
            <w:tcW w:w="1050" w:type="dxa"/>
          </w:tcPr>
          <w:p w:rsidR="00A74668" w:rsidRDefault="00421CAF">
            <w:pPr>
              <w:pStyle w:val="TableParagraph"/>
              <w:rPr>
                <w:sz w:val="20"/>
              </w:rPr>
            </w:pPr>
            <w:r>
              <w:rPr>
                <w:w w:val="99"/>
                <w:sz w:val="20"/>
              </w:rPr>
              <w:t>X</w:t>
            </w:r>
          </w:p>
        </w:tc>
        <w:tc>
          <w:tcPr>
            <w:tcW w:w="1009" w:type="dxa"/>
          </w:tcPr>
          <w:p w:rsidR="00A74668" w:rsidRDefault="00421CAF">
            <w:pPr>
              <w:pStyle w:val="TableParagraph"/>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História médica</w:t>
            </w:r>
          </w:p>
        </w:tc>
        <w:tc>
          <w:tcPr>
            <w:tcW w:w="1050" w:type="dxa"/>
          </w:tcPr>
          <w:p w:rsidR="00A74668" w:rsidRDefault="00421CAF">
            <w:pPr>
              <w:pStyle w:val="TableParagraph"/>
              <w:rPr>
                <w:sz w:val="20"/>
              </w:rPr>
            </w:pPr>
            <w:r>
              <w:rPr>
                <w:w w:val="99"/>
                <w:sz w:val="20"/>
              </w:rPr>
              <w:t>X</w:t>
            </w:r>
          </w:p>
        </w:tc>
        <w:tc>
          <w:tcPr>
            <w:tcW w:w="1009" w:type="dxa"/>
          </w:tcPr>
          <w:p w:rsidR="00A74668" w:rsidRDefault="00421CAF">
            <w:pPr>
              <w:pStyle w:val="TableParagraph"/>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r>
              <w:rPr>
                <w:sz w:val="20"/>
              </w:rPr>
              <w:t>Revisão do número de infusões realizadas no período</w:t>
            </w:r>
          </w:p>
        </w:tc>
        <w:tc>
          <w:tcPr>
            <w:tcW w:w="1050" w:type="dxa"/>
          </w:tcPr>
          <w:p w:rsidR="00A74668" w:rsidRDefault="00421CAF">
            <w:pPr>
              <w:pStyle w:val="TableParagraph"/>
              <w:rPr>
                <w:sz w:val="20"/>
              </w:rPr>
            </w:pPr>
            <w:r>
              <w:rPr>
                <w:w w:val="99"/>
                <w:sz w:val="20"/>
              </w:rPr>
              <w:t>X</w:t>
            </w:r>
          </w:p>
        </w:tc>
        <w:tc>
          <w:tcPr>
            <w:tcW w:w="1009" w:type="dxa"/>
          </w:tcPr>
          <w:p w:rsidR="00A74668" w:rsidRDefault="00421CAF">
            <w:pPr>
              <w:pStyle w:val="TableParagraph"/>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Determinação da adesão ao acompanhamento/tratamento</w:t>
            </w:r>
          </w:p>
        </w:tc>
        <w:tc>
          <w:tcPr>
            <w:tcW w:w="1050" w:type="dxa"/>
          </w:tcPr>
          <w:p w:rsidR="00A74668" w:rsidRDefault="00421CAF">
            <w:pPr>
              <w:pStyle w:val="TableParagraph"/>
              <w:rPr>
                <w:sz w:val="20"/>
              </w:rPr>
            </w:pPr>
            <w:r>
              <w:rPr>
                <w:w w:val="99"/>
                <w:sz w:val="20"/>
              </w:rPr>
              <w:t>X</w:t>
            </w:r>
          </w:p>
        </w:tc>
        <w:tc>
          <w:tcPr>
            <w:tcW w:w="1009" w:type="dxa"/>
          </w:tcPr>
          <w:p w:rsidR="00A74668" w:rsidRDefault="00421CAF">
            <w:pPr>
              <w:pStyle w:val="TableParagraph"/>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38"/>
        </w:trPr>
        <w:tc>
          <w:tcPr>
            <w:tcW w:w="5478" w:type="dxa"/>
          </w:tcPr>
          <w:p w:rsidR="00A74668" w:rsidRDefault="00421CAF">
            <w:pPr>
              <w:pStyle w:val="TableParagraph"/>
              <w:ind w:left="110"/>
              <w:rPr>
                <w:sz w:val="20"/>
              </w:rPr>
            </w:pPr>
            <w:r>
              <w:rPr>
                <w:sz w:val="20"/>
              </w:rPr>
              <w:t>Peso / Altura</w:t>
            </w:r>
          </w:p>
        </w:tc>
        <w:tc>
          <w:tcPr>
            <w:tcW w:w="1050" w:type="dxa"/>
          </w:tcPr>
          <w:p w:rsidR="00A74668" w:rsidRDefault="00421CAF">
            <w:pPr>
              <w:pStyle w:val="TableParagraph"/>
              <w:rPr>
                <w:sz w:val="20"/>
              </w:rPr>
            </w:pPr>
            <w:r>
              <w:rPr>
                <w:w w:val="99"/>
                <w:sz w:val="20"/>
              </w:rPr>
              <w:t>X</w:t>
            </w:r>
          </w:p>
        </w:tc>
        <w:tc>
          <w:tcPr>
            <w:tcW w:w="1009" w:type="dxa"/>
          </w:tcPr>
          <w:p w:rsidR="00A74668" w:rsidRDefault="00421CAF">
            <w:pPr>
              <w:pStyle w:val="TableParagraph"/>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spacing w:line="225" w:lineRule="exact"/>
              <w:ind w:left="110"/>
              <w:rPr>
                <w:sz w:val="20"/>
              </w:rPr>
            </w:pPr>
            <w:r>
              <w:rPr>
                <w:sz w:val="20"/>
              </w:rPr>
              <w:t>Pressão Arterial</w:t>
            </w:r>
          </w:p>
        </w:tc>
        <w:tc>
          <w:tcPr>
            <w:tcW w:w="1050" w:type="dxa"/>
          </w:tcPr>
          <w:p w:rsidR="00A74668" w:rsidRDefault="00421CAF">
            <w:pPr>
              <w:pStyle w:val="TableParagraph"/>
              <w:spacing w:line="225" w:lineRule="exact"/>
              <w:rPr>
                <w:sz w:val="20"/>
              </w:rPr>
            </w:pPr>
            <w:r>
              <w:rPr>
                <w:w w:val="99"/>
                <w:sz w:val="20"/>
              </w:rPr>
              <w:t>X</w:t>
            </w:r>
          </w:p>
        </w:tc>
        <w:tc>
          <w:tcPr>
            <w:tcW w:w="1009" w:type="dxa"/>
          </w:tcPr>
          <w:p w:rsidR="00A74668" w:rsidRDefault="00421CAF">
            <w:pPr>
              <w:pStyle w:val="TableParagraph"/>
              <w:spacing w:line="225" w:lineRule="exact"/>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proofErr w:type="spellStart"/>
            <w:r>
              <w:rPr>
                <w:sz w:val="20"/>
              </w:rPr>
              <w:t>Hepatimetria</w:t>
            </w:r>
            <w:proofErr w:type="spellEnd"/>
          </w:p>
        </w:tc>
        <w:tc>
          <w:tcPr>
            <w:tcW w:w="1050" w:type="dxa"/>
          </w:tcPr>
          <w:p w:rsidR="00A74668" w:rsidRDefault="00421CAF">
            <w:pPr>
              <w:pStyle w:val="TableParagraph"/>
              <w:rPr>
                <w:sz w:val="20"/>
              </w:rPr>
            </w:pPr>
            <w:r>
              <w:rPr>
                <w:w w:val="99"/>
                <w:sz w:val="20"/>
              </w:rPr>
              <w:t>X</w:t>
            </w:r>
          </w:p>
        </w:tc>
        <w:tc>
          <w:tcPr>
            <w:tcW w:w="1009" w:type="dxa"/>
          </w:tcPr>
          <w:p w:rsidR="00A74668" w:rsidRDefault="00421CAF">
            <w:pPr>
              <w:pStyle w:val="TableParagraph"/>
              <w:ind w:left="109"/>
              <w:rPr>
                <w:sz w:val="20"/>
              </w:rPr>
            </w:pPr>
            <w:r>
              <w:rPr>
                <w:w w:val="99"/>
                <w:sz w:val="20"/>
              </w:rPr>
              <w:t>X</w:t>
            </w: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spacing w:line="225" w:lineRule="exact"/>
              <w:ind w:left="110"/>
              <w:rPr>
                <w:sz w:val="20"/>
              </w:rPr>
            </w:pPr>
            <w:r>
              <w:rPr>
                <w:sz w:val="20"/>
              </w:rPr>
              <w:t>Aplicação de questionário de qualidade de vida validado</w:t>
            </w:r>
          </w:p>
        </w:tc>
        <w:tc>
          <w:tcPr>
            <w:tcW w:w="1050" w:type="dxa"/>
          </w:tcPr>
          <w:p w:rsidR="00A74668" w:rsidRDefault="00421CAF">
            <w:pPr>
              <w:pStyle w:val="TableParagraph"/>
              <w:spacing w:line="225" w:lineRule="exact"/>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421CAF">
            <w:pPr>
              <w:pStyle w:val="TableParagraph"/>
              <w:spacing w:line="225" w:lineRule="exact"/>
              <w:ind w:left="105"/>
              <w:rPr>
                <w:sz w:val="20"/>
              </w:rPr>
            </w:pPr>
            <w:r>
              <w:rPr>
                <w:w w:val="99"/>
                <w:sz w:val="20"/>
              </w:rPr>
              <w:t>X</w:t>
            </w:r>
          </w:p>
        </w:tc>
      </w:tr>
      <w:tr w:rsidR="00A74668">
        <w:trPr>
          <w:trHeight w:val="378"/>
        </w:trPr>
        <w:tc>
          <w:tcPr>
            <w:tcW w:w="5478" w:type="dxa"/>
          </w:tcPr>
          <w:p w:rsidR="00A74668" w:rsidRDefault="00421CAF">
            <w:pPr>
              <w:pStyle w:val="TableParagraph"/>
              <w:ind w:left="110"/>
              <w:rPr>
                <w:sz w:val="20"/>
              </w:rPr>
            </w:pPr>
            <w:r>
              <w:rPr>
                <w:sz w:val="20"/>
              </w:rPr>
              <w:t>AVALIAÇÃO NEUROLÓGICA</w:t>
            </w:r>
          </w:p>
        </w:tc>
        <w:tc>
          <w:tcPr>
            <w:tcW w:w="1050" w:type="dxa"/>
          </w:tcPr>
          <w:p w:rsidR="00A74668" w:rsidRDefault="00A74668">
            <w:pPr>
              <w:pStyle w:val="TableParagraph"/>
              <w:spacing w:line="240" w:lineRule="auto"/>
              <w:ind w:left="0"/>
              <w:rPr>
                <w:sz w:val="18"/>
              </w:rPr>
            </w:pP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spacing w:line="225" w:lineRule="exact"/>
              <w:ind w:left="110"/>
              <w:rPr>
                <w:sz w:val="20"/>
              </w:rPr>
            </w:pPr>
            <w:r>
              <w:rPr>
                <w:sz w:val="20"/>
              </w:rPr>
              <w:t>- Exame Neurológico Clínico</w:t>
            </w:r>
          </w:p>
        </w:tc>
        <w:tc>
          <w:tcPr>
            <w:tcW w:w="1050" w:type="dxa"/>
          </w:tcPr>
          <w:p w:rsidR="00A74668" w:rsidRDefault="00421CAF">
            <w:pPr>
              <w:pStyle w:val="TableParagraph"/>
              <w:spacing w:line="225" w:lineRule="exact"/>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421CAF">
            <w:pPr>
              <w:pStyle w:val="TableParagraph"/>
              <w:spacing w:line="225" w:lineRule="exact"/>
              <w:ind w:left="105"/>
              <w:rPr>
                <w:sz w:val="20"/>
              </w:rPr>
            </w:pPr>
            <w:r>
              <w:rPr>
                <w:w w:val="99"/>
                <w:sz w:val="20"/>
              </w:rPr>
              <w:t>X</w:t>
            </w:r>
          </w:p>
        </w:tc>
      </w:tr>
      <w:tr w:rsidR="00A74668">
        <w:trPr>
          <w:trHeight w:val="378"/>
        </w:trPr>
        <w:tc>
          <w:tcPr>
            <w:tcW w:w="5478" w:type="dxa"/>
          </w:tcPr>
          <w:p w:rsidR="00A74668" w:rsidRDefault="00421CAF">
            <w:pPr>
              <w:pStyle w:val="TableParagraph"/>
              <w:ind w:left="110"/>
              <w:rPr>
                <w:sz w:val="20"/>
              </w:rPr>
            </w:pPr>
            <w:r>
              <w:rPr>
                <w:sz w:val="20"/>
              </w:rPr>
              <w:t>- RNM Crânio e/ou Tomografia computadorizada de Crânio</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460"/>
        </w:trPr>
        <w:tc>
          <w:tcPr>
            <w:tcW w:w="5478" w:type="dxa"/>
          </w:tcPr>
          <w:p w:rsidR="00A74668" w:rsidRDefault="00421CAF">
            <w:pPr>
              <w:pStyle w:val="TableParagraph"/>
              <w:spacing w:line="225" w:lineRule="exact"/>
              <w:ind w:left="110"/>
              <w:rPr>
                <w:sz w:val="20"/>
              </w:rPr>
            </w:pPr>
            <w:r>
              <w:rPr>
                <w:sz w:val="20"/>
              </w:rPr>
              <w:t>- RNM Coluna</w:t>
            </w:r>
          </w:p>
        </w:tc>
        <w:tc>
          <w:tcPr>
            <w:tcW w:w="1050" w:type="dxa"/>
          </w:tcPr>
          <w:p w:rsidR="00A74668" w:rsidRDefault="00421CAF">
            <w:pPr>
              <w:pStyle w:val="TableParagraph"/>
              <w:spacing w:line="225" w:lineRule="exact"/>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 Velocidade de condução do nervo mediano</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r>
              <w:rPr>
                <w:sz w:val="20"/>
              </w:rPr>
              <w:t xml:space="preserve">- Avaliação do </w:t>
            </w:r>
            <w:proofErr w:type="spellStart"/>
            <w:r>
              <w:rPr>
                <w:sz w:val="20"/>
              </w:rPr>
              <w:t>neurodesenvolvimento</w:t>
            </w:r>
            <w:proofErr w:type="spellEnd"/>
            <w:r>
              <w:rPr>
                <w:sz w:val="20"/>
              </w:rPr>
              <w:t xml:space="preserve"> por neurologista</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421CAF">
            <w:pPr>
              <w:pStyle w:val="TableParagraph"/>
              <w:ind w:left="105"/>
              <w:rPr>
                <w:sz w:val="20"/>
              </w:rPr>
            </w:pPr>
            <w:r>
              <w:rPr>
                <w:w w:val="99"/>
                <w:sz w:val="20"/>
              </w:rPr>
              <w:t>X</w:t>
            </w:r>
          </w:p>
        </w:tc>
      </w:tr>
      <w:tr w:rsidR="00A74668">
        <w:trPr>
          <w:trHeight w:val="460"/>
        </w:trPr>
        <w:tc>
          <w:tcPr>
            <w:tcW w:w="5478" w:type="dxa"/>
          </w:tcPr>
          <w:p w:rsidR="00A74668" w:rsidRDefault="00421CAF">
            <w:pPr>
              <w:pStyle w:val="TableParagraph"/>
              <w:ind w:left="110"/>
              <w:rPr>
                <w:sz w:val="20"/>
              </w:rPr>
            </w:pPr>
            <w:r>
              <w:rPr>
                <w:sz w:val="20"/>
              </w:rPr>
              <w:t xml:space="preserve">AVALIAÇÃO OFTALMOLÓGICA </w:t>
            </w:r>
            <w:proofErr w:type="gramStart"/>
            <w:r>
              <w:rPr>
                <w:sz w:val="20"/>
              </w:rPr>
              <w:t>(acuidade visual, retina,</w:t>
            </w:r>
          </w:p>
          <w:p w:rsidR="00A74668" w:rsidRDefault="00421CAF">
            <w:pPr>
              <w:pStyle w:val="TableParagraph"/>
              <w:spacing w:line="217" w:lineRule="exact"/>
              <w:ind w:left="110"/>
              <w:rPr>
                <w:sz w:val="20"/>
              </w:rPr>
            </w:pPr>
            <w:r>
              <w:rPr>
                <w:sz w:val="20"/>
              </w:rPr>
              <w:t>córnea</w:t>
            </w:r>
            <w:proofErr w:type="gramEnd"/>
            <w:r>
              <w:rPr>
                <w:sz w:val="20"/>
              </w:rPr>
              <w:t>)</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AUDIOMETRIA</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r>
              <w:rPr>
                <w:sz w:val="20"/>
              </w:rPr>
              <w:t>AVALIAÇÃO FUNCIONAL</w:t>
            </w:r>
          </w:p>
        </w:tc>
        <w:tc>
          <w:tcPr>
            <w:tcW w:w="1050" w:type="dxa"/>
          </w:tcPr>
          <w:p w:rsidR="00A74668" w:rsidRDefault="00A74668">
            <w:pPr>
              <w:pStyle w:val="TableParagraph"/>
              <w:spacing w:line="240" w:lineRule="auto"/>
              <w:ind w:left="0"/>
              <w:rPr>
                <w:sz w:val="18"/>
              </w:rPr>
            </w:pP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 xml:space="preserve">- </w:t>
            </w:r>
            <w:proofErr w:type="spellStart"/>
            <w:r>
              <w:rPr>
                <w:sz w:val="20"/>
              </w:rPr>
              <w:t>Ecocardiograma</w:t>
            </w:r>
            <w:proofErr w:type="spellEnd"/>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r>
              <w:rPr>
                <w:sz w:val="20"/>
              </w:rPr>
              <w:t>- Eletrocardiograma</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 CVF/VEF1</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79"/>
        </w:trPr>
        <w:tc>
          <w:tcPr>
            <w:tcW w:w="5478" w:type="dxa"/>
          </w:tcPr>
          <w:p w:rsidR="00A74668" w:rsidRDefault="00421CAF">
            <w:pPr>
              <w:pStyle w:val="TableParagraph"/>
              <w:spacing w:line="224" w:lineRule="exact"/>
              <w:ind w:left="110"/>
              <w:rPr>
                <w:sz w:val="20"/>
              </w:rPr>
            </w:pPr>
            <w:r>
              <w:rPr>
                <w:sz w:val="20"/>
              </w:rPr>
              <w:t xml:space="preserve">- </w:t>
            </w:r>
            <w:proofErr w:type="spellStart"/>
            <w:r>
              <w:rPr>
                <w:sz w:val="20"/>
              </w:rPr>
              <w:t>Polissonografia</w:t>
            </w:r>
            <w:proofErr w:type="spellEnd"/>
          </w:p>
        </w:tc>
        <w:tc>
          <w:tcPr>
            <w:tcW w:w="1050" w:type="dxa"/>
          </w:tcPr>
          <w:p w:rsidR="00A74668" w:rsidRDefault="00421CAF">
            <w:pPr>
              <w:pStyle w:val="TableParagraph"/>
              <w:spacing w:line="224" w:lineRule="exact"/>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81"/>
        </w:trPr>
        <w:tc>
          <w:tcPr>
            <w:tcW w:w="5478" w:type="dxa"/>
          </w:tcPr>
          <w:p w:rsidR="00A74668" w:rsidRDefault="00421CAF">
            <w:pPr>
              <w:pStyle w:val="TableParagraph"/>
              <w:ind w:left="110"/>
              <w:rPr>
                <w:sz w:val="20"/>
              </w:rPr>
            </w:pPr>
            <w:r>
              <w:rPr>
                <w:sz w:val="20"/>
              </w:rPr>
              <w:t>-Avaliação de Mobilidade Articular</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r w:rsidR="00A74668">
        <w:trPr>
          <w:trHeight w:val="378"/>
        </w:trPr>
        <w:tc>
          <w:tcPr>
            <w:tcW w:w="5478" w:type="dxa"/>
          </w:tcPr>
          <w:p w:rsidR="00A74668" w:rsidRDefault="00421CAF">
            <w:pPr>
              <w:pStyle w:val="TableParagraph"/>
              <w:ind w:left="110"/>
              <w:rPr>
                <w:sz w:val="20"/>
              </w:rPr>
            </w:pPr>
            <w:r>
              <w:rPr>
                <w:sz w:val="20"/>
              </w:rPr>
              <w:t>RX ÓSSEO</w:t>
            </w:r>
          </w:p>
        </w:tc>
        <w:tc>
          <w:tcPr>
            <w:tcW w:w="1050" w:type="dxa"/>
          </w:tcPr>
          <w:p w:rsidR="00A74668" w:rsidRDefault="00421CAF">
            <w:pPr>
              <w:pStyle w:val="TableParagraph"/>
              <w:rPr>
                <w:sz w:val="20"/>
              </w:rPr>
            </w:pPr>
            <w:r>
              <w:rPr>
                <w:w w:val="99"/>
                <w:sz w:val="20"/>
              </w:rPr>
              <w:t>X</w:t>
            </w:r>
          </w:p>
        </w:tc>
        <w:tc>
          <w:tcPr>
            <w:tcW w:w="1009" w:type="dxa"/>
          </w:tcPr>
          <w:p w:rsidR="00A74668" w:rsidRDefault="00A74668">
            <w:pPr>
              <w:pStyle w:val="TableParagraph"/>
              <w:spacing w:line="240" w:lineRule="auto"/>
              <w:ind w:left="0"/>
              <w:rPr>
                <w:sz w:val="18"/>
              </w:rPr>
            </w:pPr>
          </w:p>
        </w:tc>
        <w:tc>
          <w:tcPr>
            <w:tcW w:w="1014" w:type="dxa"/>
          </w:tcPr>
          <w:p w:rsidR="00A74668" w:rsidRDefault="00A74668">
            <w:pPr>
              <w:pStyle w:val="TableParagraph"/>
              <w:spacing w:line="240" w:lineRule="auto"/>
              <w:ind w:left="0"/>
              <w:rPr>
                <w:sz w:val="18"/>
              </w:rPr>
            </w:pPr>
          </w:p>
        </w:tc>
      </w:tr>
    </w:tbl>
    <w:p w:rsidR="00A74668" w:rsidRDefault="00421CAF">
      <w:pPr>
        <w:pStyle w:val="Corpodetexto"/>
        <w:ind w:right="584"/>
      </w:pPr>
      <w:r>
        <w:t>* Para pacientes em tratamento específico. As demais avaliações devem ser realizadas em períodos determinados pelo médico assistente.</w:t>
      </w:r>
    </w:p>
    <w:p w:rsidR="00A74668" w:rsidRDefault="00421CAF">
      <w:pPr>
        <w:pStyle w:val="Corpodetexto"/>
        <w:spacing w:before="1"/>
        <w:ind w:right="580"/>
      </w:pPr>
      <w:r>
        <w:t xml:space="preserve">CVF = Capacidade vital forçada; </w:t>
      </w:r>
      <w:proofErr w:type="spellStart"/>
      <w:proofErr w:type="gramStart"/>
      <w:r>
        <w:t>GAGs</w:t>
      </w:r>
      <w:proofErr w:type="spellEnd"/>
      <w:proofErr w:type="gramEnd"/>
      <w:r>
        <w:t xml:space="preserve"> = </w:t>
      </w:r>
      <w:proofErr w:type="spellStart"/>
      <w:r>
        <w:t>glicosaminoglicanos</w:t>
      </w:r>
      <w:proofErr w:type="spellEnd"/>
      <w:r>
        <w:t>; QI = Quociente de inteligência; RNM = Ressonância; TC 6min = T</w:t>
      </w:r>
      <w:r>
        <w:t>este da caminhada de 6 minutos; VEF1 = volume expiratório forçado no primeiro segundo.</w:t>
      </w:r>
    </w:p>
    <w:p w:rsidR="00A74668" w:rsidRDefault="00A74668">
      <w:pPr>
        <w:sectPr w:rsidR="00A74668">
          <w:pgSz w:w="11910" w:h="16840"/>
          <w:pgMar w:top="1040" w:right="980" w:bottom="440" w:left="900" w:header="0" w:footer="254" w:gutter="0"/>
          <w:cols w:space="720"/>
        </w:sectPr>
      </w:pPr>
    </w:p>
    <w:p w:rsidR="00A74668" w:rsidRDefault="00421CAF">
      <w:pPr>
        <w:spacing w:before="77"/>
        <w:ind w:left="233"/>
        <w:jc w:val="both"/>
        <w:rPr>
          <w:b/>
          <w:sz w:val="20"/>
        </w:rPr>
      </w:pPr>
      <w:r>
        <w:rPr>
          <w:b/>
          <w:sz w:val="20"/>
        </w:rPr>
        <w:lastRenderedPageBreak/>
        <w:t>A</w:t>
      </w:r>
      <w:r>
        <w:rPr>
          <w:b/>
          <w:sz w:val="16"/>
        </w:rPr>
        <w:t xml:space="preserve">PÊNDICE </w:t>
      </w:r>
      <w:proofErr w:type="gramStart"/>
      <w:r>
        <w:rPr>
          <w:b/>
          <w:sz w:val="20"/>
        </w:rPr>
        <w:t>1</w:t>
      </w:r>
      <w:proofErr w:type="gramEnd"/>
    </w:p>
    <w:p w:rsidR="00A74668" w:rsidRDefault="00A74668">
      <w:pPr>
        <w:pStyle w:val="Corpodetexto"/>
        <w:spacing w:before="8"/>
        <w:ind w:left="0"/>
        <w:jc w:val="left"/>
        <w:rPr>
          <w:b/>
          <w:sz w:val="19"/>
        </w:rPr>
      </w:pPr>
    </w:p>
    <w:p w:rsidR="00A74668" w:rsidRDefault="00421CAF">
      <w:pPr>
        <w:ind w:left="233"/>
        <w:jc w:val="both"/>
        <w:rPr>
          <w:sz w:val="16"/>
        </w:rPr>
      </w:pPr>
      <w:r>
        <w:rPr>
          <w:sz w:val="20"/>
        </w:rPr>
        <w:t>M</w:t>
      </w:r>
      <w:r>
        <w:rPr>
          <w:sz w:val="16"/>
        </w:rPr>
        <w:t xml:space="preserve">ETODOLOGIA DE </w:t>
      </w:r>
      <w:r>
        <w:rPr>
          <w:sz w:val="20"/>
        </w:rPr>
        <w:t>B</w:t>
      </w:r>
      <w:r>
        <w:rPr>
          <w:sz w:val="16"/>
        </w:rPr>
        <w:t xml:space="preserve">USCA E </w:t>
      </w:r>
      <w:r>
        <w:rPr>
          <w:sz w:val="20"/>
        </w:rPr>
        <w:t>A</w:t>
      </w:r>
      <w:r>
        <w:rPr>
          <w:sz w:val="16"/>
        </w:rPr>
        <w:t xml:space="preserve">VALIAÇÃO DE </w:t>
      </w:r>
      <w:r>
        <w:rPr>
          <w:sz w:val="20"/>
        </w:rPr>
        <w:t>L</w:t>
      </w:r>
      <w:r>
        <w:rPr>
          <w:sz w:val="16"/>
        </w:rPr>
        <w:t>ITERATURA</w:t>
      </w:r>
    </w:p>
    <w:p w:rsidR="00A74668" w:rsidRDefault="00A74668">
      <w:pPr>
        <w:pStyle w:val="Corpodetexto"/>
        <w:ind w:left="0"/>
        <w:jc w:val="left"/>
        <w:rPr>
          <w:sz w:val="22"/>
        </w:rPr>
      </w:pPr>
    </w:p>
    <w:p w:rsidR="00A74668" w:rsidRDefault="00A74668">
      <w:pPr>
        <w:pStyle w:val="Corpodetexto"/>
        <w:spacing w:before="6"/>
        <w:ind w:left="0"/>
        <w:jc w:val="left"/>
        <w:rPr>
          <w:sz w:val="18"/>
        </w:rPr>
      </w:pPr>
    </w:p>
    <w:p w:rsidR="00A74668" w:rsidRDefault="00421CAF">
      <w:pPr>
        <w:pStyle w:val="PargrafodaLista"/>
        <w:numPr>
          <w:ilvl w:val="0"/>
          <w:numId w:val="5"/>
        </w:numPr>
        <w:tabs>
          <w:tab w:val="left" w:pos="426"/>
        </w:tabs>
        <w:spacing w:line="227" w:lineRule="exact"/>
        <w:jc w:val="both"/>
        <w:rPr>
          <w:b/>
          <w:sz w:val="16"/>
        </w:rPr>
      </w:pPr>
      <w:r>
        <w:rPr>
          <w:b/>
          <w:sz w:val="20"/>
        </w:rPr>
        <w:t>P</w:t>
      </w:r>
      <w:r>
        <w:rPr>
          <w:b/>
          <w:sz w:val="16"/>
        </w:rPr>
        <w:t xml:space="preserve">OLÍTICA </w:t>
      </w:r>
      <w:r>
        <w:rPr>
          <w:b/>
          <w:sz w:val="20"/>
        </w:rPr>
        <w:t>N</w:t>
      </w:r>
      <w:r>
        <w:rPr>
          <w:b/>
          <w:sz w:val="16"/>
        </w:rPr>
        <w:t xml:space="preserve">ACIONAL DE </w:t>
      </w:r>
      <w:r>
        <w:rPr>
          <w:b/>
          <w:sz w:val="20"/>
        </w:rPr>
        <w:t>A</w:t>
      </w:r>
      <w:r>
        <w:rPr>
          <w:b/>
          <w:sz w:val="16"/>
        </w:rPr>
        <w:t xml:space="preserve">TENÇÃO </w:t>
      </w:r>
      <w:r>
        <w:rPr>
          <w:b/>
          <w:sz w:val="20"/>
        </w:rPr>
        <w:t>I</w:t>
      </w:r>
      <w:r>
        <w:rPr>
          <w:b/>
          <w:sz w:val="16"/>
        </w:rPr>
        <w:t xml:space="preserve">NTEGRAL ÀS </w:t>
      </w:r>
      <w:r>
        <w:rPr>
          <w:b/>
          <w:sz w:val="20"/>
        </w:rPr>
        <w:t>P</w:t>
      </w:r>
      <w:r>
        <w:rPr>
          <w:b/>
          <w:sz w:val="16"/>
        </w:rPr>
        <w:t xml:space="preserve">ESSOAS COM </w:t>
      </w:r>
      <w:r>
        <w:rPr>
          <w:b/>
          <w:sz w:val="20"/>
        </w:rPr>
        <w:t>D</w:t>
      </w:r>
      <w:r>
        <w:rPr>
          <w:b/>
          <w:sz w:val="16"/>
        </w:rPr>
        <w:t>OENÇAS</w:t>
      </w:r>
      <w:r>
        <w:rPr>
          <w:b/>
          <w:spacing w:val="-1"/>
          <w:sz w:val="16"/>
        </w:rPr>
        <w:t xml:space="preserve"> </w:t>
      </w:r>
      <w:r>
        <w:rPr>
          <w:b/>
          <w:sz w:val="20"/>
        </w:rPr>
        <w:t>R</w:t>
      </w:r>
      <w:r>
        <w:rPr>
          <w:b/>
          <w:sz w:val="16"/>
        </w:rPr>
        <w:t>ARAS</w:t>
      </w:r>
    </w:p>
    <w:p w:rsidR="00A74668" w:rsidRDefault="00421CAF">
      <w:pPr>
        <w:pStyle w:val="Corpodetexto"/>
        <w:ind w:right="578"/>
      </w:pPr>
      <w:r>
        <w:t>A Política Nacional de Atenção Integral às Pessoas com Doenças Raras foi publicada em 12 de fevereiro de 2014 por meio da Portaria GM/MS nº 199, de 30 de janeiro de 2014(*)</w:t>
      </w:r>
      <w:proofErr w:type="gramStart"/>
      <w:r>
        <w:rPr>
          <w:vertAlign w:val="superscript"/>
        </w:rPr>
        <w:t>1</w:t>
      </w:r>
      <w:proofErr w:type="gramEnd"/>
      <w:r>
        <w:t>, que além de instituir a referida Política, também aprovou as Diretrizes para Aten</w:t>
      </w:r>
      <w:r>
        <w:t>ção Integral às Pessoas com Doenças Raras no âmbito do Sistema Único de Saúde (SUS) e institui incentivos financeiros de</w:t>
      </w:r>
      <w:r>
        <w:rPr>
          <w:spacing w:val="-5"/>
        </w:rPr>
        <w:t xml:space="preserve"> </w:t>
      </w:r>
      <w:r>
        <w:t>custeio.</w:t>
      </w:r>
    </w:p>
    <w:p w:rsidR="00A74668" w:rsidRDefault="00421CAF">
      <w:pPr>
        <w:pStyle w:val="Corpodetexto"/>
        <w:ind w:right="585"/>
      </w:pPr>
      <w:r>
        <w:t xml:space="preserve">Esta Política tem como objetivo reduzir a mortalidade e a incapacidade causadas por essas doenças, bem como contribuir para a </w:t>
      </w:r>
      <w:r>
        <w:t xml:space="preserve">melhoria da qualidade de vida das pessoas com doenças raras. Está organizada no conceito das Redes de Atenção à Saúde (RAS), considerando-se todos os pontos de atenção, bem como os sistemas logísticos e de apoio necessários para garantir a oferta de ações </w:t>
      </w:r>
      <w:r>
        <w:t>de promoção detecção precoce, diagnóstico, tratamento e cuidados paliativos, de forma oportuna, para as pessoas com doenças raras.</w:t>
      </w:r>
    </w:p>
    <w:p w:rsidR="00A74668" w:rsidRDefault="00421CAF">
      <w:pPr>
        <w:pStyle w:val="Corpodetexto"/>
        <w:ind w:right="591"/>
        <w:jc w:val="left"/>
      </w:pPr>
      <w:r>
        <w:t>A Política utiliza como definição de doenças raras a estabelecida pela Organização Mundial de Saúde (OMS), isto é, “aquela do</w:t>
      </w:r>
      <w:r>
        <w:t>ença que afeta até 65 pessoas em cada 100.000 indivíduos, ou seja, 1,3 pessoas para cada 2.000 indivíduos”, conforme estabelecido nas Diretrizes para Atenção Integral às Pessoas com Doenças Raras no SUS. Como não seria possível organizar as diretrizes abor</w:t>
      </w:r>
      <w:r>
        <w:t>dando as doenças raras de forma individual, devido ao grande número de doenças, as diretrizes foram organizadas na forma de eixos estruturantes, que permitem classificar as doenças raras de acordo com suas características comuns, com a finalidade de maximi</w:t>
      </w:r>
      <w:r>
        <w:t>zar os benefícios aos usuários.</w:t>
      </w:r>
    </w:p>
    <w:p w:rsidR="00A74668" w:rsidRDefault="00421CAF">
      <w:pPr>
        <w:pStyle w:val="Corpodetexto"/>
        <w:ind w:right="576"/>
      </w:pPr>
      <w:r>
        <w:t xml:space="preserve">Desta forma, as doenças raras foram classificadas em dois eixos: a) Doenças Raras de origem genética, com </w:t>
      </w:r>
      <w:proofErr w:type="gramStart"/>
      <w:r>
        <w:t>3</w:t>
      </w:r>
      <w:proofErr w:type="gramEnd"/>
      <w:r>
        <w:t xml:space="preserve"> grupos: 1-Anomalias Congênitas ou de Manifestação Tardia, 2-Deficiência Intelectual, 3-Erros inatos do Metabolismo. </w:t>
      </w:r>
      <w:r>
        <w:t xml:space="preserve">b) Doenças Raras de origem não genética, com os seguintes grupos de causas: 1- </w:t>
      </w:r>
      <w:proofErr w:type="gramStart"/>
      <w:r>
        <w:t>Infecciosas, 2-</w:t>
      </w:r>
      <w:proofErr w:type="gramEnd"/>
      <w:r>
        <w:t xml:space="preserve"> Inflamatórias, 3- Autoimunes, 4- Outras doenças raras não genéticas.</w:t>
      </w:r>
    </w:p>
    <w:p w:rsidR="00A74668" w:rsidRDefault="00421CAF">
      <w:pPr>
        <w:pStyle w:val="Corpodetexto"/>
        <w:ind w:right="580"/>
      </w:pPr>
      <w:r>
        <w:t xml:space="preserve">Para a implantação e </w:t>
      </w:r>
      <w:proofErr w:type="gramStart"/>
      <w:r>
        <w:t>implementação</w:t>
      </w:r>
      <w:proofErr w:type="gramEnd"/>
      <w:r>
        <w:t xml:space="preserve"> desta Política foram incorporados na Tabela de Procedimen</w:t>
      </w:r>
      <w:r>
        <w:t xml:space="preserve">tos, Medicamentos, Órteses, Próteses e Materiais Especiais do SUS quinze exames, de biologia molecular, </w:t>
      </w:r>
      <w:proofErr w:type="spellStart"/>
      <w:r>
        <w:t>citogenética</w:t>
      </w:r>
      <w:proofErr w:type="spellEnd"/>
      <w:r>
        <w:t xml:space="preserve"> e </w:t>
      </w:r>
      <w:proofErr w:type="spellStart"/>
      <w:r>
        <w:t>imunoensaios</w:t>
      </w:r>
      <w:proofErr w:type="spellEnd"/>
      <w:r>
        <w:t>, além do aconselhamento genético.</w:t>
      </w:r>
    </w:p>
    <w:p w:rsidR="00A74668" w:rsidRDefault="00421CAF">
      <w:pPr>
        <w:pStyle w:val="Corpodetexto"/>
        <w:ind w:right="582"/>
      </w:pPr>
      <w:r>
        <w:t xml:space="preserve">Os princípios e diretrizes desta Portaria no artigo 6º, inciso VI, </w:t>
      </w:r>
      <w:proofErr w:type="gramStart"/>
      <w:r>
        <w:t>visa</w:t>
      </w:r>
      <w:proofErr w:type="gramEnd"/>
      <w:r>
        <w:t xml:space="preserve"> a garantir a incor</w:t>
      </w:r>
      <w:r>
        <w:t>poração e uso de tecnologias voltadas para a promoção, prevenção e cuidado integral na RAS, incluindo tratamento medicamentoso e fórmulas nutricionais quando indicados no âmbito do SUS, que devem ser resultados das recomendações formuladas por órgãos gover</w:t>
      </w:r>
      <w:r>
        <w:t>namentais a partir do processo de avaliação e aprovação pela Comissão Nacional de Incorporação de Tecnologias no SUS (CONITEC) e Protocolos Clínicos e Diretrizes Terapêuticas (PCDT).</w:t>
      </w:r>
    </w:p>
    <w:p w:rsidR="00A74668" w:rsidRDefault="00421CAF">
      <w:pPr>
        <w:pStyle w:val="Corpodetexto"/>
        <w:ind w:right="581"/>
      </w:pPr>
      <w:r>
        <w:t xml:space="preserve">Para viabilizar as definições e </w:t>
      </w:r>
      <w:proofErr w:type="gramStart"/>
      <w:r>
        <w:t>implementação</w:t>
      </w:r>
      <w:proofErr w:type="gramEnd"/>
      <w:r>
        <w:t xml:space="preserve"> da Política, a Coordenação </w:t>
      </w:r>
      <w:r>
        <w:t>de Média e Alta Complexidade (CGMAC), juntamente com a CONITEC, organizou um “Painel de especialistas” que atuam em doenças raras em todo o país, abarcando os dois eixos da Política e seus respectivos grupos supracitados. O “Painel de Especialistas”, reali</w:t>
      </w:r>
      <w:r>
        <w:t xml:space="preserve">zado nos dias 19 e 20 de maio de 2014, objetivou estabelecer critérios e prioridades para a elaboração de – </w:t>
      </w:r>
      <w:proofErr w:type="spellStart"/>
      <w:r>
        <w:t>PCDTs</w:t>
      </w:r>
      <w:proofErr w:type="spellEnd"/>
      <w:r>
        <w:t xml:space="preserve"> para </w:t>
      </w:r>
      <w:proofErr w:type="gramStart"/>
      <w:r>
        <w:t>implementação</w:t>
      </w:r>
      <w:proofErr w:type="gramEnd"/>
      <w:r>
        <w:t xml:space="preserve"> da Política Nacional de Atenção Integral às Pessoas com Doenças Raras no SUS. Entre as doenças elencadas para elaboração de</w:t>
      </w:r>
      <w:r>
        <w:t xml:space="preserve"> PCDT priorizados está a </w:t>
      </w:r>
      <w:proofErr w:type="spellStart"/>
      <w:r>
        <w:t>Mucopolissacaridose</w:t>
      </w:r>
      <w:proofErr w:type="spellEnd"/>
      <w:r>
        <w:t xml:space="preserve"> tipo II (MPS</w:t>
      </w:r>
      <w:r>
        <w:rPr>
          <w:spacing w:val="-4"/>
        </w:rPr>
        <w:t xml:space="preserve"> </w:t>
      </w:r>
      <w:r>
        <w:t>II).</w:t>
      </w:r>
    </w:p>
    <w:p w:rsidR="00A74668" w:rsidRDefault="00A74668">
      <w:pPr>
        <w:pStyle w:val="Corpodetexto"/>
        <w:spacing w:before="4"/>
        <w:ind w:left="0"/>
        <w:jc w:val="left"/>
      </w:pPr>
    </w:p>
    <w:p w:rsidR="00A74668" w:rsidRDefault="00421CAF">
      <w:pPr>
        <w:pStyle w:val="PargrafodaLista"/>
        <w:numPr>
          <w:ilvl w:val="0"/>
          <w:numId w:val="5"/>
        </w:numPr>
        <w:tabs>
          <w:tab w:val="left" w:pos="426"/>
        </w:tabs>
        <w:spacing w:line="228" w:lineRule="exact"/>
        <w:jc w:val="both"/>
        <w:rPr>
          <w:b/>
          <w:sz w:val="16"/>
        </w:rPr>
      </w:pPr>
      <w:r>
        <w:rPr>
          <w:b/>
          <w:sz w:val="20"/>
        </w:rPr>
        <w:t>R</w:t>
      </w:r>
      <w:r>
        <w:rPr>
          <w:b/>
          <w:sz w:val="16"/>
        </w:rPr>
        <w:t>EUNIÃO DE ESCOPO</w:t>
      </w:r>
    </w:p>
    <w:p w:rsidR="00A74668" w:rsidRDefault="00421CAF">
      <w:pPr>
        <w:pStyle w:val="Corpodetexto"/>
        <w:ind w:right="578"/>
      </w:pPr>
      <w:r>
        <w:t>A fim de dar continuidade ao processo de elaboração do PCDT, foi realizada uma reunião de escopo com o comitê gestor e elaborador do Protocolo no dia 12 de dezembro de 2016 n</w:t>
      </w:r>
      <w:r>
        <w:t>o Hospital Alemão Oswaldo Cruz (HAOC), quando foram estabelecidas as seguintes perguntas de pesquisa para elaboração deste PCDT:</w:t>
      </w:r>
    </w:p>
    <w:p w:rsidR="00A74668" w:rsidRDefault="00421CAF">
      <w:pPr>
        <w:pStyle w:val="PargrafodaLista"/>
        <w:numPr>
          <w:ilvl w:val="0"/>
          <w:numId w:val="14"/>
        </w:numPr>
        <w:tabs>
          <w:tab w:val="left" w:pos="349"/>
        </w:tabs>
        <w:ind w:right="590" w:firstLine="0"/>
        <w:rPr>
          <w:sz w:val="20"/>
        </w:rPr>
      </w:pPr>
      <w:r>
        <w:rPr>
          <w:sz w:val="20"/>
        </w:rPr>
        <w:t xml:space="preserve">Quais são os critérios de suspensão de tratamento? Buscar evidência para reação adversa grave, anafilaxia e piora após </w:t>
      </w:r>
      <w:proofErr w:type="gramStart"/>
      <w:r>
        <w:rPr>
          <w:sz w:val="20"/>
        </w:rPr>
        <w:t>1</w:t>
      </w:r>
      <w:proofErr w:type="gramEnd"/>
      <w:r>
        <w:rPr>
          <w:sz w:val="20"/>
        </w:rPr>
        <w:t xml:space="preserve"> ano de tratamento.</w:t>
      </w:r>
    </w:p>
    <w:p w:rsidR="00A74668" w:rsidRDefault="00421CAF">
      <w:pPr>
        <w:pStyle w:val="PargrafodaLista"/>
        <w:numPr>
          <w:ilvl w:val="0"/>
          <w:numId w:val="14"/>
        </w:numPr>
        <w:tabs>
          <w:tab w:val="left" w:pos="371"/>
        </w:tabs>
        <w:ind w:right="579" w:firstLine="0"/>
        <w:rPr>
          <w:sz w:val="20"/>
        </w:rPr>
      </w:pPr>
      <w:r>
        <w:rPr>
          <w:sz w:val="20"/>
        </w:rPr>
        <w:t>Em que situações a TRE não está indicada? Sem indicação: quadro neurológico avançado que não poderá ser revertido pe</w:t>
      </w:r>
      <w:r>
        <w:rPr>
          <w:sz w:val="20"/>
        </w:rPr>
        <w:t>lo</w:t>
      </w:r>
      <w:r>
        <w:rPr>
          <w:spacing w:val="1"/>
          <w:sz w:val="20"/>
        </w:rPr>
        <w:t xml:space="preserve"> </w:t>
      </w:r>
      <w:r>
        <w:rPr>
          <w:sz w:val="20"/>
        </w:rPr>
        <w:t>tratamento.</w:t>
      </w:r>
    </w:p>
    <w:p w:rsidR="00A74668" w:rsidRDefault="00421CAF">
      <w:pPr>
        <w:pStyle w:val="PargrafodaLista"/>
        <w:numPr>
          <w:ilvl w:val="0"/>
          <w:numId w:val="14"/>
        </w:numPr>
        <w:tabs>
          <w:tab w:val="left" w:pos="383"/>
        </w:tabs>
        <w:ind w:right="588" w:firstLine="0"/>
        <w:rPr>
          <w:sz w:val="20"/>
        </w:rPr>
      </w:pPr>
      <w:r>
        <w:rPr>
          <w:sz w:val="20"/>
        </w:rPr>
        <w:t>A TRE é eficaz para os desfechos: sobrevida, qualidade de vida, número de infecções de vias respiratórias, cardiopatia, eventos adversos, crises convulsivas, doença óssea, doença</w:t>
      </w:r>
      <w:r>
        <w:rPr>
          <w:spacing w:val="-2"/>
          <w:sz w:val="20"/>
        </w:rPr>
        <w:t xml:space="preserve"> </w:t>
      </w:r>
      <w:r>
        <w:rPr>
          <w:sz w:val="20"/>
        </w:rPr>
        <w:t>ocular?</w:t>
      </w:r>
    </w:p>
    <w:p w:rsidR="00A74668" w:rsidRDefault="00421CAF">
      <w:pPr>
        <w:pStyle w:val="PargrafodaLista"/>
        <w:numPr>
          <w:ilvl w:val="0"/>
          <w:numId w:val="14"/>
        </w:numPr>
        <w:tabs>
          <w:tab w:val="left" w:pos="349"/>
        </w:tabs>
        <w:spacing w:line="228" w:lineRule="exact"/>
        <w:ind w:firstLine="0"/>
        <w:rPr>
          <w:sz w:val="20"/>
        </w:rPr>
      </w:pPr>
      <w:r>
        <w:rPr>
          <w:sz w:val="20"/>
        </w:rPr>
        <w:t>Existe diferença de efetividade entre os diferentes es</w:t>
      </w:r>
      <w:r>
        <w:rPr>
          <w:sz w:val="20"/>
        </w:rPr>
        <w:t>quemas posológicos, quinzenal e</w:t>
      </w:r>
      <w:r>
        <w:rPr>
          <w:spacing w:val="-9"/>
          <w:sz w:val="20"/>
        </w:rPr>
        <w:t xml:space="preserve"> </w:t>
      </w:r>
      <w:r>
        <w:rPr>
          <w:sz w:val="20"/>
        </w:rPr>
        <w:t>semanal?</w:t>
      </w:r>
    </w:p>
    <w:p w:rsidR="00A74668" w:rsidRDefault="00421CAF">
      <w:pPr>
        <w:pStyle w:val="PargrafodaLista"/>
        <w:numPr>
          <w:ilvl w:val="0"/>
          <w:numId w:val="14"/>
        </w:numPr>
        <w:tabs>
          <w:tab w:val="left" w:pos="349"/>
        </w:tabs>
        <w:ind w:firstLine="0"/>
        <w:rPr>
          <w:sz w:val="20"/>
        </w:rPr>
      </w:pPr>
      <w:r>
        <w:rPr>
          <w:sz w:val="20"/>
        </w:rPr>
        <w:t>Quais são os critérios para interrupção de tratamento? Reação adversa grave,</w:t>
      </w:r>
      <w:r>
        <w:rPr>
          <w:spacing w:val="-3"/>
          <w:sz w:val="20"/>
        </w:rPr>
        <w:t xml:space="preserve"> </w:t>
      </w:r>
      <w:r>
        <w:rPr>
          <w:sz w:val="20"/>
        </w:rPr>
        <w:t>anafilaxia.</w:t>
      </w:r>
    </w:p>
    <w:p w:rsidR="00A74668" w:rsidRDefault="00421CAF">
      <w:pPr>
        <w:pStyle w:val="PargrafodaLista"/>
        <w:numPr>
          <w:ilvl w:val="0"/>
          <w:numId w:val="14"/>
        </w:numPr>
        <w:tabs>
          <w:tab w:val="left" w:pos="351"/>
        </w:tabs>
        <w:ind w:left="350" w:hanging="117"/>
        <w:rPr>
          <w:sz w:val="20"/>
        </w:rPr>
      </w:pPr>
      <w:r>
        <w:rPr>
          <w:sz w:val="20"/>
        </w:rPr>
        <w:t>A TRE é segura em gestantes e pacientes em aleitamento</w:t>
      </w:r>
      <w:r>
        <w:rPr>
          <w:spacing w:val="-9"/>
          <w:sz w:val="20"/>
        </w:rPr>
        <w:t xml:space="preserve"> </w:t>
      </w:r>
      <w:r>
        <w:rPr>
          <w:sz w:val="20"/>
        </w:rPr>
        <w:t>materno?</w:t>
      </w:r>
    </w:p>
    <w:p w:rsidR="00A74668" w:rsidRDefault="00A74668">
      <w:pPr>
        <w:pStyle w:val="Corpodetexto"/>
        <w:spacing w:before="5"/>
        <w:ind w:left="0"/>
        <w:jc w:val="left"/>
      </w:pPr>
    </w:p>
    <w:p w:rsidR="00A74668" w:rsidRDefault="00421CAF">
      <w:pPr>
        <w:pStyle w:val="PargrafodaLista"/>
        <w:numPr>
          <w:ilvl w:val="0"/>
          <w:numId w:val="5"/>
        </w:numPr>
        <w:tabs>
          <w:tab w:val="left" w:pos="435"/>
        </w:tabs>
        <w:spacing w:line="228" w:lineRule="exact"/>
        <w:ind w:left="434" w:hanging="201"/>
        <w:jc w:val="both"/>
        <w:rPr>
          <w:b/>
          <w:sz w:val="16"/>
        </w:rPr>
      </w:pPr>
      <w:r>
        <w:rPr>
          <w:b/>
          <w:sz w:val="20"/>
        </w:rPr>
        <w:t>B</w:t>
      </w:r>
      <w:r>
        <w:rPr>
          <w:b/>
          <w:sz w:val="16"/>
        </w:rPr>
        <w:t>USCAS NA</w:t>
      </w:r>
      <w:r>
        <w:rPr>
          <w:b/>
          <w:spacing w:val="-1"/>
          <w:sz w:val="16"/>
        </w:rPr>
        <w:t xml:space="preserve"> </w:t>
      </w:r>
      <w:r>
        <w:rPr>
          <w:b/>
          <w:sz w:val="16"/>
        </w:rPr>
        <w:t>LITERATURA</w:t>
      </w:r>
    </w:p>
    <w:p w:rsidR="00A74668" w:rsidRDefault="00421CAF">
      <w:pPr>
        <w:pStyle w:val="Corpodetexto"/>
        <w:spacing w:line="237" w:lineRule="auto"/>
        <w:ind w:right="580"/>
      </w:pPr>
      <w:r>
        <w:t>Foram consultados a Relação Nacional de Medicamentos Essenciais (RENAME) e o sítio eletrônico da Comissão Nacional de Incorporação de Tecnologias no SUS (CONITEC) para a identificação das tecnologias disponíveis no</w:t>
      </w:r>
    </w:p>
    <w:p w:rsidR="00A74668" w:rsidRDefault="00421CAF">
      <w:pPr>
        <w:pStyle w:val="Corpodetexto"/>
        <w:spacing w:before="1"/>
        <w:ind w:left="0"/>
        <w:jc w:val="left"/>
        <w:rPr>
          <w:sz w:val="18"/>
        </w:rPr>
      </w:pPr>
      <w:r>
        <w:pict>
          <v:line id="_x0000_s2050" style="position:absolute;z-index:-251659264;mso-wrap-distance-left:0;mso-wrap-distance-right:0;mso-position-horizontal-relative:page" from="56.65pt,12.7pt" to="200.7pt,12.7pt" strokeweight=".21169mm">
            <w10:wrap type="topAndBottom" anchorx="page"/>
          </v:line>
        </w:pict>
      </w:r>
    </w:p>
    <w:p w:rsidR="00A74668" w:rsidRDefault="00421CAF">
      <w:pPr>
        <w:spacing w:before="45"/>
        <w:ind w:left="233" w:right="591"/>
        <w:rPr>
          <w:sz w:val="16"/>
        </w:rPr>
      </w:pPr>
      <w:proofErr w:type="gramStart"/>
      <w:r>
        <w:rPr>
          <w:position w:val="7"/>
          <w:sz w:val="10"/>
        </w:rPr>
        <w:t>1</w:t>
      </w:r>
      <w:proofErr w:type="gramEnd"/>
      <w:r>
        <w:rPr>
          <w:sz w:val="16"/>
        </w:rPr>
        <w:t>(*) Republicada para consolidar as alterações introduzidas pela Portaria nº 981/GM/MS, 20 de maio 2014, publicada no DOU nº 95, de 21 de maio de 2014, Seção 1, página 44.</w:t>
      </w:r>
    </w:p>
    <w:p w:rsidR="00A74668" w:rsidRDefault="00A74668">
      <w:pPr>
        <w:rPr>
          <w:sz w:val="16"/>
        </w:rPr>
        <w:sectPr w:rsidR="00A74668">
          <w:pgSz w:w="11910" w:h="16840"/>
          <w:pgMar w:top="1040" w:right="980" w:bottom="440" w:left="900" w:header="0" w:footer="254" w:gutter="0"/>
          <w:cols w:space="720"/>
        </w:sectPr>
      </w:pPr>
    </w:p>
    <w:p w:rsidR="00A74668" w:rsidRDefault="00421CAF">
      <w:pPr>
        <w:pStyle w:val="Corpodetexto"/>
        <w:spacing w:before="72"/>
        <w:ind w:right="585"/>
      </w:pPr>
      <w:r>
        <w:lastRenderedPageBreak/>
        <w:t>Brasil e tecnologias demandadas ou recentemente incorporadas para o</w:t>
      </w:r>
      <w:r>
        <w:t xml:space="preserve"> tratamento da MPS II. Foi também realizada busca por diretrizes nacionais e internacionais a respeito da</w:t>
      </w:r>
      <w:r>
        <w:rPr>
          <w:spacing w:val="-8"/>
        </w:rPr>
        <w:t xml:space="preserve"> </w:t>
      </w:r>
      <w:r>
        <w:t>doença.</w:t>
      </w:r>
    </w:p>
    <w:p w:rsidR="00A74668" w:rsidRDefault="00421CAF">
      <w:pPr>
        <w:pStyle w:val="Corpodetexto"/>
        <w:spacing w:before="1"/>
        <w:ind w:right="3080"/>
        <w:jc w:val="left"/>
      </w:pPr>
      <w:r>
        <w:t>Não foram encontradas tecnologias disponíveis, já incorporadas ou em avaliação. As seguintes bases de diretrizes foram consultadas:</w:t>
      </w:r>
    </w:p>
    <w:p w:rsidR="00A74668" w:rsidRPr="00421CAF" w:rsidRDefault="00421CAF">
      <w:pPr>
        <w:pStyle w:val="PargrafodaLista"/>
        <w:numPr>
          <w:ilvl w:val="0"/>
          <w:numId w:val="4"/>
        </w:numPr>
        <w:tabs>
          <w:tab w:val="left" w:pos="1226"/>
          <w:tab w:val="left" w:pos="1227"/>
        </w:tabs>
        <w:spacing w:before="3" w:line="231" w:lineRule="exact"/>
        <w:ind w:hanging="993"/>
        <w:rPr>
          <w:sz w:val="20"/>
          <w:lang w:val="en-US"/>
        </w:rPr>
      </w:pPr>
      <w:r w:rsidRPr="00421CAF">
        <w:rPr>
          <w:sz w:val="20"/>
          <w:lang w:val="en-US"/>
        </w:rPr>
        <w:t>NICE guide</w:t>
      </w:r>
      <w:r w:rsidRPr="00421CAF">
        <w:rPr>
          <w:sz w:val="20"/>
          <w:lang w:val="en-US"/>
        </w:rPr>
        <w:t>lines</w:t>
      </w:r>
      <w:r w:rsidRPr="00421CAF">
        <w:rPr>
          <w:spacing w:val="-2"/>
          <w:sz w:val="20"/>
          <w:lang w:val="en-US"/>
        </w:rPr>
        <w:t xml:space="preserve"> </w:t>
      </w:r>
      <w:r w:rsidRPr="00421CAF">
        <w:rPr>
          <w:sz w:val="20"/>
          <w:lang w:val="en-US"/>
        </w:rPr>
        <w:t>(</w:t>
      </w:r>
      <w:hyperlink r:id="rId340">
        <w:r w:rsidRPr="00421CAF">
          <w:rPr>
            <w:sz w:val="20"/>
            <w:lang w:val="en-US"/>
          </w:rPr>
          <w:t>http://www.nice.org.uk/guidance/published?type=CG</w:t>
        </w:r>
      </w:hyperlink>
      <w:r w:rsidRPr="00421CAF">
        <w:rPr>
          <w:sz w:val="20"/>
          <w:lang w:val="en-US"/>
        </w:rPr>
        <w:t>);</w:t>
      </w:r>
    </w:p>
    <w:p w:rsidR="00A74668" w:rsidRPr="00421CAF" w:rsidRDefault="00421CAF">
      <w:pPr>
        <w:pStyle w:val="PargrafodaLista"/>
        <w:numPr>
          <w:ilvl w:val="0"/>
          <w:numId w:val="4"/>
        </w:numPr>
        <w:tabs>
          <w:tab w:val="left" w:pos="1226"/>
          <w:tab w:val="left" w:pos="1227"/>
        </w:tabs>
        <w:spacing w:line="230" w:lineRule="exact"/>
        <w:ind w:hanging="993"/>
        <w:rPr>
          <w:sz w:val="20"/>
          <w:lang w:val="en-US"/>
        </w:rPr>
      </w:pPr>
      <w:r w:rsidRPr="00421CAF">
        <w:rPr>
          <w:sz w:val="20"/>
          <w:lang w:val="en-US"/>
        </w:rPr>
        <w:t>National Library of Australia –</w:t>
      </w:r>
      <w:r w:rsidRPr="00421CAF">
        <w:rPr>
          <w:spacing w:val="3"/>
          <w:sz w:val="20"/>
          <w:lang w:val="en-US"/>
        </w:rPr>
        <w:t xml:space="preserve"> </w:t>
      </w:r>
      <w:hyperlink r:id="rId341">
        <w:r w:rsidRPr="00421CAF">
          <w:rPr>
            <w:sz w:val="20"/>
            <w:lang w:val="en-US"/>
          </w:rPr>
          <w:t>http://webarchive.nla.gov.au/gov/;</w:t>
        </w:r>
      </w:hyperlink>
    </w:p>
    <w:p w:rsidR="00A74668" w:rsidRDefault="00421CAF">
      <w:pPr>
        <w:pStyle w:val="PargrafodaLista"/>
        <w:numPr>
          <w:ilvl w:val="0"/>
          <w:numId w:val="4"/>
        </w:numPr>
        <w:tabs>
          <w:tab w:val="left" w:pos="1226"/>
          <w:tab w:val="left" w:pos="1227"/>
        </w:tabs>
        <w:spacing w:line="230" w:lineRule="exact"/>
        <w:ind w:hanging="993"/>
        <w:rPr>
          <w:sz w:val="20"/>
        </w:rPr>
      </w:pPr>
      <w:proofErr w:type="gramStart"/>
      <w:r>
        <w:rPr>
          <w:sz w:val="20"/>
        </w:rPr>
        <w:t>Diret</w:t>
      </w:r>
      <w:r>
        <w:rPr>
          <w:sz w:val="20"/>
        </w:rPr>
        <w:t>rizes Associação</w:t>
      </w:r>
      <w:proofErr w:type="gramEnd"/>
      <w:r>
        <w:rPr>
          <w:sz w:val="20"/>
        </w:rPr>
        <w:t xml:space="preserve"> Médica Brasileira</w:t>
      </w:r>
      <w:r>
        <w:rPr>
          <w:spacing w:val="4"/>
          <w:sz w:val="20"/>
        </w:rPr>
        <w:t xml:space="preserve"> </w:t>
      </w:r>
      <w:r>
        <w:rPr>
          <w:sz w:val="20"/>
        </w:rPr>
        <w:t>(AMB).</w:t>
      </w:r>
    </w:p>
    <w:p w:rsidR="00A74668" w:rsidRDefault="00421CAF">
      <w:pPr>
        <w:pStyle w:val="PargrafodaLista"/>
        <w:numPr>
          <w:ilvl w:val="0"/>
          <w:numId w:val="4"/>
        </w:numPr>
        <w:tabs>
          <w:tab w:val="left" w:pos="1226"/>
          <w:tab w:val="left" w:pos="1227"/>
        </w:tabs>
        <w:spacing w:line="231" w:lineRule="exact"/>
        <w:ind w:hanging="993"/>
        <w:rPr>
          <w:sz w:val="20"/>
        </w:rPr>
      </w:pPr>
      <w:r>
        <w:rPr>
          <w:sz w:val="20"/>
        </w:rPr>
        <w:t>PCDT</w:t>
      </w:r>
      <w:r>
        <w:rPr>
          <w:spacing w:val="2"/>
          <w:sz w:val="20"/>
        </w:rPr>
        <w:t xml:space="preserve"> </w:t>
      </w:r>
      <w:r>
        <w:rPr>
          <w:sz w:val="20"/>
        </w:rPr>
        <w:t>MS</w:t>
      </w:r>
    </w:p>
    <w:p w:rsidR="00A74668" w:rsidRDefault="00421CAF">
      <w:pPr>
        <w:pStyle w:val="PargrafodaLista"/>
        <w:numPr>
          <w:ilvl w:val="0"/>
          <w:numId w:val="4"/>
        </w:numPr>
        <w:tabs>
          <w:tab w:val="left" w:pos="1226"/>
          <w:tab w:val="left" w:pos="1227"/>
        </w:tabs>
        <w:spacing w:before="2"/>
        <w:ind w:hanging="993"/>
        <w:rPr>
          <w:i/>
          <w:sz w:val="20"/>
        </w:rPr>
      </w:pPr>
      <w:proofErr w:type="spellStart"/>
      <w:r>
        <w:rPr>
          <w:i/>
          <w:sz w:val="20"/>
        </w:rPr>
        <w:t>Pubmed</w:t>
      </w:r>
      <w:proofErr w:type="spellEnd"/>
      <w:r>
        <w:rPr>
          <w:i/>
          <w:sz w:val="20"/>
        </w:rPr>
        <w:t>/</w:t>
      </w:r>
      <w:proofErr w:type="spellStart"/>
      <w:r>
        <w:rPr>
          <w:i/>
          <w:sz w:val="20"/>
        </w:rPr>
        <w:t>Medline</w:t>
      </w:r>
      <w:proofErr w:type="spellEnd"/>
    </w:p>
    <w:p w:rsidR="00A74668" w:rsidRDefault="00A74668">
      <w:pPr>
        <w:pStyle w:val="Corpodetexto"/>
        <w:spacing w:before="9"/>
        <w:ind w:left="0"/>
        <w:jc w:val="left"/>
        <w:rPr>
          <w:i/>
          <w:sz w:val="19"/>
        </w:rPr>
      </w:pPr>
    </w:p>
    <w:p w:rsidR="00A74668" w:rsidRDefault="00421CAF">
      <w:pPr>
        <w:pStyle w:val="Corpodetexto"/>
        <w:spacing w:before="1" w:line="229" w:lineRule="exact"/>
      </w:pPr>
      <w:r>
        <w:t>As diretrizes localizadas foram as seguintes:</w:t>
      </w:r>
    </w:p>
    <w:p w:rsidR="00A74668" w:rsidRDefault="00421CAF">
      <w:pPr>
        <w:pStyle w:val="Corpodetexto"/>
        <w:spacing w:line="229" w:lineRule="exact"/>
      </w:pPr>
      <w:r w:rsidRPr="00421CAF">
        <w:rPr>
          <w:lang w:val="en-US"/>
        </w:rPr>
        <w:t xml:space="preserve">-Multidisciplinary management of Hunter syndrome. </w:t>
      </w:r>
      <w:proofErr w:type="spellStart"/>
      <w:r>
        <w:t>Muenzer</w:t>
      </w:r>
      <w:proofErr w:type="spellEnd"/>
      <w:r>
        <w:t xml:space="preserve"> J, </w:t>
      </w:r>
      <w:proofErr w:type="gramStart"/>
      <w:r>
        <w:rPr>
          <w:i/>
        </w:rPr>
        <w:t>et</w:t>
      </w:r>
      <w:proofErr w:type="gramEnd"/>
      <w:r>
        <w:rPr>
          <w:i/>
        </w:rPr>
        <w:t xml:space="preserve"> al</w:t>
      </w:r>
      <w:r>
        <w:t xml:space="preserve">. </w:t>
      </w:r>
      <w:proofErr w:type="spellStart"/>
      <w:r>
        <w:t>Pediatrics</w:t>
      </w:r>
      <w:proofErr w:type="spellEnd"/>
      <w:r>
        <w:t xml:space="preserve">. 2009 </w:t>
      </w:r>
      <w:proofErr w:type="gramStart"/>
      <w:r>
        <w:t>Dec;</w:t>
      </w:r>
      <w:proofErr w:type="gramEnd"/>
      <w:r>
        <w:t>124(6):e1228-39.</w:t>
      </w:r>
    </w:p>
    <w:p w:rsidR="00A74668" w:rsidRDefault="00421CAF">
      <w:pPr>
        <w:pStyle w:val="PargrafodaLista"/>
        <w:numPr>
          <w:ilvl w:val="0"/>
          <w:numId w:val="3"/>
        </w:numPr>
        <w:tabs>
          <w:tab w:val="left" w:pos="395"/>
        </w:tabs>
        <w:ind w:right="582" w:firstLine="0"/>
        <w:rPr>
          <w:sz w:val="20"/>
        </w:rPr>
      </w:pPr>
      <w:r>
        <w:rPr>
          <w:sz w:val="20"/>
        </w:rPr>
        <w:t xml:space="preserve">Terapia de reposição enzimática para as </w:t>
      </w:r>
      <w:proofErr w:type="spellStart"/>
      <w:r>
        <w:rPr>
          <w:sz w:val="20"/>
        </w:rPr>
        <w:t>mucopolissacaridoses</w:t>
      </w:r>
      <w:proofErr w:type="spellEnd"/>
      <w:r>
        <w:rPr>
          <w:sz w:val="20"/>
        </w:rPr>
        <w:t xml:space="preserve"> I, II e VI: recomendações de um grupo de especialistas brasileiros. </w:t>
      </w:r>
      <w:proofErr w:type="spellStart"/>
      <w:r>
        <w:rPr>
          <w:sz w:val="20"/>
        </w:rPr>
        <w:t>Giugliani</w:t>
      </w:r>
      <w:proofErr w:type="spellEnd"/>
      <w:r>
        <w:rPr>
          <w:sz w:val="20"/>
        </w:rPr>
        <w:t xml:space="preserve"> R, </w:t>
      </w:r>
      <w:proofErr w:type="gramStart"/>
      <w:r>
        <w:rPr>
          <w:i/>
          <w:sz w:val="20"/>
        </w:rPr>
        <w:t>et</w:t>
      </w:r>
      <w:proofErr w:type="gramEnd"/>
      <w:r>
        <w:rPr>
          <w:i/>
          <w:sz w:val="20"/>
        </w:rPr>
        <w:t xml:space="preserve"> al</w:t>
      </w:r>
      <w:r>
        <w:rPr>
          <w:sz w:val="20"/>
        </w:rPr>
        <w:t xml:space="preserve">. </w:t>
      </w:r>
      <w:proofErr w:type="spellStart"/>
      <w:r>
        <w:rPr>
          <w:sz w:val="20"/>
        </w:rPr>
        <w:t>Rev</w:t>
      </w:r>
      <w:proofErr w:type="spellEnd"/>
      <w:r>
        <w:rPr>
          <w:sz w:val="20"/>
        </w:rPr>
        <w:t xml:space="preserve"> </w:t>
      </w:r>
      <w:proofErr w:type="spellStart"/>
      <w:r>
        <w:rPr>
          <w:sz w:val="20"/>
        </w:rPr>
        <w:t>Assoc</w:t>
      </w:r>
      <w:proofErr w:type="spellEnd"/>
      <w:r>
        <w:rPr>
          <w:sz w:val="20"/>
        </w:rPr>
        <w:t xml:space="preserve"> </w:t>
      </w:r>
      <w:proofErr w:type="spellStart"/>
      <w:r>
        <w:rPr>
          <w:sz w:val="20"/>
        </w:rPr>
        <w:t>Med</w:t>
      </w:r>
      <w:proofErr w:type="spellEnd"/>
      <w:r>
        <w:rPr>
          <w:sz w:val="20"/>
        </w:rPr>
        <w:t xml:space="preserve"> Bras. 2010; 56(3):</w:t>
      </w:r>
      <w:r>
        <w:rPr>
          <w:spacing w:val="-4"/>
          <w:sz w:val="20"/>
        </w:rPr>
        <w:t xml:space="preserve"> </w:t>
      </w:r>
      <w:r>
        <w:rPr>
          <w:sz w:val="20"/>
        </w:rPr>
        <w:t>257-77</w:t>
      </w:r>
    </w:p>
    <w:p w:rsidR="00A74668" w:rsidRDefault="00421CAF">
      <w:pPr>
        <w:pStyle w:val="PargrafodaLista"/>
        <w:numPr>
          <w:ilvl w:val="0"/>
          <w:numId w:val="3"/>
        </w:numPr>
        <w:tabs>
          <w:tab w:val="left" w:pos="375"/>
        </w:tabs>
        <w:spacing w:before="1"/>
        <w:ind w:right="586" w:firstLine="0"/>
        <w:rPr>
          <w:sz w:val="20"/>
        </w:rPr>
      </w:pPr>
      <w:proofErr w:type="spellStart"/>
      <w:r w:rsidRPr="00421CAF">
        <w:rPr>
          <w:sz w:val="20"/>
          <w:lang w:val="en-US"/>
        </w:rPr>
        <w:t>MucopolysaccharidosisI</w:t>
      </w:r>
      <w:proofErr w:type="spellEnd"/>
      <w:r w:rsidRPr="00421CAF">
        <w:rPr>
          <w:sz w:val="20"/>
          <w:lang w:val="en-US"/>
        </w:rPr>
        <w:t>, II, and VI: Brief review and guidelines for</w:t>
      </w:r>
      <w:r w:rsidRPr="00421CAF">
        <w:rPr>
          <w:sz w:val="20"/>
          <w:lang w:val="en-US"/>
        </w:rPr>
        <w:t xml:space="preserve"> treatment. </w:t>
      </w:r>
      <w:proofErr w:type="spellStart"/>
      <w:r>
        <w:rPr>
          <w:sz w:val="20"/>
        </w:rPr>
        <w:t>Giugliani</w:t>
      </w:r>
      <w:proofErr w:type="spellEnd"/>
      <w:r>
        <w:rPr>
          <w:sz w:val="20"/>
        </w:rPr>
        <w:t xml:space="preserve"> R, </w:t>
      </w:r>
      <w:proofErr w:type="gramStart"/>
      <w:r>
        <w:rPr>
          <w:sz w:val="20"/>
        </w:rPr>
        <w:t>et</w:t>
      </w:r>
      <w:proofErr w:type="gramEnd"/>
      <w:r>
        <w:rPr>
          <w:sz w:val="20"/>
        </w:rPr>
        <w:t xml:space="preserve"> al. </w:t>
      </w:r>
      <w:proofErr w:type="spellStart"/>
      <w:r>
        <w:rPr>
          <w:sz w:val="20"/>
        </w:rPr>
        <w:t>Genet</w:t>
      </w:r>
      <w:proofErr w:type="spellEnd"/>
      <w:r>
        <w:rPr>
          <w:sz w:val="20"/>
        </w:rPr>
        <w:t xml:space="preserve"> Mol Biol. 2010; 33(4):</w:t>
      </w:r>
      <w:r>
        <w:rPr>
          <w:spacing w:val="-3"/>
          <w:sz w:val="20"/>
        </w:rPr>
        <w:t xml:space="preserve"> </w:t>
      </w:r>
      <w:r>
        <w:rPr>
          <w:sz w:val="20"/>
        </w:rPr>
        <w:t>589-604</w:t>
      </w:r>
    </w:p>
    <w:p w:rsidR="00A74668" w:rsidRDefault="00421CAF">
      <w:pPr>
        <w:pStyle w:val="PargrafodaLista"/>
        <w:numPr>
          <w:ilvl w:val="0"/>
          <w:numId w:val="3"/>
        </w:numPr>
        <w:tabs>
          <w:tab w:val="left" w:pos="356"/>
        </w:tabs>
        <w:spacing w:before="1"/>
        <w:ind w:right="589" w:firstLine="0"/>
        <w:rPr>
          <w:sz w:val="20"/>
        </w:rPr>
      </w:pPr>
      <w:proofErr w:type="spellStart"/>
      <w:r w:rsidRPr="00421CAF">
        <w:rPr>
          <w:sz w:val="20"/>
          <w:lang w:val="en-US"/>
        </w:rPr>
        <w:t>Mucopolysaccharidosis</w:t>
      </w:r>
      <w:proofErr w:type="spellEnd"/>
      <w:r w:rsidRPr="00421CAF">
        <w:rPr>
          <w:sz w:val="20"/>
          <w:lang w:val="en-US"/>
        </w:rPr>
        <w:t xml:space="preserve"> type II: European recommendations for the diagnosis and multidisciplinary management of a rare disease. </w:t>
      </w:r>
      <w:proofErr w:type="spellStart"/>
      <w:proofErr w:type="gramStart"/>
      <w:r>
        <w:rPr>
          <w:sz w:val="20"/>
        </w:rPr>
        <w:t>ScarpaM</w:t>
      </w:r>
      <w:proofErr w:type="gramEnd"/>
      <w:r>
        <w:rPr>
          <w:sz w:val="20"/>
        </w:rPr>
        <w:t>,</w:t>
      </w:r>
      <w:r>
        <w:rPr>
          <w:i/>
          <w:sz w:val="20"/>
        </w:rPr>
        <w:t>et</w:t>
      </w:r>
      <w:proofErr w:type="spellEnd"/>
      <w:r>
        <w:rPr>
          <w:i/>
          <w:sz w:val="20"/>
        </w:rPr>
        <w:t xml:space="preserve"> al</w:t>
      </w:r>
      <w:r>
        <w:rPr>
          <w:sz w:val="20"/>
        </w:rPr>
        <w:t xml:space="preserve">. </w:t>
      </w:r>
      <w:proofErr w:type="spellStart"/>
      <w:r>
        <w:rPr>
          <w:sz w:val="20"/>
        </w:rPr>
        <w:t>Orphanet</w:t>
      </w:r>
      <w:proofErr w:type="spellEnd"/>
      <w:r>
        <w:rPr>
          <w:sz w:val="20"/>
        </w:rPr>
        <w:t xml:space="preserve"> J </w:t>
      </w:r>
      <w:proofErr w:type="spellStart"/>
      <w:r>
        <w:rPr>
          <w:sz w:val="20"/>
        </w:rPr>
        <w:t>Rare</w:t>
      </w:r>
      <w:proofErr w:type="spellEnd"/>
      <w:r>
        <w:rPr>
          <w:sz w:val="20"/>
        </w:rPr>
        <w:t xml:space="preserve"> </w:t>
      </w:r>
      <w:proofErr w:type="spellStart"/>
      <w:r>
        <w:rPr>
          <w:sz w:val="20"/>
        </w:rPr>
        <w:t>Dis</w:t>
      </w:r>
      <w:proofErr w:type="spellEnd"/>
      <w:r>
        <w:rPr>
          <w:sz w:val="20"/>
        </w:rPr>
        <w:t xml:space="preserve">. 2011 </w:t>
      </w:r>
      <w:proofErr w:type="spellStart"/>
      <w:r>
        <w:rPr>
          <w:sz w:val="20"/>
        </w:rPr>
        <w:t>Nov</w:t>
      </w:r>
      <w:proofErr w:type="spellEnd"/>
      <w:r>
        <w:rPr>
          <w:sz w:val="20"/>
        </w:rPr>
        <w:t xml:space="preserve"> </w:t>
      </w:r>
      <w:proofErr w:type="gramStart"/>
      <w:r>
        <w:rPr>
          <w:sz w:val="20"/>
        </w:rPr>
        <w:t>7</w:t>
      </w:r>
      <w:proofErr w:type="gramEnd"/>
      <w:r>
        <w:rPr>
          <w:sz w:val="20"/>
        </w:rPr>
        <w:t xml:space="preserve">;6:72. </w:t>
      </w:r>
      <w:proofErr w:type="spellStart"/>
      <w:proofErr w:type="gramStart"/>
      <w:r>
        <w:rPr>
          <w:sz w:val="20"/>
        </w:rPr>
        <w:t>doi</w:t>
      </w:r>
      <w:proofErr w:type="spellEnd"/>
      <w:proofErr w:type="gramEnd"/>
      <w:r>
        <w:rPr>
          <w:sz w:val="20"/>
        </w:rPr>
        <w:t>:</w:t>
      </w:r>
      <w:r>
        <w:rPr>
          <w:spacing w:val="-10"/>
          <w:sz w:val="20"/>
        </w:rPr>
        <w:t xml:space="preserve"> </w:t>
      </w:r>
      <w:r>
        <w:rPr>
          <w:sz w:val="20"/>
        </w:rPr>
        <w:t>10.</w:t>
      </w:r>
      <w:r>
        <w:rPr>
          <w:sz w:val="20"/>
        </w:rPr>
        <w:t>1186/1750-1172-6-72.</w:t>
      </w:r>
    </w:p>
    <w:p w:rsidR="00A74668" w:rsidRDefault="00421CAF">
      <w:pPr>
        <w:pStyle w:val="PargrafodaLista"/>
        <w:numPr>
          <w:ilvl w:val="0"/>
          <w:numId w:val="3"/>
        </w:numPr>
        <w:tabs>
          <w:tab w:val="left" w:pos="363"/>
        </w:tabs>
        <w:ind w:right="592" w:firstLine="0"/>
        <w:rPr>
          <w:sz w:val="20"/>
        </w:rPr>
      </w:pPr>
      <w:r w:rsidRPr="00421CAF">
        <w:rPr>
          <w:sz w:val="20"/>
          <w:lang w:val="en-US"/>
        </w:rPr>
        <w:t xml:space="preserve">Guidelines for diagnosis and treatment of Hunter Syndrome for clinicians in Latin America. </w:t>
      </w:r>
      <w:proofErr w:type="spellStart"/>
      <w:r>
        <w:rPr>
          <w:sz w:val="20"/>
        </w:rPr>
        <w:t>Giugliani</w:t>
      </w:r>
      <w:proofErr w:type="spellEnd"/>
      <w:r>
        <w:rPr>
          <w:sz w:val="20"/>
        </w:rPr>
        <w:t xml:space="preserve"> R, </w:t>
      </w:r>
      <w:proofErr w:type="gramStart"/>
      <w:r>
        <w:rPr>
          <w:sz w:val="20"/>
        </w:rPr>
        <w:t>et</w:t>
      </w:r>
      <w:proofErr w:type="gramEnd"/>
      <w:r>
        <w:rPr>
          <w:sz w:val="20"/>
        </w:rPr>
        <w:t xml:space="preserve"> al. </w:t>
      </w:r>
      <w:proofErr w:type="spellStart"/>
      <w:r>
        <w:rPr>
          <w:sz w:val="20"/>
        </w:rPr>
        <w:t>Genet</w:t>
      </w:r>
      <w:proofErr w:type="spellEnd"/>
      <w:r>
        <w:rPr>
          <w:sz w:val="20"/>
        </w:rPr>
        <w:t xml:space="preserve"> Mol Biol. 2014</w:t>
      </w:r>
      <w:r>
        <w:rPr>
          <w:spacing w:val="-3"/>
          <w:sz w:val="20"/>
        </w:rPr>
        <w:t xml:space="preserve"> </w:t>
      </w:r>
      <w:r>
        <w:rPr>
          <w:sz w:val="20"/>
        </w:rPr>
        <w:t>Jun;37(2):315-29.</w:t>
      </w:r>
    </w:p>
    <w:p w:rsidR="00A74668" w:rsidRDefault="00421CAF">
      <w:pPr>
        <w:pStyle w:val="PargrafodaLista"/>
        <w:numPr>
          <w:ilvl w:val="0"/>
          <w:numId w:val="3"/>
        </w:numPr>
        <w:tabs>
          <w:tab w:val="left" w:pos="359"/>
        </w:tabs>
        <w:ind w:right="589" w:firstLine="0"/>
        <w:rPr>
          <w:sz w:val="20"/>
        </w:rPr>
      </w:pPr>
      <w:proofErr w:type="spellStart"/>
      <w:r w:rsidRPr="00421CAF">
        <w:rPr>
          <w:sz w:val="20"/>
          <w:lang w:val="en-US"/>
        </w:rPr>
        <w:t>Mucopolysaccharidosis</w:t>
      </w:r>
      <w:proofErr w:type="spellEnd"/>
      <w:r w:rsidRPr="00421CAF">
        <w:rPr>
          <w:sz w:val="20"/>
          <w:lang w:val="en-US"/>
        </w:rPr>
        <w:t xml:space="preserve"> Type II. </w:t>
      </w:r>
      <w:proofErr w:type="spellStart"/>
      <w:r w:rsidRPr="00421CAF">
        <w:rPr>
          <w:sz w:val="20"/>
          <w:lang w:val="en-US"/>
        </w:rPr>
        <w:t>Scarpa</w:t>
      </w:r>
      <w:proofErr w:type="spellEnd"/>
      <w:r w:rsidRPr="00421CAF">
        <w:rPr>
          <w:sz w:val="20"/>
          <w:lang w:val="en-US"/>
        </w:rPr>
        <w:t xml:space="preserve"> M. In: </w:t>
      </w:r>
      <w:proofErr w:type="spellStart"/>
      <w:r w:rsidRPr="00421CAF">
        <w:rPr>
          <w:sz w:val="20"/>
          <w:lang w:val="en-US"/>
        </w:rPr>
        <w:t>Pagon</w:t>
      </w:r>
      <w:proofErr w:type="spellEnd"/>
      <w:r w:rsidRPr="00421CAF">
        <w:rPr>
          <w:sz w:val="20"/>
          <w:lang w:val="en-US"/>
        </w:rPr>
        <w:t xml:space="preserve"> RA, Adam MP, </w:t>
      </w:r>
      <w:proofErr w:type="spellStart"/>
      <w:r w:rsidRPr="00421CAF">
        <w:rPr>
          <w:sz w:val="20"/>
          <w:lang w:val="en-US"/>
        </w:rPr>
        <w:t>Ardinger</w:t>
      </w:r>
      <w:proofErr w:type="spellEnd"/>
      <w:r w:rsidRPr="00421CAF">
        <w:rPr>
          <w:sz w:val="20"/>
          <w:lang w:val="en-US"/>
        </w:rPr>
        <w:t xml:space="preserve"> HH, Wallace </w:t>
      </w:r>
      <w:r w:rsidRPr="00421CAF">
        <w:rPr>
          <w:sz w:val="20"/>
          <w:lang w:val="en-US"/>
        </w:rPr>
        <w:t xml:space="preserve">SE, </w:t>
      </w:r>
      <w:proofErr w:type="spellStart"/>
      <w:r w:rsidRPr="00421CAF">
        <w:rPr>
          <w:sz w:val="20"/>
          <w:lang w:val="en-US"/>
        </w:rPr>
        <w:t>Amemiya</w:t>
      </w:r>
      <w:proofErr w:type="spellEnd"/>
      <w:r w:rsidRPr="00421CAF">
        <w:rPr>
          <w:sz w:val="20"/>
          <w:lang w:val="en-US"/>
        </w:rPr>
        <w:t xml:space="preserve"> A, Bean LJH, et al., editors. </w:t>
      </w:r>
      <w:proofErr w:type="spellStart"/>
      <w:proofErr w:type="gramStart"/>
      <w:r>
        <w:rPr>
          <w:sz w:val="20"/>
        </w:rPr>
        <w:t>GeneReviews</w:t>
      </w:r>
      <w:proofErr w:type="spellEnd"/>
      <w:proofErr w:type="gramEnd"/>
      <w:r>
        <w:rPr>
          <w:sz w:val="20"/>
        </w:rPr>
        <w:t xml:space="preserve">(®). Seattle (WA): </w:t>
      </w:r>
      <w:proofErr w:type="spellStart"/>
      <w:r>
        <w:rPr>
          <w:sz w:val="20"/>
        </w:rPr>
        <w:t>Universityof</w:t>
      </w:r>
      <w:proofErr w:type="spellEnd"/>
      <w:r>
        <w:rPr>
          <w:sz w:val="20"/>
        </w:rPr>
        <w:t xml:space="preserve"> Washington, Seattle;</w:t>
      </w:r>
      <w:r>
        <w:rPr>
          <w:spacing w:val="-13"/>
          <w:sz w:val="20"/>
        </w:rPr>
        <w:t xml:space="preserve"> </w:t>
      </w:r>
      <w:r>
        <w:rPr>
          <w:sz w:val="20"/>
        </w:rPr>
        <w:t>2015.</w:t>
      </w:r>
    </w:p>
    <w:p w:rsidR="00A74668" w:rsidRDefault="00A74668">
      <w:pPr>
        <w:pStyle w:val="Corpodetexto"/>
        <w:spacing w:before="10"/>
        <w:ind w:left="0"/>
        <w:jc w:val="left"/>
        <w:rPr>
          <w:sz w:val="19"/>
        </w:rPr>
      </w:pPr>
    </w:p>
    <w:p w:rsidR="00A74668" w:rsidRDefault="00421CAF">
      <w:pPr>
        <w:pStyle w:val="Corpodetexto"/>
        <w:ind w:right="578"/>
      </w:pPr>
      <w:r>
        <w:t xml:space="preserve">Após a reunião de escopo, ficou estabelecido que o PCDT se </w:t>
      </w:r>
      <w:proofErr w:type="gramStart"/>
      <w:r>
        <w:t>destina</w:t>
      </w:r>
      <w:proofErr w:type="gramEnd"/>
      <w:r>
        <w:t xml:space="preserve"> a crianças e adultos com MPS II, do sexo masculino, e tem por objetivo revis</w:t>
      </w:r>
      <w:r>
        <w:t xml:space="preserve">ar práticas diagnósticas e terapêuticas e incorporar as recomendações referentes ao tratamento medicamentoso com a terapia de reposição enzimática com </w:t>
      </w:r>
      <w:proofErr w:type="spellStart"/>
      <w:r>
        <w:t>idursulfase</w:t>
      </w:r>
      <w:proofErr w:type="spellEnd"/>
      <w:r>
        <w:t xml:space="preserve"> alfa, e que o tratamento com o transplante de células-tronco hematopoiéticas (TCTH) não seria</w:t>
      </w:r>
      <w:r>
        <w:t xml:space="preserve"> abordado no PCDT. Porém, esta decisão foi </w:t>
      </w:r>
      <w:proofErr w:type="gramStart"/>
      <w:r>
        <w:t xml:space="preserve">alterada pelo Plenário da CONITEC, quando da apresentação da proposta do PCDT, ficando recomendada a ampliação do uso do transplante </w:t>
      </w:r>
      <w:proofErr w:type="spellStart"/>
      <w:r>
        <w:t>alogênico</w:t>
      </w:r>
      <w:proofErr w:type="spellEnd"/>
      <w:r>
        <w:t xml:space="preserve"> </w:t>
      </w:r>
      <w:proofErr w:type="spellStart"/>
      <w:r>
        <w:t>mieloablativo</w:t>
      </w:r>
      <w:proofErr w:type="spellEnd"/>
      <w:r>
        <w:t xml:space="preserve"> aparentado</w:t>
      </w:r>
      <w:proofErr w:type="gramEnd"/>
      <w:r>
        <w:t xml:space="preserve"> e não aparentado (de medula óssea, de sangue </w:t>
      </w:r>
      <w:r>
        <w:t>periférico ou de sangue de cordão umbilical) também para casos de MPS II (</w:t>
      </w:r>
      <w:r>
        <w:rPr>
          <w:b/>
        </w:rPr>
        <w:t>Apêndice 2</w:t>
      </w:r>
      <w:r>
        <w:t>).</w:t>
      </w:r>
    </w:p>
    <w:p w:rsidR="00A74668" w:rsidRDefault="00A74668">
      <w:pPr>
        <w:pStyle w:val="Corpodetexto"/>
        <w:spacing w:before="1"/>
        <w:ind w:left="0"/>
        <w:jc w:val="left"/>
      </w:pPr>
    </w:p>
    <w:p w:rsidR="00A74668" w:rsidRDefault="00421CAF">
      <w:pPr>
        <w:pStyle w:val="Corpodetexto"/>
        <w:ind w:right="588"/>
      </w:pPr>
      <w:r>
        <w:t xml:space="preserve">Para elaboração dos critérios diagnósticos, foram </w:t>
      </w:r>
      <w:proofErr w:type="gramStart"/>
      <w:r>
        <w:t>utilizados diretrizes internacionais elaborados por diferentes grupos de especialistas, que são utilizados como consen</w:t>
      </w:r>
      <w:r>
        <w:t>so nos diversos centros de referência</w:t>
      </w:r>
      <w:proofErr w:type="gramEnd"/>
      <w:r>
        <w:t>.</w:t>
      </w:r>
    </w:p>
    <w:p w:rsidR="00A74668" w:rsidRDefault="00421CAF">
      <w:pPr>
        <w:pStyle w:val="Corpodetexto"/>
        <w:spacing w:before="1"/>
        <w:ind w:right="576"/>
      </w:pPr>
      <w:r>
        <w:t xml:space="preserve">Para avaliação das situações especiais de gestação e aleitamento, a estratégia de busca e seu resultado encontram- se na </w:t>
      </w:r>
      <w:r>
        <w:rPr>
          <w:b/>
        </w:rPr>
        <w:t>Tabela A</w:t>
      </w:r>
      <w:r>
        <w:t xml:space="preserve">. A base de dados buscada foi </w:t>
      </w:r>
      <w:proofErr w:type="spellStart"/>
      <w:r>
        <w:rPr>
          <w:i/>
        </w:rPr>
        <w:t>Medline</w:t>
      </w:r>
      <w:proofErr w:type="spellEnd"/>
      <w:r>
        <w:rPr>
          <w:i/>
        </w:rPr>
        <w:t>/</w:t>
      </w:r>
      <w:proofErr w:type="spellStart"/>
      <w:proofErr w:type="gramStart"/>
      <w:r>
        <w:rPr>
          <w:i/>
        </w:rPr>
        <w:t>PubMed</w:t>
      </w:r>
      <w:proofErr w:type="spellEnd"/>
      <w:proofErr w:type="gramEnd"/>
      <w:r>
        <w:rPr>
          <w:i/>
        </w:rPr>
        <w:t xml:space="preserve"> </w:t>
      </w:r>
      <w:r>
        <w:t>e foram incluídos todos os artigos encontra</w:t>
      </w:r>
      <w:r>
        <w:t>dos referentes aos desfechos de interesse.</w:t>
      </w:r>
    </w:p>
    <w:p w:rsidR="00A74668" w:rsidRDefault="00A74668">
      <w:pPr>
        <w:pStyle w:val="Corpodetexto"/>
        <w:spacing w:before="11"/>
        <w:ind w:left="0"/>
        <w:jc w:val="left"/>
        <w:rPr>
          <w:sz w:val="19"/>
        </w:rPr>
      </w:pPr>
    </w:p>
    <w:p w:rsidR="00A74668" w:rsidRDefault="00421CAF">
      <w:pPr>
        <w:pStyle w:val="Corpodetexto"/>
        <w:spacing w:after="8"/>
        <w:ind w:right="586"/>
      </w:pPr>
      <w:r>
        <w:rPr>
          <w:b/>
        </w:rPr>
        <w:t xml:space="preserve">Tabela A - </w:t>
      </w:r>
      <w:r>
        <w:t>Estratégia de busca na literatura para situações especiais (gestação e aleitamento) durante a TRE em MPS II.</w:t>
      </w: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1517"/>
        <w:gridCol w:w="1245"/>
        <w:gridCol w:w="3891"/>
      </w:tblGrid>
      <w:tr w:rsidR="00A74668">
        <w:trPr>
          <w:trHeight w:val="457"/>
        </w:trPr>
        <w:tc>
          <w:tcPr>
            <w:tcW w:w="3061" w:type="dxa"/>
            <w:tcBorders>
              <w:left w:val="single" w:sz="6" w:space="0" w:color="000000"/>
            </w:tcBorders>
          </w:tcPr>
          <w:p w:rsidR="00A74668" w:rsidRDefault="00421CAF">
            <w:pPr>
              <w:pStyle w:val="TableParagraph"/>
              <w:spacing w:line="230" w:lineRule="exact"/>
              <w:ind w:left="108" w:right="1015"/>
              <w:rPr>
                <w:b/>
                <w:sz w:val="20"/>
              </w:rPr>
            </w:pPr>
            <w:r>
              <w:rPr>
                <w:b/>
                <w:sz w:val="20"/>
              </w:rPr>
              <w:t>Estratégia de Busca (10 de Setembro 2017)</w:t>
            </w:r>
          </w:p>
        </w:tc>
        <w:tc>
          <w:tcPr>
            <w:tcW w:w="1517" w:type="dxa"/>
          </w:tcPr>
          <w:p w:rsidR="00A74668" w:rsidRDefault="00421CAF">
            <w:pPr>
              <w:pStyle w:val="TableParagraph"/>
              <w:spacing w:line="228" w:lineRule="exact"/>
              <w:ind w:left="110"/>
              <w:rPr>
                <w:b/>
                <w:sz w:val="20"/>
              </w:rPr>
            </w:pPr>
            <w:r>
              <w:rPr>
                <w:b/>
                <w:sz w:val="20"/>
              </w:rPr>
              <w:t>Resultados</w:t>
            </w:r>
          </w:p>
        </w:tc>
        <w:tc>
          <w:tcPr>
            <w:tcW w:w="1245" w:type="dxa"/>
          </w:tcPr>
          <w:p w:rsidR="00A74668" w:rsidRDefault="00421CAF">
            <w:pPr>
              <w:pStyle w:val="TableParagraph"/>
              <w:spacing w:line="228" w:lineRule="exact"/>
              <w:rPr>
                <w:b/>
                <w:sz w:val="20"/>
              </w:rPr>
            </w:pPr>
            <w:r>
              <w:rPr>
                <w:b/>
                <w:sz w:val="20"/>
              </w:rPr>
              <w:t>Incluídos</w:t>
            </w:r>
          </w:p>
        </w:tc>
        <w:tc>
          <w:tcPr>
            <w:tcW w:w="3891" w:type="dxa"/>
          </w:tcPr>
          <w:p w:rsidR="00A74668" w:rsidRDefault="00421CAF">
            <w:pPr>
              <w:pStyle w:val="TableParagraph"/>
              <w:spacing w:line="228" w:lineRule="exact"/>
              <w:ind w:left="108"/>
              <w:rPr>
                <w:b/>
                <w:sz w:val="20"/>
              </w:rPr>
            </w:pPr>
            <w:r>
              <w:rPr>
                <w:b/>
                <w:sz w:val="20"/>
              </w:rPr>
              <w:t>Comentários</w:t>
            </w:r>
          </w:p>
        </w:tc>
      </w:tr>
      <w:tr w:rsidR="00A74668">
        <w:trPr>
          <w:trHeight w:val="699"/>
        </w:trPr>
        <w:tc>
          <w:tcPr>
            <w:tcW w:w="3061" w:type="dxa"/>
            <w:tcBorders>
              <w:left w:val="single" w:sz="6" w:space="0" w:color="000000"/>
            </w:tcBorders>
          </w:tcPr>
          <w:p w:rsidR="00A74668" w:rsidRPr="00421CAF" w:rsidRDefault="00421CAF">
            <w:pPr>
              <w:pStyle w:val="TableParagraph"/>
              <w:tabs>
                <w:tab w:val="left" w:pos="2266"/>
                <w:tab w:val="left" w:pos="2817"/>
              </w:tabs>
              <w:spacing w:line="240" w:lineRule="auto"/>
              <w:ind w:left="108" w:right="95"/>
              <w:rPr>
                <w:sz w:val="20"/>
                <w:lang w:val="en-US"/>
              </w:rPr>
            </w:pPr>
            <w:r w:rsidRPr="00421CAF">
              <w:rPr>
                <w:sz w:val="20"/>
                <w:lang w:val="en-US"/>
              </w:rPr>
              <w:t>“</w:t>
            </w:r>
            <w:proofErr w:type="spellStart"/>
            <w:r w:rsidRPr="00421CAF">
              <w:rPr>
                <w:sz w:val="20"/>
                <w:lang w:val="en-US"/>
              </w:rPr>
              <w:t>mucopolysaccharidosis</w:t>
            </w:r>
            <w:proofErr w:type="spellEnd"/>
            <w:r w:rsidRPr="00421CAF">
              <w:rPr>
                <w:sz w:val="20"/>
                <w:lang w:val="en-US"/>
              </w:rPr>
              <w:tab/>
              <w:t>type</w:t>
            </w:r>
            <w:r w:rsidRPr="00421CAF">
              <w:rPr>
                <w:sz w:val="20"/>
                <w:lang w:val="en-US"/>
              </w:rPr>
              <w:tab/>
              <w:t>II AND</w:t>
            </w:r>
            <w:r w:rsidRPr="00421CAF">
              <w:rPr>
                <w:spacing w:val="-1"/>
                <w:sz w:val="20"/>
                <w:lang w:val="en-US"/>
              </w:rPr>
              <w:t xml:space="preserve"> </w:t>
            </w:r>
            <w:r w:rsidRPr="00421CAF">
              <w:rPr>
                <w:sz w:val="20"/>
                <w:lang w:val="en-US"/>
              </w:rPr>
              <w:t>pregnancy”</w:t>
            </w:r>
          </w:p>
        </w:tc>
        <w:tc>
          <w:tcPr>
            <w:tcW w:w="1517" w:type="dxa"/>
          </w:tcPr>
          <w:p w:rsidR="00A74668" w:rsidRDefault="00421CAF">
            <w:pPr>
              <w:pStyle w:val="TableParagraph"/>
              <w:spacing w:line="221" w:lineRule="exact"/>
              <w:ind w:left="110"/>
              <w:rPr>
                <w:sz w:val="20"/>
              </w:rPr>
            </w:pPr>
            <w:r>
              <w:rPr>
                <w:sz w:val="20"/>
              </w:rPr>
              <w:t>60 artigos</w:t>
            </w:r>
          </w:p>
        </w:tc>
        <w:tc>
          <w:tcPr>
            <w:tcW w:w="1245" w:type="dxa"/>
          </w:tcPr>
          <w:p w:rsidR="00A74668" w:rsidRDefault="00421CAF">
            <w:pPr>
              <w:pStyle w:val="TableParagraph"/>
              <w:spacing w:line="221" w:lineRule="exact"/>
              <w:rPr>
                <w:sz w:val="20"/>
              </w:rPr>
            </w:pPr>
            <w:proofErr w:type="gramStart"/>
            <w:r>
              <w:rPr>
                <w:w w:val="99"/>
                <w:sz w:val="20"/>
              </w:rPr>
              <w:t>0</w:t>
            </w:r>
            <w:proofErr w:type="gramEnd"/>
          </w:p>
        </w:tc>
        <w:tc>
          <w:tcPr>
            <w:tcW w:w="3891" w:type="dxa"/>
          </w:tcPr>
          <w:p w:rsidR="00A74668" w:rsidRDefault="00421CAF">
            <w:pPr>
              <w:pStyle w:val="TableParagraph"/>
              <w:spacing w:line="240" w:lineRule="auto"/>
              <w:ind w:left="108" w:right="61"/>
              <w:rPr>
                <w:sz w:val="20"/>
              </w:rPr>
            </w:pPr>
            <w:r>
              <w:rPr>
                <w:sz w:val="20"/>
              </w:rPr>
              <w:t>Nenhum artigo relacionando TRE e gestação, a maioria versa sobre diagnóstico pré-natal.</w:t>
            </w:r>
          </w:p>
        </w:tc>
      </w:tr>
      <w:tr w:rsidR="00A74668">
        <w:trPr>
          <w:trHeight w:val="460"/>
        </w:trPr>
        <w:tc>
          <w:tcPr>
            <w:tcW w:w="3061" w:type="dxa"/>
            <w:tcBorders>
              <w:left w:val="single" w:sz="6" w:space="0" w:color="000000"/>
            </w:tcBorders>
          </w:tcPr>
          <w:p w:rsidR="00A74668" w:rsidRPr="00421CAF" w:rsidRDefault="00421CAF">
            <w:pPr>
              <w:pStyle w:val="TableParagraph"/>
              <w:tabs>
                <w:tab w:val="left" w:pos="2266"/>
                <w:tab w:val="left" w:pos="2817"/>
              </w:tabs>
              <w:ind w:left="108"/>
              <w:rPr>
                <w:sz w:val="20"/>
                <w:lang w:val="en-US"/>
              </w:rPr>
            </w:pPr>
            <w:r w:rsidRPr="00421CAF">
              <w:rPr>
                <w:sz w:val="20"/>
                <w:lang w:val="en-US"/>
              </w:rPr>
              <w:t>“</w:t>
            </w:r>
            <w:proofErr w:type="spellStart"/>
            <w:r w:rsidRPr="00421CAF">
              <w:rPr>
                <w:sz w:val="20"/>
                <w:lang w:val="en-US"/>
              </w:rPr>
              <w:t>mucopolysaccharidosis</w:t>
            </w:r>
            <w:proofErr w:type="spellEnd"/>
            <w:r w:rsidRPr="00421CAF">
              <w:rPr>
                <w:sz w:val="20"/>
                <w:lang w:val="en-US"/>
              </w:rPr>
              <w:tab/>
              <w:t>type</w:t>
            </w:r>
            <w:r w:rsidRPr="00421CAF">
              <w:rPr>
                <w:sz w:val="20"/>
                <w:lang w:val="en-US"/>
              </w:rPr>
              <w:tab/>
              <w:t>II</w:t>
            </w:r>
          </w:p>
          <w:p w:rsidR="00A74668" w:rsidRPr="00421CAF" w:rsidRDefault="00421CAF">
            <w:pPr>
              <w:pStyle w:val="TableParagraph"/>
              <w:spacing w:line="217" w:lineRule="exact"/>
              <w:ind w:left="108"/>
              <w:rPr>
                <w:sz w:val="20"/>
                <w:lang w:val="en-US"/>
              </w:rPr>
            </w:pPr>
            <w:r w:rsidRPr="00421CAF">
              <w:rPr>
                <w:sz w:val="20"/>
                <w:lang w:val="en-US"/>
              </w:rPr>
              <w:t>AND breastfeeding”</w:t>
            </w:r>
          </w:p>
        </w:tc>
        <w:tc>
          <w:tcPr>
            <w:tcW w:w="1517" w:type="dxa"/>
          </w:tcPr>
          <w:p w:rsidR="00A74668" w:rsidRDefault="00421CAF">
            <w:pPr>
              <w:pStyle w:val="TableParagraph"/>
              <w:ind w:left="110"/>
              <w:rPr>
                <w:sz w:val="20"/>
              </w:rPr>
            </w:pPr>
            <w:proofErr w:type="gramStart"/>
            <w:r>
              <w:rPr>
                <w:sz w:val="20"/>
              </w:rPr>
              <w:t>0</w:t>
            </w:r>
            <w:proofErr w:type="gramEnd"/>
            <w:r>
              <w:rPr>
                <w:sz w:val="20"/>
              </w:rPr>
              <w:t xml:space="preserve"> artigo</w:t>
            </w:r>
          </w:p>
        </w:tc>
        <w:tc>
          <w:tcPr>
            <w:tcW w:w="1245" w:type="dxa"/>
          </w:tcPr>
          <w:p w:rsidR="00A74668" w:rsidRDefault="00421CAF">
            <w:pPr>
              <w:pStyle w:val="TableParagraph"/>
              <w:rPr>
                <w:sz w:val="20"/>
              </w:rPr>
            </w:pPr>
            <w:proofErr w:type="gramStart"/>
            <w:r>
              <w:rPr>
                <w:w w:val="99"/>
                <w:sz w:val="20"/>
              </w:rPr>
              <w:t>0</w:t>
            </w:r>
            <w:proofErr w:type="gramEnd"/>
          </w:p>
        </w:tc>
        <w:tc>
          <w:tcPr>
            <w:tcW w:w="3891" w:type="dxa"/>
          </w:tcPr>
          <w:p w:rsidR="00A74668" w:rsidRDefault="00421CAF">
            <w:pPr>
              <w:pStyle w:val="TableParagraph"/>
              <w:ind w:left="108"/>
              <w:rPr>
                <w:sz w:val="20"/>
              </w:rPr>
            </w:pPr>
            <w:r>
              <w:rPr>
                <w:w w:val="99"/>
                <w:sz w:val="20"/>
              </w:rPr>
              <w:t>-</w:t>
            </w:r>
          </w:p>
        </w:tc>
      </w:tr>
    </w:tbl>
    <w:p w:rsidR="00A74668" w:rsidRDefault="00A74668">
      <w:pPr>
        <w:pStyle w:val="Corpodetexto"/>
        <w:spacing w:before="5"/>
        <w:ind w:left="0"/>
        <w:jc w:val="left"/>
        <w:rPr>
          <w:sz w:val="19"/>
        </w:rPr>
      </w:pPr>
    </w:p>
    <w:p w:rsidR="00A74668" w:rsidRDefault="00421CAF">
      <w:pPr>
        <w:pStyle w:val="Corpodetexto"/>
        <w:ind w:right="584"/>
      </w:pPr>
      <w:r>
        <w:t>Para a avaliação de interrupção de tratamento, foi utilizada a seguinte estratégia de busca: “</w:t>
      </w:r>
      <w:proofErr w:type="spellStart"/>
      <w:r>
        <w:t>mucopolysaccharidosistype</w:t>
      </w:r>
      <w:proofErr w:type="spellEnd"/>
      <w:r>
        <w:t xml:space="preserve"> II AND </w:t>
      </w:r>
      <w:proofErr w:type="spellStart"/>
      <w:r>
        <w:t>interruption</w:t>
      </w:r>
      <w:proofErr w:type="spellEnd"/>
      <w:r>
        <w:t xml:space="preserve">”, sendo apenas dois resultados encontrados: </w:t>
      </w:r>
      <w:proofErr w:type="spellStart"/>
      <w:r>
        <w:t>Safety</w:t>
      </w:r>
      <w:proofErr w:type="spellEnd"/>
      <w:r>
        <w:t xml:space="preserve"> </w:t>
      </w:r>
      <w:proofErr w:type="spellStart"/>
      <w:r>
        <w:t>and</w:t>
      </w:r>
      <w:proofErr w:type="spellEnd"/>
      <w:r>
        <w:t xml:space="preserve"> </w:t>
      </w:r>
      <w:proofErr w:type="spellStart"/>
      <w:r>
        <w:t>clinical</w:t>
      </w:r>
      <w:proofErr w:type="spellEnd"/>
      <w:r>
        <w:t xml:space="preserve"> </w:t>
      </w:r>
      <w:proofErr w:type="spellStart"/>
      <w:r>
        <w:t>activity</w:t>
      </w:r>
      <w:proofErr w:type="spellEnd"/>
      <w:r>
        <w:t xml:space="preserve"> </w:t>
      </w:r>
      <w:proofErr w:type="spellStart"/>
      <w:r>
        <w:t>of</w:t>
      </w:r>
      <w:proofErr w:type="spellEnd"/>
      <w:r>
        <w:t xml:space="preserve"> </w:t>
      </w:r>
      <w:proofErr w:type="spellStart"/>
      <w:r>
        <w:t>elosulfase</w:t>
      </w:r>
      <w:proofErr w:type="spellEnd"/>
      <w:r>
        <w:t xml:space="preserve"> alfa in </w:t>
      </w:r>
      <w:proofErr w:type="spellStart"/>
      <w:r>
        <w:t>pediatric</w:t>
      </w:r>
      <w:proofErr w:type="spellEnd"/>
      <w:r>
        <w:t xml:space="preserve"> </w:t>
      </w:r>
      <w:proofErr w:type="spellStart"/>
      <w:r>
        <w:t>patients</w:t>
      </w:r>
      <w:proofErr w:type="spellEnd"/>
      <w:r>
        <w:t xml:space="preserve"> </w:t>
      </w:r>
      <w:proofErr w:type="spellStart"/>
      <w:r>
        <w:t>wi</w:t>
      </w:r>
      <w:r>
        <w:t>th</w:t>
      </w:r>
      <w:proofErr w:type="spellEnd"/>
      <w:r>
        <w:t xml:space="preserve"> </w:t>
      </w:r>
      <w:proofErr w:type="spellStart"/>
      <w:r>
        <w:t>Morquio</w:t>
      </w:r>
      <w:proofErr w:type="spellEnd"/>
      <w:r>
        <w:t xml:space="preserve"> A </w:t>
      </w:r>
      <w:proofErr w:type="spellStart"/>
      <w:r>
        <w:t>syndrome</w:t>
      </w:r>
      <w:proofErr w:type="spellEnd"/>
      <w:r>
        <w:t xml:space="preserve"> (</w:t>
      </w:r>
      <w:proofErr w:type="spellStart"/>
      <w:r>
        <w:t>mucopolysaccharidosis</w:t>
      </w:r>
      <w:proofErr w:type="spellEnd"/>
      <w:r>
        <w:t xml:space="preserve"> IVA) </w:t>
      </w:r>
      <w:proofErr w:type="spellStart"/>
      <w:r>
        <w:t>less</w:t>
      </w:r>
      <w:proofErr w:type="spellEnd"/>
      <w:r>
        <w:t xml:space="preserve"> </w:t>
      </w:r>
      <w:proofErr w:type="spellStart"/>
      <w:r>
        <w:t>than</w:t>
      </w:r>
      <w:proofErr w:type="spellEnd"/>
      <w:r>
        <w:t xml:space="preserve"> </w:t>
      </w:r>
      <w:proofErr w:type="gramStart"/>
      <w:r>
        <w:t>5</w:t>
      </w:r>
      <w:proofErr w:type="gramEnd"/>
    </w:p>
    <w:p w:rsidR="00A74668" w:rsidRDefault="00421CAF">
      <w:pPr>
        <w:pStyle w:val="Corpodetexto"/>
        <w:ind w:right="575"/>
      </w:pPr>
      <w:proofErr w:type="gramStart"/>
      <w:r w:rsidRPr="00421CAF">
        <w:rPr>
          <w:lang w:val="en-US"/>
        </w:rPr>
        <w:t>y. Jones</w:t>
      </w:r>
      <w:proofErr w:type="gramEnd"/>
      <w:r w:rsidRPr="00421CAF">
        <w:rPr>
          <w:lang w:val="en-US"/>
        </w:rPr>
        <w:t xml:space="preserve"> SA, </w:t>
      </w:r>
      <w:proofErr w:type="spellStart"/>
      <w:r w:rsidRPr="00421CAF">
        <w:rPr>
          <w:lang w:val="en-US"/>
        </w:rPr>
        <w:t>Bialer</w:t>
      </w:r>
      <w:proofErr w:type="spellEnd"/>
      <w:r w:rsidRPr="00421CAF">
        <w:rPr>
          <w:lang w:val="en-US"/>
        </w:rPr>
        <w:t xml:space="preserve"> M, </w:t>
      </w:r>
      <w:proofErr w:type="spellStart"/>
      <w:r w:rsidRPr="00421CAF">
        <w:rPr>
          <w:lang w:val="en-US"/>
        </w:rPr>
        <w:t>Parini</w:t>
      </w:r>
      <w:proofErr w:type="spellEnd"/>
      <w:r w:rsidRPr="00421CAF">
        <w:rPr>
          <w:lang w:val="en-US"/>
        </w:rPr>
        <w:t xml:space="preserve"> R, Martin K, Wang H, Yang K, </w:t>
      </w:r>
      <w:proofErr w:type="spellStart"/>
      <w:r w:rsidRPr="00421CAF">
        <w:rPr>
          <w:lang w:val="en-US"/>
        </w:rPr>
        <w:t>Shaywitz</w:t>
      </w:r>
      <w:proofErr w:type="spellEnd"/>
      <w:r w:rsidRPr="00421CAF">
        <w:rPr>
          <w:lang w:val="en-US"/>
        </w:rPr>
        <w:t xml:space="preserve"> AJ, </w:t>
      </w:r>
      <w:proofErr w:type="spellStart"/>
      <w:r w:rsidRPr="00421CAF">
        <w:rPr>
          <w:lang w:val="en-US"/>
        </w:rPr>
        <w:t>Harmatz</w:t>
      </w:r>
      <w:proofErr w:type="spellEnd"/>
      <w:r w:rsidRPr="00421CAF">
        <w:rPr>
          <w:lang w:val="en-US"/>
        </w:rPr>
        <w:t xml:space="preserve"> P. </w:t>
      </w:r>
      <w:proofErr w:type="spellStart"/>
      <w:r w:rsidRPr="00421CAF">
        <w:rPr>
          <w:lang w:val="en-US"/>
        </w:rPr>
        <w:t>Pediatr</w:t>
      </w:r>
      <w:proofErr w:type="spellEnd"/>
      <w:r w:rsidRPr="00421CAF">
        <w:rPr>
          <w:lang w:val="en-US"/>
        </w:rPr>
        <w:t xml:space="preserve"> Res. 2015 Dec;78(6):717-22.EIncidence and timing of infusion-related reactions in patients with </w:t>
      </w:r>
      <w:proofErr w:type="spellStart"/>
      <w:r w:rsidRPr="00421CAF">
        <w:rPr>
          <w:lang w:val="en-US"/>
        </w:rPr>
        <w:t>mucopol</w:t>
      </w:r>
      <w:r w:rsidRPr="00421CAF">
        <w:rPr>
          <w:lang w:val="en-US"/>
        </w:rPr>
        <w:t>ysaccharidosis</w:t>
      </w:r>
      <w:proofErr w:type="spellEnd"/>
      <w:r w:rsidRPr="00421CAF">
        <w:rPr>
          <w:lang w:val="en-US"/>
        </w:rPr>
        <w:t xml:space="preserve"> type II (Hunter syndrome) on </w:t>
      </w:r>
      <w:proofErr w:type="spellStart"/>
      <w:r w:rsidRPr="00421CAF">
        <w:rPr>
          <w:lang w:val="en-US"/>
        </w:rPr>
        <w:t>idursulfase</w:t>
      </w:r>
      <w:proofErr w:type="spellEnd"/>
      <w:r w:rsidRPr="00421CAF">
        <w:rPr>
          <w:lang w:val="en-US"/>
        </w:rPr>
        <w:t xml:space="preserve"> therapy in the real-world setting: a perspective from the Hunter Outcome Survey (HOS). </w:t>
      </w:r>
      <w:proofErr w:type="gramStart"/>
      <w:r w:rsidRPr="00421CAF">
        <w:rPr>
          <w:lang w:val="en-US"/>
        </w:rPr>
        <w:t>Burton BK, Whiteman DA; HOS Investigators.</w:t>
      </w:r>
      <w:proofErr w:type="gramEnd"/>
      <w:r w:rsidRPr="00421CAF">
        <w:rPr>
          <w:lang w:val="en-US"/>
        </w:rPr>
        <w:t xml:space="preserve"> </w:t>
      </w:r>
      <w:proofErr w:type="spellStart"/>
      <w:proofErr w:type="gramStart"/>
      <w:r w:rsidRPr="00421CAF">
        <w:rPr>
          <w:lang w:val="en-US"/>
        </w:rPr>
        <w:t>Mol</w:t>
      </w:r>
      <w:proofErr w:type="spellEnd"/>
      <w:r w:rsidRPr="00421CAF">
        <w:rPr>
          <w:lang w:val="en-US"/>
        </w:rPr>
        <w:t xml:space="preserve"> Genet </w:t>
      </w:r>
      <w:proofErr w:type="spellStart"/>
      <w:r w:rsidRPr="00421CAF">
        <w:rPr>
          <w:lang w:val="en-US"/>
        </w:rPr>
        <w:t>Metab</w:t>
      </w:r>
      <w:proofErr w:type="spellEnd"/>
      <w:r w:rsidRPr="00421CAF">
        <w:rPr>
          <w:lang w:val="en-US"/>
        </w:rPr>
        <w:t>.</w:t>
      </w:r>
      <w:proofErr w:type="gramEnd"/>
      <w:r w:rsidRPr="00421CAF">
        <w:rPr>
          <w:lang w:val="en-US"/>
        </w:rPr>
        <w:t xml:space="preserve"> 2011 Jun; 103(2):113-20. </w:t>
      </w:r>
      <w:r>
        <w:t xml:space="preserve">A base de dados buscada foi </w:t>
      </w:r>
      <w:proofErr w:type="spellStart"/>
      <w:r>
        <w:t>Medline</w:t>
      </w:r>
      <w:proofErr w:type="spellEnd"/>
      <w:r>
        <w:t>/</w:t>
      </w:r>
      <w:proofErr w:type="spellStart"/>
      <w:proofErr w:type="gramStart"/>
      <w:r>
        <w:t>PubMed</w:t>
      </w:r>
      <w:proofErr w:type="spellEnd"/>
      <w:proofErr w:type="gramEnd"/>
      <w:r>
        <w:t xml:space="preserve"> e as duas referências encontradas não responderam à pergunta definida na reunião de escopo, sendo utilizados os </w:t>
      </w:r>
      <w:proofErr w:type="spellStart"/>
      <w:r>
        <w:t>guidelines</w:t>
      </w:r>
      <w:proofErr w:type="spellEnd"/>
      <w:r>
        <w:t xml:space="preserve"> internacionais acima citados para responder à questão.</w:t>
      </w:r>
    </w:p>
    <w:p w:rsidR="00A74668" w:rsidRDefault="00421CAF">
      <w:pPr>
        <w:pStyle w:val="Corpodetexto"/>
        <w:ind w:right="580"/>
      </w:pPr>
      <w:r>
        <w:t xml:space="preserve">Para a elaboração dos demais itens do PCDT foram utilizadas as </w:t>
      </w:r>
      <w:r>
        <w:t xml:space="preserve">buscas, resultados recomendações e referências constantes no Relatório de Recomendação </w:t>
      </w:r>
      <w:proofErr w:type="gramStart"/>
      <w:r>
        <w:t>N</w:t>
      </w:r>
      <w:r>
        <w:rPr>
          <w:vertAlign w:val="superscript"/>
        </w:rPr>
        <w:t>o</w:t>
      </w:r>
      <w:r>
        <w:t xml:space="preserve"> 311</w:t>
      </w:r>
      <w:proofErr w:type="gramEnd"/>
      <w:r>
        <w:t xml:space="preserve"> – Dezembro de 2017 da CONITEC, sobre a </w:t>
      </w:r>
      <w:proofErr w:type="spellStart"/>
      <w:r>
        <w:t>idursulfase</w:t>
      </w:r>
      <w:proofErr w:type="spellEnd"/>
      <w:r>
        <w:t xml:space="preserve"> alfa como terapia de reposição enzimática no tratamento da MPS II disponível em</w:t>
      </w:r>
      <w:hyperlink r:id="rId342">
        <w:r>
          <w:rPr>
            <w:color w:val="0462C1"/>
            <w:u w:val="single" w:color="0462C1"/>
          </w:rPr>
          <w:t>http://conitec.gov.br/images/Relatorios/2017/Relat%C3%B3rio_idursulfase_MPSII_CP.pdf</w:t>
        </w:r>
        <w:r>
          <w:t>,</w:t>
        </w:r>
      </w:hyperlink>
      <w:r>
        <w:t xml:space="preserve"> e no Relatório de</w:t>
      </w:r>
    </w:p>
    <w:p w:rsidR="00A74668" w:rsidRDefault="00A74668">
      <w:pPr>
        <w:sectPr w:rsidR="00A74668">
          <w:pgSz w:w="11910" w:h="16840"/>
          <w:pgMar w:top="1040" w:right="980" w:bottom="440" w:left="900" w:header="0" w:footer="254" w:gutter="0"/>
          <w:cols w:space="720"/>
        </w:sectPr>
      </w:pPr>
    </w:p>
    <w:p w:rsidR="00A74668" w:rsidRDefault="00421CAF">
      <w:pPr>
        <w:pStyle w:val="Corpodetexto"/>
        <w:tabs>
          <w:tab w:val="left" w:pos="1137"/>
          <w:tab w:val="left" w:pos="3269"/>
          <w:tab w:val="left" w:pos="4029"/>
          <w:tab w:val="left" w:pos="4897"/>
          <w:tab w:val="left" w:pos="5588"/>
          <w:tab w:val="left" w:pos="6336"/>
          <w:tab w:val="left" w:pos="7809"/>
          <w:tab w:val="left" w:pos="9198"/>
        </w:tabs>
        <w:spacing w:before="92"/>
        <w:ind w:right="579"/>
      </w:pPr>
      <w:r>
        <w:lastRenderedPageBreak/>
        <w:t xml:space="preserve">Recomendação </w:t>
      </w:r>
      <w:proofErr w:type="gramStart"/>
      <w:r>
        <w:t>N</w:t>
      </w:r>
      <w:r>
        <w:rPr>
          <w:vertAlign w:val="superscript"/>
        </w:rPr>
        <w:t>o</w:t>
      </w:r>
      <w:r>
        <w:t xml:space="preserve"> 300</w:t>
      </w:r>
      <w:proofErr w:type="gramEnd"/>
      <w:r>
        <w:t xml:space="preserve"> – </w:t>
      </w:r>
      <w:proofErr w:type="spellStart"/>
      <w:r>
        <w:t>Janeiroro</w:t>
      </w:r>
      <w:proofErr w:type="spellEnd"/>
      <w:r>
        <w:t xml:space="preserve"> de 2018 da CONITEC, sobre o tr</w:t>
      </w:r>
      <w:r>
        <w:t xml:space="preserve">ansplante de células-tronco </w:t>
      </w:r>
      <w:proofErr w:type="spellStart"/>
      <w:r>
        <w:t>hematopoéticas</w:t>
      </w:r>
      <w:proofErr w:type="spellEnd"/>
      <w:r>
        <w:t xml:space="preserve"> para</w:t>
      </w:r>
      <w:r>
        <w:tab/>
      </w:r>
      <w:proofErr w:type="spellStart"/>
      <w:r>
        <w:t>mucopolissacaridos</w:t>
      </w:r>
      <w:proofErr w:type="spellEnd"/>
      <w:r>
        <w:tab/>
        <w:t>do</w:t>
      </w:r>
      <w:r>
        <w:tab/>
        <w:t>tipo</w:t>
      </w:r>
      <w:r>
        <w:tab/>
        <w:t>II</w:t>
      </w:r>
      <w:r>
        <w:tab/>
        <w:t>da</w:t>
      </w:r>
      <w:r>
        <w:tab/>
        <w:t>CONITEC,</w:t>
      </w:r>
      <w:r>
        <w:tab/>
        <w:t>disponível</w:t>
      </w:r>
      <w:r>
        <w:tab/>
        <w:t xml:space="preserve">em </w:t>
      </w:r>
      <w:hyperlink r:id="rId343">
        <w:r>
          <w:rPr>
            <w:color w:val="0462C1"/>
            <w:u w:val="single" w:color="0462C1"/>
          </w:rPr>
          <w:t>http://conitec.gov.br/images</w:t>
        </w:r>
        <w:r>
          <w:rPr>
            <w:color w:val="0462C1"/>
            <w:u w:val="single" w:color="0462C1"/>
          </w:rPr>
          <w:t>/Relatorios/2018/Relatorio_Transplante_CelulasTroncoHematopoeticas_MPSII.pdf</w:t>
        </w:r>
        <w:r>
          <w:t>.</w:t>
        </w:r>
      </w:hyperlink>
    </w:p>
    <w:p w:rsidR="00A74668" w:rsidRDefault="00A74668">
      <w:pPr>
        <w:sectPr w:rsidR="00A74668">
          <w:pgSz w:w="11910" w:h="16840"/>
          <w:pgMar w:top="1020" w:right="980" w:bottom="440" w:left="900" w:header="0" w:footer="254" w:gutter="0"/>
          <w:cols w:space="720"/>
        </w:sectPr>
      </w:pPr>
    </w:p>
    <w:p w:rsidR="00A74668" w:rsidRDefault="00421CAF">
      <w:pPr>
        <w:pStyle w:val="Ttulo1"/>
        <w:spacing w:before="77" w:line="240" w:lineRule="auto"/>
        <w:ind w:left="233" w:firstLine="0"/>
        <w:jc w:val="both"/>
      </w:pPr>
      <w:r>
        <w:lastRenderedPageBreak/>
        <w:t xml:space="preserve">APÊNDICE </w:t>
      </w:r>
      <w:proofErr w:type="gramStart"/>
      <w:r>
        <w:t>2</w:t>
      </w:r>
      <w:proofErr w:type="gramEnd"/>
    </w:p>
    <w:p w:rsidR="00A74668" w:rsidRDefault="00A74668">
      <w:pPr>
        <w:pStyle w:val="Corpodetexto"/>
        <w:spacing w:before="8"/>
        <w:ind w:left="0"/>
        <w:jc w:val="left"/>
        <w:rPr>
          <w:b/>
          <w:sz w:val="19"/>
        </w:rPr>
      </w:pPr>
    </w:p>
    <w:p w:rsidR="00A74668" w:rsidRDefault="00421CAF">
      <w:pPr>
        <w:pStyle w:val="Corpodetexto"/>
      </w:pPr>
      <w:r>
        <w:t>TRANSPLANTE DE CÉLULAS-TRONCO HEMATOPOIÉTICAS ALOGÊNICO</w:t>
      </w:r>
    </w:p>
    <w:p w:rsidR="00A74668" w:rsidRDefault="00421CAF">
      <w:pPr>
        <w:pStyle w:val="Corpodetexto"/>
      </w:pPr>
      <w:r>
        <w:t>MIELOABLATIVO APARENTADO E NÃO APARENTADO NA MUCOPOLISSACARIDOSE DO TIPO II</w:t>
      </w:r>
    </w:p>
    <w:p w:rsidR="00A74668" w:rsidRDefault="00A74668">
      <w:pPr>
        <w:pStyle w:val="Corpodetexto"/>
        <w:ind w:left="0"/>
        <w:jc w:val="left"/>
        <w:rPr>
          <w:sz w:val="22"/>
        </w:rPr>
      </w:pPr>
    </w:p>
    <w:p w:rsidR="00A74668" w:rsidRDefault="00A74668">
      <w:pPr>
        <w:pStyle w:val="Corpodetexto"/>
        <w:spacing w:before="4"/>
        <w:ind w:left="0"/>
        <w:jc w:val="left"/>
        <w:rPr>
          <w:sz w:val="18"/>
        </w:rPr>
      </w:pPr>
    </w:p>
    <w:p w:rsidR="00A74668" w:rsidRDefault="00421CAF">
      <w:pPr>
        <w:pStyle w:val="Ttulo1"/>
        <w:numPr>
          <w:ilvl w:val="0"/>
          <w:numId w:val="2"/>
        </w:numPr>
        <w:tabs>
          <w:tab w:val="left" w:pos="941"/>
          <w:tab w:val="left" w:pos="942"/>
        </w:tabs>
        <w:jc w:val="both"/>
      </w:pPr>
      <w:r>
        <w:t>Introdução</w:t>
      </w:r>
    </w:p>
    <w:p w:rsidR="00A74668" w:rsidRDefault="00421CAF">
      <w:pPr>
        <w:pStyle w:val="Corpodetexto"/>
        <w:ind w:right="582"/>
      </w:pPr>
      <w:r>
        <w:t xml:space="preserve">A </w:t>
      </w:r>
      <w:proofErr w:type="spellStart"/>
      <w:r>
        <w:t>mucopolissacaridose</w:t>
      </w:r>
      <w:proofErr w:type="spellEnd"/>
      <w:r>
        <w:t xml:space="preserve"> tipo II (MPS II), ou síndrome de Hunter, é uma doença </w:t>
      </w:r>
      <w:proofErr w:type="spellStart"/>
      <w:r>
        <w:t>multissistêmica</w:t>
      </w:r>
      <w:proofErr w:type="spellEnd"/>
      <w:r>
        <w:t xml:space="preserve">, cujas manifestações clínicas são heterogêneas e progressivas </w:t>
      </w:r>
      <w:hyperlink r:id="rId344">
        <w:r>
          <w:t xml:space="preserve">[1]. </w:t>
        </w:r>
      </w:hyperlink>
      <w:r>
        <w:t xml:space="preserve">Além disso, os pacientes podem apresentar </w:t>
      </w:r>
      <w:r>
        <w:t xml:space="preserve">regressão neurológica, sendo então classificados em indivíduos com doença grave ou atenuada, com amplo espectro fenotípico entre esses extremos </w:t>
      </w:r>
      <w:hyperlink r:id="rId345">
        <w:r>
          <w:t>[2</w:t>
        </w:r>
        <w:proofErr w:type="gramStart"/>
        <w:r>
          <w:t>].</w:t>
        </w:r>
        <w:proofErr w:type="gramEnd"/>
      </w:hyperlink>
      <w:r>
        <w:t xml:space="preserve"> Não existe tratamento curativo para a MPS II. O cuid</w:t>
      </w:r>
      <w:r>
        <w:t xml:space="preserve">ado dos pacientes envolve equipe multidisciplinar e inclui intervenções realizadas para amenizar o fenótipo ou específicas como o transplante de células-tronco hematopoiéticas (TCTH) </w:t>
      </w:r>
      <w:proofErr w:type="spellStart"/>
      <w:r>
        <w:t>alogênicomieloablativo</w:t>
      </w:r>
      <w:proofErr w:type="spellEnd"/>
      <w:r>
        <w:t xml:space="preserve"> aparentado e não aparentado ou a terapia de reposi</w:t>
      </w:r>
      <w:r>
        <w:t>ção enzimática (TRE) intravenosa semanalmente</w:t>
      </w:r>
      <w:r>
        <w:rPr>
          <w:spacing w:val="5"/>
        </w:rPr>
        <w:t xml:space="preserve"> </w:t>
      </w:r>
      <w:hyperlink r:id="rId346">
        <w:r>
          <w:t>[3,4</w:t>
        </w:r>
        <w:proofErr w:type="gramStart"/>
        <w:r>
          <w:t>].</w:t>
        </w:r>
        <w:proofErr w:type="gramEnd"/>
      </w:hyperlink>
    </w:p>
    <w:p w:rsidR="00A74668" w:rsidRDefault="00421CAF">
      <w:pPr>
        <w:pStyle w:val="Corpodetexto"/>
        <w:ind w:right="584"/>
        <w:rPr>
          <w:i/>
        </w:rPr>
      </w:pPr>
      <w:r>
        <w:t xml:space="preserve">O TCTH </w:t>
      </w:r>
      <w:proofErr w:type="spellStart"/>
      <w:r>
        <w:t>alogênicomieloablativo</w:t>
      </w:r>
      <w:proofErr w:type="spellEnd"/>
      <w:r>
        <w:t xml:space="preserve"> aparentado e não aparentado utilizando sangue do cordão umbilical ou medula óssea pode ser uma alternativa te</w:t>
      </w:r>
      <w:r>
        <w:t xml:space="preserve">rapêutica com potencial de fornecer a atividade enzimática necessária para reduzir ou parar a progressão da doença </w:t>
      </w:r>
      <w:hyperlink r:id="rId347">
        <w:r>
          <w:t xml:space="preserve">[5], </w:t>
        </w:r>
        <w:proofErr w:type="gramStart"/>
      </w:hyperlink>
      <w:r>
        <w:t>entretanto</w:t>
      </w:r>
      <w:proofErr w:type="gramEnd"/>
      <w:r>
        <w:t xml:space="preserve"> o uso do TCTH ainda é controverso, tanto pelos altos riscos de </w:t>
      </w:r>
      <w:proofErr w:type="spellStart"/>
      <w:r>
        <w:t>morbi-m</w:t>
      </w:r>
      <w:r>
        <w:t>ortalidade</w:t>
      </w:r>
      <w:proofErr w:type="spellEnd"/>
      <w:r>
        <w:t xml:space="preserve"> - como a imunossupressão antes e depois do procedimento, quanto pela escassez de evidência na literatura. Alguns autores inclusive sugerem que poderia existir um viés de publicação, com relatos apenas dos casos com desfechos negativos e com pouc</w:t>
      </w:r>
      <w:r>
        <w:t xml:space="preserve">os relatos de indivíduos que foram submetidos ao procedimento nas primeiras semanas/meses de vida </w:t>
      </w:r>
      <w:hyperlink r:id="rId348">
        <w:r>
          <w:t xml:space="preserve">[6]. </w:t>
        </w:r>
      </w:hyperlink>
      <w:r>
        <w:t>Em relação ao TCHT aparentado, o doador não deve ser portador de mutações patogênicas no gene</w:t>
      </w:r>
      <w:r>
        <w:rPr>
          <w:spacing w:val="2"/>
        </w:rPr>
        <w:t xml:space="preserve"> </w:t>
      </w:r>
      <w:r>
        <w:rPr>
          <w:i/>
        </w:rPr>
        <w:t>IDS.</w:t>
      </w:r>
    </w:p>
    <w:p w:rsidR="00A74668" w:rsidRDefault="00A74668">
      <w:pPr>
        <w:pStyle w:val="Corpodetexto"/>
        <w:spacing w:before="3"/>
        <w:ind w:left="0"/>
        <w:jc w:val="left"/>
        <w:rPr>
          <w:i/>
        </w:rPr>
      </w:pPr>
    </w:p>
    <w:p w:rsidR="00A74668" w:rsidRDefault="00421CAF">
      <w:pPr>
        <w:pStyle w:val="Ttulo1"/>
        <w:ind w:left="233" w:firstLine="0"/>
        <w:jc w:val="both"/>
      </w:pPr>
      <w:r>
        <w:t>Metodologia e estudos selecionados</w:t>
      </w:r>
    </w:p>
    <w:p w:rsidR="00A74668" w:rsidRDefault="00421CAF">
      <w:pPr>
        <w:pStyle w:val="Corpodetexto"/>
        <w:tabs>
          <w:tab w:val="left" w:pos="3963"/>
          <w:tab w:val="left" w:pos="5064"/>
          <w:tab w:val="left" w:pos="7703"/>
          <w:tab w:val="left" w:pos="9163"/>
        </w:tabs>
        <w:ind w:right="577"/>
      </w:pPr>
      <w:r>
        <w:t xml:space="preserve">A busca de evidências foi realizada no </w:t>
      </w:r>
      <w:proofErr w:type="spellStart"/>
      <w:r>
        <w:rPr>
          <w:i/>
        </w:rPr>
        <w:t>Pubmed</w:t>
      </w:r>
      <w:proofErr w:type="spellEnd"/>
      <w:r>
        <w:rPr>
          <w:i/>
        </w:rPr>
        <w:t xml:space="preserve"> </w:t>
      </w:r>
      <w:r>
        <w:t>utilizando a seguinte estratégia: "</w:t>
      </w:r>
      <w:proofErr w:type="spellStart"/>
      <w:proofErr w:type="gramStart"/>
      <w:r>
        <w:t>BoneMarrowTransplantation</w:t>
      </w:r>
      <w:proofErr w:type="spellEnd"/>
      <w:proofErr w:type="gramEnd"/>
      <w:r>
        <w:t>"[</w:t>
      </w:r>
      <w:proofErr w:type="spellStart"/>
      <w:r>
        <w:t>Mesh</w:t>
      </w:r>
      <w:proofErr w:type="spellEnd"/>
      <w:r>
        <w:t>]</w:t>
      </w:r>
      <w:r>
        <w:tab/>
        <w:t>AND</w:t>
      </w:r>
      <w:r>
        <w:tab/>
        <w:t>"</w:t>
      </w:r>
      <w:proofErr w:type="spellStart"/>
      <w:r>
        <w:t>Mucopolysaccharidosis</w:t>
      </w:r>
      <w:proofErr w:type="spellEnd"/>
      <w:r>
        <w:tab/>
        <w:t>II"[</w:t>
      </w:r>
      <w:proofErr w:type="spellStart"/>
      <w:r>
        <w:t>Mesh</w:t>
      </w:r>
      <w:proofErr w:type="spellEnd"/>
      <w:r>
        <w:t>]</w:t>
      </w:r>
      <w:r>
        <w:tab/>
        <w:t>OR ("</w:t>
      </w:r>
      <w:proofErr w:type="spellStart"/>
      <w:r>
        <w:t>StemCellTransplantation</w:t>
      </w:r>
      <w:proofErr w:type="spellEnd"/>
      <w:r>
        <w:t>"[</w:t>
      </w:r>
      <w:proofErr w:type="spellStart"/>
      <w:r>
        <w:t>Mesh</w:t>
      </w:r>
      <w:proofErr w:type="spellEnd"/>
      <w:r>
        <w:t>]) AND "</w:t>
      </w:r>
      <w:proofErr w:type="spellStart"/>
      <w:r>
        <w:t>Mucopolysaccharidosis</w:t>
      </w:r>
      <w:proofErr w:type="spellEnd"/>
      <w:r>
        <w:t xml:space="preserve"> II"[</w:t>
      </w:r>
      <w:proofErr w:type="spellStart"/>
      <w:r>
        <w:t>Mesh</w:t>
      </w:r>
      <w:proofErr w:type="spellEnd"/>
      <w:r>
        <w:t xml:space="preserve">], limitado para estudos em humanos. O resultado foram 36 artigos, dos quais nenhum ensaio clínico ou estudo controlado. Foram identificados apenas três estudos prospectivos </w:t>
      </w:r>
      <w:hyperlink r:id="rId349">
        <w:r>
          <w:t>[</w:t>
        </w:r>
        <w:proofErr w:type="gramStart"/>
        <w:r>
          <w:t>5</w:t>
        </w:r>
        <w:proofErr w:type="gramEnd"/>
        <w:r>
          <w:t xml:space="preserve">,7,8], </w:t>
        </w:r>
      </w:hyperlink>
      <w:r>
        <w:t xml:space="preserve">entre os quais apenas um com desfechos relevantes </w:t>
      </w:r>
      <w:hyperlink r:id="rId350">
        <w:r>
          <w:t xml:space="preserve">[5]. </w:t>
        </w:r>
      </w:hyperlink>
      <w:r>
        <w:t xml:space="preserve">Deste modo, avaliaram- se todos os estudos retrospectivos com n&gt;5 pacientes </w:t>
      </w:r>
      <w:hyperlink r:id="rId351">
        <w:r>
          <w:t xml:space="preserve">[9–13], </w:t>
        </w:r>
      </w:hyperlink>
      <w:r>
        <w:t xml:space="preserve">o único relato de caso brasileiro encontrado </w:t>
      </w:r>
      <w:hyperlink r:id="rId352">
        <w:r>
          <w:t xml:space="preserve">[14], </w:t>
        </w:r>
      </w:hyperlink>
      <w:r>
        <w:t>um estudo recente avaliando a implementação de um protocolo i</w:t>
      </w:r>
      <w:r>
        <w:t xml:space="preserve">nternacional para TCTH </w:t>
      </w:r>
      <w:proofErr w:type="spellStart"/>
      <w:r>
        <w:t>alogênicomieloablativo</w:t>
      </w:r>
      <w:proofErr w:type="spellEnd"/>
      <w:r>
        <w:t xml:space="preserve"> em pacientes com </w:t>
      </w:r>
      <w:proofErr w:type="spellStart"/>
      <w:r>
        <w:t>mucopolissacaridose</w:t>
      </w:r>
      <w:proofErr w:type="spellEnd"/>
      <w:r>
        <w:fldChar w:fldCharType="begin"/>
      </w:r>
      <w:r>
        <w:instrText xml:space="preserve"> HYPERLINK "https://paperpile.com/c/XSSg8U/lOyP" \h </w:instrText>
      </w:r>
      <w:r>
        <w:fldChar w:fldCharType="separate"/>
      </w:r>
      <w:r>
        <w:t xml:space="preserve">[15] </w:t>
      </w:r>
      <w:r>
        <w:fldChar w:fldCharType="end"/>
      </w:r>
      <w:r>
        <w:t xml:space="preserve">e a única revisão sistemática encontrada que inclui resultados sobre TCTH </w:t>
      </w:r>
      <w:proofErr w:type="spellStart"/>
      <w:r>
        <w:t>alogênicomieloablativo</w:t>
      </w:r>
      <w:proofErr w:type="spellEnd"/>
      <w:r>
        <w:fldChar w:fldCharType="begin"/>
      </w:r>
      <w:r>
        <w:instrText xml:space="preserve"> HYPERLINK "http</w:instrText>
      </w:r>
      <w:r>
        <w:instrText xml:space="preserve">s://paperpile.com/c/XSSg8U/xR7K" \h </w:instrText>
      </w:r>
      <w:r>
        <w:fldChar w:fldCharType="separate"/>
      </w:r>
      <w:r>
        <w:t>[16]</w:t>
      </w:r>
      <w:proofErr w:type="gramStart"/>
      <w:r>
        <w:fldChar w:fldCharType="end"/>
      </w:r>
      <w:proofErr w:type="gramEnd"/>
    </w:p>
    <w:p w:rsidR="00A74668" w:rsidRDefault="00A74668">
      <w:pPr>
        <w:pStyle w:val="Corpodetexto"/>
        <w:spacing w:before="4"/>
        <w:ind w:left="0"/>
        <w:jc w:val="left"/>
      </w:pPr>
    </w:p>
    <w:p w:rsidR="00A74668" w:rsidRDefault="00421CAF">
      <w:pPr>
        <w:pStyle w:val="Ttulo1"/>
        <w:numPr>
          <w:ilvl w:val="0"/>
          <w:numId w:val="2"/>
        </w:numPr>
        <w:tabs>
          <w:tab w:val="left" w:pos="941"/>
          <w:tab w:val="left" w:pos="942"/>
        </w:tabs>
        <w:spacing w:before="1" w:line="227" w:lineRule="exact"/>
        <w:jc w:val="both"/>
      </w:pPr>
      <w:r>
        <w:t>Resultados (sumário dos mais relevantes)</w:t>
      </w:r>
    </w:p>
    <w:p w:rsidR="00A74668" w:rsidRDefault="00421CAF">
      <w:pPr>
        <w:pStyle w:val="Corpodetexto"/>
        <w:ind w:right="576"/>
      </w:pPr>
      <w:r>
        <w:rPr>
          <w:b/>
        </w:rPr>
        <w:t xml:space="preserve">Pacientes: </w:t>
      </w:r>
      <w:r>
        <w:t xml:space="preserve">Os pacientes avaliados receberam transplante com idades variando entre 70 dias de vida </w:t>
      </w:r>
      <w:hyperlink r:id="rId353">
        <w:r>
          <w:t xml:space="preserve">[14] </w:t>
        </w:r>
      </w:hyperlink>
      <w:r>
        <w:t xml:space="preserve">e 16 anos de idade </w:t>
      </w:r>
      <w:hyperlink r:id="rId354">
        <w:r>
          <w:t xml:space="preserve">[5] </w:t>
        </w:r>
      </w:hyperlink>
      <w:r>
        <w:t xml:space="preserve">e foram seguidos por períodos igualmente variáveis, mas em geral superior a </w:t>
      </w:r>
      <w:proofErr w:type="gramStart"/>
      <w:r>
        <w:t>5</w:t>
      </w:r>
      <w:proofErr w:type="gramEnd"/>
      <w:r>
        <w:t xml:space="preserve"> anos  </w:t>
      </w:r>
      <w:hyperlink r:id="rId355">
        <w:r>
          <w:t>[5,7–12,14],</w:t>
        </w:r>
      </w:hyperlink>
      <w:r>
        <w:t xml:space="preserve">  com exceção de um estudo, cuja mediana foi de 14 meses </w:t>
      </w:r>
      <w:hyperlink r:id="rId356">
        <w:r>
          <w:t xml:space="preserve">[13]. </w:t>
        </w:r>
      </w:hyperlink>
      <w:proofErr w:type="gramStart"/>
      <w:r>
        <w:t>Além disso</w:t>
      </w:r>
      <w:proofErr w:type="gramEnd"/>
      <w:r>
        <w:t xml:space="preserve"> o comprometimento neurológico foi heterogêneo antes do TCTH, variando de pacientes assintomáticos a outro</w:t>
      </w:r>
      <w:r>
        <w:t>s apresentando regressão</w:t>
      </w:r>
      <w:r>
        <w:rPr>
          <w:spacing w:val="-20"/>
        </w:rPr>
        <w:t xml:space="preserve"> </w:t>
      </w:r>
      <w:r>
        <w:t>neurológica.</w:t>
      </w:r>
    </w:p>
    <w:p w:rsidR="00A74668" w:rsidRDefault="00421CAF">
      <w:pPr>
        <w:pStyle w:val="Corpodetexto"/>
        <w:ind w:right="577"/>
      </w:pPr>
      <w:r>
        <w:rPr>
          <w:b/>
        </w:rPr>
        <w:t xml:space="preserve">Mortalidade e doença do enxerto </w:t>
      </w:r>
      <w:r>
        <w:rPr>
          <w:b/>
          <w:i/>
        </w:rPr>
        <w:t xml:space="preserve">versus </w:t>
      </w:r>
      <w:r>
        <w:rPr>
          <w:b/>
        </w:rPr>
        <w:t xml:space="preserve">hospedeiro: </w:t>
      </w:r>
      <w:r>
        <w:t>Um estudo prospectivo acompanhou n=8 pacientes por 7 a 17 anos, apenas um paciente faleceu nesse período, por causas não relacionadas ao transplante e apenas um pacien</w:t>
      </w:r>
      <w:r>
        <w:t xml:space="preserve">te apresentou reação crônica pulmonar do enxerto versus hospedeiro </w:t>
      </w:r>
      <w:hyperlink r:id="rId357">
        <w:r>
          <w:t>[5]</w:t>
        </w:r>
        <w:r>
          <w:rPr>
            <w:b/>
          </w:rPr>
          <w:t xml:space="preserve">. </w:t>
        </w:r>
      </w:hyperlink>
      <w:r>
        <w:t>Entre os estudos retrospectivos,</w:t>
      </w:r>
      <w:proofErr w:type="gramStart"/>
      <w:r>
        <w:t xml:space="preserve">  </w:t>
      </w:r>
      <w:proofErr w:type="gramEnd"/>
      <w:r>
        <w:t>um estudo publicado em 1999 relatou que, sete anos após transplante de medula óssea, apenas n=3</w:t>
      </w:r>
      <w:r>
        <w:t>/10 pacientes estavam vivos, fato ocasionado provavelmente pela seleção inadequada de doadores</w:t>
      </w:r>
      <w:hyperlink r:id="rId358">
        <w:r>
          <w:t xml:space="preserve">[10]. </w:t>
        </w:r>
      </w:hyperlink>
      <w:r>
        <w:t xml:space="preserve">Estudos mais recentes apresentam resultados encorajadores, com taxa de sobrevida global em </w:t>
      </w:r>
      <w:proofErr w:type="gramStart"/>
      <w:r>
        <w:t>3</w:t>
      </w:r>
      <w:proofErr w:type="gramEnd"/>
      <w:r>
        <w:t xml:space="preserve"> anos de </w:t>
      </w:r>
      <w:r>
        <w:t xml:space="preserve">100% (n=12) </w:t>
      </w:r>
      <w:hyperlink r:id="rId359">
        <w:r>
          <w:t>[13],</w:t>
        </w:r>
      </w:hyperlink>
      <w:r>
        <w:t xml:space="preserve"> 88,5% em 5 anos(n=21) </w:t>
      </w:r>
      <w:hyperlink r:id="rId360">
        <w:r>
          <w:t xml:space="preserve">[9], </w:t>
        </w:r>
      </w:hyperlink>
      <w:r>
        <w:t>ou relatos de que 18% dos pacientes faleceram por causas relacionadas ao transplante (n=9/51) e doenç</w:t>
      </w:r>
      <w:r>
        <w:t xml:space="preserve">a do enxerto versus hospedeiros em 16% de todos pacientes avaliados (n=8/51) </w:t>
      </w:r>
      <w:hyperlink r:id="rId361">
        <w:r>
          <w:t xml:space="preserve">[12]. </w:t>
        </w:r>
      </w:hyperlink>
      <w:r>
        <w:t xml:space="preserve">O caso brasileiro é de um menino transplantado aos 70 dias de vida, vivo </w:t>
      </w:r>
      <w:proofErr w:type="gramStart"/>
      <w:r>
        <w:t>7</w:t>
      </w:r>
      <w:proofErr w:type="gramEnd"/>
      <w:r>
        <w:t xml:space="preserve"> anos após o transplante </w:t>
      </w:r>
      <w:hyperlink r:id="rId362">
        <w:r>
          <w:t xml:space="preserve">[14]. </w:t>
        </w:r>
      </w:hyperlink>
      <w:r>
        <w:t>Vale relatar outro estudo que avaliou o TCTH em casos de MPS (n=62 pacientes, MPS II n=2), cuja sobrevida global foi excelente (95,2%) e a vida livre de eventos (90,3%) com baixa toxicidade: 13,3% e 14,8% de doença</w:t>
      </w:r>
      <w:r>
        <w:t xml:space="preserve"> do enxerto versus hospedeiro</w:t>
      </w:r>
      <w:proofErr w:type="gramStart"/>
      <w:r>
        <w:t xml:space="preserve">  </w:t>
      </w:r>
      <w:proofErr w:type="gramEnd"/>
      <w:r>
        <w:t>aguda e crônica, respectivamente</w:t>
      </w:r>
      <w:r>
        <w:rPr>
          <w:spacing w:val="3"/>
        </w:rPr>
        <w:t xml:space="preserve"> </w:t>
      </w:r>
      <w:hyperlink r:id="rId363">
        <w:r>
          <w:t>[15].</w:t>
        </w:r>
      </w:hyperlink>
    </w:p>
    <w:p w:rsidR="00A74668" w:rsidRDefault="00421CAF">
      <w:pPr>
        <w:pStyle w:val="Corpodetexto"/>
        <w:ind w:right="578"/>
        <w:rPr>
          <w:b/>
        </w:rPr>
      </w:pPr>
      <w:r>
        <w:rPr>
          <w:b/>
        </w:rPr>
        <w:t xml:space="preserve">Neurológico: </w:t>
      </w:r>
      <w:r>
        <w:t>o desfecho neuropsicológico foi heterogêneo no único estudo prospectivo avaliando tal desfecho, provavelmente devido à</w:t>
      </w:r>
      <w:r>
        <w:t xml:space="preserve"> heterogeneidade clínica dos pacientes </w:t>
      </w:r>
      <w:hyperlink r:id="rId364">
        <w:r>
          <w:t xml:space="preserve">[5]. </w:t>
        </w:r>
      </w:hyperlink>
      <w:r>
        <w:t xml:space="preserve">Em estudos retrospectivos, houve estabilização da atrofia cerebral </w:t>
      </w:r>
      <w:hyperlink r:id="rId365">
        <w:r>
          <w:t>[</w:t>
        </w:r>
        <w:proofErr w:type="gramStart"/>
        <w:r>
          <w:t>9</w:t>
        </w:r>
        <w:proofErr w:type="gramEnd"/>
        <w:r>
          <w:t>,10,12]</w:t>
        </w:r>
      </w:hyperlink>
      <w:r>
        <w:t xml:space="preserve"> e alguma me</w:t>
      </w:r>
      <w:r>
        <w:t xml:space="preserve">lhora das habilidades motoras e da fala </w:t>
      </w:r>
      <w:hyperlink r:id="rId366">
        <w:r>
          <w:t>[13].</w:t>
        </w:r>
      </w:hyperlink>
      <w:r>
        <w:t xml:space="preserve"> O paciente brasileiro demonstrou melhora motora, cognitiva e na linguagem, apesar do QI baixo (47, teste WISC-IV), desenvolvimento superior e positivo se c</w:t>
      </w:r>
      <w:r>
        <w:t xml:space="preserve">omparado ao tio e irmão mais velhos </w:t>
      </w:r>
      <w:hyperlink r:id="rId367">
        <w:r>
          <w:t>[14]</w:t>
        </w:r>
        <w:r>
          <w:rPr>
            <w:b/>
          </w:rPr>
          <w:t>.</w:t>
        </w:r>
      </w:hyperlink>
    </w:p>
    <w:p w:rsidR="00A74668" w:rsidRDefault="00421CAF">
      <w:pPr>
        <w:pStyle w:val="Corpodetexto"/>
        <w:ind w:right="587"/>
      </w:pPr>
      <w:r>
        <w:rPr>
          <w:b/>
        </w:rPr>
        <w:t xml:space="preserve">Cardiovascular: </w:t>
      </w:r>
      <w:r>
        <w:t xml:space="preserve">As anormalidades cardiovasculares se estabilizaram em todos os pacientes num estudo prospectivo (n=8) </w:t>
      </w:r>
      <w:hyperlink r:id="rId368">
        <w:r>
          <w:t>[5]</w:t>
        </w:r>
      </w:hyperlink>
      <w:r>
        <w:t xml:space="preserve"> e a regurgitação valvular diminuiu em n=20/63 valvas de 10 pacientes, num estudo retrospectivo </w:t>
      </w:r>
      <w:hyperlink r:id="rId369">
        <w:r>
          <w:t xml:space="preserve">[9], </w:t>
        </w:r>
        <w:proofErr w:type="gramStart"/>
      </w:hyperlink>
      <w:r>
        <w:t>mas</w:t>
      </w:r>
      <w:proofErr w:type="gramEnd"/>
      <w:r>
        <w:t xml:space="preserve"> foi inconclusiva em outro (n=12) </w:t>
      </w:r>
      <w:hyperlink r:id="rId370">
        <w:r>
          <w:t>[13].</w:t>
        </w:r>
      </w:hyperlink>
    </w:p>
    <w:p w:rsidR="00A74668" w:rsidRDefault="00421CAF">
      <w:pPr>
        <w:pStyle w:val="Corpodetexto"/>
        <w:ind w:right="577"/>
      </w:pPr>
      <w:r>
        <w:rPr>
          <w:b/>
        </w:rPr>
        <w:t xml:space="preserve">Funcionalidade: </w:t>
      </w:r>
      <w:r>
        <w:t xml:space="preserve">houve melhora das contraturas articulares nos pacientes submetidos ao TCTH </w:t>
      </w:r>
      <w:hyperlink r:id="rId371">
        <w:r>
          <w:t>[</w:t>
        </w:r>
        <w:proofErr w:type="gramStart"/>
        <w:r>
          <w:t>5</w:t>
        </w:r>
        <w:proofErr w:type="gramEnd"/>
        <w:r>
          <w:t>,12,13],</w:t>
        </w:r>
      </w:hyperlink>
      <w:r>
        <w:t xml:space="preserve"> As atividades de vida diária nã</w:t>
      </w:r>
      <w:r>
        <w:t xml:space="preserve">o se modificaram significantemente em um estudo retrospectivo </w:t>
      </w:r>
      <w:hyperlink r:id="rId372">
        <w:r>
          <w:t xml:space="preserve">[9], </w:t>
        </w:r>
      </w:hyperlink>
      <w:r>
        <w:t>enquanto outro</w:t>
      </w:r>
    </w:p>
    <w:p w:rsidR="00A74668" w:rsidRDefault="00A74668">
      <w:pPr>
        <w:sectPr w:rsidR="00A74668">
          <w:pgSz w:w="11910" w:h="16840"/>
          <w:pgMar w:top="1040" w:right="980" w:bottom="440" w:left="900" w:header="0" w:footer="254" w:gutter="0"/>
          <w:cols w:space="720"/>
        </w:sectPr>
      </w:pPr>
    </w:p>
    <w:p w:rsidR="00A74668" w:rsidRDefault="00421CAF">
      <w:pPr>
        <w:pStyle w:val="Corpodetexto"/>
        <w:spacing w:before="72"/>
        <w:ind w:right="589"/>
      </w:pPr>
      <w:proofErr w:type="gramStart"/>
      <w:r>
        <w:lastRenderedPageBreak/>
        <w:t>relatou</w:t>
      </w:r>
      <w:proofErr w:type="gramEnd"/>
      <w:r>
        <w:t xml:space="preserve"> melhora na doença somática e movimento quando comparados os pacientes em TRE com aqueles subm</w:t>
      </w:r>
      <w:r>
        <w:t xml:space="preserve">etidos ao TCTH </w:t>
      </w:r>
      <w:hyperlink r:id="rId373">
        <w:r>
          <w:t>[12].</w:t>
        </w:r>
      </w:hyperlink>
    </w:p>
    <w:p w:rsidR="00A74668" w:rsidRDefault="00421CAF">
      <w:pPr>
        <w:pStyle w:val="Corpodetexto"/>
        <w:spacing w:before="1"/>
        <w:ind w:right="590"/>
      </w:pPr>
      <w:r>
        <w:rPr>
          <w:b/>
        </w:rPr>
        <w:t xml:space="preserve">Bioquímica: </w:t>
      </w:r>
      <w:r>
        <w:t xml:space="preserve">Houve normalização da atividade da enzima </w:t>
      </w:r>
      <w:proofErr w:type="spellStart"/>
      <w:r>
        <w:t>idursulfase</w:t>
      </w:r>
      <w:proofErr w:type="spellEnd"/>
      <w:r>
        <w:t xml:space="preserve"> e redução de GAG urinários nos estudos que avaliaram esses desfechos </w:t>
      </w:r>
      <w:hyperlink r:id="rId374">
        <w:r>
          <w:t>[</w:t>
        </w:r>
        <w:proofErr w:type="gramStart"/>
        <w:r>
          <w:t>5,</w:t>
        </w:r>
        <w:proofErr w:type="gramEnd"/>
        <w:r>
          <w:t>9,10,12,13].</w:t>
        </w:r>
      </w:hyperlink>
    </w:p>
    <w:p w:rsidR="00A74668" w:rsidRDefault="00421CAF">
      <w:pPr>
        <w:pStyle w:val="Corpodetexto"/>
        <w:spacing w:before="1"/>
        <w:ind w:right="578"/>
      </w:pPr>
      <w:r>
        <w:rPr>
          <w:b/>
        </w:rPr>
        <w:t xml:space="preserve">Outros desfechos: </w:t>
      </w:r>
      <w:r>
        <w:t xml:space="preserve">houve resolução da </w:t>
      </w:r>
      <w:proofErr w:type="spellStart"/>
      <w:r>
        <w:t>hepatoesplenomegalia</w:t>
      </w:r>
      <w:proofErr w:type="spellEnd"/>
      <w:r>
        <w:t xml:space="preserve"> em todos os pacientes avaliados, melhora da obstrução de vias aéreas superiores, resolução progressiva da face infiltrada, na deficiência </w:t>
      </w:r>
      <w:proofErr w:type="gramStart"/>
      <w:r>
        <w:t>auditi</w:t>
      </w:r>
      <w:r>
        <w:t>va sensório</w:t>
      </w:r>
      <w:proofErr w:type="gramEnd"/>
      <w:r>
        <w:t xml:space="preserve">- neural e estabilidade na deficiência auditiva condutiva, nos indivíduos avaliados por uma coorte prospectiva </w:t>
      </w:r>
      <w:hyperlink r:id="rId375">
        <w:r>
          <w:t>[5].</w:t>
        </w:r>
      </w:hyperlink>
    </w:p>
    <w:p w:rsidR="00A74668" w:rsidRDefault="00421CAF">
      <w:pPr>
        <w:pStyle w:val="Corpodetexto"/>
        <w:ind w:right="584"/>
      </w:pPr>
      <w:r>
        <w:rPr>
          <w:b/>
        </w:rPr>
        <w:t xml:space="preserve">TRE </w:t>
      </w:r>
      <w:r>
        <w:rPr>
          <w:b/>
          <w:i/>
        </w:rPr>
        <w:t xml:space="preserve">versus </w:t>
      </w:r>
      <w:r>
        <w:rPr>
          <w:b/>
        </w:rPr>
        <w:t xml:space="preserve">TCTH: </w:t>
      </w:r>
      <w:r>
        <w:t xml:space="preserve">Não há estudos controlados comparando diretamente </w:t>
      </w:r>
      <w:proofErr w:type="gramStart"/>
      <w:r>
        <w:t>ambas</w:t>
      </w:r>
      <w:proofErr w:type="gramEnd"/>
      <w:r>
        <w:t xml:space="preserve"> i</w:t>
      </w:r>
      <w:r>
        <w:t xml:space="preserve">ntervenções. Os efeitos do TCTH são comparáveis aos da TRE quanto à eficácia na doença visceral e parecem ser superiores para desfechos neurológicos, do desenvolvimento </w:t>
      </w:r>
      <w:hyperlink r:id="rId376">
        <w:r>
          <w:t>[</w:t>
        </w:r>
        <w:proofErr w:type="gramStart"/>
        <w:r>
          <w:t>9</w:t>
        </w:r>
        <w:proofErr w:type="gramEnd"/>
        <w:r>
          <w:t xml:space="preserve">,10,13] </w:t>
        </w:r>
      </w:hyperlink>
      <w:r>
        <w:t>e em ati</w:t>
      </w:r>
      <w:r>
        <w:t xml:space="preserve">vidades da vida diária </w:t>
      </w:r>
      <w:hyperlink r:id="rId377">
        <w:r>
          <w:t>[12].</w:t>
        </w:r>
      </w:hyperlink>
    </w:p>
    <w:p w:rsidR="00A74668" w:rsidRDefault="00421CAF">
      <w:pPr>
        <w:pStyle w:val="Corpodetexto"/>
        <w:ind w:right="579"/>
      </w:pPr>
      <w:r>
        <w:rPr>
          <w:b/>
        </w:rPr>
        <w:t xml:space="preserve">TCTH precoce </w:t>
      </w:r>
      <w:r>
        <w:rPr>
          <w:b/>
          <w:i/>
        </w:rPr>
        <w:t xml:space="preserve">versus </w:t>
      </w:r>
      <w:r>
        <w:rPr>
          <w:b/>
        </w:rPr>
        <w:t xml:space="preserve">tardio: </w:t>
      </w:r>
      <w:r>
        <w:t xml:space="preserve">Os pacientes transplantados com &lt;5 anos de idade, tiveram melhor desempenho em testes que avaliaram as atividades de vida diária </w:t>
      </w:r>
      <w:hyperlink r:id="rId378">
        <w:r>
          <w:t xml:space="preserve">[11], </w:t>
        </w:r>
      </w:hyperlink>
      <w:r>
        <w:t xml:space="preserve">estabilidade da doença valvar cardíaca </w:t>
      </w:r>
      <w:hyperlink r:id="rId379">
        <w:r>
          <w:t xml:space="preserve">[9,11] </w:t>
        </w:r>
      </w:hyperlink>
      <w:r>
        <w:t xml:space="preserve">e menor incidência da doença do enxerto contra o hospedeiro aguda ou crônica </w:t>
      </w:r>
      <w:hyperlink r:id="rId380">
        <w:r>
          <w:t xml:space="preserve">[15]. </w:t>
        </w:r>
      </w:hyperlink>
      <w:r>
        <w:t>Assim, parece quando o transplante é realizado em idade precoce, os resultados específicos para a MPS II podem ser melhores, com menos complicações relacionadas ao TCTH. Na literatura, não</w:t>
      </w:r>
      <w:proofErr w:type="gramStart"/>
      <w:r>
        <w:t xml:space="preserve">  </w:t>
      </w:r>
      <w:proofErr w:type="gramEnd"/>
      <w:r>
        <w:t>é claro o que seria idade prec</w:t>
      </w:r>
      <w:r>
        <w:t xml:space="preserve">oce para transplante em  MPS II, mas é consenso que o TCTH é o tratamento de primeira linha para os pacientes com MPS I do tipo </w:t>
      </w:r>
      <w:proofErr w:type="spellStart"/>
      <w:r>
        <w:t>Hurler</w:t>
      </w:r>
      <w:proofErr w:type="spellEnd"/>
      <w:r>
        <w:t xml:space="preserve"> antes dos 2,5 anos e sem comprometimento neurológico grave</w:t>
      </w:r>
      <w:r>
        <w:rPr>
          <w:spacing w:val="1"/>
        </w:rPr>
        <w:t xml:space="preserve"> </w:t>
      </w:r>
      <w:hyperlink r:id="rId381">
        <w:r>
          <w:t>[17].</w:t>
        </w:r>
      </w:hyperlink>
    </w:p>
    <w:p w:rsidR="00A74668" w:rsidRDefault="00A74668">
      <w:pPr>
        <w:pStyle w:val="Corpodetexto"/>
        <w:ind w:left="0"/>
        <w:jc w:val="left"/>
        <w:rPr>
          <w:sz w:val="22"/>
        </w:rPr>
      </w:pPr>
    </w:p>
    <w:p w:rsidR="00A74668" w:rsidRDefault="00A74668">
      <w:pPr>
        <w:pStyle w:val="Corpodetexto"/>
        <w:spacing w:before="5"/>
        <w:ind w:left="0"/>
        <w:jc w:val="left"/>
        <w:rPr>
          <w:sz w:val="18"/>
        </w:rPr>
      </w:pPr>
    </w:p>
    <w:p w:rsidR="00A74668" w:rsidRDefault="00421CAF">
      <w:pPr>
        <w:pStyle w:val="Ttulo1"/>
        <w:numPr>
          <w:ilvl w:val="0"/>
          <w:numId w:val="2"/>
        </w:numPr>
        <w:tabs>
          <w:tab w:val="left" w:pos="941"/>
          <w:tab w:val="left" w:pos="942"/>
        </w:tabs>
        <w:jc w:val="both"/>
      </w:pPr>
      <w:r>
        <w:t>Discussão e Conclusão</w:t>
      </w:r>
    </w:p>
    <w:p w:rsidR="00A74668" w:rsidRDefault="00421CAF">
      <w:pPr>
        <w:pStyle w:val="Corpodetexto"/>
        <w:ind w:right="578"/>
      </w:pPr>
      <w:r>
        <w:t>Os estudos publicados sobre TCTH na MPSII podem estar ultrapassados, já que muitos protocolos para transplante se modificaram positiva e significativamente ao longo dos últimos anos. Além disso, referem-se a coortes heterogêneas, de pacientes com diferente</w:t>
      </w:r>
      <w:r>
        <w:t>s doenças metabólicas ou relatos de casos isolados e também revelam a falta de critérios de seleção dos pacientes, uma vez que muitos já apresentavam idade avançada no momento do transplante, ou apresentavam fenótipos variáveis quanto ao comprometimento ne</w:t>
      </w:r>
      <w:r>
        <w:t>urológico. Do mesmo modo, os parâmetros de acompanhamento e os desfechos de interesse pós-TCTH igualmente heterogêneos, dificultando comparações entre os diferentes estudos e conclusões mais sólidas, ou ainda por outros vieses menos claros, tal como a poss</w:t>
      </w:r>
      <w:r>
        <w:t xml:space="preserve">ibilidade de existência de vieses de publicação </w:t>
      </w:r>
      <w:hyperlink r:id="rId382">
        <w:r>
          <w:t>[6</w:t>
        </w:r>
        <w:proofErr w:type="gramStart"/>
        <w:r>
          <w:t>].</w:t>
        </w:r>
        <w:proofErr w:type="gramEnd"/>
      </w:hyperlink>
    </w:p>
    <w:p w:rsidR="00A74668" w:rsidRDefault="00421CAF">
      <w:pPr>
        <w:pStyle w:val="Corpodetexto"/>
        <w:ind w:right="577"/>
      </w:pPr>
      <w:r>
        <w:t xml:space="preserve">Apesar de todas as limitações supracitadas, os resultados parecem muito promissores. A </w:t>
      </w:r>
      <w:proofErr w:type="spellStart"/>
      <w:r>
        <w:t>morbi-mortalidade</w:t>
      </w:r>
      <w:proofErr w:type="spellEnd"/>
      <w:r>
        <w:t xml:space="preserve"> relacionada ao TCTH vem reduzindo-se progre</w:t>
      </w:r>
      <w:r>
        <w:t>ssivamente com o advento de novos</w:t>
      </w:r>
      <w:proofErr w:type="gramStart"/>
      <w:r>
        <w:t xml:space="preserve">  </w:t>
      </w:r>
      <w:proofErr w:type="gramEnd"/>
      <w:r>
        <w:t xml:space="preserve">protocolos, imunossupressores, melhor seleção dos pacientes candidatos e doadores </w:t>
      </w:r>
      <w:hyperlink r:id="rId383">
        <w:r>
          <w:t xml:space="preserve">[15], </w:t>
        </w:r>
      </w:hyperlink>
      <w:r>
        <w:t xml:space="preserve">inclusive com relato de sucesso em paciente brasileiro </w:t>
      </w:r>
      <w:hyperlink r:id="rId384">
        <w:r>
          <w:t>[14].</w:t>
        </w:r>
      </w:hyperlink>
      <w:r>
        <w:t xml:space="preserve"> Como se deve trabalhar sempre com a melhor evidência disponível, incluem-se nesta  Nota Técnica todos os estudos relevantes na literatura e estes demonstraram que pode haver benefício em desfechos somáticos e neurológi</w:t>
      </w:r>
      <w:r>
        <w:t xml:space="preserve">cos. </w:t>
      </w:r>
      <w:proofErr w:type="gramStart"/>
      <w:r>
        <w:t>Além disso</w:t>
      </w:r>
      <w:proofErr w:type="gramEnd"/>
      <w:r>
        <w:t xml:space="preserve"> é válido salientar que a TRE intravenosa não atravessa a barreira </w:t>
      </w:r>
      <w:proofErr w:type="spellStart"/>
      <w:r>
        <w:t>hematoencefálica</w:t>
      </w:r>
      <w:proofErr w:type="spellEnd"/>
      <w:r>
        <w:t>, deve ser realizada semanalmente, durante 3 a 4 horas por infusão e continuar por toda a vida, fato que pode contribuir para considerar a TCTH como alternati</w:t>
      </w:r>
      <w:r>
        <w:t>va</w:t>
      </w:r>
      <w:r>
        <w:rPr>
          <w:spacing w:val="-3"/>
        </w:rPr>
        <w:t xml:space="preserve"> </w:t>
      </w:r>
      <w:r>
        <w:t>terapêutica.</w:t>
      </w:r>
    </w:p>
    <w:p w:rsidR="00A74668" w:rsidRDefault="00421CAF">
      <w:pPr>
        <w:pStyle w:val="Corpodetexto"/>
        <w:ind w:right="576"/>
      </w:pPr>
      <w:r>
        <w:t xml:space="preserve">Deste modo, o TCTH </w:t>
      </w:r>
      <w:proofErr w:type="spellStart"/>
      <w:r>
        <w:t>alogênicomieloablativo</w:t>
      </w:r>
      <w:proofErr w:type="spellEnd"/>
      <w:r>
        <w:t xml:space="preserve"> </w:t>
      </w:r>
      <w:proofErr w:type="spellStart"/>
      <w:r>
        <w:t>aparentadoe</w:t>
      </w:r>
      <w:proofErr w:type="spellEnd"/>
      <w:r>
        <w:t xml:space="preserve"> não aparentado parece ter um risco de </w:t>
      </w:r>
      <w:proofErr w:type="spellStart"/>
      <w:r>
        <w:t>morbi</w:t>
      </w:r>
      <w:proofErr w:type="spellEnd"/>
      <w:r>
        <w:t>- mortalidade progressivamente menor ao passar dos anos e alguns efeitos positivos na MPSII, especialmente nos pacientes jovens</w:t>
      </w:r>
      <w:r>
        <w:rPr>
          <w:color w:val="FF0000"/>
        </w:rPr>
        <w:t xml:space="preserve">. </w:t>
      </w:r>
      <w:r>
        <w:t>Com isso, pare</w:t>
      </w:r>
      <w:r>
        <w:t xml:space="preserve">ce ser apropriado que se reconsidere o TCTH como tratamento para a forma </w:t>
      </w:r>
      <w:proofErr w:type="spellStart"/>
      <w:r>
        <w:t>neuronopática</w:t>
      </w:r>
      <w:proofErr w:type="spellEnd"/>
      <w:r>
        <w:t xml:space="preserve"> da MPS II, uma vez que ele é o único tratamento atualmente disponível potencialmente capaz de proporcionar benefícios em termos neurológicos quando critérios rígidos de </w:t>
      </w:r>
      <w:r>
        <w:t xml:space="preserve">seleção são </w:t>
      </w:r>
      <w:proofErr w:type="spellStart"/>
      <w:proofErr w:type="gramStart"/>
      <w:r>
        <w:t>respeitados.</w:t>
      </w:r>
      <w:proofErr w:type="gramEnd"/>
      <w:r>
        <w:t>Assim</w:t>
      </w:r>
      <w:proofErr w:type="spellEnd"/>
      <w:r>
        <w:t xml:space="preserve">, o TCTH </w:t>
      </w:r>
      <w:proofErr w:type="spellStart"/>
      <w:r>
        <w:t>alogênico</w:t>
      </w:r>
      <w:proofErr w:type="spellEnd"/>
      <w:r>
        <w:t xml:space="preserve"> pode ser indicado em idade precoce, preferencialmente até 3 anos de idade.</w:t>
      </w:r>
    </w:p>
    <w:p w:rsidR="00A74668" w:rsidRDefault="00A74668">
      <w:pPr>
        <w:pStyle w:val="Corpodetexto"/>
        <w:spacing w:before="3"/>
        <w:ind w:left="0"/>
        <w:jc w:val="left"/>
      </w:pPr>
    </w:p>
    <w:p w:rsidR="00A74668" w:rsidRDefault="00421CAF">
      <w:pPr>
        <w:pStyle w:val="Ttulo1"/>
        <w:numPr>
          <w:ilvl w:val="0"/>
          <w:numId w:val="2"/>
        </w:numPr>
        <w:tabs>
          <w:tab w:val="left" w:pos="941"/>
          <w:tab w:val="left" w:pos="942"/>
        </w:tabs>
        <w:jc w:val="both"/>
      </w:pPr>
      <w:r>
        <w:t>Referências</w:t>
      </w:r>
    </w:p>
    <w:p w:rsidR="00A74668" w:rsidRDefault="00421CAF">
      <w:pPr>
        <w:pStyle w:val="PargrafodaLista"/>
        <w:numPr>
          <w:ilvl w:val="0"/>
          <w:numId w:val="1"/>
        </w:numPr>
        <w:tabs>
          <w:tab w:val="left" w:pos="941"/>
          <w:tab w:val="left" w:pos="942"/>
        </w:tabs>
        <w:ind w:right="588" w:firstLine="0"/>
        <w:jc w:val="both"/>
        <w:rPr>
          <w:sz w:val="20"/>
        </w:rPr>
      </w:pPr>
      <w:hyperlink r:id="rId385">
        <w:r w:rsidRPr="00421CAF">
          <w:rPr>
            <w:sz w:val="20"/>
            <w:lang w:val="en-US"/>
          </w:rPr>
          <w:t xml:space="preserve">Neufeld EF MJ. The </w:t>
        </w:r>
        <w:proofErr w:type="spellStart"/>
        <w:r w:rsidRPr="00421CAF">
          <w:rPr>
            <w:sz w:val="20"/>
            <w:lang w:val="en-US"/>
          </w:rPr>
          <w:t>Mucopolysaccharidoses</w:t>
        </w:r>
        <w:proofErr w:type="spellEnd"/>
        <w:r w:rsidRPr="00421CAF">
          <w:rPr>
            <w:sz w:val="20"/>
            <w:lang w:val="en-US"/>
          </w:rPr>
          <w:t xml:space="preserve">. In: </w:t>
        </w:r>
        <w:proofErr w:type="spellStart"/>
        <w:r w:rsidRPr="00421CAF">
          <w:rPr>
            <w:sz w:val="20"/>
            <w:lang w:val="en-US"/>
          </w:rPr>
          <w:t>Scriver</w:t>
        </w:r>
        <w:proofErr w:type="spellEnd"/>
        <w:r w:rsidRPr="00421CAF">
          <w:rPr>
            <w:sz w:val="20"/>
            <w:lang w:val="en-US"/>
          </w:rPr>
          <w:t xml:space="preserve"> CR, editor. The Metabolic &amp; Molecular Bases</w:t>
        </w:r>
      </w:hyperlink>
      <w:hyperlink r:id="rId386">
        <w:r w:rsidRPr="00421CAF">
          <w:rPr>
            <w:sz w:val="20"/>
            <w:lang w:val="en-US"/>
          </w:rPr>
          <w:t xml:space="preserve"> of Inherited Disease. </w:t>
        </w:r>
        <w:r>
          <w:rPr>
            <w:sz w:val="20"/>
          </w:rPr>
          <w:t xml:space="preserve">New </w:t>
        </w:r>
        <w:proofErr w:type="gramStart"/>
        <w:r>
          <w:rPr>
            <w:sz w:val="20"/>
          </w:rPr>
          <w:t>York ;</w:t>
        </w:r>
        <w:proofErr w:type="gramEnd"/>
        <w:r>
          <w:rPr>
            <w:sz w:val="20"/>
          </w:rPr>
          <w:t xml:space="preserve"> Montreal : McGraw-Hill;</w:t>
        </w:r>
        <w:r>
          <w:rPr>
            <w:spacing w:val="-7"/>
            <w:sz w:val="20"/>
          </w:rPr>
          <w:t xml:space="preserve"> </w:t>
        </w:r>
        <w:r>
          <w:rPr>
            <w:sz w:val="20"/>
          </w:rPr>
          <w:t>2010.</w:t>
        </w:r>
      </w:hyperlink>
    </w:p>
    <w:p w:rsidR="00A74668" w:rsidRDefault="00421CAF">
      <w:pPr>
        <w:pStyle w:val="PargrafodaLista"/>
        <w:numPr>
          <w:ilvl w:val="0"/>
          <w:numId w:val="1"/>
        </w:numPr>
        <w:tabs>
          <w:tab w:val="left" w:pos="941"/>
          <w:tab w:val="left" w:pos="942"/>
        </w:tabs>
        <w:ind w:right="591" w:firstLine="0"/>
        <w:jc w:val="both"/>
        <w:rPr>
          <w:sz w:val="20"/>
        </w:rPr>
      </w:pPr>
      <w:hyperlink r:id="rId387">
        <w:r>
          <w:rPr>
            <w:sz w:val="20"/>
          </w:rPr>
          <w:t xml:space="preserve">Schwartz IVD, Ribeiro MG, Mota JG, </w:t>
        </w:r>
        <w:proofErr w:type="spellStart"/>
        <w:r>
          <w:rPr>
            <w:sz w:val="20"/>
          </w:rPr>
          <w:t>Toralles</w:t>
        </w:r>
        <w:proofErr w:type="spellEnd"/>
        <w:r>
          <w:rPr>
            <w:sz w:val="20"/>
          </w:rPr>
          <w:t xml:space="preserve"> MBP, Correia P, </w:t>
        </w:r>
        <w:proofErr w:type="spellStart"/>
        <w:r>
          <w:rPr>
            <w:sz w:val="20"/>
          </w:rPr>
          <w:t>Horovitz</w:t>
        </w:r>
        <w:proofErr w:type="spellEnd"/>
        <w:r>
          <w:rPr>
            <w:sz w:val="20"/>
          </w:rPr>
          <w:t xml:space="preserve"> D, </w:t>
        </w:r>
        <w:proofErr w:type="gramStart"/>
        <w:r>
          <w:rPr>
            <w:sz w:val="20"/>
          </w:rPr>
          <w:t>et</w:t>
        </w:r>
        <w:proofErr w:type="gramEnd"/>
        <w:r>
          <w:rPr>
            <w:sz w:val="20"/>
          </w:rPr>
          <w:t xml:space="preserve"> al. </w:t>
        </w:r>
        <w:r w:rsidRPr="00421CAF">
          <w:rPr>
            <w:sz w:val="20"/>
            <w:lang w:val="en-US"/>
          </w:rPr>
          <w:t>A clinical study of 77</w:t>
        </w:r>
      </w:hyperlink>
      <w:hyperlink r:id="rId388">
        <w:r w:rsidRPr="00421CAF">
          <w:rPr>
            <w:sz w:val="20"/>
            <w:lang w:val="en-US"/>
          </w:rPr>
          <w:t xml:space="preserve"> patients with </w:t>
        </w:r>
        <w:proofErr w:type="spellStart"/>
        <w:r w:rsidRPr="00421CAF">
          <w:rPr>
            <w:sz w:val="20"/>
            <w:lang w:val="en-US"/>
          </w:rPr>
          <w:t>mucopolysaccharidosis</w:t>
        </w:r>
        <w:proofErr w:type="spellEnd"/>
        <w:r w:rsidRPr="00421CAF">
          <w:rPr>
            <w:sz w:val="20"/>
            <w:lang w:val="en-US"/>
          </w:rPr>
          <w:t xml:space="preserve"> type II. </w:t>
        </w:r>
        <w:proofErr w:type="spellStart"/>
        <w:r w:rsidRPr="00421CAF">
          <w:rPr>
            <w:sz w:val="20"/>
            <w:lang w:val="en-US"/>
          </w:rPr>
          <w:t>ActaPaediatr</w:t>
        </w:r>
        <w:proofErr w:type="spellEnd"/>
        <w:r w:rsidRPr="00421CAF">
          <w:rPr>
            <w:sz w:val="20"/>
            <w:lang w:val="en-US"/>
          </w:rPr>
          <w:t xml:space="preserve">. </w:t>
        </w:r>
        <w:proofErr w:type="gramStart"/>
        <w:r>
          <w:rPr>
            <w:sz w:val="20"/>
          </w:rPr>
          <w:t>2007;</w:t>
        </w:r>
        <w:proofErr w:type="gramEnd"/>
        <w:r>
          <w:rPr>
            <w:sz w:val="20"/>
          </w:rPr>
          <w:t>96:</w:t>
        </w:r>
        <w:r>
          <w:rPr>
            <w:spacing w:val="-1"/>
            <w:sz w:val="20"/>
          </w:rPr>
          <w:t xml:space="preserve"> </w:t>
        </w:r>
        <w:r>
          <w:rPr>
            <w:sz w:val="20"/>
          </w:rPr>
          <w:t>63–70.</w:t>
        </w:r>
      </w:hyperlink>
    </w:p>
    <w:p w:rsidR="00A74668" w:rsidRDefault="00421CAF">
      <w:pPr>
        <w:pStyle w:val="PargrafodaLista"/>
        <w:numPr>
          <w:ilvl w:val="0"/>
          <w:numId w:val="1"/>
        </w:numPr>
        <w:tabs>
          <w:tab w:val="left" w:pos="941"/>
          <w:tab w:val="left" w:pos="942"/>
        </w:tabs>
        <w:ind w:right="589" w:firstLine="0"/>
        <w:jc w:val="both"/>
        <w:rPr>
          <w:sz w:val="20"/>
        </w:rPr>
      </w:pPr>
      <w:hyperlink r:id="rId389">
        <w:r w:rsidRPr="00421CAF">
          <w:rPr>
            <w:sz w:val="20"/>
            <w:lang w:val="en-US"/>
          </w:rPr>
          <w:t xml:space="preserve">Schwartz IV, Souza CFM de, </w:t>
        </w:r>
        <w:proofErr w:type="spellStart"/>
        <w:r w:rsidRPr="00421CAF">
          <w:rPr>
            <w:sz w:val="20"/>
            <w:lang w:val="en-US"/>
          </w:rPr>
          <w:t>Giugliani</w:t>
        </w:r>
        <w:proofErr w:type="spellEnd"/>
        <w:r w:rsidRPr="00421CAF">
          <w:rPr>
            <w:sz w:val="20"/>
            <w:lang w:val="en-US"/>
          </w:rPr>
          <w:t xml:space="preserve"> R. Treatment of inborn errors of metabolism. </w:t>
        </w:r>
        <w:r>
          <w:rPr>
            <w:sz w:val="20"/>
          </w:rPr>
          <w:t xml:space="preserve">J </w:t>
        </w:r>
        <w:proofErr w:type="spellStart"/>
        <w:proofErr w:type="gramStart"/>
        <w:r>
          <w:rPr>
            <w:sz w:val="20"/>
          </w:rPr>
          <w:t>Pediatr</w:t>
        </w:r>
        <w:proofErr w:type="spellEnd"/>
        <w:r>
          <w:rPr>
            <w:sz w:val="20"/>
          </w:rPr>
          <w:t xml:space="preserve"> .</w:t>
        </w:r>
        <w:proofErr w:type="gramEnd"/>
        <w:r>
          <w:rPr>
            <w:sz w:val="20"/>
          </w:rPr>
          <w:t xml:space="preserve"> </w:t>
        </w:r>
        <w:proofErr w:type="gramStart"/>
        <w:r>
          <w:rPr>
            <w:sz w:val="20"/>
          </w:rPr>
          <w:t>2008;</w:t>
        </w:r>
        <w:proofErr w:type="gramEnd"/>
        <w:r>
          <w:rPr>
            <w:sz w:val="20"/>
          </w:rPr>
          <w:t>84:</w:t>
        </w:r>
      </w:hyperlink>
      <w:hyperlink r:id="rId390">
        <w:r>
          <w:rPr>
            <w:sz w:val="20"/>
          </w:rPr>
          <w:t xml:space="preserve"> S8–19.</w:t>
        </w:r>
      </w:hyperlink>
    </w:p>
    <w:p w:rsidR="00A74668" w:rsidRDefault="00421CAF">
      <w:pPr>
        <w:pStyle w:val="PargrafodaLista"/>
        <w:numPr>
          <w:ilvl w:val="0"/>
          <w:numId w:val="1"/>
        </w:numPr>
        <w:tabs>
          <w:tab w:val="left" w:pos="941"/>
          <w:tab w:val="left" w:pos="942"/>
        </w:tabs>
        <w:ind w:right="589" w:firstLine="0"/>
        <w:jc w:val="both"/>
        <w:rPr>
          <w:sz w:val="20"/>
        </w:rPr>
      </w:pPr>
      <w:hyperlink r:id="rId391">
        <w:proofErr w:type="spellStart"/>
        <w:r w:rsidRPr="00421CAF">
          <w:rPr>
            <w:sz w:val="20"/>
            <w:lang w:val="en-US"/>
          </w:rPr>
          <w:t>Scarpa</w:t>
        </w:r>
        <w:proofErr w:type="spellEnd"/>
        <w:r w:rsidRPr="00421CAF">
          <w:rPr>
            <w:sz w:val="20"/>
            <w:lang w:val="en-US"/>
          </w:rPr>
          <w:t xml:space="preserve"> M. </w:t>
        </w:r>
        <w:proofErr w:type="spellStart"/>
        <w:r w:rsidRPr="00421CAF">
          <w:rPr>
            <w:sz w:val="20"/>
            <w:lang w:val="en-US"/>
          </w:rPr>
          <w:t>Mucopolysaccharidosis</w:t>
        </w:r>
        <w:proofErr w:type="spellEnd"/>
        <w:r w:rsidRPr="00421CAF">
          <w:rPr>
            <w:sz w:val="20"/>
            <w:lang w:val="en-US"/>
          </w:rPr>
          <w:t xml:space="preserve"> Type II. In: </w:t>
        </w:r>
        <w:proofErr w:type="spellStart"/>
        <w:r w:rsidRPr="00421CAF">
          <w:rPr>
            <w:sz w:val="20"/>
            <w:lang w:val="en-US"/>
          </w:rPr>
          <w:t>Pagon</w:t>
        </w:r>
        <w:proofErr w:type="spellEnd"/>
        <w:r w:rsidRPr="00421CAF">
          <w:rPr>
            <w:sz w:val="20"/>
            <w:lang w:val="en-US"/>
          </w:rPr>
          <w:t xml:space="preserve"> RA, Adam MP, </w:t>
        </w:r>
        <w:proofErr w:type="spellStart"/>
        <w:r w:rsidRPr="00421CAF">
          <w:rPr>
            <w:sz w:val="20"/>
            <w:lang w:val="en-US"/>
          </w:rPr>
          <w:t>Ardinger</w:t>
        </w:r>
        <w:proofErr w:type="spellEnd"/>
        <w:r w:rsidRPr="00421CAF">
          <w:rPr>
            <w:sz w:val="20"/>
            <w:lang w:val="en-US"/>
          </w:rPr>
          <w:t xml:space="preserve"> HH, Wallace SE,</w:t>
        </w:r>
      </w:hyperlink>
      <w:hyperlink r:id="rId392">
        <w:r w:rsidRPr="00421CAF">
          <w:rPr>
            <w:sz w:val="20"/>
            <w:lang w:val="en-US"/>
          </w:rPr>
          <w:t xml:space="preserve"> </w:t>
        </w:r>
        <w:proofErr w:type="spellStart"/>
        <w:r w:rsidRPr="00421CAF">
          <w:rPr>
            <w:sz w:val="20"/>
            <w:lang w:val="en-US"/>
          </w:rPr>
          <w:t>Amemiya</w:t>
        </w:r>
        <w:proofErr w:type="spellEnd"/>
        <w:r w:rsidRPr="00421CAF">
          <w:rPr>
            <w:sz w:val="20"/>
            <w:lang w:val="en-US"/>
          </w:rPr>
          <w:t xml:space="preserve"> A, Bean LJH, et al., editors. </w:t>
        </w:r>
        <w:proofErr w:type="spellStart"/>
        <w:proofErr w:type="gramStart"/>
        <w:r>
          <w:rPr>
            <w:sz w:val="20"/>
          </w:rPr>
          <w:t>GeneReviews</w:t>
        </w:r>
        <w:proofErr w:type="spellEnd"/>
        <w:proofErr w:type="gramEnd"/>
        <w:r>
          <w:rPr>
            <w:sz w:val="20"/>
          </w:rPr>
          <w:t xml:space="preserve">(®). Seattle (WA): </w:t>
        </w:r>
        <w:proofErr w:type="spellStart"/>
        <w:r>
          <w:rPr>
            <w:sz w:val="20"/>
          </w:rPr>
          <w:t>University</w:t>
        </w:r>
        <w:proofErr w:type="spellEnd"/>
        <w:r>
          <w:rPr>
            <w:sz w:val="20"/>
          </w:rPr>
          <w:t xml:space="preserve"> </w:t>
        </w:r>
        <w:proofErr w:type="spellStart"/>
        <w:r>
          <w:rPr>
            <w:sz w:val="20"/>
          </w:rPr>
          <w:t>of</w:t>
        </w:r>
        <w:proofErr w:type="spellEnd"/>
        <w:r>
          <w:rPr>
            <w:sz w:val="20"/>
          </w:rPr>
          <w:t xml:space="preserve"> Washington, Seattle;</w:t>
        </w:r>
        <w:r>
          <w:rPr>
            <w:spacing w:val="-32"/>
            <w:sz w:val="20"/>
          </w:rPr>
          <w:t xml:space="preserve"> </w:t>
        </w:r>
        <w:proofErr w:type="gramStart"/>
        <w:r>
          <w:rPr>
            <w:sz w:val="20"/>
          </w:rPr>
          <w:t>20</w:t>
        </w:r>
        <w:r>
          <w:rPr>
            <w:sz w:val="20"/>
          </w:rPr>
          <w:t>15.</w:t>
        </w:r>
        <w:proofErr w:type="gramEnd"/>
      </w:hyperlink>
    </w:p>
    <w:p w:rsidR="00A74668" w:rsidRDefault="00421CAF">
      <w:pPr>
        <w:pStyle w:val="PargrafodaLista"/>
        <w:numPr>
          <w:ilvl w:val="0"/>
          <w:numId w:val="1"/>
        </w:numPr>
        <w:tabs>
          <w:tab w:val="left" w:pos="941"/>
          <w:tab w:val="left" w:pos="942"/>
        </w:tabs>
        <w:ind w:right="591" w:firstLine="0"/>
        <w:jc w:val="both"/>
        <w:rPr>
          <w:sz w:val="20"/>
        </w:rPr>
      </w:pPr>
      <w:hyperlink r:id="rId393">
        <w:proofErr w:type="spellStart"/>
        <w:r w:rsidRPr="00421CAF">
          <w:rPr>
            <w:sz w:val="20"/>
            <w:lang w:val="en-US"/>
          </w:rPr>
          <w:t>Guffon</w:t>
        </w:r>
        <w:proofErr w:type="spellEnd"/>
        <w:r w:rsidRPr="00421CAF">
          <w:rPr>
            <w:sz w:val="20"/>
            <w:lang w:val="en-US"/>
          </w:rPr>
          <w:t xml:space="preserve"> N, Bertrand Y, Forest I, </w:t>
        </w:r>
        <w:proofErr w:type="spellStart"/>
        <w:r w:rsidRPr="00421CAF">
          <w:rPr>
            <w:sz w:val="20"/>
            <w:lang w:val="en-US"/>
          </w:rPr>
          <w:t>Fouilhoux</w:t>
        </w:r>
        <w:proofErr w:type="spellEnd"/>
        <w:r w:rsidRPr="00421CAF">
          <w:rPr>
            <w:sz w:val="20"/>
            <w:lang w:val="en-US"/>
          </w:rPr>
          <w:t xml:space="preserve"> A, Froissart R. Bone marrow transplantation in children with</w:t>
        </w:r>
      </w:hyperlink>
      <w:hyperlink r:id="rId394">
        <w:r w:rsidRPr="00421CAF">
          <w:rPr>
            <w:sz w:val="20"/>
            <w:lang w:val="en-US"/>
          </w:rPr>
          <w:t xml:space="preserve"> Hunter syndrome: outcome after 7 to 17 ye</w:t>
        </w:r>
        <w:r w:rsidRPr="00421CAF">
          <w:rPr>
            <w:sz w:val="20"/>
            <w:lang w:val="en-US"/>
          </w:rPr>
          <w:t xml:space="preserve">ars. </w:t>
        </w:r>
        <w:r>
          <w:rPr>
            <w:sz w:val="20"/>
          </w:rPr>
          <w:t xml:space="preserve">J </w:t>
        </w:r>
        <w:proofErr w:type="spellStart"/>
        <w:r>
          <w:rPr>
            <w:sz w:val="20"/>
          </w:rPr>
          <w:t>Pediatr</w:t>
        </w:r>
        <w:proofErr w:type="spellEnd"/>
        <w:r>
          <w:rPr>
            <w:sz w:val="20"/>
          </w:rPr>
          <w:t xml:space="preserve">. </w:t>
        </w:r>
        <w:proofErr w:type="gramStart"/>
        <w:r>
          <w:rPr>
            <w:sz w:val="20"/>
          </w:rPr>
          <w:t>2009;</w:t>
        </w:r>
        <w:proofErr w:type="gramEnd"/>
        <w:r>
          <w:rPr>
            <w:sz w:val="20"/>
          </w:rPr>
          <w:t>154: 733–737.</w:t>
        </w:r>
      </w:hyperlink>
    </w:p>
    <w:p w:rsidR="00A74668" w:rsidRDefault="00421CAF">
      <w:pPr>
        <w:pStyle w:val="PargrafodaLista"/>
        <w:numPr>
          <w:ilvl w:val="0"/>
          <w:numId w:val="1"/>
        </w:numPr>
        <w:tabs>
          <w:tab w:val="left" w:pos="941"/>
          <w:tab w:val="left" w:pos="942"/>
        </w:tabs>
        <w:ind w:right="583" w:firstLine="0"/>
        <w:jc w:val="both"/>
        <w:rPr>
          <w:sz w:val="20"/>
        </w:rPr>
      </w:pPr>
      <w:hyperlink r:id="rId395">
        <w:r>
          <w:rPr>
            <w:sz w:val="20"/>
          </w:rPr>
          <w:t xml:space="preserve">Scarpa M, </w:t>
        </w:r>
        <w:proofErr w:type="spellStart"/>
        <w:r>
          <w:rPr>
            <w:sz w:val="20"/>
          </w:rPr>
          <w:t>Almássy</w:t>
        </w:r>
        <w:proofErr w:type="spellEnd"/>
        <w:r>
          <w:rPr>
            <w:sz w:val="20"/>
          </w:rPr>
          <w:t xml:space="preserve"> Z, Beck M, </w:t>
        </w:r>
        <w:proofErr w:type="spellStart"/>
        <w:r>
          <w:rPr>
            <w:sz w:val="20"/>
          </w:rPr>
          <w:t>Bodamer</w:t>
        </w:r>
        <w:proofErr w:type="spellEnd"/>
        <w:r>
          <w:rPr>
            <w:sz w:val="20"/>
          </w:rPr>
          <w:t xml:space="preserve"> O, Bruce IA, De </w:t>
        </w:r>
        <w:proofErr w:type="spellStart"/>
        <w:r>
          <w:rPr>
            <w:sz w:val="20"/>
          </w:rPr>
          <w:t>Meirleir</w:t>
        </w:r>
        <w:proofErr w:type="spellEnd"/>
        <w:r>
          <w:rPr>
            <w:sz w:val="20"/>
          </w:rPr>
          <w:t xml:space="preserve"> L, </w:t>
        </w:r>
        <w:proofErr w:type="gramStart"/>
        <w:r>
          <w:rPr>
            <w:sz w:val="20"/>
          </w:rPr>
          <w:t>et</w:t>
        </w:r>
        <w:proofErr w:type="gramEnd"/>
        <w:r>
          <w:rPr>
            <w:sz w:val="20"/>
          </w:rPr>
          <w:t xml:space="preserve"> al. </w:t>
        </w:r>
        <w:proofErr w:type="spellStart"/>
        <w:r w:rsidRPr="00421CAF">
          <w:rPr>
            <w:sz w:val="20"/>
            <w:lang w:val="en-US"/>
          </w:rPr>
          <w:t>Mucopolysaccharidosis</w:t>
        </w:r>
        <w:proofErr w:type="spellEnd"/>
        <w:r w:rsidRPr="00421CAF">
          <w:rPr>
            <w:sz w:val="20"/>
            <w:lang w:val="en-US"/>
          </w:rPr>
          <w:t xml:space="preserve"> type</w:t>
        </w:r>
      </w:hyperlink>
      <w:hyperlink r:id="rId396">
        <w:r w:rsidRPr="00421CAF">
          <w:rPr>
            <w:sz w:val="20"/>
            <w:lang w:val="en-US"/>
          </w:rPr>
          <w:t xml:space="preserve"> II: European r</w:t>
        </w:r>
        <w:r w:rsidRPr="00421CAF">
          <w:rPr>
            <w:sz w:val="20"/>
            <w:lang w:val="en-US"/>
          </w:rPr>
          <w:t xml:space="preserve">ecommendations for the diagnosis and multidisciplinary management of a rare disease. </w:t>
        </w:r>
        <w:proofErr w:type="spellStart"/>
        <w:r>
          <w:rPr>
            <w:sz w:val="20"/>
          </w:rPr>
          <w:t>Orphanet</w:t>
        </w:r>
        <w:proofErr w:type="spellEnd"/>
        <w:r>
          <w:rPr>
            <w:sz w:val="20"/>
          </w:rPr>
          <w:t xml:space="preserve"> J</w:t>
        </w:r>
      </w:hyperlink>
      <w:hyperlink r:id="rId397">
        <w:r>
          <w:rPr>
            <w:sz w:val="20"/>
          </w:rPr>
          <w:t xml:space="preserve"> </w:t>
        </w:r>
        <w:proofErr w:type="spellStart"/>
        <w:r>
          <w:rPr>
            <w:sz w:val="20"/>
          </w:rPr>
          <w:t>Rare</w:t>
        </w:r>
        <w:proofErr w:type="spellEnd"/>
        <w:r>
          <w:rPr>
            <w:sz w:val="20"/>
          </w:rPr>
          <w:t xml:space="preserve"> </w:t>
        </w:r>
        <w:proofErr w:type="spellStart"/>
        <w:r>
          <w:rPr>
            <w:sz w:val="20"/>
          </w:rPr>
          <w:t>Dis</w:t>
        </w:r>
        <w:proofErr w:type="spellEnd"/>
        <w:r>
          <w:rPr>
            <w:sz w:val="20"/>
          </w:rPr>
          <w:t xml:space="preserve">. </w:t>
        </w:r>
        <w:proofErr w:type="gramStart"/>
        <w:r>
          <w:rPr>
            <w:sz w:val="20"/>
          </w:rPr>
          <w:t>2011;</w:t>
        </w:r>
        <w:proofErr w:type="gramEnd"/>
        <w:r>
          <w:rPr>
            <w:sz w:val="20"/>
          </w:rPr>
          <w:t>6:</w:t>
        </w:r>
        <w:r>
          <w:rPr>
            <w:spacing w:val="-2"/>
            <w:sz w:val="20"/>
          </w:rPr>
          <w:t xml:space="preserve"> </w:t>
        </w:r>
        <w:r>
          <w:rPr>
            <w:sz w:val="20"/>
          </w:rPr>
          <w:t>72.</w:t>
        </w:r>
      </w:hyperlink>
    </w:p>
    <w:p w:rsidR="00A74668" w:rsidRDefault="00421CAF">
      <w:pPr>
        <w:pStyle w:val="PargrafodaLista"/>
        <w:numPr>
          <w:ilvl w:val="0"/>
          <w:numId w:val="1"/>
        </w:numPr>
        <w:tabs>
          <w:tab w:val="left" w:pos="941"/>
          <w:tab w:val="left" w:pos="942"/>
        </w:tabs>
        <w:ind w:right="589" w:firstLine="0"/>
        <w:jc w:val="both"/>
        <w:rPr>
          <w:sz w:val="20"/>
        </w:rPr>
      </w:pPr>
      <w:hyperlink r:id="rId398">
        <w:r w:rsidRPr="00421CAF">
          <w:rPr>
            <w:sz w:val="20"/>
            <w:lang w:val="en-US"/>
          </w:rPr>
          <w:t xml:space="preserve">Ito K, </w:t>
        </w:r>
        <w:proofErr w:type="spellStart"/>
        <w:r w:rsidRPr="00421CAF">
          <w:rPr>
            <w:sz w:val="20"/>
            <w:lang w:val="en-US"/>
          </w:rPr>
          <w:t>Ochiai</w:t>
        </w:r>
        <w:proofErr w:type="spellEnd"/>
        <w:r w:rsidRPr="00421CAF">
          <w:rPr>
            <w:sz w:val="20"/>
            <w:lang w:val="en-US"/>
          </w:rPr>
          <w:t xml:space="preserve"> T, Suzuki H, Chin M, </w:t>
        </w:r>
        <w:proofErr w:type="spellStart"/>
        <w:r w:rsidRPr="00421CAF">
          <w:rPr>
            <w:sz w:val="20"/>
            <w:lang w:val="en-US"/>
          </w:rPr>
          <w:t>Shichino</w:t>
        </w:r>
        <w:proofErr w:type="spellEnd"/>
        <w:r w:rsidRPr="00421CAF">
          <w:rPr>
            <w:sz w:val="20"/>
            <w:lang w:val="en-US"/>
          </w:rPr>
          <w:t xml:space="preserve"> H, </w:t>
        </w:r>
        <w:proofErr w:type="spellStart"/>
        <w:r w:rsidRPr="00421CAF">
          <w:rPr>
            <w:sz w:val="20"/>
            <w:lang w:val="en-US"/>
          </w:rPr>
          <w:t>Mugishima</w:t>
        </w:r>
        <w:proofErr w:type="spellEnd"/>
        <w:r w:rsidRPr="00421CAF">
          <w:rPr>
            <w:sz w:val="20"/>
            <w:lang w:val="en-US"/>
          </w:rPr>
          <w:t xml:space="preserve"> H. The effect of </w:t>
        </w:r>
        <w:proofErr w:type="spellStart"/>
        <w:r w:rsidRPr="00421CAF">
          <w:rPr>
            <w:sz w:val="20"/>
            <w:lang w:val="en-US"/>
          </w:rPr>
          <w:t>haematopoietic</w:t>
        </w:r>
        <w:proofErr w:type="spellEnd"/>
        <w:r w:rsidRPr="00421CAF">
          <w:rPr>
            <w:sz w:val="20"/>
            <w:lang w:val="en-US"/>
          </w:rPr>
          <w:t xml:space="preserve"> stem cell</w:t>
        </w:r>
      </w:hyperlink>
      <w:hyperlink r:id="rId399">
        <w:r w:rsidRPr="00421CAF">
          <w:rPr>
            <w:sz w:val="20"/>
            <w:lang w:val="en-US"/>
          </w:rPr>
          <w:t xml:space="preserve"> transplant on papules with “pebbly” appearance in Hunter’s syndrome. </w:t>
        </w:r>
        <w:proofErr w:type="spellStart"/>
        <w:proofErr w:type="gramStart"/>
        <w:r>
          <w:rPr>
            <w:sz w:val="20"/>
          </w:rPr>
          <w:t>Br</w:t>
        </w:r>
        <w:proofErr w:type="spellEnd"/>
        <w:proofErr w:type="gramEnd"/>
        <w:r>
          <w:rPr>
            <w:sz w:val="20"/>
          </w:rPr>
          <w:t xml:space="preserve"> J </w:t>
        </w:r>
        <w:proofErr w:type="spellStart"/>
        <w:r>
          <w:rPr>
            <w:sz w:val="20"/>
          </w:rPr>
          <w:t>Dermatol</w:t>
        </w:r>
        <w:proofErr w:type="spellEnd"/>
        <w:r>
          <w:rPr>
            <w:sz w:val="20"/>
          </w:rPr>
          <w:t xml:space="preserve">. </w:t>
        </w:r>
        <w:proofErr w:type="gramStart"/>
        <w:r>
          <w:rPr>
            <w:sz w:val="20"/>
          </w:rPr>
          <w:t>2004;</w:t>
        </w:r>
        <w:proofErr w:type="gramEnd"/>
        <w:r>
          <w:rPr>
            <w:sz w:val="20"/>
          </w:rPr>
          <w:t>151:</w:t>
        </w:r>
        <w:r>
          <w:rPr>
            <w:spacing w:val="-13"/>
            <w:sz w:val="20"/>
          </w:rPr>
          <w:t xml:space="preserve"> </w:t>
        </w:r>
        <w:r>
          <w:rPr>
            <w:sz w:val="20"/>
          </w:rPr>
          <w:t>207–211.</w:t>
        </w:r>
      </w:hyperlink>
    </w:p>
    <w:p w:rsidR="00A74668" w:rsidRDefault="00421CAF">
      <w:pPr>
        <w:pStyle w:val="PargrafodaLista"/>
        <w:numPr>
          <w:ilvl w:val="0"/>
          <w:numId w:val="1"/>
        </w:numPr>
        <w:tabs>
          <w:tab w:val="left" w:pos="941"/>
          <w:tab w:val="left" w:pos="942"/>
        </w:tabs>
        <w:ind w:right="591" w:firstLine="0"/>
        <w:jc w:val="both"/>
        <w:rPr>
          <w:sz w:val="20"/>
        </w:rPr>
      </w:pPr>
      <w:hyperlink r:id="rId400">
        <w:proofErr w:type="spellStart"/>
        <w:r w:rsidRPr="00421CAF">
          <w:rPr>
            <w:sz w:val="20"/>
            <w:lang w:val="en-US"/>
          </w:rPr>
          <w:t>Ochiai</w:t>
        </w:r>
        <w:proofErr w:type="spellEnd"/>
        <w:r w:rsidRPr="00421CAF">
          <w:rPr>
            <w:sz w:val="20"/>
            <w:lang w:val="en-US"/>
          </w:rPr>
          <w:t xml:space="preserve"> T, Ito K, Okada T, Chin M, </w:t>
        </w:r>
        <w:proofErr w:type="spellStart"/>
        <w:r w:rsidRPr="00421CAF">
          <w:rPr>
            <w:sz w:val="20"/>
            <w:lang w:val="en-US"/>
          </w:rPr>
          <w:t>Shichino</w:t>
        </w:r>
        <w:proofErr w:type="spellEnd"/>
        <w:r w:rsidRPr="00421CAF">
          <w:rPr>
            <w:sz w:val="20"/>
            <w:lang w:val="en-US"/>
          </w:rPr>
          <w:t xml:space="preserve"> H, </w:t>
        </w:r>
        <w:proofErr w:type="spellStart"/>
        <w:r w:rsidRPr="00421CAF">
          <w:rPr>
            <w:sz w:val="20"/>
            <w:lang w:val="en-US"/>
          </w:rPr>
          <w:t>Mugishima</w:t>
        </w:r>
        <w:proofErr w:type="spellEnd"/>
        <w:r w:rsidRPr="00421CAF">
          <w:rPr>
            <w:sz w:val="20"/>
            <w:lang w:val="en-US"/>
          </w:rPr>
          <w:t xml:space="preserve"> H. Significance of extensive Mongolian spots</w:t>
        </w:r>
      </w:hyperlink>
      <w:hyperlink r:id="rId401">
        <w:r w:rsidRPr="00421CAF">
          <w:rPr>
            <w:sz w:val="20"/>
            <w:lang w:val="en-US"/>
          </w:rPr>
          <w:t xml:space="preserve"> in Hunter’s syndrome. </w:t>
        </w:r>
        <w:proofErr w:type="spellStart"/>
        <w:proofErr w:type="gramStart"/>
        <w:r>
          <w:rPr>
            <w:sz w:val="20"/>
          </w:rPr>
          <w:t>Br</w:t>
        </w:r>
        <w:proofErr w:type="spellEnd"/>
        <w:proofErr w:type="gramEnd"/>
        <w:r>
          <w:rPr>
            <w:sz w:val="20"/>
          </w:rPr>
          <w:t xml:space="preserve"> J </w:t>
        </w:r>
        <w:proofErr w:type="spellStart"/>
        <w:r>
          <w:rPr>
            <w:sz w:val="20"/>
          </w:rPr>
          <w:t>Dermatol</w:t>
        </w:r>
        <w:proofErr w:type="spellEnd"/>
        <w:r>
          <w:rPr>
            <w:sz w:val="20"/>
          </w:rPr>
          <w:t xml:space="preserve">. </w:t>
        </w:r>
        <w:proofErr w:type="gramStart"/>
        <w:r>
          <w:rPr>
            <w:sz w:val="20"/>
          </w:rPr>
          <w:t>2003;</w:t>
        </w:r>
        <w:proofErr w:type="gramEnd"/>
        <w:r>
          <w:rPr>
            <w:sz w:val="20"/>
          </w:rPr>
          <w:t>148:</w:t>
        </w:r>
        <w:r>
          <w:rPr>
            <w:spacing w:val="-2"/>
            <w:sz w:val="20"/>
          </w:rPr>
          <w:t xml:space="preserve"> </w:t>
        </w:r>
        <w:r>
          <w:rPr>
            <w:sz w:val="20"/>
          </w:rPr>
          <w:t>1173–1178.</w:t>
        </w:r>
      </w:hyperlink>
    </w:p>
    <w:p w:rsidR="00A74668" w:rsidRDefault="00421CAF">
      <w:pPr>
        <w:pStyle w:val="PargrafodaLista"/>
        <w:numPr>
          <w:ilvl w:val="0"/>
          <w:numId w:val="1"/>
        </w:numPr>
        <w:tabs>
          <w:tab w:val="left" w:pos="941"/>
          <w:tab w:val="left" w:pos="942"/>
        </w:tabs>
        <w:ind w:firstLine="0"/>
        <w:jc w:val="both"/>
        <w:rPr>
          <w:sz w:val="20"/>
        </w:rPr>
      </w:pPr>
      <w:hyperlink r:id="rId402">
        <w:r>
          <w:rPr>
            <w:sz w:val="20"/>
          </w:rPr>
          <w:t xml:space="preserve">Tanaka A, </w:t>
        </w:r>
        <w:proofErr w:type="spellStart"/>
        <w:r>
          <w:rPr>
            <w:sz w:val="20"/>
          </w:rPr>
          <w:t>Okuyama</w:t>
        </w:r>
        <w:proofErr w:type="spellEnd"/>
        <w:r>
          <w:rPr>
            <w:sz w:val="20"/>
          </w:rPr>
          <w:t xml:space="preserve"> T, Suzuki Y, Sakai N, </w:t>
        </w:r>
        <w:proofErr w:type="spellStart"/>
        <w:r>
          <w:rPr>
            <w:sz w:val="20"/>
          </w:rPr>
          <w:t>Takakura</w:t>
        </w:r>
        <w:proofErr w:type="spellEnd"/>
        <w:r>
          <w:rPr>
            <w:sz w:val="20"/>
          </w:rPr>
          <w:t xml:space="preserve"> H, </w:t>
        </w:r>
        <w:proofErr w:type="spellStart"/>
        <w:r>
          <w:rPr>
            <w:sz w:val="20"/>
          </w:rPr>
          <w:t>Sawada</w:t>
        </w:r>
        <w:proofErr w:type="spellEnd"/>
        <w:r>
          <w:rPr>
            <w:sz w:val="20"/>
          </w:rPr>
          <w:t xml:space="preserve"> T, </w:t>
        </w:r>
        <w:proofErr w:type="gramStart"/>
        <w:r>
          <w:rPr>
            <w:sz w:val="20"/>
          </w:rPr>
          <w:t>et</w:t>
        </w:r>
        <w:proofErr w:type="gramEnd"/>
        <w:r>
          <w:rPr>
            <w:sz w:val="20"/>
          </w:rPr>
          <w:t xml:space="preserve"> al. </w:t>
        </w:r>
        <w:proofErr w:type="spellStart"/>
        <w:r>
          <w:rPr>
            <w:sz w:val="20"/>
          </w:rPr>
          <w:t>Long-term</w:t>
        </w:r>
        <w:proofErr w:type="spellEnd"/>
        <w:r>
          <w:rPr>
            <w:sz w:val="20"/>
          </w:rPr>
          <w:t xml:space="preserve"> </w:t>
        </w:r>
        <w:proofErr w:type="spellStart"/>
        <w:r>
          <w:rPr>
            <w:sz w:val="20"/>
          </w:rPr>
          <w:t>efficacy</w:t>
        </w:r>
        <w:proofErr w:type="spellEnd"/>
        <w:r>
          <w:rPr>
            <w:spacing w:val="21"/>
            <w:sz w:val="20"/>
          </w:rPr>
          <w:t xml:space="preserve"> </w:t>
        </w:r>
        <w:proofErr w:type="spellStart"/>
        <w:r>
          <w:rPr>
            <w:sz w:val="20"/>
          </w:rPr>
          <w:t>of</w:t>
        </w:r>
        <w:proofErr w:type="spellEnd"/>
      </w:hyperlink>
    </w:p>
    <w:p w:rsidR="00A74668" w:rsidRDefault="00A74668">
      <w:pPr>
        <w:jc w:val="both"/>
        <w:rPr>
          <w:sz w:val="20"/>
        </w:rPr>
        <w:sectPr w:rsidR="00A74668">
          <w:pgSz w:w="11910" w:h="16840"/>
          <w:pgMar w:top="1040" w:right="980" w:bottom="440" w:left="900" w:header="0" w:footer="254" w:gutter="0"/>
          <w:cols w:space="720"/>
        </w:sectPr>
      </w:pPr>
    </w:p>
    <w:p w:rsidR="00A74668" w:rsidRDefault="00421CAF">
      <w:pPr>
        <w:pStyle w:val="Corpodetexto"/>
        <w:spacing w:before="72"/>
        <w:ind w:right="591"/>
      </w:pPr>
      <w:hyperlink r:id="rId403">
        <w:proofErr w:type="gramStart"/>
        <w:r w:rsidRPr="00421CAF">
          <w:rPr>
            <w:lang w:val="en-US"/>
          </w:rPr>
          <w:t>hematopoietic</w:t>
        </w:r>
        <w:proofErr w:type="gramEnd"/>
        <w:r w:rsidRPr="00421CAF">
          <w:rPr>
            <w:lang w:val="en-US"/>
          </w:rPr>
          <w:t xml:space="preserve"> stem cell transplantation on brain involvement in patients with </w:t>
        </w:r>
        <w:proofErr w:type="spellStart"/>
        <w:r w:rsidRPr="00421CAF">
          <w:rPr>
            <w:lang w:val="en-US"/>
          </w:rPr>
          <w:t>mucopolysaccharidosis</w:t>
        </w:r>
        <w:proofErr w:type="spellEnd"/>
        <w:r w:rsidRPr="00421CAF">
          <w:rPr>
            <w:lang w:val="en-US"/>
          </w:rPr>
          <w:t xml:space="preserve"> type II: a</w:t>
        </w:r>
      </w:hyperlink>
      <w:r w:rsidRPr="00421CAF">
        <w:rPr>
          <w:lang w:val="en-US"/>
        </w:rPr>
        <w:t xml:space="preserve"> </w:t>
      </w:r>
      <w:hyperlink r:id="rId404">
        <w:r w:rsidRPr="00421CAF">
          <w:rPr>
            <w:lang w:val="en-US"/>
          </w:rPr>
          <w:t xml:space="preserve">nationwide survey in Japan. </w:t>
        </w:r>
        <w:r>
          <w:t xml:space="preserve">Mol </w:t>
        </w:r>
        <w:proofErr w:type="spellStart"/>
        <w:r>
          <w:t>Genet</w:t>
        </w:r>
        <w:proofErr w:type="spellEnd"/>
        <w:r>
          <w:t xml:space="preserve"> </w:t>
        </w:r>
        <w:proofErr w:type="spellStart"/>
        <w:r>
          <w:t>Metab</w:t>
        </w:r>
        <w:proofErr w:type="spellEnd"/>
        <w:r>
          <w:t xml:space="preserve">. </w:t>
        </w:r>
        <w:proofErr w:type="gramStart"/>
        <w:r>
          <w:t>2012;</w:t>
        </w:r>
        <w:proofErr w:type="gramEnd"/>
        <w:r>
          <w:t>107: 513–520.</w:t>
        </w:r>
      </w:hyperlink>
    </w:p>
    <w:p w:rsidR="00A74668" w:rsidRDefault="00421CAF">
      <w:pPr>
        <w:pStyle w:val="PargrafodaLista"/>
        <w:numPr>
          <w:ilvl w:val="0"/>
          <w:numId w:val="1"/>
        </w:numPr>
        <w:tabs>
          <w:tab w:val="left" w:pos="942"/>
        </w:tabs>
        <w:spacing w:before="1"/>
        <w:ind w:right="582" w:firstLine="0"/>
        <w:jc w:val="both"/>
        <w:rPr>
          <w:sz w:val="20"/>
        </w:rPr>
      </w:pPr>
      <w:hyperlink r:id="rId405">
        <w:proofErr w:type="spellStart"/>
        <w:r w:rsidRPr="00421CAF">
          <w:rPr>
            <w:sz w:val="20"/>
            <w:lang w:val="en-US"/>
          </w:rPr>
          <w:t>Vellodi</w:t>
        </w:r>
        <w:proofErr w:type="spellEnd"/>
        <w:r w:rsidRPr="00421CAF">
          <w:rPr>
            <w:sz w:val="20"/>
            <w:lang w:val="en-US"/>
          </w:rPr>
          <w:t xml:space="preserve"> A, Young E, Cooper A, </w:t>
        </w:r>
        <w:proofErr w:type="spellStart"/>
        <w:r w:rsidRPr="00421CAF">
          <w:rPr>
            <w:sz w:val="20"/>
            <w:lang w:val="en-US"/>
          </w:rPr>
          <w:t>Lidchi</w:t>
        </w:r>
        <w:proofErr w:type="spellEnd"/>
        <w:r w:rsidRPr="00421CAF">
          <w:rPr>
            <w:sz w:val="20"/>
            <w:lang w:val="en-US"/>
          </w:rPr>
          <w:t xml:space="preserve"> V, Winchester B, Wraith JE. Long-term follow-up following bone</w:t>
        </w:r>
      </w:hyperlink>
      <w:hyperlink r:id="rId406">
        <w:r w:rsidRPr="00421CAF">
          <w:rPr>
            <w:sz w:val="20"/>
            <w:lang w:val="en-US"/>
          </w:rPr>
          <w:t xml:space="preserve"> marrow transplantation for Hunter disease. </w:t>
        </w:r>
        <w:r>
          <w:rPr>
            <w:sz w:val="20"/>
          </w:rPr>
          <w:t xml:space="preserve">J </w:t>
        </w:r>
        <w:proofErr w:type="spellStart"/>
        <w:r>
          <w:rPr>
            <w:sz w:val="20"/>
          </w:rPr>
          <w:t>Inherit</w:t>
        </w:r>
        <w:proofErr w:type="spellEnd"/>
        <w:r>
          <w:rPr>
            <w:sz w:val="20"/>
          </w:rPr>
          <w:t xml:space="preserve"> </w:t>
        </w:r>
        <w:proofErr w:type="spellStart"/>
        <w:r>
          <w:rPr>
            <w:sz w:val="20"/>
          </w:rPr>
          <w:t>Metab</w:t>
        </w:r>
        <w:proofErr w:type="spellEnd"/>
        <w:r>
          <w:rPr>
            <w:sz w:val="20"/>
          </w:rPr>
          <w:t xml:space="preserve"> </w:t>
        </w:r>
        <w:proofErr w:type="spellStart"/>
        <w:r>
          <w:rPr>
            <w:sz w:val="20"/>
          </w:rPr>
          <w:t>Dis</w:t>
        </w:r>
        <w:proofErr w:type="spellEnd"/>
        <w:r>
          <w:rPr>
            <w:sz w:val="20"/>
          </w:rPr>
          <w:t xml:space="preserve">. </w:t>
        </w:r>
        <w:proofErr w:type="gramStart"/>
        <w:r>
          <w:rPr>
            <w:sz w:val="20"/>
          </w:rPr>
          <w:t>1999;</w:t>
        </w:r>
        <w:proofErr w:type="gramEnd"/>
        <w:r>
          <w:rPr>
            <w:sz w:val="20"/>
          </w:rPr>
          <w:t>22:</w:t>
        </w:r>
        <w:r>
          <w:rPr>
            <w:spacing w:val="-5"/>
            <w:sz w:val="20"/>
          </w:rPr>
          <w:t xml:space="preserve"> </w:t>
        </w:r>
        <w:r>
          <w:rPr>
            <w:sz w:val="20"/>
          </w:rPr>
          <w:t>63</w:t>
        </w:r>
        <w:r>
          <w:rPr>
            <w:sz w:val="20"/>
          </w:rPr>
          <w:t>8–648.</w:t>
        </w:r>
      </w:hyperlink>
    </w:p>
    <w:p w:rsidR="00A74668" w:rsidRDefault="00421CAF">
      <w:pPr>
        <w:pStyle w:val="PargrafodaLista"/>
        <w:numPr>
          <w:ilvl w:val="0"/>
          <w:numId w:val="1"/>
        </w:numPr>
        <w:tabs>
          <w:tab w:val="left" w:pos="942"/>
        </w:tabs>
        <w:spacing w:before="1"/>
        <w:ind w:right="580" w:firstLine="0"/>
        <w:jc w:val="both"/>
        <w:rPr>
          <w:sz w:val="20"/>
        </w:rPr>
      </w:pPr>
      <w:hyperlink r:id="rId407">
        <w:proofErr w:type="spellStart"/>
        <w:r w:rsidRPr="00421CAF">
          <w:rPr>
            <w:sz w:val="20"/>
            <w:lang w:val="en-US"/>
          </w:rPr>
          <w:t>Tomatsu</w:t>
        </w:r>
        <w:proofErr w:type="spellEnd"/>
        <w:r w:rsidRPr="00421CAF">
          <w:rPr>
            <w:sz w:val="20"/>
            <w:lang w:val="en-US"/>
          </w:rPr>
          <w:t xml:space="preserve"> S, </w:t>
        </w:r>
        <w:proofErr w:type="spellStart"/>
        <w:r w:rsidRPr="00421CAF">
          <w:rPr>
            <w:sz w:val="20"/>
            <w:lang w:val="en-US"/>
          </w:rPr>
          <w:t>Tanjuakio</w:t>
        </w:r>
        <w:proofErr w:type="spellEnd"/>
        <w:r w:rsidRPr="00421CAF">
          <w:rPr>
            <w:sz w:val="20"/>
            <w:lang w:val="en-US"/>
          </w:rPr>
          <w:t xml:space="preserve"> J, Suzuki Y, Patel P, Yasuda E, </w:t>
        </w:r>
        <w:proofErr w:type="spellStart"/>
        <w:r w:rsidRPr="00421CAF">
          <w:rPr>
            <w:sz w:val="20"/>
            <w:lang w:val="en-US"/>
          </w:rPr>
          <w:t>Kubaski</w:t>
        </w:r>
        <w:proofErr w:type="spellEnd"/>
        <w:r w:rsidRPr="00421CAF">
          <w:rPr>
            <w:sz w:val="20"/>
            <w:lang w:val="en-US"/>
          </w:rPr>
          <w:t xml:space="preserve"> F, et al. Activity of daily life in patients</w:t>
        </w:r>
      </w:hyperlink>
      <w:hyperlink r:id="rId408">
        <w:r w:rsidRPr="00421CAF">
          <w:rPr>
            <w:sz w:val="20"/>
            <w:lang w:val="en-US"/>
          </w:rPr>
          <w:t xml:space="preserve"> with Hunter syndrome: Impact of enz</w:t>
        </w:r>
        <w:r w:rsidRPr="00421CAF">
          <w:rPr>
            <w:sz w:val="20"/>
            <w:lang w:val="en-US"/>
          </w:rPr>
          <w:t xml:space="preserve">yme replacement therapy and hematopoietic stem cell transplantation. </w:t>
        </w:r>
        <w:r>
          <w:rPr>
            <w:spacing w:val="4"/>
            <w:sz w:val="20"/>
          </w:rPr>
          <w:t>Mol</w:t>
        </w:r>
      </w:hyperlink>
      <w:hyperlink r:id="rId409">
        <w:r>
          <w:rPr>
            <w:spacing w:val="4"/>
            <w:sz w:val="20"/>
          </w:rPr>
          <w:t xml:space="preserve">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2015;</w:t>
        </w:r>
        <w:proofErr w:type="gramEnd"/>
        <w:r>
          <w:rPr>
            <w:sz w:val="20"/>
          </w:rPr>
          <w:t>114:</w:t>
        </w:r>
        <w:r>
          <w:rPr>
            <w:spacing w:val="-2"/>
            <w:sz w:val="20"/>
          </w:rPr>
          <w:t xml:space="preserve"> </w:t>
        </w:r>
        <w:r>
          <w:rPr>
            <w:sz w:val="20"/>
          </w:rPr>
          <w:t>S115.</w:t>
        </w:r>
      </w:hyperlink>
    </w:p>
    <w:p w:rsidR="00A74668" w:rsidRDefault="00421CAF">
      <w:pPr>
        <w:pStyle w:val="PargrafodaLista"/>
        <w:numPr>
          <w:ilvl w:val="0"/>
          <w:numId w:val="1"/>
        </w:numPr>
        <w:tabs>
          <w:tab w:val="left" w:pos="942"/>
        </w:tabs>
        <w:ind w:right="588" w:firstLine="0"/>
        <w:jc w:val="both"/>
        <w:rPr>
          <w:sz w:val="20"/>
        </w:rPr>
      </w:pPr>
      <w:hyperlink r:id="rId410">
        <w:proofErr w:type="spellStart"/>
        <w:r w:rsidRPr="00421CAF">
          <w:rPr>
            <w:sz w:val="20"/>
            <w:lang w:val="en-US"/>
          </w:rPr>
          <w:t>Kubaski</w:t>
        </w:r>
        <w:proofErr w:type="spellEnd"/>
        <w:r w:rsidRPr="00421CAF">
          <w:rPr>
            <w:sz w:val="20"/>
            <w:lang w:val="en-US"/>
          </w:rPr>
          <w:t xml:space="preserve"> F, Suzuki Y, Yabe H, Mason RW, </w:t>
        </w:r>
        <w:proofErr w:type="spellStart"/>
        <w:r w:rsidRPr="00421CAF">
          <w:rPr>
            <w:sz w:val="20"/>
            <w:lang w:val="en-US"/>
          </w:rPr>
          <w:t>Xie</w:t>
        </w:r>
        <w:proofErr w:type="spellEnd"/>
        <w:r w:rsidRPr="00421CAF">
          <w:rPr>
            <w:sz w:val="20"/>
            <w:lang w:val="en-US"/>
          </w:rPr>
          <w:t xml:space="preserve"> L, </w:t>
        </w:r>
        <w:proofErr w:type="spellStart"/>
        <w:r w:rsidRPr="00421CAF">
          <w:rPr>
            <w:sz w:val="20"/>
            <w:lang w:val="en-US"/>
          </w:rPr>
          <w:t>Onsten</w:t>
        </w:r>
        <w:proofErr w:type="spellEnd"/>
        <w:r w:rsidRPr="00421CAF">
          <w:rPr>
            <w:sz w:val="20"/>
            <w:lang w:val="en-US"/>
          </w:rPr>
          <w:t xml:space="preserve"> TGH, et al. Hematopoietic stem cell</w:t>
        </w:r>
      </w:hyperlink>
      <w:hyperlink r:id="rId411">
        <w:r w:rsidRPr="00421CAF">
          <w:rPr>
            <w:sz w:val="20"/>
            <w:lang w:val="en-US"/>
          </w:rPr>
          <w:t xml:space="preserve"> transplantation for patients with </w:t>
        </w:r>
        <w:proofErr w:type="spellStart"/>
        <w:r w:rsidRPr="00421CAF">
          <w:rPr>
            <w:sz w:val="20"/>
            <w:lang w:val="en-US"/>
          </w:rPr>
          <w:t>mucopolysaccharidosis</w:t>
        </w:r>
        <w:proofErr w:type="spellEnd"/>
        <w:r w:rsidRPr="00421CAF">
          <w:rPr>
            <w:sz w:val="20"/>
            <w:lang w:val="en-US"/>
          </w:rPr>
          <w:t xml:space="preserve"> type II.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w:t>
        </w:r>
        <w:proofErr w:type="gramStart"/>
        <w:r>
          <w:rPr>
            <w:sz w:val="20"/>
          </w:rPr>
          <w:t>2017;</w:t>
        </w:r>
        <w:proofErr w:type="gramEnd"/>
        <w:r>
          <w:rPr>
            <w:sz w:val="20"/>
          </w:rPr>
          <w:t>120:</w:t>
        </w:r>
        <w:r>
          <w:rPr>
            <w:spacing w:val="-5"/>
            <w:sz w:val="20"/>
          </w:rPr>
          <w:t xml:space="preserve"> </w:t>
        </w:r>
        <w:r>
          <w:rPr>
            <w:sz w:val="20"/>
          </w:rPr>
          <w:t>S77.</w:t>
        </w:r>
      </w:hyperlink>
    </w:p>
    <w:p w:rsidR="00A74668" w:rsidRDefault="00421CAF">
      <w:pPr>
        <w:pStyle w:val="PargrafodaLista"/>
        <w:numPr>
          <w:ilvl w:val="0"/>
          <w:numId w:val="1"/>
        </w:numPr>
        <w:tabs>
          <w:tab w:val="left" w:pos="942"/>
        </w:tabs>
        <w:ind w:right="582" w:firstLine="0"/>
        <w:jc w:val="both"/>
        <w:rPr>
          <w:sz w:val="20"/>
        </w:rPr>
      </w:pPr>
      <w:hyperlink r:id="rId412">
        <w:r w:rsidRPr="00421CAF">
          <w:rPr>
            <w:sz w:val="20"/>
            <w:lang w:val="en-US"/>
          </w:rPr>
          <w:t>Wang J, Luan Z, Jiang H, Fang J, Qin M, Lee V, et al. Allogeneic Hematopoietic Stem Cell</w:t>
        </w:r>
      </w:hyperlink>
      <w:hyperlink r:id="rId413">
        <w:r w:rsidRPr="00421CAF">
          <w:rPr>
            <w:sz w:val="20"/>
            <w:lang w:val="en-US"/>
          </w:rPr>
          <w:t xml:space="preserve"> Transplantation in Thirty-Four Pediatric Cases of </w:t>
        </w:r>
        <w:proofErr w:type="spellStart"/>
        <w:r w:rsidRPr="00421CAF">
          <w:rPr>
            <w:sz w:val="20"/>
            <w:lang w:val="en-US"/>
          </w:rPr>
          <w:t>Mucopolysaccharidosis</w:t>
        </w:r>
        <w:proofErr w:type="spellEnd"/>
        <w:r w:rsidRPr="00421CAF">
          <w:rPr>
            <w:sz w:val="20"/>
            <w:lang w:val="en-US"/>
          </w:rPr>
          <w:t>-A Ten-Year Report from the China</w:t>
        </w:r>
      </w:hyperlink>
      <w:hyperlink r:id="rId414">
        <w:r w:rsidRPr="00421CAF">
          <w:rPr>
            <w:sz w:val="20"/>
            <w:lang w:val="en-US"/>
          </w:rPr>
          <w:t xml:space="preserve"> Children Transplant Group. </w:t>
        </w:r>
        <w:proofErr w:type="spellStart"/>
        <w:r>
          <w:rPr>
            <w:sz w:val="20"/>
          </w:rPr>
          <w:t>Biol</w:t>
        </w:r>
        <w:proofErr w:type="spellEnd"/>
        <w:r>
          <w:rPr>
            <w:sz w:val="20"/>
          </w:rPr>
          <w:t xml:space="preserve"> </w:t>
        </w:r>
        <w:proofErr w:type="spellStart"/>
        <w:r>
          <w:rPr>
            <w:sz w:val="20"/>
          </w:rPr>
          <w:t>Blood</w:t>
        </w:r>
        <w:proofErr w:type="spellEnd"/>
        <w:r>
          <w:rPr>
            <w:sz w:val="20"/>
          </w:rPr>
          <w:t xml:space="preserve"> </w:t>
        </w:r>
        <w:proofErr w:type="spellStart"/>
        <w:r>
          <w:rPr>
            <w:sz w:val="20"/>
          </w:rPr>
          <w:t>Marrow</w:t>
        </w:r>
        <w:proofErr w:type="spellEnd"/>
        <w:r>
          <w:rPr>
            <w:sz w:val="20"/>
          </w:rPr>
          <w:t xml:space="preserve"> </w:t>
        </w:r>
        <w:proofErr w:type="spellStart"/>
        <w:r>
          <w:rPr>
            <w:sz w:val="20"/>
          </w:rPr>
          <w:t>Transplant</w:t>
        </w:r>
        <w:proofErr w:type="spellEnd"/>
        <w:r>
          <w:rPr>
            <w:sz w:val="20"/>
          </w:rPr>
          <w:t xml:space="preserve">. </w:t>
        </w:r>
        <w:proofErr w:type="gramStart"/>
        <w:r>
          <w:rPr>
            <w:sz w:val="20"/>
          </w:rPr>
          <w:t>2016;</w:t>
        </w:r>
        <w:proofErr w:type="gramEnd"/>
        <w:r>
          <w:rPr>
            <w:sz w:val="20"/>
          </w:rPr>
          <w:t>22:</w:t>
        </w:r>
        <w:r>
          <w:rPr>
            <w:spacing w:val="-7"/>
            <w:sz w:val="20"/>
          </w:rPr>
          <w:t xml:space="preserve"> </w:t>
        </w:r>
        <w:r>
          <w:rPr>
            <w:sz w:val="20"/>
          </w:rPr>
          <w:t>2104–2108.</w:t>
        </w:r>
      </w:hyperlink>
    </w:p>
    <w:p w:rsidR="00A74668" w:rsidRDefault="00421CAF">
      <w:pPr>
        <w:pStyle w:val="PargrafodaLista"/>
        <w:numPr>
          <w:ilvl w:val="0"/>
          <w:numId w:val="1"/>
        </w:numPr>
        <w:tabs>
          <w:tab w:val="left" w:pos="942"/>
        </w:tabs>
        <w:ind w:right="581" w:firstLine="0"/>
        <w:jc w:val="both"/>
        <w:rPr>
          <w:sz w:val="20"/>
        </w:rPr>
      </w:pPr>
      <w:hyperlink r:id="rId415">
        <w:r>
          <w:rPr>
            <w:sz w:val="20"/>
          </w:rPr>
          <w:t>Barth AL, de Magalhães TSPC, Reis ABR, de Oliveira ML, Scalco FB, Cavalcanti NC</w:t>
        </w:r>
        <w:r>
          <w:rPr>
            <w:sz w:val="20"/>
          </w:rPr>
          <w:t xml:space="preserve">, </w:t>
        </w:r>
        <w:proofErr w:type="gramStart"/>
        <w:r>
          <w:rPr>
            <w:sz w:val="20"/>
          </w:rPr>
          <w:t>et</w:t>
        </w:r>
        <w:proofErr w:type="gramEnd"/>
        <w:r>
          <w:rPr>
            <w:sz w:val="20"/>
          </w:rPr>
          <w:t xml:space="preserve"> al. </w:t>
        </w:r>
        <w:r w:rsidRPr="00421CAF">
          <w:rPr>
            <w:sz w:val="20"/>
            <w:lang w:val="en-US"/>
          </w:rPr>
          <w:t>Early</w:t>
        </w:r>
      </w:hyperlink>
      <w:hyperlink r:id="rId416">
        <w:r w:rsidRPr="00421CAF">
          <w:rPr>
            <w:sz w:val="20"/>
            <w:lang w:val="en-US"/>
          </w:rPr>
          <w:t xml:space="preserve"> hematopoietic stem cell transplantation in a patient with severe </w:t>
        </w:r>
        <w:proofErr w:type="spellStart"/>
        <w:r w:rsidRPr="00421CAF">
          <w:rPr>
            <w:sz w:val="20"/>
            <w:lang w:val="en-US"/>
          </w:rPr>
          <w:t>mucopolysaccharidosis</w:t>
        </w:r>
        <w:proofErr w:type="spellEnd"/>
        <w:r w:rsidRPr="00421CAF">
          <w:rPr>
            <w:sz w:val="20"/>
            <w:lang w:val="en-US"/>
          </w:rPr>
          <w:t xml:space="preserve"> II: A 7 years follow-up.</w:t>
        </w:r>
      </w:hyperlink>
      <w:hyperlink r:id="rId417">
        <w:r w:rsidRPr="00421CAF">
          <w:rPr>
            <w:sz w:val="20"/>
            <w:lang w:val="en-US"/>
          </w:rPr>
          <w:t xml:space="preserve"> </w:t>
        </w:r>
        <w:r>
          <w:rPr>
            <w:sz w:val="20"/>
          </w:rPr>
          <w:t xml:space="preserve">Mol </w:t>
        </w:r>
        <w:proofErr w:type="spellStart"/>
        <w:r>
          <w:rPr>
            <w:sz w:val="20"/>
          </w:rPr>
          <w:t>Genet</w:t>
        </w:r>
        <w:proofErr w:type="spellEnd"/>
        <w:r>
          <w:rPr>
            <w:sz w:val="20"/>
          </w:rPr>
          <w:t xml:space="preserve"> </w:t>
        </w:r>
        <w:proofErr w:type="spellStart"/>
        <w:r>
          <w:rPr>
            <w:sz w:val="20"/>
          </w:rPr>
          <w:t>Metab</w:t>
        </w:r>
        <w:proofErr w:type="spellEnd"/>
        <w:r>
          <w:rPr>
            <w:sz w:val="20"/>
          </w:rPr>
          <w:t xml:space="preserve"> Rep. </w:t>
        </w:r>
        <w:r>
          <w:rPr>
            <w:sz w:val="20"/>
          </w:rPr>
          <w:t>2017;12:</w:t>
        </w:r>
        <w:r>
          <w:rPr>
            <w:spacing w:val="-2"/>
            <w:sz w:val="20"/>
          </w:rPr>
          <w:t xml:space="preserve"> </w:t>
        </w:r>
        <w:r>
          <w:rPr>
            <w:sz w:val="20"/>
          </w:rPr>
          <w:t>62–68.</w:t>
        </w:r>
      </w:hyperlink>
    </w:p>
    <w:p w:rsidR="00A74668" w:rsidRDefault="00421CAF">
      <w:pPr>
        <w:pStyle w:val="PargrafodaLista"/>
        <w:numPr>
          <w:ilvl w:val="0"/>
          <w:numId w:val="1"/>
        </w:numPr>
        <w:tabs>
          <w:tab w:val="left" w:pos="942"/>
        </w:tabs>
        <w:spacing w:before="1"/>
        <w:ind w:right="581" w:firstLine="0"/>
        <w:jc w:val="both"/>
        <w:rPr>
          <w:sz w:val="20"/>
        </w:rPr>
      </w:pPr>
      <w:hyperlink r:id="rId418">
        <w:proofErr w:type="spellStart"/>
        <w:r w:rsidRPr="00421CAF">
          <w:rPr>
            <w:sz w:val="20"/>
            <w:lang w:val="en-US"/>
          </w:rPr>
          <w:t>Aldenhoven</w:t>
        </w:r>
        <w:proofErr w:type="spellEnd"/>
        <w:r w:rsidRPr="00421CAF">
          <w:rPr>
            <w:sz w:val="20"/>
            <w:lang w:val="en-US"/>
          </w:rPr>
          <w:t xml:space="preserve"> M, Jones SA, </w:t>
        </w:r>
        <w:proofErr w:type="spellStart"/>
        <w:r w:rsidRPr="00421CAF">
          <w:rPr>
            <w:sz w:val="20"/>
            <w:lang w:val="en-US"/>
          </w:rPr>
          <w:t>Bonney</w:t>
        </w:r>
        <w:proofErr w:type="spellEnd"/>
        <w:r w:rsidRPr="00421CAF">
          <w:rPr>
            <w:sz w:val="20"/>
            <w:lang w:val="en-US"/>
          </w:rPr>
          <w:t xml:space="preserve"> D, </w:t>
        </w:r>
        <w:proofErr w:type="spellStart"/>
        <w:r w:rsidRPr="00421CAF">
          <w:rPr>
            <w:sz w:val="20"/>
            <w:lang w:val="en-US"/>
          </w:rPr>
          <w:t>Borrill</w:t>
        </w:r>
        <w:proofErr w:type="spellEnd"/>
        <w:r w:rsidRPr="00421CAF">
          <w:rPr>
            <w:sz w:val="20"/>
            <w:lang w:val="en-US"/>
          </w:rPr>
          <w:t xml:space="preserve"> RE, </w:t>
        </w:r>
        <w:proofErr w:type="spellStart"/>
        <w:r w:rsidRPr="00421CAF">
          <w:rPr>
            <w:sz w:val="20"/>
            <w:lang w:val="en-US"/>
          </w:rPr>
          <w:t>Coussons</w:t>
        </w:r>
        <w:proofErr w:type="spellEnd"/>
        <w:r w:rsidRPr="00421CAF">
          <w:rPr>
            <w:sz w:val="20"/>
            <w:lang w:val="en-US"/>
          </w:rPr>
          <w:t xml:space="preserve"> </w:t>
        </w:r>
        <w:r w:rsidRPr="00421CAF">
          <w:rPr>
            <w:spacing w:val="3"/>
            <w:sz w:val="20"/>
            <w:lang w:val="en-US"/>
          </w:rPr>
          <w:t xml:space="preserve">M, </w:t>
        </w:r>
        <w:r w:rsidRPr="00421CAF">
          <w:rPr>
            <w:sz w:val="20"/>
            <w:lang w:val="en-US"/>
          </w:rPr>
          <w:t>Mercer J, et al. Hematopoietic cell</w:t>
        </w:r>
      </w:hyperlink>
      <w:hyperlink r:id="rId419">
        <w:r w:rsidRPr="00421CAF">
          <w:rPr>
            <w:sz w:val="20"/>
            <w:lang w:val="en-US"/>
          </w:rPr>
          <w:t xml:space="preserve"> transplantation for </w:t>
        </w:r>
        <w:proofErr w:type="spellStart"/>
        <w:r w:rsidRPr="00421CAF">
          <w:rPr>
            <w:sz w:val="20"/>
            <w:lang w:val="en-US"/>
          </w:rPr>
          <w:t>mucopolysaccharido</w:t>
        </w:r>
        <w:r w:rsidRPr="00421CAF">
          <w:rPr>
            <w:sz w:val="20"/>
            <w:lang w:val="en-US"/>
          </w:rPr>
          <w:t>sis</w:t>
        </w:r>
        <w:proofErr w:type="spellEnd"/>
        <w:r w:rsidRPr="00421CAF">
          <w:rPr>
            <w:sz w:val="20"/>
            <w:lang w:val="en-US"/>
          </w:rPr>
          <w:t xml:space="preserve"> patients is safe and effective: results after implementation of</w:t>
        </w:r>
      </w:hyperlink>
      <w:hyperlink r:id="rId420">
        <w:r w:rsidRPr="00421CAF">
          <w:rPr>
            <w:sz w:val="20"/>
            <w:lang w:val="en-US"/>
          </w:rPr>
          <w:t xml:space="preserve"> international guidelines. </w:t>
        </w:r>
        <w:proofErr w:type="spellStart"/>
        <w:r>
          <w:rPr>
            <w:sz w:val="20"/>
          </w:rPr>
          <w:t>Biol</w:t>
        </w:r>
        <w:proofErr w:type="spellEnd"/>
        <w:r>
          <w:rPr>
            <w:sz w:val="20"/>
          </w:rPr>
          <w:t xml:space="preserve"> </w:t>
        </w:r>
        <w:proofErr w:type="spellStart"/>
        <w:r>
          <w:rPr>
            <w:sz w:val="20"/>
          </w:rPr>
          <w:t>Blood</w:t>
        </w:r>
        <w:proofErr w:type="spellEnd"/>
        <w:r>
          <w:rPr>
            <w:sz w:val="20"/>
          </w:rPr>
          <w:t xml:space="preserve"> </w:t>
        </w:r>
        <w:proofErr w:type="spellStart"/>
        <w:r>
          <w:rPr>
            <w:sz w:val="20"/>
          </w:rPr>
          <w:t>Marrow</w:t>
        </w:r>
        <w:proofErr w:type="spellEnd"/>
        <w:r>
          <w:rPr>
            <w:sz w:val="20"/>
          </w:rPr>
          <w:t xml:space="preserve"> </w:t>
        </w:r>
        <w:proofErr w:type="spellStart"/>
        <w:r>
          <w:rPr>
            <w:sz w:val="20"/>
          </w:rPr>
          <w:t>Transplant</w:t>
        </w:r>
        <w:proofErr w:type="spellEnd"/>
        <w:r>
          <w:rPr>
            <w:sz w:val="20"/>
          </w:rPr>
          <w:t xml:space="preserve">. </w:t>
        </w:r>
        <w:proofErr w:type="gramStart"/>
        <w:r>
          <w:rPr>
            <w:sz w:val="20"/>
          </w:rPr>
          <w:t>2015;</w:t>
        </w:r>
        <w:proofErr w:type="gramEnd"/>
        <w:r>
          <w:rPr>
            <w:sz w:val="20"/>
          </w:rPr>
          <w:t>21:</w:t>
        </w:r>
        <w:r>
          <w:rPr>
            <w:spacing w:val="-8"/>
            <w:sz w:val="20"/>
          </w:rPr>
          <w:t xml:space="preserve"> </w:t>
        </w:r>
        <w:r>
          <w:rPr>
            <w:sz w:val="20"/>
          </w:rPr>
          <w:t>1106–1109.</w:t>
        </w:r>
      </w:hyperlink>
    </w:p>
    <w:p w:rsidR="00A74668" w:rsidRDefault="00421CAF">
      <w:pPr>
        <w:pStyle w:val="PargrafodaLista"/>
        <w:numPr>
          <w:ilvl w:val="0"/>
          <w:numId w:val="1"/>
        </w:numPr>
        <w:tabs>
          <w:tab w:val="left" w:pos="942"/>
        </w:tabs>
        <w:ind w:right="590" w:firstLine="0"/>
        <w:jc w:val="both"/>
        <w:rPr>
          <w:sz w:val="20"/>
        </w:rPr>
      </w:pPr>
      <w:hyperlink r:id="rId421">
        <w:r w:rsidRPr="00421CAF">
          <w:rPr>
            <w:sz w:val="20"/>
            <w:lang w:val="en-US"/>
          </w:rPr>
          <w:t>Brad</w:t>
        </w:r>
        <w:r w:rsidRPr="00421CAF">
          <w:rPr>
            <w:sz w:val="20"/>
            <w:lang w:val="en-US"/>
          </w:rPr>
          <w:t xml:space="preserve">ley LA, </w:t>
        </w:r>
        <w:proofErr w:type="spellStart"/>
        <w:r w:rsidRPr="00421CAF">
          <w:rPr>
            <w:sz w:val="20"/>
            <w:lang w:val="en-US"/>
          </w:rPr>
          <w:t>Haddow</w:t>
        </w:r>
        <w:proofErr w:type="spellEnd"/>
        <w:r w:rsidRPr="00421CAF">
          <w:rPr>
            <w:sz w:val="20"/>
            <w:lang w:val="en-US"/>
          </w:rPr>
          <w:t xml:space="preserve"> HRM, </w:t>
        </w:r>
        <w:proofErr w:type="spellStart"/>
        <w:r w:rsidRPr="00421CAF">
          <w:rPr>
            <w:sz w:val="20"/>
            <w:lang w:val="en-US"/>
          </w:rPr>
          <w:t>Palomaki</w:t>
        </w:r>
        <w:proofErr w:type="spellEnd"/>
        <w:r w:rsidRPr="00421CAF">
          <w:rPr>
            <w:sz w:val="20"/>
            <w:lang w:val="en-US"/>
          </w:rPr>
          <w:t xml:space="preserve"> GE. Treatment of </w:t>
        </w:r>
        <w:proofErr w:type="spellStart"/>
        <w:r w:rsidRPr="00421CAF">
          <w:rPr>
            <w:sz w:val="20"/>
            <w:lang w:val="en-US"/>
          </w:rPr>
          <w:t>mucopolysaccharidosis</w:t>
        </w:r>
        <w:proofErr w:type="spellEnd"/>
        <w:r w:rsidRPr="00421CAF">
          <w:rPr>
            <w:sz w:val="20"/>
            <w:lang w:val="en-US"/>
          </w:rPr>
          <w:t xml:space="preserve"> type II (Hunter</w:t>
        </w:r>
      </w:hyperlink>
      <w:hyperlink r:id="rId422">
        <w:r w:rsidRPr="00421CAF">
          <w:rPr>
            <w:sz w:val="20"/>
            <w:lang w:val="en-US"/>
          </w:rPr>
          <w:t xml:space="preserve"> syndrome): results from a systematic evidence review. </w:t>
        </w:r>
        <w:proofErr w:type="spellStart"/>
        <w:r>
          <w:rPr>
            <w:sz w:val="20"/>
          </w:rPr>
          <w:t>Genet</w:t>
        </w:r>
        <w:proofErr w:type="spellEnd"/>
        <w:r>
          <w:rPr>
            <w:sz w:val="20"/>
          </w:rPr>
          <w:t xml:space="preserve"> Med. </w:t>
        </w:r>
        <w:proofErr w:type="gramStart"/>
        <w:r>
          <w:rPr>
            <w:sz w:val="20"/>
          </w:rPr>
          <w:t>2017;</w:t>
        </w:r>
        <w:proofErr w:type="gramEnd"/>
        <w:r>
          <w:rPr>
            <w:sz w:val="20"/>
          </w:rPr>
          <w:t>19:</w:t>
        </w:r>
        <w:r>
          <w:rPr>
            <w:spacing w:val="-12"/>
            <w:sz w:val="20"/>
          </w:rPr>
          <w:t xml:space="preserve"> </w:t>
        </w:r>
        <w:r>
          <w:rPr>
            <w:sz w:val="20"/>
          </w:rPr>
          <w:t>1187–1201.</w:t>
        </w:r>
      </w:hyperlink>
    </w:p>
    <w:p w:rsidR="00A74668" w:rsidRDefault="00421CAF">
      <w:pPr>
        <w:pStyle w:val="PargrafodaLista"/>
        <w:numPr>
          <w:ilvl w:val="0"/>
          <w:numId w:val="1"/>
        </w:numPr>
        <w:tabs>
          <w:tab w:val="left" w:pos="942"/>
        </w:tabs>
        <w:ind w:right="588" w:firstLine="0"/>
        <w:jc w:val="both"/>
        <w:rPr>
          <w:sz w:val="20"/>
        </w:rPr>
      </w:pPr>
      <w:hyperlink r:id="rId423">
        <w:proofErr w:type="gramStart"/>
        <w:r>
          <w:rPr>
            <w:sz w:val="20"/>
          </w:rPr>
          <w:t>de</w:t>
        </w:r>
        <w:proofErr w:type="gramEnd"/>
        <w:r>
          <w:rPr>
            <w:sz w:val="20"/>
          </w:rPr>
          <w:t xml:space="preserve"> Ru MH, </w:t>
        </w:r>
        <w:proofErr w:type="spellStart"/>
        <w:r>
          <w:rPr>
            <w:sz w:val="20"/>
          </w:rPr>
          <w:t>Boelens</w:t>
        </w:r>
        <w:proofErr w:type="spellEnd"/>
        <w:r>
          <w:rPr>
            <w:sz w:val="20"/>
          </w:rPr>
          <w:t xml:space="preserve"> JJ, Das AM, Jones SA, van der Lee JH, </w:t>
        </w:r>
        <w:proofErr w:type="spellStart"/>
        <w:r>
          <w:rPr>
            <w:sz w:val="20"/>
          </w:rPr>
          <w:t>Mahlaoui</w:t>
        </w:r>
        <w:proofErr w:type="spellEnd"/>
        <w:r>
          <w:rPr>
            <w:sz w:val="20"/>
          </w:rPr>
          <w:t xml:space="preserve"> N, et al. </w:t>
        </w:r>
        <w:r w:rsidRPr="00421CAF">
          <w:rPr>
            <w:sz w:val="20"/>
            <w:lang w:val="en-US"/>
          </w:rPr>
          <w:t>Enzyme Replacement</w:t>
        </w:r>
      </w:hyperlink>
      <w:hyperlink r:id="rId424">
        <w:r w:rsidRPr="00421CAF">
          <w:rPr>
            <w:sz w:val="20"/>
            <w:lang w:val="en-US"/>
          </w:rPr>
          <w:t xml:space="preserve"> Therapy and/or Hematopoietic Stem Cell Transplantation at diagnosis in patients with </w:t>
        </w:r>
        <w:proofErr w:type="spellStart"/>
        <w:r w:rsidRPr="00421CAF">
          <w:rPr>
            <w:sz w:val="20"/>
            <w:lang w:val="en-US"/>
          </w:rPr>
          <w:t>Mu</w:t>
        </w:r>
        <w:r w:rsidRPr="00421CAF">
          <w:rPr>
            <w:sz w:val="20"/>
            <w:lang w:val="en-US"/>
          </w:rPr>
          <w:t>copolysaccharidosis</w:t>
        </w:r>
        <w:proofErr w:type="spellEnd"/>
      </w:hyperlink>
      <w:hyperlink r:id="rId425">
        <w:r w:rsidRPr="00421CAF">
          <w:rPr>
            <w:sz w:val="20"/>
            <w:lang w:val="en-US"/>
          </w:rPr>
          <w:t xml:space="preserve"> type I: results of a European consensus procedure. </w:t>
        </w:r>
        <w:proofErr w:type="spellStart"/>
        <w:r>
          <w:rPr>
            <w:sz w:val="20"/>
          </w:rPr>
          <w:t>Orphanet</w:t>
        </w:r>
        <w:proofErr w:type="spellEnd"/>
        <w:r>
          <w:rPr>
            <w:sz w:val="20"/>
          </w:rPr>
          <w:t xml:space="preserve"> J </w:t>
        </w:r>
        <w:proofErr w:type="spellStart"/>
        <w:r>
          <w:rPr>
            <w:sz w:val="20"/>
          </w:rPr>
          <w:t>Rare</w:t>
        </w:r>
        <w:proofErr w:type="spellEnd"/>
        <w:r>
          <w:rPr>
            <w:sz w:val="20"/>
          </w:rPr>
          <w:t xml:space="preserve"> </w:t>
        </w:r>
        <w:proofErr w:type="spellStart"/>
        <w:r>
          <w:rPr>
            <w:sz w:val="20"/>
          </w:rPr>
          <w:t>Dis</w:t>
        </w:r>
        <w:proofErr w:type="spellEnd"/>
        <w:r>
          <w:rPr>
            <w:sz w:val="20"/>
          </w:rPr>
          <w:t xml:space="preserve">. </w:t>
        </w:r>
        <w:proofErr w:type="gramStart"/>
        <w:r>
          <w:rPr>
            <w:sz w:val="20"/>
          </w:rPr>
          <w:t>2011;</w:t>
        </w:r>
        <w:proofErr w:type="gramEnd"/>
        <w:r>
          <w:rPr>
            <w:sz w:val="20"/>
          </w:rPr>
          <w:t>6:</w:t>
        </w:r>
        <w:r>
          <w:rPr>
            <w:spacing w:val="-3"/>
            <w:sz w:val="20"/>
          </w:rPr>
          <w:t xml:space="preserve"> </w:t>
        </w:r>
        <w:r>
          <w:rPr>
            <w:sz w:val="20"/>
          </w:rPr>
          <w:t>55.</w:t>
        </w:r>
      </w:hyperlink>
    </w:p>
    <w:p w:rsidR="00A74668" w:rsidRDefault="00A74668">
      <w:pPr>
        <w:pStyle w:val="Corpodetexto"/>
        <w:ind w:left="0"/>
        <w:jc w:val="left"/>
        <w:rPr>
          <w:sz w:val="22"/>
        </w:rPr>
      </w:pPr>
    </w:p>
    <w:p w:rsidR="00A74668" w:rsidRDefault="00A74668">
      <w:pPr>
        <w:pStyle w:val="Corpodetexto"/>
        <w:spacing w:before="10"/>
        <w:ind w:left="0"/>
        <w:jc w:val="left"/>
        <w:rPr>
          <w:sz w:val="17"/>
        </w:rPr>
      </w:pPr>
    </w:p>
    <w:p w:rsidR="00A74668" w:rsidRDefault="00421CAF">
      <w:pPr>
        <w:pStyle w:val="Corpodetexto"/>
        <w:spacing w:before="1"/>
        <w:ind w:right="586"/>
      </w:pPr>
      <w:r>
        <w:t xml:space="preserve">Fonte: (Relatório de Recomendação </w:t>
      </w:r>
      <w:proofErr w:type="gramStart"/>
      <w:r>
        <w:t>N</w:t>
      </w:r>
      <w:r>
        <w:rPr>
          <w:vertAlign w:val="superscript"/>
        </w:rPr>
        <w:t>o</w:t>
      </w:r>
      <w:r>
        <w:t xml:space="preserve"> 300</w:t>
      </w:r>
      <w:proofErr w:type="gramEnd"/>
      <w:r>
        <w:t xml:space="preserve"> – Janeiro/2018 Comissão Nacional de Incorporação de Tecnologias no SUS)</w:t>
      </w:r>
    </w:p>
    <w:sectPr w:rsidR="00A74668">
      <w:pgSz w:w="11910" w:h="16840"/>
      <w:pgMar w:top="1040" w:right="980" w:bottom="440" w:left="900" w:header="0" w:footer="2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1CAF">
      <w:r>
        <w:separator/>
      </w:r>
    </w:p>
  </w:endnote>
  <w:endnote w:type="continuationSeparator" w:id="0">
    <w:p w:rsidR="00000000" w:rsidRDefault="004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68" w:rsidRDefault="00421CAF">
    <w:pPr>
      <w:pStyle w:val="Corpodetexto"/>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279.95pt;margin-top:817.95pt;width:14.1pt;height:12pt;z-index:-251658752;mso-position-horizontal-relative:page;mso-position-vertical-relative:page" filled="f" stroked="f">
          <v:textbox inset="0,0,0,0">
            <w:txbxContent>
              <w:p w:rsidR="00A74668" w:rsidRDefault="00421CAF">
                <w:pPr>
                  <w:pStyle w:val="Corpodetexto"/>
                  <w:spacing w:line="214" w:lineRule="exact"/>
                  <w:ind w:left="40"/>
                  <w:jc w:val="left"/>
                  <w:rPr>
                    <w:rFonts w:ascii="Trebuchet MS"/>
                  </w:rPr>
                </w:pPr>
                <w:r>
                  <w:fldChar w:fldCharType="begin"/>
                </w:r>
                <w:r>
                  <w:rPr>
                    <w:rFonts w:ascii="Trebuchet MS"/>
                  </w:rPr>
                  <w:instrText xml:space="preserve"> PAGE </w:instrText>
                </w:r>
                <w:r>
                  <w:fldChar w:fldCharType="separate"/>
                </w:r>
                <w:r>
                  <w:rPr>
                    <w:rFonts w:ascii="Trebuchet MS"/>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1CAF">
      <w:r>
        <w:separator/>
      </w:r>
    </w:p>
  </w:footnote>
  <w:footnote w:type="continuationSeparator" w:id="0">
    <w:p w:rsidR="00000000" w:rsidRDefault="00421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EBE"/>
    <w:multiLevelType w:val="hybridMultilevel"/>
    <w:tmpl w:val="1C569448"/>
    <w:lvl w:ilvl="0" w:tplc="1FB61384">
      <w:start w:val="1"/>
      <w:numFmt w:val="decimal"/>
      <w:lvlText w:val="%1."/>
      <w:lvlJc w:val="left"/>
      <w:pPr>
        <w:ind w:left="233" w:hanging="708"/>
        <w:jc w:val="left"/>
      </w:pPr>
      <w:rPr>
        <w:rFonts w:ascii="Times New Roman" w:eastAsia="Times New Roman" w:hAnsi="Times New Roman" w:cs="Times New Roman" w:hint="default"/>
        <w:spacing w:val="0"/>
        <w:w w:val="99"/>
        <w:sz w:val="20"/>
        <w:szCs w:val="20"/>
        <w:lang w:val="pt-BR" w:eastAsia="pt-BR" w:bidi="pt-BR"/>
      </w:rPr>
    </w:lvl>
    <w:lvl w:ilvl="1" w:tplc="2586DC3C">
      <w:numFmt w:val="bullet"/>
      <w:lvlText w:val="•"/>
      <w:lvlJc w:val="left"/>
      <w:pPr>
        <w:ind w:left="1218" w:hanging="708"/>
      </w:pPr>
      <w:rPr>
        <w:rFonts w:hint="default"/>
        <w:lang w:val="pt-BR" w:eastAsia="pt-BR" w:bidi="pt-BR"/>
      </w:rPr>
    </w:lvl>
    <w:lvl w:ilvl="2" w:tplc="8708C15A">
      <w:numFmt w:val="bullet"/>
      <w:lvlText w:val="•"/>
      <w:lvlJc w:val="left"/>
      <w:pPr>
        <w:ind w:left="2197" w:hanging="708"/>
      </w:pPr>
      <w:rPr>
        <w:rFonts w:hint="default"/>
        <w:lang w:val="pt-BR" w:eastAsia="pt-BR" w:bidi="pt-BR"/>
      </w:rPr>
    </w:lvl>
    <w:lvl w:ilvl="3" w:tplc="26D29386">
      <w:numFmt w:val="bullet"/>
      <w:lvlText w:val="•"/>
      <w:lvlJc w:val="left"/>
      <w:pPr>
        <w:ind w:left="3176" w:hanging="708"/>
      </w:pPr>
      <w:rPr>
        <w:rFonts w:hint="default"/>
        <w:lang w:val="pt-BR" w:eastAsia="pt-BR" w:bidi="pt-BR"/>
      </w:rPr>
    </w:lvl>
    <w:lvl w:ilvl="4" w:tplc="F36ABCC2">
      <w:numFmt w:val="bullet"/>
      <w:lvlText w:val="•"/>
      <w:lvlJc w:val="left"/>
      <w:pPr>
        <w:ind w:left="4155" w:hanging="708"/>
      </w:pPr>
      <w:rPr>
        <w:rFonts w:hint="default"/>
        <w:lang w:val="pt-BR" w:eastAsia="pt-BR" w:bidi="pt-BR"/>
      </w:rPr>
    </w:lvl>
    <w:lvl w:ilvl="5" w:tplc="D262B0A0">
      <w:numFmt w:val="bullet"/>
      <w:lvlText w:val="•"/>
      <w:lvlJc w:val="left"/>
      <w:pPr>
        <w:ind w:left="5134" w:hanging="708"/>
      </w:pPr>
      <w:rPr>
        <w:rFonts w:hint="default"/>
        <w:lang w:val="pt-BR" w:eastAsia="pt-BR" w:bidi="pt-BR"/>
      </w:rPr>
    </w:lvl>
    <w:lvl w:ilvl="6" w:tplc="88D623AC">
      <w:numFmt w:val="bullet"/>
      <w:lvlText w:val="•"/>
      <w:lvlJc w:val="left"/>
      <w:pPr>
        <w:ind w:left="6113" w:hanging="708"/>
      </w:pPr>
      <w:rPr>
        <w:rFonts w:hint="default"/>
        <w:lang w:val="pt-BR" w:eastAsia="pt-BR" w:bidi="pt-BR"/>
      </w:rPr>
    </w:lvl>
    <w:lvl w:ilvl="7" w:tplc="E7BEF6CA">
      <w:numFmt w:val="bullet"/>
      <w:lvlText w:val="•"/>
      <w:lvlJc w:val="left"/>
      <w:pPr>
        <w:ind w:left="7092" w:hanging="708"/>
      </w:pPr>
      <w:rPr>
        <w:rFonts w:hint="default"/>
        <w:lang w:val="pt-BR" w:eastAsia="pt-BR" w:bidi="pt-BR"/>
      </w:rPr>
    </w:lvl>
    <w:lvl w:ilvl="8" w:tplc="3BF45B8C">
      <w:numFmt w:val="bullet"/>
      <w:lvlText w:val="•"/>
      <w:lvlJc w:val="left"/>
      <w:pPr>
        <w:ind w:left="8071" w:hanging="708"/>
      </w:pPr>
      <w:rPr>
        <w:rFonts w:hint="default"/>
        <w:lang w:val="pt-BR" w:eastAsia="pt-BR" w:bidi="pt-BR"/>
      </w:rPr>
    </w:lvl>
  </w:abstractNum>
  <w:abstractNum w:abstractNumId="1">
    <w:nsid w:val="10F953C6"/>
    <w:multiLevelType w:val="hybridMultilevel"/>
    <w:tmpl w:val="57B2E322"/>
    <w:lvl w:ilvl="0" w:tplc="39F6E19A">
      <w:numFmt w:val="bullet"/>
      <w:lvlText w:val="-"/>
      <w:lvlJc w:val="left"/>
      <w:pPr>
        <w:ind w:left="233" w:hanging="161"/>
      </w:pPr>
      <w:rPr>
        <w:rFonts w:ascii="Times New Roman" w:eastAsia="Times New Roman" w:hAnsi="Times New Roman" w:cs="Times New Roman" w:hint="default"/>
        <w:w w:val="99"/>
        <w:sz w:val="20"/>
        <w:szCs w:val="20"/>
        <w:lang w:val="pt-BR" w:eastAsia="pt-BR" w:bidi="pt-BR"/>
      </w:rPr>
    </w:lvl>
    <w:lvl w:ilvl="1" w:tplc="7C624D7A">
      <w:numFmt w:val="bullet"/>
      <w:lvlText w:val="•"/>
      <w:lvlJc w:val="left"/>
      <w:pPr>
        <w:ind w:left="1218" w:hanging="161"/>
      </w:pPr>
      <w:rPr>
        <w:rFonts w:hint="default"/>
        <w:lang w:val="pt-BR" w:eastAsia="pt-BR" w:bidi="pt-BR"/>
      </w:rPr>
    </w:lvl>
    <w:lvl w:ilvl="2" w:tplc="D3727ABC">
      <w:numFmt w:val="bullet"/>
      <w:lvlText w:val="•"/>
      <w:lvlJc w:val="left"/>
      <w:pPr>
        <w:ind w:left="2197" w:hanging="161"/>
      </w:pPr>
      <w:rPr>
        <w:rFonts w:hint="default"/>
        <w:lang w:val="pt-BR" w:eastAsia="pt-BR" w:bidi="pt-BR"/>
      </w:rPr>
    </w:lvl>
    <w:lvl w:ilvl="3" w:tplc="0E84314E">
      <w:numFmt w:val="bullet"/>
      <w:lvlText w:val="•"/>
      <w:lvlJc w:val="left"/>
      <w:pPr>
        <w:ind w:left="3176" w:hanging="161"/>
      </w:pPr>
      <w:rPr>
        <w:rFonts w:hint="default"/>
        <w:lang w:val="pt-BR" w:eastAsia="pt-BR" w:bidi="pt-BR"/>
      </w:rPr>
    </w:lvl>
    <w:lvl w:ilvl="4" w:tplc="D7C8C9C6">
      <w:numFmt w:val="bullet"/>
      <w:lvlText w:val="•"/>
      <w:lvlJc w:val="left"/>
      <w:pPr>
        <w:ind w:left="4155" w:hanging="161"/>
      </w:pPr>
      <w:rPr>
        <w:rFonts w:hint="default"/>
        <w:lang w:val="pt-BR" w:eastAsia="pt-BR" w:bidi="pt-BR"/>
      </w:rPr>
    </w:lvl>
    <w:lvl w:ilvl="5" w:tplc="35E27632">
      <w:numFmt w:val="bullet"/>
      <w:lvlText w:val="•"/>
      <w:lvlJc w:val="left"/>
      <w:pPr>
        <w:ind w:left="5134" w:hanging="161"/>
      </w:pPr>
      <w:rPr>
        <w:rFonts w:hint="default"/>
        <w:lang w:val="pt-BR" w:eastAsia="pt-BR" w:bidi="pt-BR"/>
      </w:rPr>
    </w:lvl>
    <w:lvl w:ilvl="6" w:tplc="C41E5B2A">
      <w:numFmt w:val="bullet"/>
      <w:lvlText w:val="•"/>
      <w:lvlJc w:val="left"/>
      <w:pPr>
        <w:ind w:left="6113" w:hanging="161"/>
      </w:pPr>
      <w:rPr>
        <w:rFonts w:hint="default"/>
        <w:lang w:val="pt-BR" w:eastAsia="pt-BR" w:bidi="pt-BR"/>
      </w:rPr>
    </w:lvl>
    <w:lvl w:ilvl="7" w:tplc="B44C6DB2">
      <w:numFmt w:val="bullet"/>
      <w:lvlText w:val="•"/>
      <w:lvlJc w:val="left"/>
      <w:pPr>
        <w:ind w:left="7092" w:hanging="161"/>
      </w:pPr>
      <w:rPr>
        <w:rFonts w:hint="default"/>
        <w:lang w:val="pt-BR" w:eastAsia="pt-BR" w:bidi="pt-BR"/>
      </w:rPr>
    </w:lvl>
    <w:lvl w:ilvl="8" w:tplc="DCD204D8">
      <w:numFmt w:val="bullet"/>
      <w:lvlText w:val="•"/>
      <w:lvlJc w:val="left"/>
      <w:pPr>
        <w:ind w:left="8071" w:hanging="161"/>
      </w:pPr>
      <w:rPr>
        <w:rFonts w:hint="default"/>
        <w:lang w:val="pt-BR" w:eastAsia="pt-BR" w:bidi="pt-BR"/>
      </w:rPr>
    </w:lvl>
  </w:abstractNum>
  <w:abstractNum w:abstractNumId="2">
    <w:nsid w:val="13722B51"/>
    <w:multiLevelType w:val="hybridMultilevel"/>
    <w:tmpl w:val="F3209C6C"/>
    <w:lvl w:ilvl="0" w:tplc="46F0DA26">
      <w:numFmt w:val="bullet"/>
      <w:lvlText w:val="-"/>
      <w:lvlJc w:val="left"/>
      <w:pPr>
        <w:ind w:left="233" w:hanging="161"/>
      </w:pPr>
      <w:rPr>
        <w:rFonts w:ascii="Times New Roman" w:eastAsia="Times New Roman" w:hAnsi="Times New Roman" w:cs="Times New Roman" w:hint="default"/>
        <w:w w:val="99"/>
        <w:sz w:val="20"/>
        <w:szCs w:val="20"/>
        <w:lang w:val="pt-BR" w:eastAsia="pt-BR" w:bidi="pt-BR"/>
      </w:rPr>
    </w:lvl>
    <w:lvl w:ilvl="1" w:tplc="98163050">
      <w:numFmt w:val="bullet"/>
      <w:lvlText w:val="•"/>
      <w:lvlJc w:val="left"/>
      <w:pPr>
        <w:ind w:left="1218" w:hanging="161"/>
      </w:pPr>
      <w:rPr>
        <w:rFonts w:hint="default"/>
        <w:lang w:val="pt-BR" w:eastAsia="pt-BR" w:bidi="pt-BR"/>
      </w:rPr>
    </w:lvl>
    <w:lvl w:ilvl="2" w:tplc="D548D25A">
      <w:numFmt w:val="bullet"/>
      <w:lvlText w:val="•"/>
      <w:lvlJc w:val="left"/>
      <w:pPr>
        <w:ind w:left="2197" w:hanging="161"/>
      </w:pPr>
      <w:rPr>
        <w:rFonts w:hint="default"/>
        <w:lang w:val="pt-BR" w:eastAsia="pt-BR" w:bidi="pt-BR"/>
      </w:rPr>
    </w:lvl>
    <w:lvl w:ilvl="3" w:tplc="579C5CDE">
      <w:numFmt w:val="bullet"/>
      <w:lvlText w:val="•"/>
      <w:lvlJc w:val="left"/>
      <w:pPr>
        <w:ind w:left="3176" w:hanging="161"/>
      </w:pPr>
      <w:rPr>
        <w:rFonts w:hint="default"/>
        <w:lang w:val="pt-BR" w:eastAsia="pt-BR" w:bidi="pt-BR"/>
      </w:rPr>
    </w:lvl>
    <w:lvl w:ilvl="4" w:tplc="2408C198">
      <w:numFmt w:val="bullet"/>
      <w:lvlText w:val="•"/>
      <w:lvlJc w:val="left"/>
      <w:pPr>
        <w:ind w:left="4155" w:hanging="161"/>
      </w:pPr>
      <w:rPr>
        <w:rFonts w:hint="default"/>
        <w:lang w:val="pt-BR" w:eastAsia="pt-BR" w:bidi="pt-BR"/>
      </w:rPr>
    </w:lvl>
    <w:lvl w:ilvl="5" w:tplc="7944A5C2">
      <w:numFmt w:val="bullet"/>
      <w:lvlText w:val="•"/>
      <w:lvlJc w:val="left"/>
      <w:pPr>
        <w:ind w:left="5134" w:hanging="161"/>
      </w:pPr>
      <w:rPr>
        <w:rFonts w:hint="default"/>
        <w:lang w:val="pt-BR" w:eastAsia="pt-BR" w:bidi="pt-BR"/>
      </w:rPr>
    </w:lvl>
    <w:lvl w:ilvl="6" w:tplc="B0B82530">
      <w:numFmt w:val="bullet"/>
      <w:lvlText w:val="•"/>
      <w:lvlJc w:val="left"/>
      <w:pPr>
        <w:ind w:left="6113" w:hanging="161"/>
      </w:pPr>
      <w:rPr>
        <w:rFonts w:hint="default"/>
        <w:lang w:val="pt-BR" w:eastAsia="pt-BR" w:bidi="pt-BR"/>
      </w:rPr>
    </w:lvl>
    <w:lvl w:ilvl="7" w:tplc="2ECA586A">
      <w:numFmt w:val="bullet"/>
      <w:lvlText w:val="•"/>
      <w:lvlJc w:val="left"/>
      <w:pPr>
        <w:ind w:left="7092" w:hanging="161"/>
      </w:pPr>
      <w:rPr>
        <w:rFonts w:hint="default"/>
        <w:lang w:val="pt-BR" w:eastAsia="pt-BR" w:bidi="pt-BR"/>
      </w:rPr>
    </w:lvl>
    <w:lvl w:ilvl="8" w:tplc="53A427F0">
      <w:numFmt w:val="bullet"/>
      <w:lvlText w:val="•"/>
      <w:lvlJc w:val="left"/>
      <w:pPr>
        <w:ind w:left="8071" w:hanging="161"/>
      </w:pPr>
      <w:rPr>
        <w:rFonts w:hint="default"/>
        <w:lang w:val="pt-BR" w:eastAsia="pt-BR" w:bidi="pt-BR"/>
      </w:rPr>
    </w:lvl>
  </w:abstractNum>
  <w:abstractNum w:abstractNumId="3">
    <w:nsid w:val="18C50513"/>
    <w:multiLevelType w:val="multilevel"/>
    <w:tmpl w:val="92E25500"/>
    <w:lvl w:ilvl="0">
      <w:start w:val="5"/>
      <w:numFmt w:val="decimal"/>
      <w:lvlText w:val="%1"/>
      <w:lvlJc w:val="left"/>
      <w:pPr>
        <w:ind w:left="2357" w:hanging="706"/>
        <w:jc w:val="left"/>
      </w:pPr>
      <w:rPr>
        <w:rFonts w:hint="default"/>
        <w:lang w:val="pt-BR" w:eastAsia="pt-BR" w:bidi="pt-BR"/>
      </w:rPr>
    </w:lvl>
    <w:lvl w:ilvl="1">
      <w:start w:val="2"/>
      <w:numFmt w:val="decimal"/>
      <w:lvlText w:val="%1.%2."/>
      <w:lvlJc w:val="left"/>
      <w:pPr>
        <w:ind w:left="2357" w:hanging="706"/>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3893" w:hanging="706"/>
      </w:pPr>
      <w:rPr>
        <w:rFonts w:hint="default"/>
        <w:lang w:val="pt-BR" w:eastAsia="pt-BR" w:bidi="pt-BR"/>
      </w:rPr>
    </w:lvl>
    <w:lvl w:ilvl="3">
      <w:numFmt w:val="bullet"/>
      <w:lvlText w:val="•"/>
      <w:lvlJc w:val="left"/>
      <w:pPr>
        <w:ind w:left="4660" w:hanging="706"/>
      </w:pPr>
      <w:rPr>
        <w:rFonts w:hint="default"/>
        <w:lang w:val="pt-BR" w:eastAsia="pt-BR" w:bidi="pt-BR"/>
      </w:rPr>
    </w:lvl>
    <w:lvl w:ilvl="4">
      <w:numFmt w:val="bullet"/>
      <w:lvlText w:val="•"/>
      <w:lvlJc w:val="left"/>
      <w:pPr>
        <w:ind w:left="5427" w:hanging="706"/>
      </w:pPr>
      <w:rPr>
        <w:rFonts w:hint="default"/>
        <w:lang w:val="pt-BR" w:eastAsia="pt-BR" w:bidi="pt-BR"/>
      </w:rPr>
    </w:lvl>
    <w:lvl w:ilvl="5">
      <w:numFmt w:val="bullet"/>
      <w:lvlText w:val="•"/>
      <w:lvlJc w:val="left"/>
      <w:pPr>
        <w:ind w:left="6194" w:hanging="706"/>
      </w:pPr>
      <w:rPr>
        <w:rFonts w:hint="default"/>
        <w:lang w:val="pt-BR" w:eastAsia="pt-BR" w:bidi="pt-BR"/>
      </w:rPr>
    </w:lvl>
    <w:lvl w:ilvl="6">
      <w:numFmt w:val="bullet"/>
      <w:lvlText w:val="•"/>
      <w:lvlJc w:val="left"/>
      <w:pPr>
        <w:ind w:left="6961" w:hanging="706"/>
      </w:pPr>
      <w:rPr>
        <w:rFonts w:hint="default"/>
        <w:lang w:val="pt-BR" w:eastAsia="pt-BR" w:bidi="pt-BR"/>
      </w:rPr>
    </w:lvl>
    <w:lvl w:ilvl="7">
      <w:numFmt w:val="bullet"/>
      <w:lvlText w:val="•"/>
      <w:lvlJc w:val="left"/>
      <w:pPr>
        <w:ind w:left="7728" w:hanging="706"/>
      </w:pPr>
      <w:rPr>
        <w:rFonts w:hint="default"/>
        <w:lang w:val="pt-BR" w:eastAsia="pt-BR" w:bidi="pt-BR"/>
      </w:rPr>
    </w:lvl>
    <w:lvl w:ilvl="8">
      <w:numFmt w:val="bullet"/>
      <w:lvlText w:val="•"/>
      <w:lvlJc w:val="left"/>
      <w:pPr>
        <w:ind w:left="8495" w:hanging="706"/>
      </w:pPr>
      <w:rPr>
        <w:rFonts w:hint="default"/>
        <w:lang w:val="pt-BR" w:eastAsia="pt-BR" w:bidi="pt-BR"/>
      </w:rPr>
    </w:lvl>
  </w:abstractNum>
  <w:abstractNum w:abstractNumId="4">
    <w:nsid w:val="1AF270B4"/>
    <w:multiLevelType w:val="multilevel"/>
    <w:tmpl w:val="5C0E0C2A"/>
    <w:lvl w:ilvl="0">
      <w:start w:val="6"/>
      <w:numFmt w:val="decimal"/>
      <w:lvlText w:val="%1"/>
      <w:lvlJc w:val="left"/>
      <w:pPr>
        <w:ind w:left="2357" w:hanging="706"/>
        <w:jc w:val="left"/>
      </w:pPr>
      <w:rPr>
        <w:rFonts w:hint="default"/>
        <w:lang w:val="pt-BR" w:eastAsia="pt-BR" w:bidi="pt-BR"/>
      </w:rPr>
    </w:lvl>
    <w:lvl w:ilvl="1">
      <w:start w:val="1"/>
      <w:numFmt w:val="decimal"/>
      <w:lvlText w:val="%1.%2."/>
      <w:lvlJc w:val="left"/>
      <w:pPr>
        <w:ind w:left="2357" w:hanging="706"/>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3893" w:hanging="706"/>
      </w:pPr>
      <w:rPr>
        <w:rFonts w:hint="default"/>
        <w:lang w:val="pt-BR" w:eastAsia="pt-BR" w:bidi="pt-BR"/>
      </w:rPr>
    </w:lvl>
    <w:lvl w:ilvl="3">
      <w:numFmt w:val="bullet"/>
      <w:lvlText w:val="•"/>
      <w:lvlJc w:val="left"/>
      <w:pPr>
        <w:ind w:left="4660" w:hanging="706"/>
      </w:pPr>
      <w:rPr>
        <w:rFonts w:hint="default"/>
        <w:lang w:val="pt-BR" w:eastAsia="pt-BR" w:bidi="pt-BR"/>
      </w:rPr>
    </w:lvl>
    <w:lvl w:ilvl="4">
      <w:numFmt w:val="bullet"/>
      <w:lvlText w:val="•"/>
      <w:lvlJc w:val="left"/>
      <w:pPr>
        <w:ind w:left="5427" w:hanging="706"/>
      </w:pPr>
      <w:rPr>
        <w:rFonts w:hint="default"/>
        <w:lang w:val="pt-BR" w:eastAsia="pt-BR" w:bidi="pt-BR"/>
      </w:rPr>
    </w:lvl>
    <w:lvl w:ilvl="5">
      <w:numFmt w:val="bullet"/>
      <w:lvlText w:val="•"/>
      <w:lvlJc w:val="left"/>
      <w:pPr>
        <w:ind w:left="6194" w:hanging="706"/>
      </w:pPr>
      <w:rPr>
        <w:rFonts w:hint="default"/>
        <w:lang w:val="pt-BR" w:eastAsia="pt-BR" w:bidi="pt-BR"/>
      </w:rPr>
    </w:lvl>
    <w:lvl w:ilvl="6">
      <w:numFmt w:val="bullet"/>
      <w:lvlText w:val="•"/>
      <w:lvlJc w:val="left"/>
      <w:pPr>
        <w:ind w:left="6961" w:hanging="706"/>
      </w:pPr>
      <w:rPr>
        <w:rFonts w:hint="default"/>
        <w:lang w:val="pt-BR" w:eastAsia="pt-BR" w:bidi="pt-BR"/>
      </w:rPr>
    </w:lvl>
    <w:lvl w:ilvl="7">
      <w:numFmt w:val="bullet"/>
      <w:lvlText w:val="•"/>
      <w:lvlJc w:val="left"/>
      <w:pPr>
        <w:ind w:left="7728" w:hanging="706"/>
      </w:pPr>
      <w:rPr>
        <w:rFonts w:hint="default"/>
        <w:lang w:val="pt-BR" w:eastAsia="pt-BR" w:bidi="pt-BR"/>
      </w:rPr>
    </w:lvl>
    <w:lvl w:ilvl="8">
      <w:numFmt w:val="bullet"/>
      <w:lvlText w:val="•"/>
      <w:lvlJc w:val="left"/>
      <w:pPr>
        <w:ind w:left="8495" w:hanging="706"/>
      </w:pPr>
      <w:rPr>
        <w:rFonts w:hint="default"/>
        <w:lang w:val="pt-BR" w:eastAsia="pt-BR" w:bidi="pt-BR"/>
      </w:rPr>
    </w:lvl>
  </w:abstractNum>
  <w:abstractNum w:abstractNumId="5">
    <w:nsid w:val="1E4D375B"/>
    <w:multiLevelType w:val="hybridMultilevel"/>
    <w:tmpl w:val="97C4C976"/>
    <w:lvl w:ilvl="0" w:tplc="2B14019A">
      <w:numFmt w:val="bullet"/>
      <w:lvlText w:val="-"/>
      <w:lvlJc w:val="left"/>
      <w:pPr>
        <w:ind w:left="233" w:hanging="116"/>
      </w:pPr>
      <w:rPr>
        <w:rFonts w:ascii="Times New Roman" w:eastAsia="Times New Roman" w:hAnsi="Times New Roman" w:cs="Times New Roman" w:hint="default"/>
        <w:w w:val="99"/>
        <w:sz w:val="20"/>
        <w:szCs w:val="20"/>
        <w:lang w:val="pt-BR" w:eastAsia="pt-BR" w:bidi="pt-BR"/>
      </w:rPr>
    </w:lvl>
    <w:lvl w:ilvl="1" w:tplc="BC2A107A">
      <w:numFmt w:val="bullet"/>
      <w:lvlText w:val="•"/>
      <w:lvlJc w:val="left"/>
      <w:pPr>
        <w:ind w:left="1760" w:hanging="116"/>
      </w:pPr>
      <w:rPr>
        <w:rFonts w:hint="default"/>
        <w:lang w:val="pt-BR" w:eastAsia="pt-BR" w:bidi="pt-BR"/>
      </w:rPr>
    </w:lvl>
    <w:lvl w:ilvl="2" w:tplc="7D6CFA68">
      <w:numFmt w:val="bullet"/>
      <w:lvlText w:val="•"/>
      <w:lvlJc w:val="left"/>
      <w:pPr>
        <w:ind w:left="2521" w:hanging="116"/>
      </w:pPr>
      <w:rPr>
        <w:rFonts w:hint="default"/>
        <w:lang w:val="pt-BR" w:eastAsia="pt-BR" w:bidi="pt-BR"/>
      </w:rPr>
    </w:lvl>
    <w:lvl w:ilvl="3" w:tplc="1388B82C">
      <w:numFmt w:val="bullet"/>
      <w:lvlText w:val="•"/>
      <w:lvlJc w:val="left"/>
      <w:pPr>
        <w:ind w:left="3282" w:hanging="116"/>
      </w:pPr>
      <w:rPr>
        <w:rFonts w:hint="default"/>
        <w:lang w:val="pt-BR" w:eastAsia="pt-BR" w:bidi="pt-BR"/>
      </w:rPr>
    </w:lvl>
    <w:lvl w:ilvl="4" w:tplc="E3A4AC96">
      <w:numFmt w:val="bullet"/>
      <w:lvlText w:val="•"/>
      <w:lvlJc w:val="left"/>
      <w:pPr>
        <w:ind w:left="4043" w:hanging="116"/>
      </w:pPr>
      <w:rPr>
        <w:rFonts w:hint="default"/>
        <w:lang w:val="pt-BR" w:eastAsia="pt-BR" w:bidi="pt-BR"/>
      </w:rPr>
    </w:lvl>
    <w:lvl w:ilvl="5" w:tplc="9B50DC4E">
      <w:numFmt w:val="bullet"/>
      <w:lvlText w:val="•"/>
      <w:lvlJc w:val="left"/>
      <w:pPr>
        <w:ind w:left="4804" w:hanging="116"/>
      </w:pPr>
      <w:rPr>
        <w:rFonts w:hint="default"/>
        <w:lang w:val="pt-BR" w:eastAsia="pt-BR" w:bidi="pt-BR"/>
      </w:rPr>
    </w:lvl>
    <w:lvl w:ilvl="6" w:tplc="5AF25C94">
      <w:numFmt w:val="bullet"/>
      <w:lvlText w:val="•"/>
      <w:lvlJc w:val="left"/>
      <w:pPr>
        <w:ind w:left="5565" w:hanging="116"/>
      </w:pPr>
      <w:rPr>
        <w:rFonts w:hint="default"/>
        <w:lang w:val="pt-BR" w:eastAsia="pt-BR" w:bidi="pt-BR"/>
      </w:rPr>
    </w:lvl>
    <w:lvl w:ilvl="7" w:tplc="191804B4">
      <w:numFmt w:val="bullet"/>
      <w:lvlText w:val="•"/>
      <w:lvlJc w:val="left"/>
      <w:pPr>
        <w:ind w:left="6326" w:hanging="116"/>
      </w:pPr>
      <w:rPr>
        <w:rFonts w:hint="default"/>
        <w:lang w:val="pt-BR" w:eastAsia="pt-BR" w:bidi="pt-BR"/>
      </w:rPr>
    </w:lvl>
    <w:lvl w:ilvl="8" w:tplc="EFBEDCE4">
      <w:numFmt w:val="bullet"/>
      <w:lvlText w:val="•"/>
      <w:lvlJc w:val="left"/>
      <w:pPr>
        <w:ind w:left="7088" w:hanging="116"/>
      </w:pPr>
      <w:rPr>
        <w:rFonts w:hint="default"/>
        <w:lang w:val="pt-BR" w:eastAsia="pt-BR" w:bidi="pt-BR"/>
      </w:rPr>
    </w:lvl>
  </w:abstractNum>
  <w:abstractNum w:abstractNumId="6">
    <w:nsid w:val="2A041D0B"/>
    <w:multiLevelType w:val="hybridMultilevel"/>
    <w:tmpl w:val="D87498CE"/>
    <w:lvl w:ilvl="0" w:tplc="C6461D1A">
      <w:start w:val="1"/>
      <w:numFmt w:val="decimal"/>
      <w:lvlText w:val="%1."/>
      <w:lvlJc w:val="left"/>
      <w:pPr>
        <w:ind w:left="425" w:hanging="192"/>
        <w:jc w:val="left"/>
      </w:pPr>
      <w:rPr>
        <w:rFonts w:ascii="Times New Roman" w:eastAsia="Times New Roman" w:hAnsi="Times New Roman" w:cs="Times New Roman" w:hint="default"/>
        <w:b/>
        <w:bCs/>
        <w:spacing w:val="0"/>
        <w:w w:val="99"/>
        <w:sz w:val="20"/>
        <w:szCs w:val="20"/>
        <w:lang w:val="pt-BR" w:eastAsia="pt-BR" w:bidi="pt-BR"/>
      </w:rPr>
    </w:lvl>
    <w:lvl w:ilvl="1" w:tplc="C3369642">
      <w:numFmt w:val="bullet"/>
      <w:lvlText w:val="•"/>
      <w:lvlJc w:val="left"/>
      <w:pPr>
        <w:ind w:left="1380" w:hanging="192"/>
      </w:pPr>
      <w:rPr>
        <w:rFonts w:hint="default"/>
        <w:lang w:val="pt-BR" w:eastAsia="pt-BR" w:bidi="pt-BR"/>
      </w:rPr>
    </w:lvl>
    <w:lvl w:ilvl="2" w:tplc="FA0A190C">
      <w:numFmt w:val="bullet"/>
      <w:lvlText w:val="•"/>
      <w:lvlJc w:val="left"/>
      <w:pPr>
        <w:ind w:left="2341" w:hanging="192"/>
      </w:pPr>
      <w:rPr>
        <w:rFonts w:hint="default"/>
        <w:lang w:val="pt-BR" w:eastAsia="pt-BR" w:bidi="pt-BR"/>
      </w:rPr>
    </w:lvl>
    <w:lvl w:ilvl="3" w:tplc="449EF44C">
      <w:numFmt w:val="bullet"/>
      <w:lvlText w:val="•"/>
      <w:lvlJc w:val="left"/>
      <w:pPr>
        <w:ind w:left="3302" w:hanging="192"/>
      </w:pPr>
      <w:rPr>
        <w:rFonts w:hint="default"/>
        <w:lang w:val="pt-BR" w:eastAsia="pt-BR" w:bidi="pt-BR"/>
      </w:rPr>
    </w:lvl>
    <w:lvl w:ilvl="4" w:tplc="9F527644">
      <w:numFmt w:val="bullet"/>
      <w:lvlText w:val="•"/>
      <w:lvlJc w:val="left"/>
      <w:pPr>
        <w:ind w:left="4263" w:hanging="192"/>
      </w:pPr>
      <w:rPr>
        <w:rFonts w:hint="default"/>
        <w:lang w:val="pt-BR" w:eastAsia="pt-BR" w:bidi="pt-BR"/>
      </w:rPr>
    </w:lvl>
    <w:lvl w:ilvl="5" w:tplc="7484537C">
      <w:numFmt w:val="bullet"/>
      <w:lvlText w:val="•"/>
      <w:lvlJc w:val="left"/>
      <w:pPr>
        <w:ind w:left="5224" w:hanging="192"/>
      </w:pPr>
      <w:rPr>
        <w:rFonts w:hint="default"/>
        <w:lang w:val="pt-BR" w:eastAsia="pt-BR" w:bidi="pt-BR"/>
      </w:rPr>
    </w:lvl>
    <w:lvl w:ilvl="6" w:tplc="29924860">
      <w:numFmt w:val="bullet"/>
      <w:lvlText w:val="•"/>
      <w:lvlJc w:val="left"/>
      <w:pPr>
        <w:ind w:left="6185" w:hanging="192"/>
      </w:pPr>
      <w:rPr>
        <w:rFonts w:hint="default"/>
        <w:lang w:val="pt-BR" w:eastAsia="pt-BR" w:bidi="pt-BR"/>
      </w:rPr>
    </w:lvl>
    <w:lvl w:ilvl="7" w:tplc="D8EA36F0">
      <w:numFmt w:val="bullet"/>
      <w:lvlText w:val="•"/>
      <w:lvlJc w:val="left"/>
      <w:pPr>
        <w:ind w:left="7146" w:hanging="192"/>
      </w:pPr>
      <w:rPr>
        <w:rFonts w:hint="default"/>
        <w:lang w:val="pt-BR" w:eastAsia="pt-BR" w:bidi="pt-BR"/>
      </w:rPr>
    </w:lvl>
    <w:lvl w:ilvl="8" w:tplc="0BEEF9DC">
      <w:numFmt w:val="bullet"/>
      <w:lvlText w:val="•"/>
      <w:lvlJc w:val="left"/>
      <w:pPr>
        <w:ind w:left="8107" w:hanging="192"/>
      </w:pPr>
      <w:rPr>
        <w:rFonts w:hint="default"/>
        <w:lang w:val="pt-BR" w:eastAsia="pt-BR" w:bidi="pt-BR"/>
      </w:rPr>
    </w:lvl>
  </w:abstractNum>
  <w:abstractNum w:abstractNumId="7">
    <w:nsid w:val="2F8F4BA2"/>
    <w:multiLevelType w:val="multilevel"/>
    <w:tmpl w:val="FC8AFDC2"/>
    <w:lvl w:ilvl="0">
      <w:start w:val="4"/>
      <w:numFmt w:val="decimal"/>
      <w:lvlText w:val="%1"/>
      <w:lvlJc w:val="left"/>
      <w:pPr>
        <w:ind w:left="233" w:hanging="706"/>
        <w:jc w:val="left"/>
      </w:pPr>
      <w:rPr>
        <w:rFonts w:hint="default"/>
        <w:lang w:val="pt-BR" w:eastAsia="pt-BR" w:bidi="pt-BR"/>
      </w:rPr>
    </w:lvl>
    <w:lvl w:ilvl="1">
      <w:start w:val="1"/>
      <w:numFmt w:val="decimal"/>
      <w:lvlText w:val="%1.%2."/>
      <w:lvlJc w:val="left"/>
      <w:pPr>
        <w:ind w:left="233" w:hanging="706"/>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2197" w:hanging="706"/>
      </w:pPr>
      <w:rPr>
        <w:rFonts w:hint="default"/>
        <w:lang w:val="pt-BR" w:eastAsia="pt-BR" w:bidi="pt-BR"/>
      </w:rPr>
    </w:lvl>
    <w:lvl w:ilvl="3">
      <w:numFmt w:val="bullet"/>
      <w:lvlText w:val="•"/>
      <w:lvlJc w:val="left"/>
      <w:pPr>
        <w:ind w:left="3176" w:hanging="706"/>
      </w:pPr>
      <w:rPr>
        <w:rFonts w:hint="default"/>
        <w:lang w:val="pt-BR" w:eastAsia="pt-BR" w:bidi="pt-BR"/>
      </w:rPr>
    </w:lvl>
    <w:lvl w:ilvl="4">
      <w:numFmt w:val="bullet"/>
      <w:lvlText w:val="•"/>
      <w:lvlJc w:val="left"/>
      <w:pPr>
        <w:ind w:left="4155" w:hanging="706"/>
      </w:pPr>
      <w:rPr>
        <w:rFonts w:hint="default"/>
        <w:lang w:val="pt-BR" w:eastAsia="pt-BR" w:bidi="pt-BR"/>
      </w:rPr>
    </w:lvl>
    <w:lvl w:ilvl="5">
      <w:numFmt w:val="bullet"/>
      <w:lvlText w:val="•"/>
      <w:lvlJc w:val="left"/>
      <w:pPr>
        <w:ind w:left="5134" w:hanging="706"/>
      </w:pPr>
      <w:rPr>
        <w:rFonts w:hint="default"/>
        <w:lang w:val="pt-BR" w:eastAsia="pt-BR" w:bidi="pt-BR"/>
      </w:rPr>
    </w:lvl>
    <w:lvl w:ilvl="6">
      <w:numFmt w:val="bullet"/>
      <w:lvlText w:val="•"/>
      <w:lvlJc w:val="left"/>
      <w:pPr>
        <w:ind w:left="6113" w:hanging="706"/>
      </w:pPr>
      <w:rPr>
        <w:rFonts w:hint="default"/>
        <w:lang w:val="pt-BR" w:eastAsia="pt-BR" w:bidi="pt-BR"/>
      </w:rPr>
    </w:lvl>
    <w:lvl w:ilvl="7">
      <w:numFmt w:val="bullet"/>
      <w:lvlText w:val="•"/>
      <w:lvlJc w:val="left"/>
      <w:pPr>
        <w:ind w:left="7092" w:hanging="706"/>
      </w:pPr>
      <w:rPr>
        <w:rFonts w:hint="default"/>
        <w:lang w:val="pt-BR" w:eastAsia="pt-BR" w:bidi="pt-BR"/>
      </w:rPr>
    </w:lvl>
    <w:lvl w:ilvl="8">
      <w:numFmt w:val="bullet"/>
      <w:lvlText w:val="•"/>
      <w:lvlJc w:val="left"/>
      <w:pPr>
        <w:ind w:left="8071" w:hanging="706"/>
      </w:pPr>
      <w:rPr>
        <w:rFonts w:hint="default"/>
        <w:lang w:val="pt-BR" w:eastAsia="pt-BR" w:bidi="pt-BR"/>
      </w:rPr>
    </w:lvl>
  </w:abstractNum>
  <w:abstractNum w:abstractNumId="8">
    <w:nsid w:val="31FA0F36"/>
    <w:multiLevelType w:val="multilevel"/>
    <w:tmpl w:val="C99C0826"/>
    <w:lvl w:ilvl="0">
      <w:start w:val="5"/>
      <w:numFmt w:val="decimal"/>
      <w:lvlText w:val="%1"/>
      <w:lvlJc w:val="left"/>
      <w:pPr>
        <w:ind w:left="2357" w:hanging="706"/>
        <w:jc w:val="left"/>
      </w:pPr>
      <w:rPr>
        <w:rFonts w:hint="default"/>
        <w:lang w:val="pt-BR" w:eastAsia="pt-BR" w:bidi="pt-BR"/>
      </w:rPr>
    </w:lvl>
    <w:lvl w:ilvl="1">
      <w:start w:val="1"/>
      <w:numFmt w:val="decimal"/>
      <w:lvlText w:val="%1.%2."/>
      <w:lvlJc w:val="left"/>
      <w:pPr>
        <w:ind w:left="2357" w:hanging="706"/>
        <w:jc w:val="left"/>
      </w:pPr>
      <w:rPr>
        <w:rFonts w:ascii="Times New Roman" w:eastAsia="Times New Roman" w:hAnsi="Times New Roman" w:cs="Times New Roman" w:hint="default"/>
        <w:b/>
        <w:bCs/>
        <w:spacing w:val="0"/>
        <w:w w:val="99"/>
        <w:sz w:val="20"/>
        <w:szCs w:val="20"/>
        <w:lang w:val="pt-BR" w:eastAsia="pt-BR" w:bidi="pt-BR"/>
      </w:rPr>
    </w:lvl>
    <w:lvl w:ilvl="2">
      <w:start w:val="1"/>
      <w:numFmt w:val="decimal"/>
      <w:lvlText w:val="%1.%2.%3."/>
      <w:lvlJc w:val="left"/>
      <w:pPr>
        <w:ind w:left="2357" w:hanging="706"/>
        <w:jc w:val="left"/>
      </w:pPr>
      <w:rPr>
        <w:rFonts w:ascii="Times New Roman" w:eastAsia="Times New Roman" w:hAnsi="Times New Roman" w:cs="Times New Roman" w:hint="default"/>
        <w:b/>
        <w:bCs/>
        <w:spacing w:val="0"/>
        <w:w w:val="99"/>
        <w:sz w:val="20"/>
        <w:szCs w:val="20"/>
        <w:lang w:val="pt-BR" w:eastAsia="pt-BR" w:bidi="pt-BR"/>
      </w:rPr>
    </w:lvl>
    <w:lvl w:ilvl="3">
      <w:start w:val="1"/>
      <w:numFmt w:val="decimal"/>
      <w:lvlText w:val="%1.%2.%3.%4."/>
      <w:lvlJc w:val="left"/>
      <w:pPr>
        <w:ind w:left="2357" w:hanging="706"/>
        <w:jc w:val="left"/>
      </w:pPr>
      <w:rPr>
        <w:rFonts w:ascii="Times New Roman" w:eastAsia="Times New Roman" w:hAnsi="Times New Roman" w:cs="Times New Roman" w:hint="default"/>
        <w:b/>
        <w:bCs/>
        <w:spacing w:val="-2"/>
        <w:w w:val="99"/>
        <w:sz w:val="20"/>
        <w:szCs w:val="20"/>
        <w:lang w:val="pt-BR" w:eastAsia="pt-BR" w:bidi="pt-BR"/>
      </w:rPr>
    </w:lvl>
    <w:lvl w:ilvl="4">
      <w:numFmt w:val="bullet"/>
      <w:lvlText w:val="•"/>
      <w:lvlJc w:val="left"/>
      <w:pPr>
        <w:ind w:left="5427" w:hanging="706"/>
      </w:pPr>
      <w:rPr>
        <w:rFonts w:hint="default"/>
        <w:lang w:val="pt-BR" w:eastAsia="pt-BR" w:bidi="pt-BR"/>
      </w:rPr>
    </w:lvl>
    <w:lvl w:ilvl="5">
      <w:numFmt w:val="bullet"/>
      <w:lvlText w:val="•"/>
      <w:lvlJc w:val="left"/>
      <w:pPr>
        <w:ind w:left="6194" w:hanging="706"/>
      </w:pPr>
      <w:rPr>
        <w:rFonts w:hint="default"/>
        <w:lang w:val="pt-BR" w:eastAsia="pt-BR" w:bidi="pt-BR"/>
      </w:rPr>
    </w:lvl>
    <w:lvl w:ilvl="6">
      <w:numFmt w:val="bullet"/>
      <w:lvlText w:val="•"/>
      <w:lvlJc w:val="left"/>
      <w:pPr>
        <w:ind w:left="6961" w:hanging="706"/>
      </w:pPr>
      <w:rPr>
        <w:rFonts w:hint="default"/>
        <w:lang w:val="pt-BR" w:eastAsia="pt-BR" w:bidi="pt-BR"/>
      </w:rPr>
    </w:lvl>
    <w:lvl w:ilvl="7">
      <w:numFmt w:val="bullet"/>
      <w:lvlText w:val="•"/>
      <w:lvlJc w:val="left"/>
      <w:pPr>
        <w:ind w:left="7728" w:hanging="706"/>
      </w:pPr>
      <w:rPr>
        <w:rFonts w:hint="default"/>
        <w:lang w:val="pt-BR" w:eastAsia="pt-BR" w:bidi="pt-BR"/>
      </w:rPr>
    </w:lvl>
    <w:lvl w:ilvl="8">
      <w:numFmt w:val="bullet"/>
      <w:lvlText w:val="•"/>
      <w:lvlJc w:val="left"/>
      <w:pPr>
        <w:ind w:left="8495" w:hanging="706"/>
      </w:pPr>
      <w:rPr>
        <w:rFonts w:hint="default"/>
        <w:lang w:val="pt-BR" w:eastAsia="pt-BR" w:bidi="pt-BR"/>
      </w:rPr>
    </w:lvl>
  </w:abstractNum>
  <w:abstractNum w:abstractNumId="9">
    <w:nsid w:val="33C128DB"/>
    <w:multiLevelType w:val="hybridMultilevel"/>
    <w:tmpl w:val="45C02446"/>
    <w:lvl w:ilvl="0" w:tplc="EF9A8A8C">
      <w:start w:val="1"/>
      <w:numFmt w:val="decimal"/>
      <w:lvlText w:val="%1)"/>
      <w:lvlJc w:val="left"/>
      <w:pPr>
        <w:ind w:left="233" w:hanging="235"/>
        <w:jc w:val="left"/>
      </w:pPr>
      <w:rPr>
        <w:rFonts w:ascii="Times New Roman" w:eastAsia="Times New Roman" w:hAnsi="Times New Roman" w:cs="Times New Roman" w:hint="default"/>
        <w:spacing w:val="0"/>
        <w:w w:val="99"/>
        <w:sz w:val="20"/>
        <w:szCs w:val="20"/>
        <w:lang w:val="pt-BR" w:eastAsia="pt-BR" w:bidi="pt-BR"/>
      </w:rPr>
    </w:lvl>
    <w:lvl w:ilvl="1" w:tplc="BDF05558">
      <w:start w:val="1"/>
      <w:numFmt w:val="lowerLetter"/>
      <w:lvlText w:val="%2)"/>
      <w:lvlJc w:val="left"/>
      <w:pPr>
        <w:ind w:left="233" w:hanging="206"/>
        <w:jc w:val="left"/>
      </w:pPr>
      <w:rPr>
        <w:rFonts w:ascii="Times New Roman" w:eastAsia="Times New Roman" w:hAnsi="Times New Roman" w:cs="Times New Roman" w:hint="default"/>
        <w:w w:val="99"/>
        <w:sz w:val="20"/>
        <w:szCs w:val="20"/>
        <w:lang w:val="pt-BR" w:eastAsia="pt-BR" w:bidi="pt-BR"/>
      </w:rPr>
    </w:lvl>
    <w:lvl w:ilvl="2" w:tplc="A330DC32">
      <w:numFmt w:val="bullet"/>
      <w:lvlText w:val="•"/>
      <w:lvlJc w:val="left"/>
      <w:pPr>
        <w:ind w:left="2197" w:hanging="206"/>
      </w:pPr>
      <w:rPr>
        <w:rFonts w:hint="default"/>
        <w:lang w:val="pt-BR" w:eastAsia="pt-BR" w:bidi="pt-BR"/>
      </w:rPr>
    </w:lvl>
    <w:lvl w:ilvl="3" w:tplc="0150C9AC">
      <w:numFmt w:val="bullet"/>
      <w:lvlText w:val="•"/>
      <w:lvlJc w:val="left"/>
      <w:pPr>
        <w:ind w:left="3176" w:hanging="206"/>
      </w:pPr>
      <w:rPr>
        <w:rFonts w:hint="default"/>
        <w:lang w:val="pt-BR" w:eastAsia="pt-BR" w:bidi="pt-BR"/>
      </w:rPr>
    </w:lvl>
    <w:lvl w:ilvl="4" w:tplc="4EBCD164">
      <w:numFmt w:val="bullet"/>
      <w:lvlText w:val="•"/>
      <w:lvlJc w:val="left"/>
      <w:pPr>
        <w:ind w:left="4155" w:hanging="206"/>
      </w:pPr>
      <w:rPr>
        <w:rFonts w:hint="default"/>
        <w:lang w:val="pt-BR" w:eastAsia="pt-BR" w:bidi="pt-BR"/>
      </w:rPr>
    </w:lvl>
    <w:lvl w:ilvl="5" w:tplc="6D6C2690">
      <w:numFmt w:val="bullet"/>
      <w:lvlText w:val="•"/>
      <w:lvlJc w:val="left"/>
      <w:pPr>
        <w:ind w:left="5134" w:hanging="206"/>
      </w:pPr>
      <w:rPr>
        <w:rFonts w:hint="default"/>
        <w:lang w:val="pt-BR" w:eastAsia="pt-BR" w:bidi="pt-BR"/>
      </w:rPr>
    </w:lvl>
    <w:lvl w:ilvl="6" w:tplc="B302C292">
      <w:numFmt w:val="bullet"/>
      <w:lvlText w:val="•"/>
      <w:lvlJc w:val="left"/>
      <w:pPr>
        <w:ind w:left="6113" w:hanging="206"/>
      </w:pPr>
      <w:rPr>
        <w:rFonts w:hint="default"/>
        <w:lang w:val="pt-BR" w:eastAsia="pt-BR" w:bidi="pt-BR"/>
      </w:rPr>
    </w:lvl>
    <w:lvl w:ilvl="7" w:tplc="E18EAFAA">
      <w:numFmt w:val="bullet"/>
      <w:lvlText w:val="•"/>
      <w:lvlJc w:val="left"/>
      <w:pPr>
        <w:ind w:left="7092" w:hanging="206"/>
      </w:pPr>
      <w:rPr>
        <w:rFonts w:hint="default"/>
        <w:lang w:val="pt-BR" w:eastAsia="pt-BR" w:bidi="pt-BR"/>
      </w:rPr>
    </w:lvl>
    <w:lvl w:ilvl="8" w:tplc="944C9D3A">
      <w:numFmt w:val="bullet"/>
      <w:lvlText w:val="•"/>
      <w:lvlJc w:val="left"/>
      <w:pPr>
        <w:ind w:left="8071" w:hanging="206"/>
      </w:pPr>
      <w:rPr>
        <w:rFonts w:hint="default"/>
        <w:lang w:val="pt-BR" w:eastAsia="pt-BR" w:bidi="pt-BR"/>
      </w:rPr>
    </w:lvl>
  </w:abstractNum>
  <w:abstractNum w:abstractNumId="10">
    <w:nsid w:val="3401570F"/>
    <w:multiLevelType w:val="hybridMultilevel"/>
    <w:tmpl w:val="4EDCA5EC"/>
    <w:lvl w:ilvl="0" w:tplc="FBFA42A4">
      <w:numFmt w:val="bullet"/>
      <w:lvlText w:val="-"/>
      <w:lvlJc w:val="left"/>
      <w:pPr>
        <w:ind w:left="1226" w:hanging="994"/>
      </w:pPr>
      <w:rPr>
        <w:rFonts w:ascii="Arial" w:eastAsia="Arial" w:hAnsi="Arial" w:cs="Arial" w:hint="default"/>
        <w:w w:val="99"/>
        <w:sz w:val="20"/>
        <w:szCs w:val="20"/>
        <w:lang w:val="pt-BR" w:eastAsia="pt-BR" w:bidi="pt-BR"/>
      </w:rPr>
    </w:lvl>
    <w:lvl w:ilvl="1" w:tplc="10480A10">
      <w:numFmt w:val="bullet"/>
      <w:lvlText w:val="•"/>
      <w:lvlJc w:val="left"/>
      <w:pPr>
        <w:ind w:left="2100" w:hanging="994"/>
      </w:pPr>
      <w:rPr>
        <w:rFonts w:hint="default"/>
        <w:lang w:val="pt-BR" w:eastAsia="pt-BR" w:bidi="pt-BR"/>
      </w:rPr>
    </w:lvl>
    <w:lvl w:ilvl="2" w:tplc="71F42E1A">
      <w:numFmt w:val="bullet"/>
      <w:lvlText w:val="•"/>
      <w:lvlJc w:val="left"/>
      <w:pPr>
        <w:ind w:left="2981" w:hanging="994"/>
      </w:pPr>
      <w:rPr>
        <w:rFonts w:hint="default"/>
        <w:lang w:val="pt-BR" w:eastAsia="pt-BR" w:bidi="pt-BR"/>
      </w:rPr>
    </w:lvl>
    <w:lvl w:ilvl="3" w:tplc="E2D48734">
      <w:numFmt w:val="bullet"/>
      <w:lvlText w:val="•"/>
      <w:lvlJc w:val="left"/>
      <w:pPr>
        <w:ind w:left="3862" w:hanging="994"/>
      </w:pPr>
      <w:rPr>
        <w:rFonts w:hint="default"/>
        <w:lang w:val="pt-BR" w:eastAsia="pt-BR" w:bidi="pt-BR"/>
      </w:rPr>
    </w:lvl>
    <w:lvl w:ilvl="4" w:tplc="76FC40DA">
      <w:numFmt w:val="bullet"/>
      <w:lvlText w:val="•"/>
      <w:lvlJc w:val="left"/>
      <w:pPr>
        <w:ind w:left="4743" w:hanging="994"/>
      </w:pPr>
      <w:rPr>
        <w:rFonts w:hint="default"/>
        <w:lang w:val="pt-BR" w:eastAsia="pt-BR" w:bidi="pt-BR"/>
      </w:rPr>
    </w:lvl>
    <w:lvl w:ilvl="5" w:tplc="5A18B712">
      <w:numFmt w:val="bullet"/>
      <w:lvlText w:val="•"/>
      <w:lvlJc w:val="left"/>
      <w:pPr>
        <w:ind w:left="5624" w:hanging="994"/>
      </w:pPr>
      <w:rPr>
        <w:rFonts w:hint="default"/>
        <w:lang w:val="pt-BR" w:eastAsia="pt-BR" w:bidi="pt-BR"/>
      </w:rPr>
    </w:lvl>
    <w:lvl w:ilvl="6" w:tplc="BC5A7FBC">
      <w:numFmt w:val="bullet"/>
      <w:lvlText w:val="•"/>
      <w:lvlJc w:val="left"/>
      <w:pPr>
        <w:ind w:left="6505" w:hanging="994"/>
      </w:pPr>
      <w:rPr>
        <w:rFonts w:hint="default"/>
        <w:lang w:val="pt-BR" w:eastAsia="pt-BR" w:bidi="pt-BR"/>
      </w:rPr>
    </w:lvl>
    <w:lvl w:ilvl="7" w:tplc="AE7A0024">
      <w:numFmt w:val="bullet"/>
      <w:lvlText w:val="•"/>
      <w:lvlJc w:val="left"/>
      <w:pPr>
        <w:ind w:left="7386" w:hanging="994"/>
      </w:pPr>
      <w:rPr>
        <w:rFonts w:hint="default"/>
        <w:lang w:val="pt-BR" w:eastAsia="pt-BR" w:bidi="pt-BR"/>
      </w:rPr>
    </w:lvl>
    <w:lvl w:ilvl="8" w:tplc="DE6208B4">
      <w:numFmt w:val="bullet"/>
      <w:lvlText w:val="•"/>
      <w:lvlJc w:val="left"/>
      <w:pPr>
        <w:ind w:left="8267" w:hanging="994"/>
      </w:pPr>
      <w:rPr>
        <w:rFonts w:hint="default"/>
        <w:lang w:val="pt-BR" w:eastAsia="pt-BR" w:bidi="pt-BR"/>
      </w:rPr>
    </w:lvl>
  </w:abstractNum>
  <w:abstractNum w:abstractNumId="11">
    <w:nsid w:val="52861667"/>
    <w:multiLevelType w:val="hybridMultilevel"/>
    <w:tmpl w:val="4DE241D8"/>
    <w:lvl w:ilvl="0" w:tplc="70083BA0">
      <w:start w:val="1"/>
      <w:numFmt w:val="decimal"/>
      <w:lvlText w:val="%1."/>
      <w:lvlJc w:val="left"/>
      <w:pPr>
        <w:ind w:left="941" w:hanging="708"/>
        <w:jc w:val="left"/>
      </w:pPr>
      <w:rPr>
        <w:rFonts w:ascii="Times New Roman" w:eastAsia="Times New Roman" w:hAnsi="Times New Roman" w:cs="Times New Roman" w:hint="default"/>
        <w:b/>
        <w:bCs/>
        <w:spacing w:val="0"/>
        <w:w w:val="99"/>
        <w:sz w:val="20"/>
        <w:szCs w:val="20"/>
        <w:lang w:val="pt-BR" w:eastAsia="pt-BR" w:bidi="pt-BR"/>
      </w:rPr>
    </w:lvl>
    <w:lvl w:ilvl="1" w:tplc="F5A44054">
      <w:numFmt w:val="bullet"/>
      <w:lvlText w:val="•"/>
      <w:lvlJc w:val="left"/>
      <w:pPr>
        <w:ind w:left="1848" w:hanging="708"/>
      </w:pPr>
      <w:rPr>
        <w:rFonts w:hint="default"/>
        <w:lang w:val="pt-BR" w:eastAsia="pt-BR" w:bidi="pt-BR"/>
      </w:rPr>
    </w:lvl>
    <w:lvl w:ilvl="2" w:tplc="618C8FA4">
      <w:numFmt w:val="bullet"/>
      <w:lvlText w:val="•"/>
      <w:lvlJc w:val="left"/>
      <w:pPr>
        <w:ind w:left="2757" w:hanging="708"/>
      </w:pPr>
      <w:rPr>
        <w:rFonts w:hint="default"/>
        <w:lang w:val="pt-BR" w:eastAsia="pt-BR" w:bidi="pt-BR"/>
      </w:rPr>
    </w:lvl>
    <w:lvl w:ilvl="3" w:tplc="345C1F58">
      <w:numFmt w:val="bullet"/>
      <w:lvlText w:val="•"/>
      <w:lvlJc w:val="left"/>
      <w:pPr>
        <w:ind w:left="3666" w:hanging="708"/>
      </w:pPr>
      <w:rPr>
        <w:rFonts w:hint="default"/>
        <w:lang w:val="pt-BR" w:eastAsia="pt-BR" w:bidi="pt-BR"/>
      </w:rPr>
    </w:lvl>
    <w:lvl w:ilvl="4" w:tplc="CF08F71E">
      <w:numFmt w:val="bullet"/>
      <w:lvlText w:val="•"/>
      <w:lvlJc w:val="left"/>
      <w:pPr>
        <w:ind w:left="4575" w:hanging="708"/>
      </w:pPr>
      <w:rPr>
        <w:rFonts w:hint="default"/>
        <w:lang w:val="pt-BR" w:eastAsia="pt-BR" w:bidi="pt-BR"/>
      </w:rPr>
    </w:lvl>
    <w:lvl w:ilvl="5" w:tplc="DF626930">
      <w:numFmt w:val="bullet"/>
      <w:lvlText w:val="•"/>
      <w:lvlJc w:val="left"/>
      <w:pPr>
        <w:ind w:left="5484" w:hanging="708"/>
      </w:pPr>
      <w:rPr>
        <w:rFonts w:hint="default"/>
        <w:lang w:val="pt-BR" w:eastAsia="pt-BR" w:bidi="pt-BR"/>
      </w:rPr>
    </w:lvl>
    <w:lvl w:ilvl="6" w:tplc="AFA49E3A">
      <w:numFmt w:val="bullet"/>
      <w:lvlText w:val="•"/>
      <w:lvlJc w:val="left"/>
      <w:pPr>
        <w:ind w:left="6393" w:hanging="708"/>
      </w:pPr>
      <w:rPr>
        <w:rFonts w:hint="default"/>
        <w:lang w:val="pt-BR" w:eastAsia="pt-BR" w:bidi="pt-BR"/>
      </w:rPr>
    </w:lvl>
    <w:lvl w:ilvl="7" w:tplc="BF940546">
      <w:numFmt w:val="bullet"/>
      <w:lvlText w:val="•"/>
      <w:lvlJc w:val="left"/>
      <w:pPr>
        <w:ind w:left="7302" w:hanging="708"/>
      </w:pPr>
      <w:rPr>
        <w:rFonts w:hint="default"/>
        <w:lang w:val="pt-BR" w:eastAsia="pt-BR" w:bidi="pt-BR"/>
      </w:rPr>
    </w:lvl>
    <w:lvl w:ilvl="8" w:tplc="BCCC9846">
      <w:numFmt w:val="bullet"/>
      <w:lvlText w:val="•"/>
      <w:lvlJc w:val="left"/>
      <w:pPr>
        <w:ind w:left="8211" w:hanging="708"/>
      </w:pPr>
      <w:rPr>
        <w:rFonts w:hint="default"/>
        <w:lang w:val="pt-BR" w:eastAsia="pt-BR" w:bidi="pt-BR"/>
      </w:rPr>
    </w:lvl>
  </w:abstractNum>
  <w:abstractNum w:abstractNumId="12">
    <w:nsid w:val="5F4C32D7"/>
    <w:multiLevelType w:val="hybridMultilevel"/>
    <w:tmpl w:val="3EF2161A"/>
    <w:lvl w:ilvl="0" w:tplc="3618ACA2">
      <w:numFmt w:val="bullet"/>
      <w:lvlText w:val="-"/>
      <w:lvlJc w:val="left"/>
      <w:pPr>
        <w:ind w:left="233" w:hanging="116"/>
      </w:pPr>
      <w:rPr>
        <w:rFonts w:ascii="Times New Roman" w:eastAsia="Times New Roman" w:hAnsi="Times New Roman" w:cs="Times New Roman" w:hint="default"/>
        <w:w w:val="99"/>
        <w:sz w:val="20"/>
        <w:szCs w:val="20"/>
        <w:lang w:val="pt-BR" w:eastAsia="pt-BR" w:bidi="pt-BR"/>
      </w:rPr>
    </w:lvl>
    <w:lvl w:ilvl="1" w:tplc="5A08414E">
      <w:numFmt w:val="bullet"/>
      <w:lvlText w:val="•"/>
      <w:lvlJc w:val="left"/>
      <w:pPr>
        <w:ind w:left="1218" w:hanging="116"/>
      </w:pPr>
      <w:rPr>
        <w:rFonts w:hint="default"/>
        <w:lang w:val="pt-BR" w:eastAsia="pt-BR" w:bidi="pt-BR"/>
      </w:rPr>
    </w:lvl>
    <w:lvl w:ilvl="2" w:tplc="DC4E482A">
      <w:numFmt w:val="bullet"/>
      <w:lvlText w:val="•"/>
      <w:lvlJc w:val="left"/>
      <w:pPr>
        <w:ind w:left="2197" w:hanging="116"/>
      </w:pPr>
      <w:rPr>
        <w:rFonts w:hint="default"/>
        <w:lang w:val="pt-BR" w:eastAsia="pt-BR" w:bidi="pt-BR"/>
      </w:rPr>
    </w:lvl>
    <w:lvl w:ilvl="3" w:tplc="0108CF04">
      <w:numFmt w:val="bullet"/>
      <w:lvlText w:val="•"/>
      <w:lvlJc w:val="left"/>
      <w:pPr>
        <w:ind w:left="3176" w:hanging="116"/>
      </w:pPr>
      <w:rPr>
        <w:rFonts w:hint="default"/>
        <w:lang w:val="pt-BR" w:eastAsia="pt-BR" w:bidi="pt-BR"/>
      </w:rPr>
    </w:lvl>
    <w:lvl w:ilvl="4" w:tplc="65921016">
      <w:numFmt w:val="bullet"/>
      <w:lvlText w:val="•"/>
      <w:lvlJc w:val="left"/>
      <w:pPr>
        <w:ind w:left="4155" w:hanging="116"/>
      </w:pPr>
      <w:rPr>
        <w:rFonts w:hint="default"/>
        <w:lang w:val="pt-BR" w:eastAsia="pt-BR" w:bidi="pt-BR"/>
      </w:rPr>
    </w:lvl>
    <w:lvl w:ilvl="5" w:tplc="7A547FCC">
      <w:numFmt w:val="bullet"/>
      <w:lvlText w:val="•"/>
      <w:lvlJc w:val="left"/>
      <w:pPr>
        <w:ind w:left="5134" w:hanging="116"/>
      </w:pPr>
      <w:rPr>
        <w:rFonts w:hint="default"/>
        <w:lang w:val="pt-BR" w:eastAsia="pt-BR" w:bidi="pt-BR"/>
      </w:rPr>
    </w:lvl>
    <w:lvl w:ilvl="6" w:tplc="58981B68">
      <w:numFmt w:val="bullet"/>
      <w:lvlText w:val="•"/>
      <w:lvlJc w:val="left"/>
      <w:pPr>
        <w:ind w:left="6113" w:hanging="116"/>
      </w:pPr>
      <w:rPr>
        <w:rFonts w:hint="default"/>
        <w:lang w:val="pt-BR" w:eastAsia="pt-BR" w:bidi="pt-BR"/>
      </w:rPr>
    </w:lvl>
    <w:lvl w:ilvl="7" w:tplc="D22A0FCC">
      <w:numFmt w:val="bullet"/>
      <w:lvlText w:val="•"/>
      <w:lvlJc w:val="left"/>
      <w:pPr>
        <w:ind w:left="7092" w:hanging="116"/>
      </w:pPr>
      <w:rPr>
        <w:rFonts w:hint="default"/>
        <w:lang w:val="pt-BR" w:eastAsia="pt-BR" w:bidi="pt-BR"/>
      </w:rPr>
    </w:lvl>
    <w:lvl w:ilvl="8" w:tplc="52A4D62C">
      <w:numFmt w:val="bullet"/>
      <w:lvlText w:val="•"/>
      <w:lvlJc w:val="left"/>
      <w:pPr>
        <w:ind w:left="8071" w:hanging="116"/>
      </w:pPr>
      <w:rPr>
        <w:rFonts w:hint="default"/>
        <w:lang w:val="pt-BR" w:eastAsia="pt-BR" w:bidi="pt-BR"/>
      </w:rPr>
    </w:lvl>
  </w:abstractNum>
  <w:abstractNum w:abstractNumId="13">
    <w:nsid w:val="6BB66F09"/>
    <w:multiLevelType w:val="multilevel"/>
    <w:tmpl w:val="D438255E"/>
    <w:lvl w:ilvl="0">
      <w:start w:val="1"/>
      <w:numFmt w:val="decimal"/>
      <w:lvlText w:val="%1."/>
      <w:lvlJc w:val="left"/>
      <w:pPr>
        <w:ind w:left="233" w:hanging="360"/>
        <w:jc w:val="right"/>
      </w:pPr>
      <w:rPr>
        <w:rFonts w:ascii="Times New Roman" w:eastAsia="Times New Roman" w:hAnsi="Times New Roman" w:cs="Times New Roman" w:hint="default"/>
        <w:b/>
        <w:bCs/>
        <w:spacing w:val="0"/>
        <w:w w:val="99"/>
        <w:sz w:val="20"/>
        <w:szCs w:val="20"/>
        <w:lang w:val="pt-BR" w:eastAsia="pt-BR" w:bidi="pt-BR"/>
      </w:rPr>
    </w:lvl>
    <w:lvl w:ilvl="1">
      <w:start w:val="1"/>
      <w:numFmt w:val="decimal"/>
      <w:lvlText w:val="%1.%2"/>
      <w:lvlJc w:val="left"/>
      <w:pPr>
        <w:ind w:left="1954" w:hanging="303"/>
        <w:jc w:val="left"/>
      </w:pPr>
      <w:rPr>
        <w:rFonts w:ascii="Times New Roman" w:eastAsia="Times New Roman" w:hAnsi="Times New Roman" w:cs="Times New Roman" w:hint="default"/>
        <w:b/>
        <w:bCs/>
        <w:spacing w:val="0"/>
        <w:w w:val="99"/>
        <w:sz w:val="20"/>
        <w:szCs w:val="20"/>
        <w:lang w:val="pt-BR" w:eastAsia="pt-BR" w:bidi="pt-BR"/>
      </w:rPr>
    </w:lvl>
    <w:lvl w:ilvl="2">
      <w:start w:val="1"/>
      <w:numFmt w:val="decimal"/>
      <w:lvlText w:val="%1.%2.%3"/>
      <w:lvlJc w:val="left"/>
      <w:pPr>
        <w:ind w:left="2103" w:hanging="453"/>
        <w:jc w:val="left"/>
      </w:pPr>
      <w:rPr>
        <w:rFonts w:hint="default"/>
        <w:b/>
        <w:bCs/>
        <w:spacing w:val="0"/>
        <w:w w:val="99"/>
        <w:lang w:val="pt-BR" w:eastAsia="pt-BR" w:bidi="pt-BR"/>
      </w:rPr>
    </w:lvl>
    <w:lvl w:ilvl="3">
      <w:numFmt w:val="bullet"/>
      <w:lvlText w:val="•"/>
      <w:lvlJc w:val="left"/>
      <w:pPr>
        <w:ind w:left="3091" w:hanging="453"/>
      </w:pPr>
      <w:rPr>
        <w:rFonts w:hint="default"/>
        <w:lang w:val="pt-BR" w:eastAsia="pt-BR" w:bidi="pt-BR"/>
      </w:rPr>
    </w:lvl>
    <w:lvl w:ilvl="4">
      <w:numFmt w:val="bullet"/>
      <w:lvlText w:val="•"/>
      <w:lvlJc w:val="left"/>
      <w:pPr>
        <w:ind w:left="4082" w:hanging="453"/>
      </w:pPr>
      <w:rPr>
        <w:rFonts w:hint="default"/>
        <w:lang w:val="pt-BR" w:eastAsia="pt-BR" w:bidi="pt-BR"/>
      </w:rPr>
    </w:lvl>
    <w:lvl w:ilvl="5">
      <w:numFmt w:val="bullet"/>
      <w:lvlText w:val="•"/>
      <w:lvlJc w:val="left"/>
      <w:pPr>
        <w:ind w:left="5073" w:hanging="453"/>
      </w:pPr>
      <w:rPr>
        <w:rFonts w:hint="default"/>
        <w:lang w:val="pt-BR" w:eastAsia="pt-BR" w:bidi="pt-BR"/>
      </w:rPr>
    </w:lvl>
    <w:lvl w:ilvl="6">
      <w:numFmt w:val="bullet"/>
      <w:lvlText w:val="•"/>
      <w:lvlJc w:val="left"/>
      <w:pPr>
        <w:ind w:left="6064" w:hanging="453"/>
      </w:pPr>
      <w:rPr>
        <w:rFonts w:hint="default"/>
        <w:lang w:val="pt-BR" w:eastAsia="pt-BR" w:bidi="pt-BR"/>
      </w:rPr>
    </w:lvl>
    <w:lvl w:ilvl="7">
      <w:numFmt w:val="bullet"/>
      <w:lvlText w:val="•"/>
      <w:lvlJc w:val="left"/>
      <w:pPr>
        <w:ind w:left="7055" w:hanging="453"/>
      </w:pPr>
      <w:rPr>
        <w:rFonts w:hint="default"/>
        <w:lang w:val="pt-BR" w:eastAsia="pt-BR" w:bidi="pt-BR"/>
      </w:rPr>
    </w:lvl>
    <w:lvl w:ilvl="8">
      <w:numFmt w:val="bullet"/>
      <w:lvlText w:val="•"/>
      <w:lvlJc w:val="left"/>
      <w:pPr>
        <w:ind w:left="8046" w:hanging="453"/>
      </w:pPr>
      <w:rPr>
        <w:rFonts w:hint="default"/>
        <w:lang w:val="pt-BR" w:eastAsia="pt-BR" w:bidi="pt-BR"/>
      </w:rPr>
    </w:lvl>
  </w:abstractNum>
  <w:abstractNum w:abstractNumId="14">
    <w:nsid w:val="7D15662E"/>
    <w:multiLevelType w:val="hybridMultilevel"/>
    <w:tmpl w:val="5FC0D438"/>
    <w:lvl w:ilvl="0" w:tplc="041E6286">
      <w:start w:val="1"/>
      <w:numFmt w:val="decimal"/>
      <w:lvlText w:val="%1."/>
      <w:lvlJc w:val="left"/>
      <w:pPr>
        <w:ind w:left="233" w:hanging="708"/>
        <w:jc w:val="left"/>
      </w:pPr>
      <w:rPr>
        <w:rFonts w:ascii="Times New Roman" w:eastAsia="Times New Roman" w:hAnsi="Times New Roman" w:cs="Times New Roman" w:hint="default"/>
        <w:spacing w:val="0"/>
        <w:w w:val="99"/>
        <w:sz w:val="20"/>
        <w:szCs w:val="20"/>
        <w:lang w:val="pt-BR" w:eastAsia="pt-BR" w:bidi="pt-BR"/>
      </w:rPr>
    </w:lvl>
    <w:lvl w:ilvl="1" w:tplc="1BB0B1B0">
      <w:numFmt w:val="bullet"/>
      <w:lvlText w:val="•"/>
      <w:lvlJc w:val="left"/>
      <w:pPr>
        <w:ind w:left="1218" w:hanging="708"/>
      </w:pPr>
      <w:rPr>
        <w:rFonts w:hint="default"/>
        <w:lang w:val="pt-BR" w:eastAsia="pt-BR" w:bidi="pt-BR"/>
      </w:rPr>
    </w:lvl>
    <w:lvl w:ilvl="2" w:tplc="2AA44624">
      <w:numFmt w:val="bullet"/>
      <w:lvlText w:val="•"/>
      <w:lvlJc w:val="left"/>
      <w:pPr>
        <w:ind w:left="2197" w:hanging="708"/>
      </w:pPr>
      <w:rPr>
        <w:rFonts w:hint="default"/>
        <w:lang w:val="pt-BR" w:eastAsia="pt-BR" w:bidi="pt-BR"/>
      </w:rPr>
    </w:lvl>
    <w:lvl w:ilvl="3" w:tplc="3D02FE36">
      <w:numFmt w:val="bullet"/>
      <w:lvlText w:val="•"/>
      <w:lvlJc w:val="left"/>
      <w:pPr>
        <w:ind w:left="3176" w:hanging="708"/>
      </w:pPr>
      <w:rPr>
        <w:rFonts w:hint="default"/>
        <w:lang w:val="pt-BR" w:eastAsia="pt-BR" w:bidi="pt-BR"/>
      </w:rPr>
    </w:lvl>
    <w:lvl w:ilvl="4" w:tplc="FDB493DA">
      <w:numFmt w:val="bullet"/>
      <w:lvlText w:val="•"/>
      <w:lvlJc w:val="left"/>
      <w:pPr>
        <w:ind w:left="4155" w:hanging="708"/>
      </w:pPr>
      <w:rPr>
        <w:rFonts w:hint="default"/>
        <w:lang w:val="pt-BR" w:eastAsia="pt-BR" w:bidi="pt-BR"/>
      </w:rPr>
    </w:lvl>
    <w:lvl w:ilvl="5" w:tplc="772AE9D4">
      <w:numFmt w:val="bullet"/>
      <w:lvlText w:val="•"/>
      <w:lvlJc w:val="left"/>
      <w:pPr>
        <w:ind w:left="5134" w:hanging="708"/>
      </w:pPr>
      <w:rPr>
        <w:rFonts w:hint="default"/>
        <w:lang w:val="pt-BR" w:eastAsia="pt-BR" w:bidi="pt-BR"/>
      </w:rPr>
    </w:lvl>
    <w:lvl w:ilvl="6" w:tplc="073AA228">
      <w:numFmt w:val="bullet"/>
      <w:lvlText w:val="•"/>
      <w:lvlJc w:val="left"/>
      <w:pPr>
        <w:ind w:left="6113" w:hanging="708"/>
      </w:pPr>
      <w:rPr>
        <w:rFonts w:hint="default"/>
        <w:lang w:val="pt-BR" w:eastAsia="pt-BR" w:bidi="pt-BR"/>
      </w:rPr>
    </w:lvl>
    <w:lvl w:ilvl="7" w:tplc="892E2FD0">
      <w:numFmt w:val="bullet"/>
      <w:lvlText w:val="•"/>
      <w:lvlJc w:val="left"/>
      <w:pPr>
        <w:ind w:left="7092" w:hanging="708"/>
      </w:pPr>
      <w:rPr>
        <w:rFonts w:hint="default"/>
        <w:lang w:val="pt-BR" w:eastAsia="pt-BR" w:bidi="pt-BR"/>
      </w:rPr>
    </w:lvl>
    <w:lvl w:ilvl="8" w:tplc="AC54A242">
      <w:numFmt w:val="bullet"/>
      <w:lvlText w:val="•"/>
      <w:lvlJc w:val="left"/>
      <w:pPr>
        <w:ind w:left="8071" w:hanging="708"/>
      </w:pPr>
      <w:rPr>
        <w:rFonts w:hint="default"/>
        <w:lang w:val="pt-BR" w:eastAsia="pt-BR" w:bidi="pt-BR"/>
      </w:rPr>
    </w:lvl>
  </w:abstractNum>
  <w:abstractNum w:abstractNumId="15">
    <w:nsid w:val="7E863351"/>
    <w:multiLevelType w:val="multilevel"/>
    <w:tmpl w:val="F3326B48"/>
    <w:lvl w:ilvl="0">
      <w:start w:val="1"/>
      <w:numFmt w:val="decimal"/>
      <w:lvlText w:val="%1"/>
      <w:lvlJc w:val="left"/>
      <w:pPr>
        <w:ind w:left="2405" w:hanging="755"/>
        <w:jc w:val="left"/>
      </w:pPr>
      <w:rPr>
        <w:rFonts w:hint="default"/>
        <w:lang w:val="pt-BR" w:eastAsia="pt-BR" w:bidi="pt-BR"/>
      </w:rPr>
    </w:lvl>
    <w:lvl w:ilvl="1">
      <w:start w:val="1"/>
      <w:numFmt w:val="decimal"/>
      <w:lvlText w:val="%1.%2"/>
      <w:lvlJc w:val="left"/>
      <w:pPr>
        <w:ind w:left="2405" w:hanging="755"/>
        <w:jc w:val="left"/>
      </w:pPr>
      <w:rPr>
        <w:rFonts w:hint="default"/>
        <w:lang w:val="pt-BR" w:eastAsia="pt-BR" w:bidi="pt-BR"/>
      </w:rPr>
    </w:lvl>
    <w:lvl w:ilvl="2">
      <w:start w:val="1"/>
      <w:numFmt w:val="decimal"/>
      <w:lvlText w:val="%1.%2.%3"/>
      <w:lvlJc w:val="left"/>
      <w:pPr>
        <w:ind w:left="2405" w:hanging="755"/>
        <w:jc w:val="left"/>
      </w:pPr>
      <w:rPr>
        <w:rFonts w:hint="default"/>
        <w:lang w:val="pt-BR" w:eastAsia="pt-BR" w:bidi="pt-BR"/>
      </w:rPr>
    </w:lvl>
    <w:lvl w:ilvl="3">
      <w:start w:val="1"/>
      <w:numFmt w:val="decimal"/>
      <w:lvlText w:val="%1.%2.%3.%4."/>
      <w:lvlJc w:val="left"/>
      <w:pPr>
        <w:ind w:left="2405" w:hanging="755"/>
        <w:jc w:val="left"/>
      </w:pPr>
      <w:rPr>
        <w:rFonts w:ascii="Times New Roman" w:eastAsia="Times New Roman" w:hAnsi="Times New Roman" w:cs="Times New Roman" w:hint="default"/>
        <w:b/>
        <w:bCs/>
        <w:spacing w:val="-2"/>
        <w:w w:val="99"/>
        <w:sz w:val="20"/>
        <w:szCs w:val="20"/>
        <w:lang w:val="pt-BR" w:eastAsia="pt-BR" w:bidi="pt-BR"/>
      </w:rPr>
    </w:lvl>
    <w:lvl w:ilvl="4">
      <w:numFmt w:val="bullet"/>
      <w:lvlText w:val="•"/>
      <w:lvlJc w:val="left"/>
      <w:pPr>
        <w:ind w:left="5451" w:hanging="755"/>
      </w:pPr>
      <w:rPr>
        <w:rFonts w:hint="default"/>
        <w:lang w:val="pt-BR" w:eastAsia="pt-BR" w:bidi="pt-BR"/>
      </w:rPr>
    </w:lvl>
    <w:lvl w:ilvl="5">
      <w:numFmt w:val="bullet"/>
      <w:lvlText w:val="•"/>
      <w:lvlJc w:val="left"/>
      <w:pPr>
        <w:ind w:left="6214" w:hanging="755"/>
      </w:pPr>
      <w:rPr>
        <w:rFonts w:hint="default"/>
        <w:lang w:val="pt-BR" w:eastAsia="pt-BR" w:bidi="pt-BR"/>
      </w:rPr>
    </w:lvl>
    <w:lvl w:ilvl="6">
      <w:numFmt w:val="bullet"/>
      <w:lvlText w:val="•"/>
      <w:lvlJc w:val="left"/>
      <w:pPr>
        <w:ind w:left="6977" w:hanging="755"/>
      </w:pPr>
      <w:rPr>
        <w:rFonts w:hint="default"/>
        <w:lang w:val="pt-BR" w:eastAsia="pt-BR" w:bidi="pt-BR"/>
      </w:rPr>
    </w:lvl>
    <w:lvl w:ilvl="7">
      <w:numFmt w:val="bullet"/>
      <w:lvlText w:val="•"/>
      <w:lvlJc w:val="left"/>
      <w:pPr>
        <w:ind w:left="7740" w:hanging="755"/>
      </w:pPr>
      <w:rPr>
        <w:rFonts w:hint="default"/>
        <w:lang w:val="pt-BR" w:eastAsia="pt-BR" w:bidi="pt-BR"/>
      </w:rPr>
    </w:lvl>
    <w:lvl w:ilvl="8">
      <w:numFmt w:val="bullet"/>
      <w:lvlText w:val="•"/>
      <w:lvlJc w:val="left"/>
      <w:pPr>
        <w:ind w:left="8503" w:hanging="755"/>
      </w:pPr>
      <w:rPr>
        <w:rFonts w:hint="default"/>
        <w:lang w:val="pt-BR" w:eastAsia="pt-BR" w:bidi="pt-BR"/>
      </w:rPr>
    </w:lvl>
  </w:abstractNum>
  <w:num w:numId="1">
    <w:abstractNumId w:val="0"/>
  </w:num>
  <w:num w:numId="2">
    <w:abstractNumId w:val="11"/>
  </w:num>
  <w:num w:numId="3">
    <w:abstractNumId w:val="2"/>
  </w:num>
  <w:num w:numId="4">
    <w:abstractNumId w:val="10"/>
  </w:num>
  <w:num w:numId="5">
    <w:abstractNumId w:val="6"/>
  </w:num>
  <w:num w:numId="6">
    <w:abstractNumId w:val="14"/>
  </w:num>
  <w:num w:numId="7">
    <w:abstractNumId w:val="9"/>
  </w:num>
  <w:num w:numId="8">
    <w:abstractNumId w:val="4"/>
  </w:num>
  <w:num w:numId="9">
    <w:abstractNumId w:val="3"/>
  </w:num>
  <w:num w:numId="10">
    <w:abstractNumId w:val="15"/>
  </w:num>
  <w:num w:numId="11">
    <w:abstractNumId w:val="8"/>
  </w:num>
  <w:num w:numId="12">
    <w:abstractNumId w:val="7"/>
  </w:num>
  <w:num w:numId="13">
    <w:abstractNumId w:val="1"/>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74668"/>
    <w:rsid w:val="00421CAF"/>
    <w:rsid w:val="00A74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28" w:lineRule="exact"/>
      <w:ind w:left="2357" w:hanging="706"/>
      <w:outlineLvl w:val="0"/>
    </w:pPr>
    <w:rPr>
      <w:b/>
      <w:bCs/>
      <w:sz w:val="20"/>
      <w:szCs w:val="20"/>
    </w:rPr>
  </w:style>
  <w:style w:type="paragraph" w:styleId="Ttulo2">
    <w:name w:val="heading 2"/>
    <w:basedOn w:val="Normal"/>
    <w:uiPriority w:val="1"/>
    <w:qFormat/>
    <w:pPr>
      <w:spacing w:line="228" w:lineRule="exact"/>
      <w:ind w:left="1651"/>
      <w:outlineLvl w:val="1"/>
    </w:pPr>
    <w:rPr>
      <w:b/>
      <w:bCs/>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3"/>
      <w:jc w:val="both"/>
    </w:pPr>
    <w:rPr>
      <w:sz w:val="20"/>
      <w:szCs w:val="20"/>
    </w:rPr>
  </w:style>
  <w:style w:type="paragraph" w:styleId="PargrafodaLista">
    <w:name w:val="List Paragraph"/>
    <w:basedOn w:val="Normal"/>
    <w:uiPriority w:val="1"/>
    <w:qFormat/>
    <w:pPr>
      <w:ind w:left="233"/>
      <w:jc w:val="both"/>
    </w:pPr>
  </w:style>
  <w:style w:type="paragraph" w:customStyle="1" w:styleId="TableParagraph">
    <w:name w:val="Table Paragraph"/>
    <w:basedOn w:val="Normal"/>
    <w:uiPriority w:val="1"/>
    <w:qFormat/>
    <w:pPr>
      <w:spacing w:line="223" w:lineRule="exact"/>
      <w:ind w:left="107"/>
    </w:pPr>
  </w:style>
  <w:style w:type="paragraph" w:styleId="Textodebalo">
    <w:name w:val="Balloon Text"/>
    <w:basedOn w:val="Normal"/>
    <w:link w:val="TextodebaloChar"/>
    <w:uiPriority w:val="99"/>
    <w:semiHidden/>
    <w:unhideWhenUsed/>
    <w:rsid w:val="00421CAF"/>
    <w:rPr>
      <w:rFonts w:ascii="Tahoma" w:hAnsi="Tahoma" w:cs="Tahoma"/>
      <w:sz w:val="16"/>
      <w:szCs w:val="16"/>
    </w:rPr>
  </w:style>
  <w:style w:type="character" w:customStyle="1" w:styleId="TextodebaloChar">
    <w:name w:val="Texto de balão Char"/>
    <w:basedOn w:val="Fontepargpadro"/>
    <w:link w:val="Textodebalo"/>
    <w:uiPriority w:val="99"/>
    <w:semiHidden/>
    <w:rsid w:val="00421CAF"/>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paperpile.com/c/rZdog9/Uefzn%2BbPQTy%2B0shMJ%2BAeL6u%2BWaeFZ%2BNp5nU%2BMkIyK%2BxkW1y" TargetMode="External"/><Relationship Id="rId299" Type="http://schemas.openxmlformats.org/officeDocument/2006/relationships/hyperlink" Target="http://paperpile.com/b/rZdog9/Uefzn" TargetMode="External"/><Relationship Id="rId21" Type="http://schemas.openxmlformats.org/officeDocument/2006/relationships/hyperlink" Target="https://paperpile.com/c/rZdog9/0cF9L%2BbrqA6" TargetMode="External"/><Relationship Id="rId63" Type="http://schemas.openxmlformats.org/officeDocument/2006/relationships/hyperlink" Target="https://paperpile.com/c/rZdog9/jD6n9%2B0B1TX" TargetMode="External"/><Relationship Id="rId159" Type="http://schemas.openxmlformats.org/officeDocument/2006/relationships/hyperlink" Target="http://paperpile.com/b/rZdog9/ZupDu" TargetMode="External"/><Relationship Id="rId324" Type="http://schemas.openxmlformats.org/officeDocument/2006/relationships/hyperlink" Target="http://paperpile.com/b/rZdog9/Mtm8j" TargetMode="External"/><Relationship Id="rId366" Type="http://schemas.openxmlformats.org/officeDocument/2006/relationships/hyperlink" Target="https://paperpile.com/c/XSSg8U/hFfI" TargetMode="External"/><Relationship Id="rId170" Type="http://schemas.openxmlformats.org/officeDocument/2006/relationships/hyperlink" Target="http://paperpile.com/b/rZdog9/KaoPl" TargetMode="External"/><Relationship Id="rId226" Type="http://schemas.openxmlformats.org/officeDocument/2006/relationships/hyperlink" Target="http://paperpile.com/b/rZdog9/2qALe" TargetMode="External"/><Relationship Id="rId268" Type="http://schemas.openxmlformats.org/officeDocument/2006/relationships/hyperlink" Target="http://paperpile.com/b/rZdog9/1pWH4" TargetMode="External"/><Relationship Id="rId32" Type="http://schemas.openxmlformats.org/officeDocument/2006/relationships/hyperlink" Target="https://paperpile.com/c/rZdog9/bGYuy%2BZupDu" TargetMode="External"/><Relationship Id="rId74" Type="http://schemas.openxmlformats.org/officeDocument/2006/relationships/hyperlink" Target="https://paperpile.com/c/CYluk2/YIirF" TargetMode="External"/><Relationship Id="rId128" Type="http://schemas.openxmlformats.org/officeDocument/2006/relationships/hyperlink" Target="https://paperpile.com/c/rZdog9/AeL6u" TargetMode="External"/><Relationship Id="rId335" Type="http://schemas.openxmlformats.org/officeDocument/2006/relationships/hyperlink" Target="http://paperpile.com/b/rZdog9/LdX0V" TargetMode="External"/><Relationship Id="rId377" Type="http://schemas.openxmlformats.org/officeDocument/2006/relationships/hyperlink" Target="https://paperpile.com/c/XSSg8U/oz16" TargetMode="External"/><Relationship Id="rId5" Type="http://schemas.openxmlformats.org/officeDocument/2006/relationships/webSettings" Target="webSettings.xml"/><Relationship Id="rId181" Type="http://schemas.openxmlformats.org/officeDocument/2006/relationships/hyperlink" Target="http://paperpile.com/b/rZdog9/tAwOI" TargetMode="External"/><Relationship Id="rId237" Type="http://schemas.openxmlformats.org/officeDocument/2006/relationships/hyperlink" Target="http://paperpile.com/b/rZdog9/Iv5Sf" TargetMode="External"/><Relationship Id="rId402" Type="http://schemas.openxmlformats.org/officeDocument/2006/relationships/hyperlink" Target="http://paperpile.com/b/XSSg8U/IU7o" TargetMode="External"/><Relationship Id="rId279" Type="http://schemas.openxmlformats.org/officeDocument/2006/relationships/hyperlink" Target="http://paperpile.com/b/rZdog9/1XNws" TargetMode="External"/><Relationship Id="rId43" Type="http://schemas.openxmlformats.org/officeDocument/2006/relationships/hyperlink" Target="https://paperpile.com/c/rZdog9/bGYuy" TargetMode="External"/><Relationship Id="rId139" Type="http://schemas.openxmlformats.org/officeDocument/2006/relationships/hyperlink" Target="http://paperpile.com/b/rZdog9/FRkR6" TargetMode="External"/><Relationship Id="rId290" Type="http://schemas.openxmlformats.org/officeDocument/2006/relationships/hyperlink" Target="http://paperpile.com/b/rZdog9/m6tpg" TargetMode="External"/><Relationship Id="rId304" Type="http://schemas.openxmlformats.org/officeDocument/2006/relationships/hyperlink" Target="http://paperpile.com/b/rZdog9/0shMJ" TargetMode="External"/><Relationship Id="rId346" Type="http://schemas.openxmlformats.org/officeDocument/2006/relationships/hyperlink" Target="https://paperpile.com/c/XSSg8U/AFe6U%2BmdGiS" TargetMode="External"/><Relationship Id="rId388" Type="http://schemas.openxmlformats.org/officeDocument/2006/relationships/hyperlink" Target="http://paperpile.com/b/XSSg8U/DlSZ" TargetMode="External"/><Relationship Id="rId85" Type="http://schemas.openxmlformats.org/officeDocument/2006/relationships/hyperlink" Target="https://paperpile.com/c/rZdog9/yCtAW" TargetMode="External"/><Relationship Id="rId150" Type="http://schemas.openxmlformats.org/officeDocument/2006/relationships/hyperlink" Target="http://paperpile.com/b/rZdog9/PBRC" TargetMode="External"/><Relationship Id="rId171" Type="http://schemas.openxmlformats.org/officeDocument/2006/relationships/hyperlink" Target="http://paperpile.com/b/rZdog9/H9ID5" TargetMode="External"/><Relationship Id="rId192" Type="http://schemas.openxmlformats.org/officeDocument/2006/relationships/hyperlink" Target="http://paperpile.com/b/rZdog9/7hyM7" TargetMode="External"/><Relationship Id="rId206" Type="http://schemas.openxmlformats.org/officeDocument/2006/relationships/hyperlink" Target="http://paperpile.com/b/rZdog9/4FtE8" TargetMode="External"/><Relationship Id="rId227" Type="http://schemas.openxmlformats.org/officeDocument/2006/relationships/hyperlink" Target="http://paperpile.com/b/rZdog9/LNyJh" TargetMode="External"/><Relationship Id="rId413" Type="http://schemas.openxmlformats.org/officeDocument/2006/relationships/hyperlink" Target="http://paperpile.com/b/XSSg8U/hFfI" TargetMode="External"/><Relationship Id="rId248" Type="http://schemas.openxmlformats.org/officeDocument/2006/relationships/hyperlink" Target="http://paperpile.com/b/rZdog9/6J0Xz" TargetMode="External"/><Relationship Id="rId269" Type="http://schemas.openxmlformats.org/officeDocument/2006/relationships/hyperlink" Target="http://paperpile.com/b/rZdog9/mr4GG" TargetMode="External"/><Relationship Id="rId12" Type="http://schemas.openxmlformats.org/officeDocument/2006/relationships/hyperlink" Target="https://paperpile.com/c/rZdog9/jD6n9" TargetMode="External"/><Relationship Id="rId33" Type="http://schemas.openxmlformats.org/officeDocument/2006/relationships/hyperlink" Target="https://paperpile.com/c/rZdog9/pkzFm" TargetMode="External"/><Relationship Id="rId108" Type="http://schemas.openxmlformats.org/officeDocument/2006/relationships/hyperlink" Target="https://paperpile.com/c/rZdog9/XH1uO" TargetMode="External"/><Relationship Id="rId129" Type="http://schemas.openxmlformats.org/officeDocument/2006/relationships/hyperlink" Target="https://paperpile.com/c/rZdog9/5dDjq" TargetMode="External"/><Relationship Id="rId280" Type="http://schemas.openxmlformats.org/officeDocument/2006/relationships/hyperlink" Target="http://paperpile.com/b/rZdog9/1XNws" TargetMode="External"/><Relationship Id="rId315" Type="http://schemas.openxmlformats.org/officeDocument/2006/relationships/hyperlink" Target="http://paperpile.com/b/rZdog9/MkIyK" TargetMode="External"/><Relationship Id="rId336" Type="http://schemas.openxmlformats.org/officeDocument/2006/relationships/hyperlink" Target="http://paperpile.com/b/rZdog9/LdX0V" TargetMode="External"/><Relationship Id="rId357" Type="http://schemas.openxmlformats.org/officeDocument/2006/relationships/hyperlink" Target="https://paperpile.com/c/XSSg8U/pwCn" TargetMode="External"/><Relationship Id="rId54" Type="http://schemas.openxmlformats.org/officeDocument/2006/relationships/hyperlink" Target="https://paperpile.com/c/rZdog9/Iv5Sf" TargetMode="External"/><Relationship Id="rId75" Type="http://schemas.openxmlformats.org/officeDocument/2006/relationships/hyperlink" Target="https://paperpile.com/c/CYluk2/TKax7" TargetMode="External"/><Relationship Id="rId96" Type="http://schemas.openxmlformats.org/officeDocument/2006/relationships/hyperlink" Target="https://paperpile.com/c/rZdog9/cisBf" TargetMode="External"/><Relationship Id="rId140" Type="http://schemas.openxmlformats.org/officeDocument/2006/relationships/hyperlink" Target="http://paperpile.com/b/rZdog9/LxTZL" TargetMode="External"/><Relationship Id="rId161" Type="http://schemas.openxmlformats.org/officeDocument/2006/relationships/hyperlink" Target="http://paperpile.com/b/rZdog9/ZupDu" TargetMode="External"/><Relationship Id="rId182" Type="http://schemas.openxmlformats.org/officeDocument/2006/relationships/hyperlink" Target="http://paperpile.com/b/rZdog9/tAwOI" TargetMode="External"/><Relationship Id="rId217" Type="http://schemas.openxmlformats.org/officeDocument/2006/relationships/hyperlink" Target="http://paperpile.com/b/rZdog9/WQOsa" TargetMode="External"/><Relationship Id="rId378" Type="http://schemas.openxmlformats.org/officeDocument/2006/relationships/hyperlink" Target="https://paperpile.com/c/XSSg8U/ubtf" TargetMode="External"/><Relationship Id="rId399" Type="http://schemas.openxmlformats.org/officeDocument/2006/relationships/hyperlink" Target="http://paperpile.com/b/XSSg8U/9LcI" TargetMode="External"/><Relationship Id="rId403" Type="http://schemas.openxmlformats.org/officeDocument/2006/relationships/hyperlink" Target="http://paperpile.com/b/XSSg8U/IU7o" TargetMode="External"/><Relationship Id="rId6" Type="http://schemas.openxmlformats.org/officeDocument/2006/relationships/footnotes" Target="footnotes.xml"/><Relationship Id="rId238" Type="http://schemas.openxmlformats.org/officeDocument/2006/relationships/hyperlink" Target="http://paperpile.com/b/rZdog9/Iv5Sf" TargetMode="External"/><Relationship Id="rId259" Type="http://schemas.openxmlformats.org/officeDocument/2006/relationships/hyperlink" Target="http://paperpile.com/b/rZdog9/yCtAW" TargetMode="External"/><Relationship Id="rId424" Type="http://schemas.openxmlformats.org/officeDocument/2006/relationships/hyperlink" Target="http://paperpile.com/b/XSSg8U/sbLk" TargetMode="External"/><Relationship Id="rId23" Type="http://schemas.openxmlformats.org/officeDocument/2006/relationships/hyperlink" Target="https://paperpile.com/c/rZdog9/Nbo2S" TargetMode="External"/><Relationship Id="rId119" Type="http://schemas.openxmlformats.org/officeDocument/2006/relationships/hyperlink" Target="https://paperpile.com/c/rZdog9/MkIyK" TargetMode="External"/><Relationship Id="rId270" Type="http://schemas.openxmlformats.org/officeDocument/2006/relationships/hyperlink" Target="http://paperpile.com/b/rZdog9/mr4GG" TargetMode="External"/><Relationship Id="rId291" Type="http://schemas.openxmlformats.org/officeDocument/2006/relationships/hyperlink" Target="http://www.anvisa.gov.br/datavisa/fila_bula/frmVisualizarBula.asp?pNuTransacao=28133292016&amp;amp;pIdAnexo=4227533" TargetMode="External"/><Relationship Id="rId305" Type="http://schemas.openxmlformats.org/officeDocument/2006/relationships/hyperlink" Target="http://paperpile.com/b/rZdog9/0shMJ" TargetMode="External"/><Relationship Id="rId326" Type="http://schemas.openxmlformats.org/officeDocument/2006/relationships/hyperlink" Target="http://paperpile.com/b/rZdog9/TkUdl" TargetMode="External"/><Relationship Id="rId347" Type="http://schemas.openxmlformats.org/officeDocument/2006/relationships/hyperlink" Target="https://paperpile.com/c/XSSg8U/pwCn" TargetMode="External"/><Relationship Id="rId44" Type="http://schemas.openxmlformats.org/officeDocument/2006/relationships/hyperlink" Target="https://paperpile.com/c/rZdog9/nfmfB" TargetMode="External"/><Relationship Id="rId65" Type="http://schemas.openxmlformats.org/officeDocument/2006/relationships/hyperlink" Target="https://paperpile.com/c/rZdog9/pkzFm" TargetMode="External"/><Relationship Id="rId86" Type="http://schemas.openxmlformats.org/officeDocument/2006/relationships/hyperlink" Target="https://paperpile.com/c/rZdog9/KaZSL" TargetMode="External"/><Relationship Id="rId130" Type="http://schemas.openxmlformats.org/officeDocument/2006/relationships/hyperlink" Target="https://paperpile.com/c/rZdog9/4FtE8" TargetMode="External"/><Relationship Id="rId151" Type="http://schemas.openxmlformats.org/officeDocument/2006/relationships/hyperlink" Target="http://paperpile.com/b/rZdog9/jXSc" TargetMode="External"/><Relationship Id="rId368" Type="http://schemas.openxmlformats.org/officeDocument/2006/relationships/hyperlink" Target="https://paperpile.com/c/XSSg8U/pwCn" TargetMode="External"/><Relationship Id="rId389" Type="http://schemas.openxmlformats.org/officeDocument/2006/relationships/hyperlink" Target="http://paperpile.com/b/XSSg8U/AFe6U" TargetMode="External"/><Relationship Id="rId172" Type="http://schemas.openxmlformats.org/officeDocument/2006/relationships/hyperlink" Target="http://paperpile.com/b/rZdog9/H9ID5" TargetMode="External"/><Relationship Id="rId193" Type="http://schemas.openxmlformats.org/officeDocument/2006/relationships/hyperlink" Target="http://paperpile.com/b/rZdog9/XpDq6" TargetMode="External"/><Relationship Id="rId207" Type="http://schemas.openxmlformats.org/officeDocument/2006/relationships/hyperlink" Target="http://paperpile.com/b/rZdog9/uRaCQ" TargetMode="External"/><Relationship Id="rId228" Type="http://schemas.openxmlformats.org/officeDocument/2006/relationships/hyperlink" Target="http://paperpile.com/b/rZdog9/LNyJh" TargetMode="External"/><Relationship Id="rId249" Type="http://schemas.openxmlformats.org/officeDocument/2006/relationships/hyperlink" Target="http://paperpile.com/b/rZdog9/6J0Xz" TargetMode="External"/><Relationship Id="rId414" Type="http://schemas.openxmlformats.org/officeDocument/2006/relationships/hyperlink" Target="http://paperpile.com/b/XSSg8U/hFfI" TargetMode="External"/><Relationship Id="rId13" Type="http://schemas.openxmlformats.org/officeDocument/2006/relationships/hyperlink" Target="https://paperpile.com/c/rZdog9/jD6n9" TargetMode="External"/><Relationship Id="rId109" Type="http://schemas.openxmlformats.org/officeDocument/2006/relationships/hyperlink" Target="https://paperpile.com/c/rZdog9/3SSdQ" TargetMode="External"/><Relationship Id="rId260" Type="http://schemas.openxmlformats.org/officeDocument/2006/relationships/hyperlink" Target="http://paperpile.com/b/rZdog9/yCtAW" TargetMode="External"/><Relationship Id="rId281" Type="http://schemas.openxmlformats.org/officeDocument/2006/relationships/hyperlink" Target="http://paperpile.com/b/rZdog9/AO8XU" TargetMode="External"/><Relationship Id="rId316" Type="http://schemas.openxmlformats.org/officeDocument/2006/relationships/hyperlink" Target="http://paperpile.com/b/rZdog9/xkW1y" TargetMode="External"/><Relationship Id="rId337" Type="http://schemas.openxmlformats.org/officeDocument/2006/relationships/hyperlink" Target="http://portalsaude.saude.gov.br/index.php/o-ministerio/principal/leia-mais-o-ministerio/197-secretaria-svs/13600-calendario-nacional-de-vacinacao" TargetMode="External"/><Relationship Id="rId34" Type="http://schemas.openxmlformats.org/officeDocument/2006/relationships/hyperlink" Target="https://paperpile.com/c/rZdog9/ny9BW" TargetMode="External"/><Relationship Id="rId55" Type="http://schemas.openxmlformats.org/officeDocument/2006/relationships/hyperlink" Target="https://paperpile.com/c/rZdog9/4FtE8" TargetMode="External"/><Relationship Id="rId76" Type="http://schemas.openxmlformats.org/officeDocument/2006/relationships/hyperlink" Target="https://paperpile.com/c/CYluk2/3KwIo" TargetMode="External"/><Relationship Id="rId97" Type="http://schemas.openxmlformats.org/officeDocument/2006/relationships/hyperlink" Target="https://paperpile.com/c/rZdog9/mr4GG" TargetMode="External"/><Relationship Id="rId120" Type="http://schemas.openxmlformats.org/officeDocument/2006/relationships/hyperlink" Target="https://paperpile.com/c/rZdog9/0shMJ" TargetMode="External"/><Relationship Id="rId141" Type="http://schemas.openxmlformats.org/officeDocument/2006/relationships/hyperlink" Target="http://paperpile.com/b/rZdog9/LxTZL" TargetMode="External"/><Relationship Id="rId358" Type="http://schemas.openxmlformats.org/officeDocument/2006/relationships/hyperlink" Target="https://paperpile.com/c/XSSg8U/bexJ" TargetMode="External"/><Relationship Id="rId379" Type="http://schemas.openxmlformats.org/officeDocument/2006/relationships/hyperlink" Target="https://paperpile.com/c/XSSg8U/ubtf%2BIU7o" TargetMode="External"/><Relationship Id="rId7" Type="http://schemas.openxmlformats.org/officeDocument/2006/relationships/endnotes" Target="endnotes.xml"/><Relationship Id="rId162" Type="http://schemas.openxmlformats.org/officeDocument/2006/relationships/hyperlink" Target="http://paperpile.com/b/rZdog9/FrjEF" TargetMode="External"/><Relationship Id="rId183" Type="http://schemas.openxmlformats.org/officeDocument/2006/relationships/hyperlink" Target="http://paperpile.com/b/rZdog9/UMK9c" TargetMode="External"/><Relationship Id="rId218" Type="http://schemas.openxmlformats.org/officeDocument/2006/relationships/hyperlink" Target="http://paperpile.com/b/rZdog9/WQOsa" TargetMode="External"/><Relationship Id="rId239" Type="http://schemas.openxmlformats.org/officeDocument/2006/relationships/hyperlink" Target="http://paperpile.com/b/rZdog9/Iv5Sf" TargetMode="External"/><Relationship Id="rId390" Type="http://schemas.openxmlformats.org/officeDocument/2006/relationships/hyperlink" Target="http://paperpile.com/b/XSSg8U/AFe6U" TargetMode="External"/><Relationship Id="rId404" Type="http://schemas.openxmlformats.org/officeDocument/2006/relationships/hyperlink" Target="http://paperpile.com/b/XSSg8U/IU7o" TargetMode="External"/><Relationship Id="rId425" Type="http://schemas.openxmlformats.org/officeDocument/2006/relationships/hyperlink" Target="http://paperpile.com/b/XSSg8U/sbLk" TargetMode="External"/><Relationship Id="rId250" Type="http://schemas.openxmlformats.org/officeDocument/2006/relationships/hyperlink" Target="http://paperpile.com/b/rZdog9/6J0Xz" TargetMode="External"/><Relationship Id="rId271" Type="http://schemas.openxmlformats.org/officeDocument/2006/relationships/hyperlink" Target="http://paperpile.com/b/rZdog9/ukFdE" TargetMode="External"/><Relationship Id="rId292" Type="http://schemas.openxmlformats.org/officeDocument/2006/relationships/hyperlink" Target="http://www.anvisa.gov.br/datavisa/fila_bula/frmVisualizarBula.asp?pNuTransacao=28133292016&amp;amp;pIdAnexo=4227533" TargetMode="External"/><Relationship Id="rId306" Type="http://schemas.openxmlformats.org/officeDocument/2006/relationships/hyperlink" Target="http://paperpile.com/b/rZdog9/AeL6u" TargetMode="External"/><Relationship Id="rId24" Type="http://schemas.openxmlformats.org/officeDocument/2006/relationships/hyperlink" Target="https://paperpile.com/c/rZdog9/tAwOI" TargetMode="External"/><Relationship Id="rId45" Type="http://schemas.openxmlformats.org/officeDocument/2006/relationships/hyperlink" Target="https://paperpile.com/c/rZdog9/T2fuW%2BnfmfB" TargetMode="External"/><Relationship Id="rId66" Type="http://schemas.openxmlformats.org/officeDocument/2006/relationships/hyperlink" Target="https://paperpile.com/c/rZdog9/6J0Xz" TargetMode="External"/><Relationship Id="rId87" Type="http://schemas.openxmlformats.org/officeDocument/2006/relationships/hyperlink" Target="https://paperpile.com/c/rZdog9/1lnnK" TargetMode="External"/><Relationship Id="rId110" Type="http://schemas.openxmlformats.org/officeDocument/2006/relationships/hyperlink" Target="https://paperpile.com/c/rZdog9/m6tpg" TargetMode="External"/><Relationship Id="rId131" Type="http://schemas.openxmlformats.org/officeDocument/2006/relationships/hyperlink" Target="https://paperpile.com/c/rZdog9/pkzFm%2B4FtE8" TargetMode="External"/><Relationship Id="rId327" Type="http://schemas.openxmlformats.org/officeDocument/2006/relationships/hyperlink" Target="http://paperpile.com/b/rZdog9/TkUdl" TargetMode="External"/><Relationship Id="rId348" Type="http://schemas.openxmlformats.org/officeDocument/2006/relationships/hyperlink" Target="https://paperpile.com/c/XSSg8U/5VKj" TargetMode="External"/><Relationship Id="rId369" Type="http://schemas.openxmlformats.org/officeDocument/2006/relationships/hyperlink" Target="https://paperpile.com/c/XSSg8U/IU7o" TargetMode="External"/><Relationship Id="rId152" Type="http://schemas.openxmlformats.org/officeDocument/2006/relationships/hyperlink" Target="http://paperpile.com/b/rZdog9/jXSc" TargetMode="External"/><Relationship Id="rId173" Type="http://schemas.openxmlformats.org/officeDocument/2006/relationships/hyperlink" Target="http://paperpile.com/b/rZdog9/0cF9L" TargetMode="External"/><Relationship Id="rId194" Type="http://schemas.openxmlformats.org/officeDocument/2006/relationships/hyperlink" Target="http://paperpile.com/b/rZdog9/XpDq6" TargetMode="External"/><Relationship Id="rId208" Type="http://schemas.openxmlformats.org/officeDocument/2006/relationships/hyperlink" Target="http://paperpile.com/b/rZdog9/uRaCQ" TargetMode="External"/><Relationship Id="rId229" Type="http://schemas.openxmlformats.org/officeDocument/2006/relationships/hyperlink" Target="http://dx.doi.org/10.2223/jped.1801" TargetMode="External"/><Relationship Id="rId380" Type="http://schemas.openxmlformats.org/officeDocument/2006/relationships/hyperlink" Target="https://paperpile.com/c/XSSg8U/lOyP" TargetMode="External"/><Relationship Id="rId415" Type="http://schemas.openxmlformats.org/officeDocument/2006/relationships/hyperlink" Target="http://paperpile.com/b/XSSg8U/Q69w" TargetMode="External"/><Relationship Id="rId240" Type="http://schemas.openxmlformats.org/officeDocument/2006/relationships/hyperlink" Target="http://paperpile.com/b/rZdog9/1lnnK" TargetMode="External"/><Relationship Id="rId261" Type="http://schemas.openxmlformats.org/officeDocument/2006/relationships/hyperlink" Target="http://paperpile.com/b/rZdog9/yCtAW" TargetMode="External"/><Relationship Id="rId14" Type="http://schemas.openxmlformats.org/officeDocument/2006/relationships/hyperlink" Target="https://paperpile.com/c/rZdog9/jD6n9" TargetMode="External"/><Relationship Id="rId35" Type="http://schemas.openxmlformats.org/officeDocument/2006/relationships/hyperlink" Target="https://paperpile.com/c/rZdog9/ny9BW%2BjOQ1m" TargetMode="External"/><Relationship Id="rId56" Type="http://schemas.openxmlformats.org/officeDocument/2006/relationships/hyperlink" Target="https://paperpile.com/c/rZdog9/4FtE8%2B1lnnK" TargetMode="External"/><Relationship Id="rId77" Type="http://schemas.openxmlformats.org/officeDocument/2006/relationships/hyperlink" Target="https://paperpile.com/c/CYluk2/YIirF" TargetMode="External"/><Relationship Id="rId100" Type="http://schemas.openxmlformats.org/officeDocument/2006/relationships/hyperlink" Target="https://paperpile.com/c/rZdog9/1lnnK%2BpkzFm" TargetMode="External"/><Relationship Id="rId282" Type="http://schemas.openxmlformats.org/officeDocument/2006/relationships/hyperlink" Target="http://paperpile.com/b/rZdog9/AO8XU" TargetMode="External"/><Relationship Id="rId317" Type="http://schemas.openxmlformats.org/officeDocument/2006/relationships/hyperlink" Target="http://paperpile.com/b/rZdog9/xkW1y" TargetMode="External"/><Relationship Id="rId338" Type="http://schemas.openxmlformats.org/officeDocument/2006/relationships/hyperlink" Target="http://portalsaude.saude.gov.br/index.php/o-ministerio/principal/leia-mais-o-ministerio/197-secretaria-svs/13600-calendario-nacional-de-vacinacao" TargetMode="External"/><Relationship Id="rId359" Type="http://schemas.openxmlformats.org/officeDocument/2006/relationships/hyperlink" Target="https://paperpile.com/c/XSSg8U/hFfI" TargetMode="External"/><Relationship Id="rId8" Type="http://schemas.openxmlformats.org/officeDocument/2006/relationships/image" Target="media/image1.png"/><Relationship Id="rId98" Type="http://schemas.openxmlformats.org/officeDocument/2006/relationships/hyperlink" Target="https://paperpile.com/c/rZdog9/1pWH4" TargetMode="External"/><Relationship Id="rId121" Type="http://schemas.openxmlformats.org/officeDocument/2006/relationships/hyperlink" Target="https://paperpile.com/c/rZdog9/Uefzn%2BAeL6u%2BMkIyK%2BMJ4CK%2BxkW1y" TargetMode="External"/><Relationship Id="rId142" Type="http://schemas.openxmlformats.org/officeDocument/2006/relationships/hyperlink" Target="http://paperpile.com/b/rZdog9/q4Pji" TargetMode="External"/><Relationship Id="rId163" Type="http://schemas.openxmlformats.org/officeDocument/2006/relationships/hyperlink" Target="http://paperpile.com/b/rZdog9/FrjEF" TargetMode="External"/><Relationship Id="rId184" Type="http://schemas.openxmlformats.org/officeDocument/2006/relationships/hyperlink" Target="http://paperpile.com/b/rZdog9/UMK9c" TargetMode="External"/><Relationship Id="rId219" Type="http://schemas.openxmlformats.org/officeDocument/2006/relationships/hyperlink" Target="http://paperpile.com/b/rZdog9/9fr0O" TargetMode="External"/><Relationship Id="rId370" Type="http://schemas.openxmlformats.org/officeDocument/2006/relationships/hyperlink" Target="https://paperpile.com/c/XSSg8U/hFfI" TargetMode="External"/><Relationship Id="rId391" Type="http://schemas.openxmlformats.org/officeDocument/2006/relationships/hyperlink" Target="http://paperpile.com/b/XSSg8U/mdGiS" TargetMode="External"/><Relationship Id="rId405" Type="http://schemas.openxmlformats.org/officeDocument/2006/relationships/hyperlink" Target="http://paperpile.com/b/XSSg8U/bexJ" TargetMode="External"/><Relationship Id="rId426" Type="http://schemas.openxmlformats.org/officeDocument/2006/relationships/fontTable" Target="fontTable.xml"/><Relationship Id="rId230" Type="http://schemas.openxmlformats.org/officeDocument/2006/relationships/hyperlink" Target="http://paperpile.com/b/rZdog9/Tdml7" TargetMode="External"/><Relationship Id="rId251" Type="http://schemas.openxmlformats.org/officeDocument/2006/relationships/hyperlink" Target="http://paperpile.com/b/rZdog9/6J0Xz" TargetMode="External"/><Relationship Id="rId25" Type="http://schemas.openxmlformats.org/officeDocument/2006/relationships/hyperlink" Target="https://paperpile.com/c/rZdog9/UMK9c" TargetMode="External"/><Relationship Id="rId46" Type="http://schemas.openxmlformats.org/officeDocument/2006/relationships/hyperlink" Target="https://paperpile.com/c/rZdog9/LNyJh%2BbGYuy%2B4FtE8" TargetMode="External"/><Relationship Id="rId67" Type="http://schemas.openxmlformats.org/officeDocument/2006/relationships/hyperlink" Target="https://paperpile.com/c/rZdog9/pkzFm" TargetMode="External"/><Relationship Id="rId272" Type="http://schemas.openxmlformats.org/officeDocument/2006/relationships/hyperlink" Target="http://paperpile.com/b/rZdog9/ukFdE" TargetMode="External"/><Relationship Id="rId293" Type="http://schemas.openxmlformats.org/officeDocument/2006/relationships/hyperlink" Target="http://paperpile.com/b/rZdog9/e6zO6" TargetMode="External"/><Relationship Id="rId307" Type="http://schemas.openxmlformats.org/officeDocument/2006/relationships/hyperlink" Target="http://paperpile.com/b/rZdog9/AeL6u" TargetMode="External"/><Relationship Id="rId328" Type="http://schemas.openxmlformats.org/officeDocument/2006/relationships/hyperlink" Target="http://paperpile.com/b/rZdog9/0Zv7Z" TargetMode="External"/><Relationship Id="rId349" Type="http://schemas.openxmlformats.org/officeDocument/2006/relationships/hyperlink" Target="https://paperpile.com/c/XSSg8U/pwCn%2B9LcI%2BBoR3" TargetMode="External"/><Relationship Id="rId88" Type="http://schemas.openxmlformats.org/officeDocument/2006/relationships/hyperlink" Target="https://paperpile.com/c/rZdog9/nLFPg" TargetMode="External"/><Relationship Id="rId111" Type="http://schemas.openxmlformats.org/officeDocument/2006/relationships/hyperlink" Target="https://paperpile.com/c/rZdog9/m6tpg" TargetMode="External"/><Relationship Id="rId132" Type="http://schemas.openxmlformats.org/officeDocument/2006/relationships/hyperlink" Target="https://paperpile.com/c/rZdog9/pkzFm%2B4FtE8" TargetMode="External"/><Relationship Id="rId153" Type="http://schemas.openxmlformats.org/officeDocument/2006/relationships/hyperlink" Target="http://paperpile.com/b/rZdog9/nt0L" TargetMode="External"/><Relationship Id="rId174" Type="http://schemas.openxmlformats.org/officeDocument/2006/relationships/hyperlink" Target="http://paperpile.com/b/rZdog9/0cF9L" TargetMode="External"/><Relationship Id="rId195" Type="http://schemas.openxmlformats.org/officeDocument/2006/relationships/hyperlink" Target="http://paperpile.com/b/rZdog9/ny9BW" TargetMode="External"/><Relationship Id="rId209" Type="http://schemas.openxmlformats.org/officeDocument/2006/relationships/hyperlink" Target="http://paperpile.com/b/rZdog9/nfmfB" TargetMode="External"/><Relationship Id="rId360" Type="http://schemas.openxmlformats.org/officeDocument/2006/relationships/hyperlink" Target="https://paperpile.com/c/XSSg8U/IU7o" TargetMode="External"/><Relationship Id="rId381" Type="http://schemas.openxmlformats.org/officeDocument/2006/relationships/hyperlink" Target="https://paperpile.com/c/XSSg8U/sbLk" TargetMode="External"/><Relationship Id="rId416" Type="http://schemas.openxmlformats.org/officeDocument/2006/relationships/hyperlink" Target="http://paperpile.com/b/XSSg8U/Q69w" TargetMode="External"/><Relationship Id="rId220" Type="http://schemas.openxmlformats.org/officeDocument/2006/relationships/hyperlink" Target="http://paperpile.com/b/rZdog9/9fr0O" TargetMode="External"/><Relationship Id="rId241" Type="http://schemas.openxmlformats.org/officeDocument/2006/relationships/hyperlink" Target="http://paperpile.com/b/rZdog9/1lnnK" TargetMode="External"/><Relationship Id="rId15" Type="http://schemas.openxmlformats.org/officeDocument/2006/relationships/hyperlink" Target="https://paperpile.com/c/rZdog9/ZVhqp%2BjD6n9" TargetMode="External"/><Relationship Id="rId36" Type="http://schemas.openxmlformats.org/officeDocument/2006/relationships/hyperlink" Target="https://paperpile.com/c/rZdog9/bGYuy" TargetMode="External"/><Relationship Id="rId57" Type="http://schemas.openxmlformats.org/officeDocument/2006/relationships/hyperlink" Target="https://paperpile.com/c/rZdog9/1lnnK" TargetMode="External"/><Relationship Id="rId262" Type="http://schemas.openxmlformats.org/officeDocument/2006/relationships/hyperlink" Target="http://paperpile.com/b/rZdog9/KaZSL" TargetMode="External"/><Relationship Id="rId283" Type="http://schemas.openxmlformats.org/officeDocument/2006/relationships/hyperlink" Target="http://paperpile.com/b/rZdog9/AO8XU" TargetMode="External"/><Relationship Id="rId318" Type="http://schemas.openxmlformats.org/officeDocument/2006/relationships/hyperlink" Target="http://paperpile.com/b/rZdog9/xkW1y" TargetMode="External"/><Relationship Id="rId339" Type="http://schemas.openxmlformats.org/officeDocument/2006/relationships/hyperlink" Target="https://paperpile.com/c/rZdog9/4FtE8%2BbGYuy%2BpkzFm" TargetMode="External"/><Relationship Id="rId78" Type="http://schemas.openxmlformats.org/officeDocument/2006/relationships/hyperlink" Target="https://paperpile.com/c/CYluk2/YIirF" TargetMode="External"/><Relationship Id="rId99" Type="http://schemas.openxmlformats.org/officeDocument/2006/relationships/hyperlink" Target="https://paperpile.com/c/rZdog9/ukFdE" TargetMode="External"/><Relationship Id="rId101" Type="http://schemas.openxmlformats.org/officeDocument/2006/relationships/hyperlink" Target="https://paperpile.com/c/rZdog9/p9Yf3%2B4FtE8%2BpkzFm" TargetMode="External"/><Relationship Id="rId122" Type="http://schemas.openxmlformats.org/officeDocument/2006/relationships/hyperlink" Target="https://paperpile.com/c/rZdog9/MkIyK" TargetMode="External"/><Relationship Id="rId143" Type="http://schemas.openxmlformats.org/officeDocument/2006/relationships/hyperlink" Target="http://paperpile.com/b/rZdog9/q4Pji" TargetMode="External"/><Relationship Id="rId164" Type="http://schemas.openxmlformats.org/officeDocument/2006/relationships/hyperlink" Target="http://paperpile.com/b/rZdog9/9bUWX" TargetMode="External"/><Relationship Id="rId185" Type="http://schemas.openxmlformats.org/officeDocument/2006/relationships/hyperlink" Target="http://paperpile.com/b/rZdog9/UMK9c" TargetMode="External"/><Relationship Id="rId350" Type="http://schemas.openxmlformats.org/officeDocument/2006/relationships/hyperlink" Target="https://paperpile.com/c/XSSg8U/pwCn" TargetMode="External"/><Relationship Id="rId371" Type="http://schemas.openxmlformats.org/officeDocument/2006/relationships/hyperlink" Target="https://paperpile.com/c/XSSg8U/pwCn%2Boz16%2BhFfI" TargetMode="External"/><Relationship Id="rId406" Type="http://schemas.openxmlformats.org/officeDocument/2006/relationships/hyperlink" Target="http://paperpile.com/b/XSSg8U/bexJ" TargetMode="External"/><Relationship Id="rId9" Type="http://schemas.openxmlformats.org/officeDocument/2006/relationships/hyperlink" Target="https://paperpile.com/c/rZdog9/so0o9" TargetMode="External"/><Relationship Id="rId210" Type="http://schemas.openxmlformats.org/officeDocument/2006/relationships/hyperlink" Target="http://paperpile.com/b/rZdog9/nfmfB" TargetMode="External"/><Relationship Id="rId392" Type="http://schemas.openxmlformats.org/officeDocument/2006/relationships/hyperlink" Target="http://paperpile.com/b/XSSg8U/mdGiS" TargetMode="External"/><Relationship Id="rId427" Type="http://schemas.openxmlformats.org/officeDocument/2006/relationships/theme" Target="theme/theme1.xml"/><Relationship Id="rId26" Type="http://schemas.openxmlformats.org/officeDocument/2006/relationships/hyperlink" Target="https://paperpile.com/c/rZdog9/bGYuy%2BpkzFm" TargetMode="External"/><Relationship Id="rId231" Type="http://schemas.openxmlformats.org/officeDocument/2006/relationships/hyperlink" Target="http://paperpile.com/b/rZdog9/Tdml7" TargetMode="External"/><Relationship Id="rId252" Type="http://schemas.openxmlformats.org/officeDocument/2006/relationships/hyperlink" Target="http://paperpile.com/b/rZdog9/6J0Xz" TargetMode="External"/><Relationship Id="rId273" Type="http://schemas.openxmlformats.org/officeDocument/2006/relationships/hyperlink" Target="http://paperpile.com/b/rZdog9/ukFdE" TargetMode="External"/><Relationship Id="rId294" Type="http://schemas.openxmlformats.org/officeDocument/2006/relationships/hyperlink" Target="http://paperpile.com/b/rZdog9/e6zO6" TargetMode="External"/><Relationship Id="rId308" Type="http://schemas.openxmlformats.org/officeDocument/2006/relationships/hyperlink" Target="http://paperpile.com/b/rZdog9/WaeFZ" TargetMode="External"/><Relationship Id="rId329" Type="http://schemas.openxmlformats.org/officeDocument/2006/relationships/hyperlink" Target="http://paperpile.com/b/rZdog9/0Zv7Z" TargetMode="External"/><Relationship Id="rId47" Type="http://schemas.openxmlformats.org/officeDocument/2006/relationships/hyperlink" Target="https://paperpile.com/c/rZdog9/LNyJh%2BbGYuy" TargetMode="External"/><Relationship Id="rId68" Type="http://schemas.openxmlformats.org/officeDocument/2006/relationships/hyperlink" Target="https://paperpile.com/c/rZdog9/pkzFm" TargetMode="External"/><Relationship Id="rId89" Type="http://schemas.openxmlformats.org/officeDocument/2006/relationships/hyperlink" Target="https://paperpile.com/c/rZdog9/4FtE8%2BpkzFm" TargetMode="External"/><Relationship Id="rId112" Type="http://schemas.openxmlformats.org/officeDocument/2006/relationships/hyperlink" Target="https://paperpile.com/c/rZdog9/e6zO6" TargetMode="External"/><Relationship Id="rId133" Type="http://schemas.openxmlformats.org/officeDocument/2006/relationships/hyperlink" Target="https://paperpile.com/c/rZdog9/LdX0V" TargetMode="External"/><Relationship Id="rId154" Type="http://schemas.openxmlformats.org/officeDocument/2006/relationships/hyperlink" Target="http://paperpile.com/b/rZdog9/nt0L" TargetMode="External"/><Relationship Id="rId175" Type="http://schemas.openxmlformats.org/officeDocument/2006/relationships/hyperlink" Target="http://paperpile.com/b/rZdog9/brqA6" TargetMode="External"/><Relationship Id="rId340" Type="http://schemas.openxmlformats.org/officeDocument/2006/relationships/hyperlink" Target="http://www.nice.org.uk/guidance/published?type=CG" TargetMode="External"/><Relationship Id="rId361" Type="http://schemas.openxmlformats.org/officeDocument/2006/relationships/hyperlink" Target="https://paperpile.com/c/XSSg8U/oz16" TargetMode="External"/><Relationship Id="rId196" Type="http://schemas.openxmlformats.org/officeDocument/2006/relationships/hyperlink" Target="http://paperpile.com/b/rZdog9/ny9BW" TargetMode="External"/><Relationship Id="rId200" Type="http://schemas.openxmlformats.org/officeDocument/2006/relationships/hyperlink" Target="http://paperpile.com/b/rZdog9/XH1uO" TargetMode="External"/><Relationship Id="rId382" Type="http://schemas.openxmlformats.org/officeDocument/2006/relationships/hyperlink" Target="https://paperpile.com/c/XSSg8U/5VKj" TargetMode="External"/><Relationship Id="rId417" Type="http://schemas.openxmlformats.org/officeDocument/2006/relationships/hyperlink" Target="http://paperpile.com/b/XSSg8U/Q69w" TargetMode="External"/><Relationship Id="rId16" Type="http://schemas.openxmlformats.org/officeDocument/2006/relationships/hyperlink" Target="https://paperpile.com/c/rZdog9/jD6n9" TargetMode="External"/><Relationship Id="rId221" Type="http://schemas.openxmlformats.org/officeDocument/2006/relationships/hyperlink" Target="http://paperpile.com/b/rZdog9/9fr0O" TargetMode="External"/><Relationship Id="rId242" Type="http://schemas.openxmlformats.org/officeDocument/2006/relationships/hyperlink" Target="http://paperpile.com/b/rZdog9/6erv" TargetMode="External"/><Relationship Id="rId263" Type="http://schemas.openxmlformats.org/officeDocument/2006/relationships/hyperlink" Target="http://paperpile.com/b/rZdog9/KaZSL" TargetMode="External"/><Relationship Id="rId284" Type="http://schemas.openxmlformats.org/officeDocument/2006/relationships/hyperlink" Target="http://paperpile.com/b/rZdog9/AO8XU" TargetMode="External"/><Relationship Id="rId319" Type="http://schemas.openxmlformats.org/officeDocument/2006/relationships/hyperlink" Target="http://paperpile.com/b/rZdog9/MJ4CK" TargetMode="External"/><Relationship Id="rId37" Type="http://schemas.openxmlformats.org/officeDocument/2006/relationships/hyperlink" Target="https://paperpile.com/c/rZdog9/XH1uO" TargetMode="External"/><Relationship Id="rId58" Type="http://schemas.openxmlformats.org/officeDocument/2006/relationships/hyperlink" Target="https://paperpile.com/c/rZdog9/Iv5Sf" TargetMode="External"/><Relationship Id="rId79" Type="http://schemas.openxmlformats.org/officeDocument/2006/relationships/hyperlink" Target="https://paperpile.com/c/rZdog9/pkzFm" TargetMode="External"/><Relationship Id="rId102" Type="http://schemas.openxmlformats.org/officeDocument/2006/relationships/hyperlink" Target="https://paperpile.com/c/rZdog9/1lnnK" TargetMode="External"/><Relationship Id="rId123" Type="http://schemas.openxmlformats.org/officeDocument/2006/relationships/hyperlink" Target="https://paperpile.com/c/rZdog9/Mtm8j%2BMJ4CK" TargetMode="External"/><Relationship Id="rId144" Type="http://schemas.openxmlformats.org/officeDocument/2006/relationships/hyperlink" Target="http://paperpile.com/b/rZdog9/pUhJb" TargetMode="External"/><Relationship Id="rId330" Type="http://schemas.openxmlformats.org/officeDocument/2006/relationships/hyperlink" Target="http://paperpile.com/b/rZdog9/0Zv7Z" TargetMode="External"/><Relationship Id="rId90" Type="http://schemas.openxmlformats.org/officeDocument/2006/relationships/hyperlink" Target="https://paperpile.com/c/rZdog9/pkzFm" TargetMode="External"/><Relationship Id="rId165" Type="http://schemas.openxmlformats.org/officeDocument/2006/relationships/hyperlink" Target="http://paperpile.com/b/rZdog9/9bUWX" TargetMode="External"/><Relationship Id="rId186" Type="http://schemas.openxmlformats.org/officeDocument/2006/relationships/hyperlink" Target="http://paperpile.com/b/rZdog9/pkzFm" TargetMode="External"/><Relationship Id="rId351" Type="http://schemas.openxmlformats.org/officeDocument/2006/relationships/hyperlink" Target="https://paperpile.com/c/XSSg8U/IU7o%2BbexJ%2Bubtf%2Boz16%2BhFfI" TargetMode="External"/><Relationship Id="rId372" Type="http://schemas.openxmlformats.org/officeDocument/2006/relationships/hyperlink" Target="https://paperpile.com/c/XSSg8U/IU7o" TargetMode="External"/><Relationship Id="rId393" Type="http://schemas.openxmlformats.org/officeDocument/2006/relationships/hyperlink" Target="http://paperpile.com/b/XSSg8U/pwCn" TargetMode="External"/><Relationship Id="rId407" Type="http://schemas.openxmlformats.org/officeDocument/2006/relationships/hyperlink" Target="http://paperpile.com/b/XSSg8U/ubtf" TargetMode="External"/><Relationship Id="rId211" Type="http://schemas.openxmlformats.org/officeDocument/2006/relationships/hyperlink" Target="http://paperpile.com/b/rZdog9/nfmfB" TargetMode="External"/><Relationship Id="rId232" Type="http://schemas.openxmlformats.org/officeDocument/2006/relationships/hyperlink" Target="http://dx.doi.org/10.3390/ijerph14050516" TargetMode="External"/><Relationship Id="rId253" Type="http://schemas.openxmlformats.org/officeDocument/2006/relationships/hyperlink" Target="http://paperpile.com/b/rZdog9/tM4PW" TargetMode="External"/><Relationship Id="rId274" Type="http://schemas.openxmlformats.org/officeDocument/2006/relationships/hyperlink" Target="http://paperpile.com/b/rZdog9/p9Yf3" TargetMode="External"/><Relationship Id="rId295" Type="http://schemas.openxmlformats.org/officeDocument/2006/relationships/hyperlink" Target="http://paperpile.com/b/rZdog9/e6zO6" TargetMode="External"/><Relationship Id="rId309" Type="http://schemas.openxmlformats.org/officeDocument/2006/relationships/hyperlink" Target="http://paperpile.com/b/rZdog9/WaeFZ" TargetMode="External"/><Relationship Id="rId27" Type="http://schemas.openxmlformats.org/officeDocument/2006/relationships/footer" Target="footer1.xml"/><Relationship Id="rId48" Type="http://schemas.openxmlformats.org/officeDocument/2006/relationships/hyperlink" Target="https://paperpile.com/c/rZdog9/4FtE8%2BpkzFm%2BbGYuy" TargetMode="External"/><Relationship Id="rId69" Type="http://schemas.openxmlformats.org/officeDocument/2006/relationships/hyperlink" Target="https://paperpile.com/c/rZdog9/pkzFm" TargetMode="External"/><Relationship Id="rId113" Type="http://schemas.openxmlformats.org/officeDocument/2006/relationships/hyperlink" Target="https://paperpile.com/c/rZdog9/m6tpg" TargetMode="External"/><Relationship Id="rId134" Type="http://schemas.openxmlformats.org/officeDocument/2006/relationships/hyperlink" Target="https://paperpile.com/c/rZdog9/4FtE8%2BpkzFm%2B1lnnK" TargetMode="External"/><Relationship Id="rId320" Type="http://schemas.openxmlformats.org/officeDocument/2006/relationships/hyperlink" Target="http://paperpile.com/b/rZdog9/MJ4CK" TargetMode="External"/><Relationship Id="rId80" Type="http://schemas.openxmlformats.org/officeDocument/2006/relationships/hyperlink" Target="https://paperpile.com/c/rZdog9/4FtE8%2BpkzFm" TargetMode="External"/><Relationship Id="rId155" Type="http://schemas.openxmlformats.org/officeDocument/2006/relationships/hyperlink" Target="http://paperpile.com/b/rZdog9/jD6n9" TargetMode="External"/><Relationship Id="rId176" Type="http://schemas.openxmlformats.org/officeDocument/2006/relationships/hyperlink" Target="http://paperpile.com/b/rZdog9/brqA6" TargetMode="External"/><Relationship Id="rId197" Type="http://schemas.openxmlformats.org/officeDocument/2006/relationships/hyperlink" Target="http://paperpile.com/b/rZdog9/jOQ1m" TargetMode="External"/><Relationship Id="rId341" Type="http://schemas.openxmlformats.org/officeDocument/2006/relationships/hyperlink" Target="http://webarchive.nla.gov.au/gov/%3B" TargetMode="External"/><Relationship Id="rId362" Type="http://schemas.openxmlformats.org/officeDocument/2006/relationships/hyperlink" Target="https://paperpile.com/c/XSSg8U/Q69w" TargetMode="External"/><Relationship Id="rId383" Type="http://schemas.openxmlformats.org/officeDocument/2006/relationships/hyperlink" Target="https://paperpile.com/c/XSSg8U/lOyP" TargetMode="External"/><Relationship Id="rId418" Type="http://schemas.openxmlformats.org/officeDocument/2006/relationships/hyperlink" Target="http://paperpile.com/b/XSSg8U/lOyP" TargetMode="External"/><Relationship Id="rId201" Type="http://schemas.openxmlformats.org/officeDocument/2006/relationships/hyperlink" Target="http://paperpile.com/b/rZdog9/XH1uO" TargetMode="External"/><Relationship Id="rId222" Type="http://schemas.openxmlformats.org/officeDocument/2006/relationships/hyperlink" Target="http://paperpile.com/b/rZdog9/pxv9F" TargetMode="External"/><Relationship Id="rId243" Type="http://schemas.openxmlformats.org/officeDocument/2006/relationships/hyperlink" Target="http://paperpile.com/b/rZdog9/6erv" TargetMode="External"/><Relationship Id="rId264" Type="http://schemas.openxmlformats.org/officeDocument/2006/relationships/hyperlink" Target="http://paperpile.com/b/rZdog9/nLFPg" TargetMode="External"/><Relationship Id="rId285" Type="http://schemas.openxmlformats.org/officeDocument/2006/relationships/hyperlink" Target="http://paperpile.com/b/rZdog9/g1uvz" TargetMode="External"/><Relationship Id="rId17" Type="http://schemas.openxmlformats.org/officeDocument/2006/relationships/hyperlink" Target="https://paperpile.com/c/rZdog9/ZupDu%2BFrjEF%2BjD6n9" TargetMode="External"/><Relationship Id="rId38" Type="http://schemas.openxmlformats.org/officeDocument/2006/relationships/hyperlink" Target="https://paperpile.com/c/rZdog9/bGYuy" TargetMode="External"/><Relationship Id="rId59" Type="http://schemas.openxmlformats.org/officeDocument/2006/relationships/hyperlink" Target="https://paperpile.com/c/rZdog9/jD6n9" TargetMode="External"/><Relationship Id="rId103" Type="http://schemas.openxmlformats.org/officeDocument/2006/relationships/hyperlink" Target="https://paperpile.com/c/rZdog9/1lnnK" TargetMode="External"/><Relationship Id="rId124" Type="http://schemas.openxmlformats.org/officeDocument/2006/relationships/hyperlink" Target="https://paperpile.com/c/rZdog9/Uefzn%2BTkUdl" TargetMode="External"/><Relationship Id="rId310" Type="http://schemas.openxmlformats.org/officeDocument/2006/relationships/hyperlink" Target="http://paperpile.com/b/rZdog9/WaeFZ" TargetMode="External"/><Relationship Id="rId70" Type="http://schemas.openxmlformats.org/officeDocument/2006/relationships/hyperlink" Target="https://paperpile.com/c/CYluk2/eESjM%2BGBinR" TargetMode="External"/><Relationship Id="rId91" Type="http://schemas.openxmlformats.org/officeDocument/2006/relationships/hyperlink" Target="https://paperpile.com/c/rZdog9/1lnnK" TargetMode="External"/><Relationship Id="rId145" Type="http://schemas.openxmlformats.org/officeDocument/2006/relationships/hyperlink" Target="http://paperpile.com/b/rZdog9/pUhJb" TargetMode="External"/><Relationship Id="rId166" Type="http://schemas.openxmlformats.org/officeDocument/2006/relationships/hyperlink" Target="http://paperpile.com/b/rZdog9/bGYuy" TargetMode="External"/><Relationship Id="rId187" Type="http://schemas.openxmlformats.org/officeDocument/2006/relationships/hyperlink" Target="http://paperpile.com/b/rZdog9/pkzFm" TargetMode="External"/><Relationship Id="rId331" Type="http://schemas.openxmlformats.org/officeDocument/2006/relationships/hyperlink" Target="http://paperpile.com/b/rZdog9/YnFI4" TargetMode="External"/><Relationship Id="rId352" Type="http://schemas.openxmlformats.org/officeDocument/2006/relationships/hyperlink" Target="https://paperpile.com/c/XSSg8U/Q69w" TargetMode="External"/><Relationship Id="rId373" Type="http://schemas.openxmlformats.org/officeDocument/2006/relationships/hyperlink" Target="https://paperpile.com/c/XSSg8U/oz16" TargetMode="External"/><Relationship Id="rId394" Type="http://schemas.openxmlformats.org/officeDocument/2006/relationships/hyperlink" Target="http://paperpile.com/b/XSSg8U/pwCn" TargetMode="External"/><Relationship Id="rId408" Type="http://schemas.openxmlformats.org/officeDocument/2006/relationships/hyperlink" Target="http://paperpile.com/b/XSSg8U/ubtf" TargetMode="External"/><Relationship Id="rId1" Type="http://schemas.openxmlformats.org/officeDocument/2006/relationships/numbering" Target="numbering.xml"/><Relationship Id="rId212" Type="http://schemas.openxmlformats.org/officeDocument/2006/relationships/hyperlink" Target="http://paperpile.com/b/rZdog9/T2fuW" TargetMode="External"/><Relationship Id="rId233" Type="http://schemas.openxmlformats.org/officeDocument/2006/relationships/hyperlink" Target="http://paperpile.com/b/rZdog9/e0yv" TargetMode="External"/><Relationship Id="rId254" Type="http://schemas.openxmlformats.org/officeDocument/2006/relationships/hyperlink" Target="http://paperpile.com/b/rZdog9/tM4PW" TargetMode="External"/><Relationship Id="rId28" Type="http://schemas.openxmlformats.org/officeDocument/2006/relationships/hyperlink" Target="https://paperpile.com/c/rZdog9/bGYuy" TargetMode="External"/><Relationship Id="rId49" Type="http://schemas.openxmlformats.org/officeDocument/2006/relationships/hyperlink" Target="https://paperpile.com/c/rZdog9/pkzFm" TargetMode="External"/><Relationship Id="rId114" Type="http://schemas.openxmlformats.org/officeDocument/2006/relationships/hyperlink" Target="https://paperpile.com/c/rZdog9/m6tpg" TargetMode="External"/><Relationship Id="rId275" Type="http://schemas.openxmlformats.org/officeDocument/2006/relationships/hyperlink" Target="http://paperpile.com/b/rZdog9/p9Yf3" TargetMode="External"/><Relationship Id="rId296" Type="http://schemas.openxmlformats.org/officeDocument/2006/relationships/hyperlink" Target="http://paperpile.com/b/rZdog9/y4NWm" TargetMode="External"/><Relationship Id="rId300" Type="http://schemas.openxmlformats.org/officeDocument/2006/relationships/hyperlink" Target="http://paperpile.com/b/rZdog9/bPQTy" TargetMode="External"/><Relationship Id="rId60" Type="http://schemas.openxmlformats.org/officeDocument/2006/relationships/hyperlink" Target="https://paperpile.com/c/rZdog9/pkzFm" TargetMode="External"/><Relationship Id="rId81" Type="http://schemas.openxmlformats.org/officeDocument/2006/relationships/hyperlink" Target="https://paperpile.com/c/rZdog9/pkzFm" TargetMode="External"/><Relationship Id="rId135" Type="http://schemas.openxmlformats.org/officeDocument/2006/relationships/hyperlink" Target="http://paperpile.com/b/rZdog9/so0o9" TargetMode="External"/><Relationship Id="rId156" Type="http://schemas.openxmlformats.org/officeDocument/2006/relationships/hyperlink" Target="http://paperpile.com/b/rZdog9/jD6n9" TargetMode="External"/><Relationship Id="rId177" Type="http://schemas.openxmlformats.org/officeDocument/2006/relationships/hyperlink" Target="http://paperpile.com/b/rZdog9/Cnm6T" TargetMode="External"/><Relationship Id="rId198" Type="http://schemas.openxmlformats.org/officeDocument/2006/relationships/hyperlink" Target="http://paperpile.com/b/rZdog9/jOQ1m" TargetMode="External"/><Relationship Id="rId321" Type="http://schemas.openxmlformats.org/officeDocument/2006/relationships/hyperlink" Target="http://paperpile.com/b/rZdog9/MJ4CK" TargetMode="External"/><Relationship Id="rId342" Type="http://schemas.openxmlformats.org/officeDocument/2006/relationships/hyperlink" Target="http://conitec.gov.br/images/Relatorios/2017/Relat%C3%B3rio_idursulfase_MPSII_CP.pdf" TargetMode="External"/><Relationship Id="rId363" Type="http://schemas.openxmlformats.org/officeDocument/2006/relationships/hyperlink" Target="https://paperpile.com/c/XSSg8U/lOyP" TargetMode="External"/><Relationship Id="rId384" Type="http://schemas.openxmlformats.org/officeDocument/2006/relationships/hyperlink" Target="https://paperpile.com/c/XSSg8U/Q69w" TargetMode="External"/><Relationship Id="rId419" Type="http://schemas.openxmlformats.org/officeDocument/2006/relationships/hyperlink" Target="http://paperpile.com/b/XSSg8U/lOyP" TargetMode="External"/><Relationship Id="rId202" Type="http://schemas.openxmlformats.org/officeDocument/2006/relationships/hyperlink" Target="http://paperpile.com/b/rZdog9/XH1uO" TargetMode="External"/><Relationship Id="rId223" Type="http://schemas.openxmlformats.org/officeDocument/2006/relationships/hyperlink" Target="http://paperpile.com/b/rZdog9/pxv9F" TargetMode="External"/><Relationship Id="rId244" Type="http://schemas.openxmlformats.org/officeDocument/2006/relationships/hyperlink" Target="http://portalsaude.saude.gov.br/images/pdf/2016/fevereiro/04/Epilepsia---PCDT-Formatado--.pdf" TargetMode="External"/><Relationship Id="rId18" Type="http://schemas.openxmlformats.org/officeDocument/2006/relationships/hyperlink" Target="https://paperpile.com/c/rZdog9/jXSc" TargetMode="External"/><Relationship Id="rId39" Type="http://schemas.openxmlformats.org/officeDocument/2006/relationships/hyperlink" Target="https://paperpile.com/c/rZdog9/bGYuy" TargetMode="External"/><Relationship Id="rId265" Type="http://schemas.openxmlformats.org/officeDocument/2006/relationships/hyperlink" Target="http://paperpile.com/b/rZdog9/cisBf" TargetMode="External"/><Relationship Id="rId286" Type="http://schemas.openxmlformats.org/officeDocument/2006/relationships/hyperlink" Target="http://paperpile.com/b/rZdog9/g1uvz" TargetMode="External"/><Relationship Id="rId50" Type="http://schemas.openxmlformats.org/officeDocument/2006/relationships/hyperlink" Target="https://paperpile.com/c/rZdog9/Tdml7" TargetMode="External"/><Relationship Id="rId104" Type="http://schemas.openxmlformats.org/officeDocument/2006/relationships/hyperlink" Target="https://paperpile.com/c/rZdog9/AO8XU" TargetMode="External"/><Relationship Id="rId125" Type="http://schemas.openxmlformats.org/officeDocument/2006/relationships/hyperlink" Target="https://paperpile.com/c/rZdog9/Uefzn%2BbPQTy%2B0shMJ%2BAeL6u%2B0Zv7Z%2BMkIyK%2BYnFI4" TargetMode="External"/><Relationship Id="rId146" Type="http://schemas.openxmlformats.org/officeDocument/2006/relationships/hyperlink" Target="http://paperpile.com/b/rZdog9/shAa" TargetMode="External"/><Relationship Id="rId167" Type="http://schemas.openxmlformats.org/officeDocument/2006/relationships/hyperlink" Target="http://paperpile.com/b/rZdog9/bGYuy" TargetMode="External"/><Relationship Id="rId188" Type="http://schemas.openxmlformats.org/officeDocument/2006/relationships/hyperlink" Target="http://paperpile.com/b/rZdog9/pkzFm" TargetMode="External"/><Relationship Id="rId311" Type="http://schemas.openxmlformats.org/officeDocument/2006/relationships/hyperlink" Target="http://paperpile.com/b/rZdog9/Np5nU" TargetMode="External"/><Relationship Id="rId332" Type="http://schemas.openxmlformats.org/officeDocument/2006/relationships/hyperlink" Target="http://paperpile.com/b/rZdog9/YnFI4" TargetMode="External"/><Relationship Id="rId353" Type="http://schemas.openxmlformats.org/officeDocument/2006/relationships/hyperlink" Target="https://paperpile.com/c/XSSg8U/Q69w" TargetMode="External"/><Relationship Id="rId374" Type="http://schemas.openxmlformats.org/officeDocument/2006/relationships/hyperlink" Target="https://paperpile.com/c/XSSg8U/pwCn%2BbexJ%2BIU7o%2Boz16%2BhFfI" TargetMode="External"/><Relationship Id="rId395" Type="http://schemas.openxmlformats.org/officeDocument/2006/relationships/hyperlink" Target="http://paperpile.com/b/XSSg8U/5VKj" TargetMode="External"/><Relationship Id="rId409" Type="http://schemas.openxmlformats.org/officeDocument/2006/relationships/hyperlink" Target="http://paperpile.com/b/XSSg8U/ubtf" TargetMode="External"/><Relationship Id="rId71" Type="http://schemas.openxmlformats.org/officeDocument/2006/relationships/hyperlink" Target="https://paperpile.com/c/CYluk2/YIirF" TargetMode="External"/><Relationship Id="rId92" Type="http://schemas.openxmlformats.org/officeDocument/2006/relationships/hyperlink" Target="https://paperpile.com/c/rZdog9/BiJYK" TargetMode="External"/><Relationship Id="rId213" Type="http://schemas.openxmlformats.org/officeDocument/2006/relationships/hyperlink" Target="http://paperpile.com/b/rZdog9/T2fuW" TargetMode="External"/><Relationship Id="rId234" Type="http://schemas.openxmlformats.org/officeDocument/2006/relationships/hyperlink" Target="http://paperpile.com/b/rZdog9/e0yv" TargetMode="External"/><Relationship Id="rId420" Type="http://schemas.openxmlformats.org/officeDocument/2006/relationships/hyperlink" Target="http://paperpile.com/b/XSSg8U/lOyP" TargetMode="External"/><Relationship Id="rId2" Type="http://schemas.openxmlformats.org/officeDocument/2006/relationships/styles" Target="styles.xml"/><Relationship Id="rId29" Type="http://schemas.openxmlformats.org/officeDocument/2006/relationships/hyperlink" Target="https://paperpile.com/c/rZdog9/Yr4rd%2B7hyM7" TargetMode="External"/><Relationship Id="rId255" Type="http://schemas.openxmlformats.org/officeDocument/2006/relationships/hyperlink" Target="http://paperpile.com/b/rZdog9/BiJYK" TargetMode="External"/><Relationship Id="rId276" Type="http://schemas.openxmlformats.org/officeDocument/2006/relationships/hyperlink" Target="http://paperpile.com/b/rZdog9/RFip5" TargetMode="External"/><Relationship Id="rId297" Type="http://schemas.openxmlformats.org/officeDocument/2006/relationships/hyperlink" Target="http://paperpile.com/b/rZdog9/Uefzn" TargetMode="External"/><Relationship Id="rId40" Type="http://schemas.openxmlformats.org/officeDocument/2006/relationships/hyperlink" Target="https://paperpile.com/c/rZdog9/m28fR" TargetMode="External"/><Relationship Id="rId115" Type="http://schemas.openxmlformats.org/officeDocument/2006/relationships/hyperlink" Target="https://paperpile.com/c/rZdog9/y4NWm" TargetMode="External"/><Relationship Id="rId136" Type="http://schemas.openxmlformats.org/officeDocument/2006/relationships/hyperlink" Target="http://paperpile.com/b/rZdog9/so0o9" TargetMode="External"/><Relationship Id="rId157" Type="http://schemas.openxmlformats.org/officeDocument/2006/relationships/hyperlink" Target="http://paperpile.com/b/rZdog9/ZVhqp" TargetMode="External"/><Relationship Id="rId178" Type="http://schemas.openxmlformats.org/officeDocument/2006/relationships/hyperlink" Target="http://paperpile.com/b/rZdog9/Cnm6T" TargetMode="External"/><Relationship Id="rId301" Type="http://schemas.openxmlformats.org/officeDocument/2006/relationships/hyperlink" Target="http://paperpile.com/b/rZdog9/bPQTy" TargetMode="External"/><Relationship Id="rId322" Type="http://schemas.openxmlformats.org/officeDocument/2006/relationships/hyperlink" Target="http://paperpile.com/b/rZdog9/Mtm8j" TargetMode="External"/><Relationship Id="rId343" Type="http://schemas.openxmlformats.org/officeDocument/2006/relationships/hyperlink" Target="http://conitec.gov.br/images/Relatorios/2018/Relatorio_Transplante_CelulasTroncoHematopoeticas_MPSII.pdf" TargetMode="External"/><Relationship Id="rId364" Type="http://schemas.openxmlformats.org/officeDocument/2006/relationships/hyperlink" Target="https://paperpile.com/c/XSSg8U/pwCn" TargetMode="External"/><Relationship Id="rId61" Type="http://schemas.openxmlformats.org/officeDocument/2006/relationships/hyperlink" Target="https://paperpile.com/c/rZdog9/6erv" TargetMode="External"/><Relationship Id="rId82" Type="http://schemas.openxmlformats.org/officeDocument/2006/relationships/hyperlink" Target="https://paperpile.com/c/rZdog9/1lnnK" TargetMode="External"/><Relationship Id="rId199" Type="http://schemas.openxmlformats.org/officeDocument/2006/relationships/hyperlink" Target="http://paperpile.com/b/rZdog9/jOQ1m" TargetMode="External"/><Relationship Id="rId203" Type="http://schemas.openxmlformats.org/officeDocument/2006/relationships/hyperlink" Target="http://paperpile.com/b/rZdog9/m28fR" TargetMode="External"/><Relationship Id="rId385" Type="http://schemas.openxmlformats.org/officeDocument/2006/relationships/hyperlink" Target="http://paperpile.com/b/XSSg8U/66ue" TargetMode="External"/><Relationship Id="rId19" Type="http://schemas.openxmlformats.org/officeDocument/2006/relationships/hyperlink" Target="https://paperpile.com/c/rZdog9/9bUWX%2BbGYuy" TargetMode="External"/><Relationship Id="rId224" Type="http://schemas.openxmlformats.org/officeDocument/2006/relationships/hyperlink" Target="http://paperpile.com/b/rZdog9/2qALe" TargetMode="External"/><Relationship Id="rId245" Type="http://schemas.openxmlformats.org/officeDocument/2006/relationships/hyperlink" Target="http://portalsaude.saude.gov.br/images/pdf/2016/fevereiro/04/Epilepsia---PCDT-Formatado--.pdf" TargetMode="External"/><Relationship Id="rId266" Type="http://schemas.openxmlformats.org/officeDocument/2006/relationships/hyperlink" Target="http://paperpile.com/b/rZdog9/cisBf" TargetMode="External"/><Relationship Id="rId287" Type="http://schemas.openxmlformats.org/officeDocument/2006/relationships/hyperlink" Target="http://paperpile.com/b/rZdog9/3SSdQ" TargetMode="External"/><Relationship Id="rId410" Type="http://schemas.openxmlformats.org/officeDocument/2006/relationships/hyperlink" Target="http://paperpile.com/b/XSSg8U/oz16" TargetMode="External"/><Relationship Id="rId30" Type="http://schemas.openxmlformats.org/officeDocument/2006/relationships/hyperlink" Target="https://paperpile.com/c/rZdog9/pkzFm" TargetMode="External"/><Relationship Id="rId105" Type="http://schemas.openxmlformats.org/officeDocument/2006/relationships/hyperlink" Target="https://paperpile.com/c/rZdog9/AO8XU%2BpkzFm" TargetMode="External"/><Relationship Id="rId126" Type="http://schemas.openxmlformats.org/officeDocument/2006/relationships/hyperlink" Target="https://paperpile.com/c/rZdog9/Uefzn%2BbPQTy%2B0shMJ%2BAeL6u%2B0Zv7Z%2BMkIyK%2BYnFI4" TargetMode="External"/><Relationship Id="rId147" Type="http://schemas.openxmlformats.org/officeDocument/2006/relationships/hyperlink" Target="http://paperpile.com/b/rZdog9/shAa" TargetMode="External"/><Relationship Id="rId168" Type="http://schemas.openxmlformats.org/officeDocument/2006/relationships/hyperlink" Target="http://paperpile.com/b/rZdog9/KaoPl" TargetMode="External"/><Relationship Id="rId312" Type="http://schemas.openxmlformats.org/officeDocument/2006/relationships/hyperlink" Target="http://paperpile.com/b/rZdog9/Np5nU" TargetMode="External"/><Relationship Id="rId333" Type="http://schemas.openxmlformats.org/officeDocument/2006/relationships/hyperlink" Target="http://paperpile.com/b/rZdog9/5dDjq" TargetMode="External"/><Relationship Id="rId354" Type="http://schemas.openxmlformats.org/officeDocument/2006/relationships/hyperlink" Target="https://paperpile.com/c/XSSg8U/pwCn" TargetMode="External"/><Relationship Id="rId51" Type="http://schemas.openxmlformats.org/officeDocument/2006/relationships/hyperlink" Target="https://paperpile.com/c/rZdog9/pkzFm" TargetMode="External"/><Relationship Id="rId72" Type="http://schemas.openxmlformats.org/officeDocument/2006/relationships/hyperlink" Target="https://paperpile.com/c/CYluk2/ryRmW" TargetMode="External"/><Relationship Id="rId93" Type="http://schemas.openxmlformats.org/officeDocument/2006/relationships/hyperlink" Target="https://paperpile.com/c/rZdog9/pkzFm" TargetMode="External"/><Relationship Id="rId189" Type="http://schemas.openxmlformats.org/officeDocument/2006/relationships/hyperlink" Target="http://paperpile.com/b/rZdog9/Yr4rd" TargetMode="External"/><Relationship Id="rId375" Type="http://schemas.openxmlformats.org/officeDocument/2006/relationships/hyperlink" Target="https://paperpile.com/c/XSSg8U/pwCn" TargetMode="External"/><Relationship Id="rId396" Type="http://schemas.openxmlformats.org/officeDocument/2006/relationships/hyperlink" Target="http://paperpile.com/b/XSSg8U/5VKj" TargetMode="External"/><Relationship Id="rId3" Type="http://schemas.microsoft.com/office/2007/relationships/stylesWithEffects" Target="stylesWithEffects.xml"/><Relationship Id="rId214" Type="http://schemas.openxmlformats.org/officeDocument/2006/relationships/hyperlink" Target="http://paperpile.com/b/rZdog9/5T4Pa" TargetMode="External"/><Relationship Id="rId235" Type="http://schemas.openxmlformats.org/officeDocument/2006/relationships/hyperlink" Target="http://portalsaude.saude.gov.br/images/pdf/2014/julho/22/PT-SAS-N---1317-alterado-pela-603-de-21-de-julho-de-2014.pdf" TargetMode="External"/><Relationship Id="rId256" Type="http://schemas.openxmlformats.org/officeDocument/2006/relationships/hyperlink" Target="http://paperpile.com/b/rZdog9/BiJYK" TargetMode="External"/><Relationship Id="rId277" Type="http://schemas.openxmlformats.org/officeDocument/2006/relationships/hyperlink" Target="http://paperpile.com/b/rZdog9/RFip5" TargetMode="External"/><Relationship Id="rId298" Type="http://schemas.openxmlformats.org/officeDocument/2006/relationships/hyperlink" Target="http://paperpile.com/b/rZdog9/Uefzn" TargetMode="External"/><Relationship Id="rId400" Type="http://schemas.openxmlformats.org/officeDocument/2006/relationships/hyperlink" Target="http://paperpile.com/b/XSSg8U/BoR3" TargetMode="External"/><Relationship Id="rId421" Type="http://schemas.openxmlformats.org/officeDocument/2006/relationships/hyperlink" Target="http://paperpile.com/b/XSSg8U/xR7K" TargetMode="External"/><Relationship Id="rId116" Type="http://schemas.openxmlformats.org/officeDocument/2006/relationships/hyperlink" Target="https://paperpile.com/c/rZdog9/m6tpg" TargetMode="External"/><Relationship Id="rId137" Type="http://schemas.openxmlformats.org/officeDocument/2006/relationships/hyperlink" Target="http://paperpile.com/b/rZdog9/FRkR6" TargetMode="External"/><Relationship Id="rId158" Type="http://schemas.openxmlformats.org/officeDocument/2006/relationships/hyperlink" Target="http://paperpile.com/b/rZdog9/ZVhqp" TargetMode="External"/><Relationship Id="rId302" Type="http://schemas.openxmlformats.org/officeDocument/2006/relationships/hyperlink" Target="http://paperpile.com/b/rZdog9/bPQTy" TargetMode="External"/><Relationship Id="rId323" Type="http://schemas.openxmlformats.org/officeDocument/2006/relationships/hyperlink" Target="http://paperpile.com/b/rZdog9/Mtm8j" TargetMode="External"/><Relationship Id="rId344" Type="http://schemas.openxmlformats.org/officeDocument/2006/relationships/hyperlink" Target="https://paperpile.com/c/XSSg8U/66ue" TargetMode="External"/><Relationship Id="rId20" Type="http://schemas.openxmlformats.org/officeDocument/2006/relationships/hyperlink" Target="https://paperpile.com/c/rZdog9/KaoPl%2BH9ID5" TargetMode="External"/><Relationship Id="rId41" Type="http://schemas.openxmlformats.org/officeDocument/2006/relationships/hyperlink" Target="https://paperpile.com/c/rZdog9/bGYuy" TargetMode="External"/><Relationship Id="rId62" Type="http://schemas.openxmlformats.org/officeDocument/2006/relationships/hyperlink" Target="https://paperpile.com/c/rZdog9/4FtE8" TargetMode="External"/><Relationship Id="rId83" Type="http://schemas.openxmlformats.org/officeDocument/2006/relationships/hyperlink" Target="https://paperpile.com/c/rZdog9/TfFhI" TargetMode="External"/><Relationship Id="rId179" Type="http://schemas.openxmlformats.org/officeDocument/2006/relationships/hyperlink" Target="http://paperpile.com/b/rZdog9/Nbo2S" TargetMode="External"/><Relationship Id="rId365" Type="http://schemas.openxmlformats.org/officeDocument/2006/relationships/hyperlink" Target="https://paperpile.com/c/XSSg8U/oz16%2BbexJ%2BIU7o" TargetMode="External"/><Relationship Id="rId386" Type="http://schemas.openxmlformats.org/officeDocument/2006/relationships/hyperlink" Target="http://paperpile.com/b/XSSg8U/66ue" TargetMode="External"/><Relationship Id="rId190" Type="http://schemas.openxmlformats.org/officeDocument/2006/relationships/hyperlink" Target="http://paperpile.com/b/rZdog9/Yr4rd" TargetMode="External"/><Relationship Id="rId204" Type="http://schemas.openxmlformats.org/officeDocument/2006/relationships/hyperlink" Target="http://paperpile.com/b/rZdog9/m28fR" TargetMode="External"/><Relationship Id="rId225" Type="http://schemas.openxmlformats.org/officeDocument/2006/relationships/hyperlink" Target="http://paperpile.com/b/rZdog9/2qALe" TargetMode="External"/><Relationship Id="rId246" Type="http://schemas.openxmlformats.org/officeDocument/2006/relationships/hyperlink" Target="http://paperpile.com/b/rZdog9/0B1TX" TargetMode="External"/><Relationship Id="rId267" Type="http://schemas.openxmlformats.org/officeDocument/2006/relationships/hyperlink" Target="http://paperpile.com/b/rZdog9/1pWH4" TargetMode="External"/><Relationship Id="rId288" Type="http://schemas.openxmlformats.org/officeDocument/2006/relationships/hyperlink" Target="http://paperpile.com/b/rZdog9/3SSdQ" TargetMode="External"/><Relationship Id="rId411" Type="http://schemas.openxmlformats.org/officeDocument/2006/relationships/hyperlink" Target="http://paperpile.com/b/XSSg8U/oz16" TargetMode="External"/><Relationship Id="rId106" Type="http://schemas.openxmlformats.org/officeDocument/2006/relationships/hyperlink" Target="https://paperpile.com/c/rZdog9/g1uvz" TargetMode="External"/><Relationship Id="rId127" Type="http://schemas.openxmlformats.org/officeDocument/2006/relationships/hyperlink" Target="https://paperpile.com/c/rZdog9/Uefzn" TargetMode="External"/><Relationship Id="rId313" Type="http://schemas.openxmlformats.org/officeDocument/2006/relationships/hyperlink" Target="http://paperpile.com/b/rZdog9/MkIyK" TargetMode="External"/><Relationship Id="rId10" Type="http://schemas.openxmlformats.org/officeDocument/2006/relationships/hyperlink" Target="https://paperpile.com/c/rZdog9/FRkR6%2BLxTZL%2Bq4Pji%2BpUhJb" TargetMode="External"/><Relationship Id="rId31" Type="http://schemas.openxmlformats.org/officeDocument/2006/relationships/hyperlink" Target="https://paperpile.com/c/rZdog9/XpDq6" TargetMode="External"/><Relationship Id="rId52" Type="http://schemas.openxmlformats.org/officeDocument/2006/relationships/hyperlink" Target="https://paperpile.com/c/rZdog9/e0yv" TargetMode="External"/><Relationship Id="rId73" Type="http://schemas.openxmlformats.org/officeDocument/2006/relationships/hyperlink" Target="https://paperpile.com/c/CYluk2/YIirF" TargetMode="External"/><Relationship Id="rId94" Type="http://schemas.openxmlformats.org/officeDocument/2006/relationships/hyperlink" Target="https://paperpile.com/c/rZdog9/cisBf%2B1pWH4" TargetMode="External"/><Relationship Id="rId148" Type="http://schemas.openxmlformats.org/officeDocument/2006/relationships/hyperlink" Target="http://paperpile.com/b/rZdog9/shAa" TargetMode="External"/><Relationship Id="rId169" Type="http://schemas.openxmlformats.org/officeDocument/2006/relationships/hyperlink" Target="http://paperpile.com/b/rZdog9/KaoPl" TargetMode="External"/><Relationship Id="rId334" Type="http://schemas.openxmlformats.org/officeDocument/2006/relationships/hyperlink" Target="http://paperpile.com/b/rZdog9/5dDjq" TargetMode="External"/><Relationship Id="rId355" Type="http://schemas.openxmlformats.org/officeDocument/2006/relationships/hyperlink" Target="https://paperpile.com/c/XSSg8U/IU7o%2BbexJ%2Bubtf%2Boz16%2BpwCn%2BQ69w%2B9LcI%2BBoR3" TargetMode="External"/><Relationship Id="rId376" Type="http://schemas.openxmlformats.org/officeDocument/2006/relationships/hyperlink" Target="https://paperpile.com/c/XSSg8U/IU7o%2BhFfI%2BbexJ" TargetMode="External"/><Relationship Id="rId397" Type="http://schemas.openxmlformats.org/officeDocument/2006/relationships/hyperlink" Target="http://paperpile.com/b/XSSg8U/5VKj" TargetMode="External"/><Relationship Id="rId4" Type="http://schemas.openxmlformats.org/officeDocument/2006/relationships/settings" Target="settings.xml"/><Relationship Id="rId180" Type="http://schemas.openxmlformats.org/officeDocument/2006/relationships/hyperlink" Target="http://paperpile.com/b/rZdog9/Nbo2S" TargetMode="External"/><Relationship Id="rId215" Type="http://schemas.openxmlformats.org/officeDocument/2006/relationships/hyperlink" Target="http://paperpile.com/b/rZdog9/5T4Pa" TargetMode="External"/><Relationship Id="rId236" Type="http://schemas.openxmlformats.org/officeDocument/2006/relationships/hyperlink" Target="http://portalsaude.saude.gov.br/images/pdf/2014/julho/22/PT-SAS-N---1317-alterado-pela-603-de-21-de-julho-de-2014.pdf" TargetMode="External"/><Relationship Id="rId257" Type="http://schemas.openxmlformats.org/officeDocument/2006/relationships/hyperlink" Target="http://paperpile.com/b/rZdog9/TfFhI" TargetMode="External"/><Relationship Id="rId278" Type="http://schemas.openxmlformats.org/officeDocument/2006/relationships/hyperlink" Target="http://paperpile.com/b/rZdog9/RFip5" TargetMode="External"/><Relationship Id="rId401" Type="http://schemas.openxmlformats.org/officeDocument/2006/relationships/hyperlink" Target="http://paperpile.com/b/XSSg8U/BoR3" TargetMode="External"/><Relationship Id="rId422" Type="http://schemas.openxmlformats.org/officeDocument/2006/relationships/hyperlink" Target="http://paperpile.com/b/XSSg8U/xR7K" TargetMode="External"/><Relationship Id="rId303" Type="http://schemas.openxmlformats.org/officeDocument/2006/relationships/hyperlink" Target="http://paperpile.com/b/rZdog9/0shMJ" TargetMode="External"/><Relationship Id="rId42" Type="http://schemas.openxmlformats.org/officeDocument/2006/relationships/hyperlink" Target="https://paperpile.com/c/rZdog9/4FtE8%2BuRaCQ" TargetMode="External"/><Relationship Id="rId84" Type="http://schemas.openxmlformats.org/officeDocument/2006/relationships/hyperlink" Target="https://paperpile.com/c/rZdog9/pkzFm" TargetMode="External"/><Relationship Id="rId138" Type="http://schemas.openxmlformats.org/officeDocument/2006/relationships/hyperlink" Target="http://paperpile.com/b/rZdog9/FRkR6" TargetMode="External"/><Relationship Id="rId345" Type="http://schemas.openxmlformats.org/officeDocument/2006/relationships/hyperlink" Target="https://paperpile.com/c/XSSg8U/DlSZ" TargetMode="External"/><Relationship Id="rId387" Type="http://schemas.openxmlformats.org/officeDocument/2006/relationships/hyperlink" Target="http://paperpile.com/b/XSSg8U/DlSZ" TargetMode="External"/><Relationship Id="rId191" Type="http://schemas.openxmlformats.org/officeDocument/2006/relationships/hyperlink" Target="http://paperpile.com/b/rZdog9/7hyM7" TargetMode="External"/><Relationship Id="rId205" Type="http://schemas.openxmlformats.org/officeDocument/2006/relationships/hyperlink" Target="http://paperpile.com/b/rZdog9/4FtE8" TargetMode="External"/><Relationship Id="rId247" Type="http://schemas.openxmlformats.org/officeDocument/2006/relationships/hyperlink" Target="http://paperpile.com/b/rZdog9/0B1TX" TargetMode="External"/><Relationship Id="rId412" Type="http://schemas.openxmlformats.org/officeDocument/2006/relationships/hyperlink" Target="http://paperpile.com/b/XSSg8U/hFfI" TargetMode="External"/><Relationship Id="rId107" Type="http://schemas.openxmlformats.org/officeDocument/2006/relationships/hyperlink" Target="https://paperpile.com/c/rZdog9/pkzFm" TargetMode="External"/><Relationship Id="rId289" Type="http://schemas.openxmlformats.org/officeDocument/2006/relationships/hyperlink" Target="http://paperpile.com/b/rZdog9/3SSdQ" TargetMode="External"/><Relationship Id="rId11" Type="http://schemas.openxmlformats.org/officeDocument/2006/relationships/hyperlink" Target="https://paperpile.com/c/rZdog9/shAa%2BPBRC%2BjXSc%2Bnt0L" TargetMode="External"/><Relationship Id="rId53" Type="http://schemas.openxmlformats.org/officeDocument/2006/relationships/hyperlink" Target="https://paperpile.com/c/rZdog9/pkzFm" TargetMode="External"/><Relationship Id="rId149" Type="http://schemas.openxmlformats.org/officeDocument/2006/relationships/hyperlink" Target="http://paperpile.com/b/rZdog9/PBRC" TargetMode="External"/><Relationship Id="rId314" Type="http://schemas.openxmlformats.org/officeDocument/2006/relationships/hyperlink" Target="http://paperpile.com/b/rZdog9/MkIyK" TargetMode="External"/><Relationship Id="rId356" Type="http://schemas.openxmlformats.org/officeDocument/2006/relationships/hyperlink" Target="https://paperpile.com/c/XSSg8U/hFfI" TargetMode="External"/><Relationship Id="rId398" Type="http://schemas.openxmlformats.org/officeDocument/2006/relationships/hyperlink" Target="http://paperpile.com/b/XSSg8U/9LcI" TargetMode="External"/><Relationship Id="rId95" Type="http://schemas.openxmlformats.org/officeDocument/2006/relationships/hyperlink" Target="https://paperpile.com/c/rZdog9/1pWH4" TargetMode="External"/><Relationship Id="rId160" Type="http://schemas.openxmlformats.org/officeDocument/2006/relationships/hyperlink" Target="http://paperpile.com/b/rZdog9/ZupDu" TargetMode="External"/><Relationship Id="rId216" Type="http://schemas.openxmlformats.org/officeDocument/2006/relationships/hyperlink" Target="http://paperpile.com/b/rZdog9/WQOsa" TargetMode="External"/><Relationship Id="rId423" Type="http://schemas.openxmlformats.org/officeDocument/2006/relationships/hyperlink" Target="http://paperpile.com/b/XSSg8U/sbLk" TargetMode="External"/><Relationship Id="rId258" Type="http://schemas.openxmlformats.org/officeDocument/2006/relationships/hyperlink" Target="http://paperpile.com/b/rZdog9/TfFhI" TargetMode="External"/><Relationship Id="rId22" Type="http://schemas.openxmlformats.org/officeDocument/2006/relationships/hyperlink" Target="https://paperpile.com/c/rZdog9/Cnm6T" TargetMode="External"/><Relationship Id="rId64" Type="http://schemas.openxmlformats.org/officeDocument/2006/relationships/hyperlink" Target="https://paperpile.com/c/rZdog9/jD6n9%2B0B1TX" TargetMode="External"/><Relationship Id="rId118" Type="http://schemas.openxmlformats.org/officeDocument/2006/relationships/hyperlink" Target="https://paperpile.com/c/rZdog9/Uefzn%2BbPQTy%2B0shMJ%2BAeL6u%2BWaeFZ%2BNp5nU%2BMkIyK%2BxkW1y" TargetMode="External"/><Relationship Id="rId325" Type="http://schemas.openxmlformats.org/officeDocument/2006/relationships/hyperlink" Target="http://paperpile.com/b/rZdog9/TkUdl" TargetMode="External"/><Relationship Id="rId367" Type="http://schemas.openxmlformats.org/officeDocument/2006/relationships/hyperlink" Target="https://paperpile.com/c/XSSg8U/Q6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17868</Words>
  <Characters>96489</Characters>
  <Application>Microsoft Office Word</Application>
  <DocSecurity>0</DocSecurity>
  <Lines>804</Lines>
  <Paragraphs>228</Paragraphs>
  <ScaleCrop>false</ScaleCrop>
  <Company/>
  <LinksUpToDate>false</LinksUpToDate>
  <CharactersWithSpaces>114129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Maria Teixeira Saquis Neves</dc:creator>
  <cp:lastModifiedBy>Marina Porto Ferreira Junqueira</cp:lastModifiedBy>
  <cp:revision>2</cp:revision>
  <dcterms:created xsi:type="dcterms:W3CDTF">2019-07-22T13:42:00Z</dcterms:created>
  <dcterms:modified xsi:type="dcterms:W3CDTF">2019-07-22T13:47:00Z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2010</vt:lpwstr>
  </property>
  <property fmtid="{D5CDD505-2E9C-101B-9397-08002B2CF9AE}" pid="4" name="LastSaved">
    <vt:filetime>2019-07-22T00:00:00Z</vt:filetime>
  </property>
</Properties>
</file>