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D" w:rsidRDefault="00C051FD" w:rsidP="00C051FD">
      <w:pPr>
        <w:pStyle w:val="Corpodetexto"/>
        <w:spacing w:before="72"/>
        <w:ind w:right="1753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6EFE0829" wp14:editId="228BF340">
            <wp:extent cx="4690745" cy="461010"/>
            <wp:effectExtent l="0" t="0" r="0" b="0"/>
            <wp:docPr id="17" name="Imagem 17" descr="papel timbrad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papel timbrado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38" w:rsidRDefault="00C051FD" w:rsidP="00C051FD">
      <w:pPr>
        <w:pStyle w:val="Corpodetexto"/>
        <w:spacing w:before="72"/>
        <w:ind w:left="1736" w:right="1753"/>
        <w:jc w:val="center"/>
      </w:pPr>
      <w:r>
        <w:t>ANEXO</w:t>
      </w:r>
    </w:p>
    <w:p w:rsidR="00067738" w:rsidRDefault="00067738">
      <w:pPr>
        <w:pStyle w:val="Corpodetexto"/>
        <w:spacing w:before="2"/>
        <w:ind w:left="0"/>
      </w:pPr>
    </w:p>
    <w:p w:rsidR="00067738" w:rsidRDefault="00C051FD">
      <w:pPr>
        <w:pStyle w:val="Corpodetexto"/>
        <w:ind w:left="1736" w:right="1753"/>
        <w:jc w:val="center"/>
      </w:pPr>
      <w:r>
        <w:t xml:space="preserve">PROTOCOLO </w:t>
      </w:r>
      <w:proofErr w:type="gramStart"/>
      <w:r>
        <w:t>CLÍNICO E DIRETRIZES TERAPÊUTICAS EM ONCOLOGIA LINFOMA DIFUSO DE GRANDES CÉLULAS B NO ADULTO</w:t>
      </w:r>
      <w:proofErr w:type="gramEnd"/>
    </w:p>
    <w:p w:rsidR="00067738" w:rsidRDefault="00067738">
      <w:pPr>
        <w:pStyle w:val="Corpodetexto"/>
        <w:ind w:left="0"/>
      </w:pPr>
    </w:p>
    <w:p w:rsidR="00067738" w:rsidRDefault="00C051FD">
      <w:pPr>
        <w:pStyle w:val="PargrafodaLista"/>
        <w:numPr>
          <w:ilvl w:val="0"/>
          <w:numId w:val="4"/>
        </w:numPr>
        <w:tabs>
          <w:tab w:val="left" w:pos="810"/>
        </w:tabs>
        <w:spacing w:line="183" w:lineRule="exact"/>
        <w:ind w:firstLine="566"/>
        <w:rPr>
          <w:sz w:val="16"/>
        </w:rPr>
      </w:pPr>
      <w:r>
        <w:rPr>
          <w:sz w:val="16"/>
        </w:rPr>
        <w:t>METODOLOGIA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BUSCA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AVALIAÇÃO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8"/>
          <w:sz w:val="16"/>
        </w:rPr>
        <w:t xml:space="preserve"> </w:t>
      </w:r>
      <w:r>
        <w:rPr>
          <w:sz w:val="16"/>
        </w:rPr>
        <w:t>LITERATURA</w:t>
      </w:r>
    </w:p>
    <w:p w:rsidR="00067738" w:rsidRPr="00C051FD" w:rsidRDefault="00C051FD">
      <w:pPr>
        <w:pStyle w:val="Corpodetexto"/>
        <w:ind w:right="113" w:firstLine="566"/>
        <w:jc w:val="both"/>
        <w:rPr>
          <w:lang w:val="en-US"/>
        </w:rPr>
      </w:pPr>
      <w:proofErr w:type="spellStart"/>
      <w:r w:rsidRPr="00C051FD">
        <w:rPr>
          <w:spacing w:val="-2"/>
          <w:lang w:val="en-US"/>
        </w:rPr>
        <w:t>Foi</w:t>
      </w:r>
      <w:proofErr w:type="spellEnd"/>
      <w:r w:rsidRPr="00C051FD">
        <w:rPr>
          <w:spacing w:val="-2"/>
          <w:lang w:val="en-US"/>
        </w:rPr>
        <w:t xml:space="preserve"> </w:t>
      </w:r>
      <w:proofErr w:type="spellStart"/>
      <w:r w:rsidRPr="00C051FD">
        <w:rPr>
          <w:lang w:val="en-US"/>
        </w:rPr>
        <w:t>realizada</w:t>
      </w:r>
      <w:proofErr w:type="spellEnd"/>
      <w:r w:rsidRPr="00C051FD">
        <w:rPr>
          <w:lang w:val="en-US"/>
        </w:rPr>
        <w:t xml:space="preserve"> </w:t>
      </w:r>
      <w:proofErr w:type="spellStart"/>
      <w:r w:rsidRPr="00C051FD">
        <w:rPr>
          <w:lang w:val="en-US"/>
        </w:rPr>
        <w:t>em</w:t>
      </w:r>
      <w:proofErr w:type="spellEnd"/>
      <w:r w:rsidRPr="00C051FD">
        <w:rPr>
          <w:lang w:val="en-US"/>
        </w:rPr>
        <w:t xml:space="preserve"> 30/01/2012 </w:t>
      </w:r>
      <w:proofErr w:type="spellStart"/>
      <w:r w:rsidRPr="00C051FD">
        <w:rPr>
          <w:lang w:val="en-US"/>
        </w:rPr>
        <w:t>uma</w:t>
      </w:r>
      <w:proofErr w:type="spellEnd"/>
      <w:r w:rsidRPr="00C051FD">
        <w:rPr>
          <w:lang w:val="en-US"/>
        </w:rPr>
        <w:t xml:space="preserve"> </w:t>
      </w:r>
      <w:proofErr w:type="spellStart"/>
      <w:r w:rsidRPr="00C051FD">
        <w:rPr>
          <w:lang w:val="en-US"/>
        </w:rPr>
        <w:t>busca</w:t>
      </w:r>
      <w:proofErr w:type="spellEnd"/>
      <w:r w:rsidRPr="00C051FD">
        <w:rPr>
          <w:lang w:val="en-US"/>
        </w:rPr>
        <w:t xml:space="preserve"> </w:t>
      </w:r>
      <w:proofErr w:type="spellStart"/>
      <w:r w:rsidRPr="00C051FD">
        <w:rPr>
          <w:lang w:val="en-US"/>
        </w:rPr>
        <w:t>na</w:t>
      </w:r>
      <w:proofErr w:type="spellEnd"/>
      <w:r w:rsidRPr="00C051FD">
        <w:rPr>
          <w:lang w:val="en-US"/>
        </w:rPr>
        <w:t xml:space="preserve"> base </w:t>
      </w:r>
      <w:proofErr w:type="spellStart"/>
      <w:r w:rsidRPr="00C051FD">
        <w:rPr>
          <w:lang w:val="en-US"/>
        </w:rPr>
        <w:t>eletrônica</w:t>
      </w:r>
      <w:proofErr w:type="spellEnd"/>
      <w:r w:rsidRPr="00C051FD">
        <w:rPr>
          <w:lang w:val="en-US"/>
        </w:rPr>
        <w:t xml:space="preserve"> Medline, </w:t>
      </w:r>
      <w:proofErr w:type="spellStart"/>
      <w:r w:rsidRPr="00C051FD">
        <w:rPr>
          <w:lang w:val="en-US"/>
        </w:rPr>
        <w:t>acessada</w:t>
      </w:r>
      <w:proofErr w:type="spellEnd"/>
      <w:r w:rsidRPr="00C051FD">
        <w:rPr>
          <w:lang w:val="en-US"/>
        </w:rPr>
        <w:t xml:space="preserve"> via PubMed, </w:t>
      </w:r>
      <w:proofErr w:type="spellStart"/>
      <w:r w:rsidRPr="00C051FD">
        <w:rPr>
          <w:lang w:val="en-US"/>
        </w:rPr>
        <w:t>utilizando</w:t>
      </w:r>
      <w:proofErr w:type="spellEnd"/>
      <w:r w:rsidRPr="00C051FD">
        <w:rPr>
          <w:lang w:val="en-US"/>
        </w:rPr>
        <w:t xml:space="preserve"> </w:t>
      </w:r>
      <w:proofErr w:type="spellStart"/>
      <w:r w:rsidRPr="00C051FD">
        <w:rPr>
          <w:lang w:val="en-US"/>
        </w:rPr>
        <w:t>os</w:t>
      </w:r>
      <w:proofErr w:type="spellEnd"/>
      <w:r w:rsidRPr="00C051FD">
        <w:rPr>
          <w:lang w:val="en-US"/>
        </w:rPr>
        <w:t xml:space="preserve"> </w:t>
      </w:r>
      <w:proofErr w:type="spellStart"/>
      <w:r w:rsidRPr="00C051FD">
        <w:rPr>
          <w:lang w:val="en-US"/>
        </w:rPr>
        <w:t>descritores</w:t>
      </w:r>
      <w:proofErr w:type="spellEnd"/>
      <w:r w:rsidRPr="00C051FD">
        <w:rPr>
          <w:lang w:val="en-US"/>
        </w:rPr>
        <w:t xml:space="preserve"> de </w:t>
      </w:r>
      <w:proofErr w:type="spellStart"/>
      <w:r w:rsidRPr="00C051FD">
        <w:rPr>
          <w:lang w:val="en-US"/>
        </w:rPr>
        <w:t>interesse</w:t>
      </w:r>
      <w:proofErr w:type="spellEnd"/>
      <w:r w:rsidRPr="00C051FD">
        <w:rPr>
          <w:lang w:val="en-US"/>
        </w:rPr>
        <w:t xml:space="preserve"> </w:t>
      </w:r>
      <w:proofErr w:type="spellStart"/>
      <w:r w:rsidRPr="00C051FD">
        <w:rPr>
          <w:lang w:val="en-US"/>
        </w:rPr>
        <w:t>para</w:t>
      </w:r>
      <w:proofErr w:type="spellEnd"/>
      <w:r w:rsidRPr="00C051FD">
        <w:rPr>
          <w:lang w:val="en-US"/>
        </w:rPr>
        <w:t xml:space="preserve"> </w:t>
      </w:r>
      <w:proofErr w:type="spellStart"/>
      <w:r w:rsidRPr="00C051FD">
        <w:rPr>
          <w:lang w:val="en-US"/>
        </w:rPr>
        <w:t>linfoma</w:t>
      </w:r>
      <w:proofErr w:type="spellEnd"/>
      <w:r w:rsidRPr="00C051FD">
        <w:rPr>
          <w:lang w:val="en-US"/>
        </w:rPr>
        <w:t xml:space="preserve"> </w:t>
      </w:r>
      <w:proofErr w:type="spellStart"/>
      <w:r w:rsidRPr="00C051FD">
        <w:rPr>
          <w:lang w:val="en-US"/>
        </w:rPr>
        <w:t>difuso</w:t>
      </w:r>
      <w:proofErr w:type="spellEnd"/>
      <w:r w:rsidRPr="00C051FD">
        <w:rPr>
          <w:lang w:val="en-US"/>
        </w:rPr>
        <w:t xml:space="preserve"> de </w:t>
      </w:r>
      <w:proofErr w:type="spellStart"/>
      <w:r w:rsidRPr="00C051FD">
        <w:rPr>
          <w:lang w:val="en-US"/>
        </w:rPr>
        <w:t>grandes</w:t>
      </w:r>
      <w:proofErr w:type="spellEnd"/>
      <w:r w:rsidRPr="00C051FD">
        <w:rPr>
          <w:lang w:val="en-US"/>
        </w:rPr>
        <w:t xml:space="preserve"> </w:t>
      </w:r>
      <w:proofErr w:type="spellStart"/>
      <w:r w:rsidRPr="00C051FD">
        <w:rPr>
          <w:lang w:val="en-US"/>
        </w:rPr>
        <w:t>células</w:t>
      </w:r>
      <w:proofErr w:type="spellEnd"/>
      <w:r w:rsidRPr="00C051FD">
        <w:rPr>
          <w:lang w:val="en-US"/>
        </w:rPr>
        <w:t xml:space="preserve"> B (“Diffuse Large B-Cell Lymphoma”): (systematic review [</w:t>
      </w:r>
      <w:proofErr w:type="spellStart"/>
      <w:r w:rsidRPr="00C051FD">
        <w:rPr>
          <w:lang w:val="en-US"/>
        </w:rPr>
        <w:t>ti</w:t>
      </w:r>
      <w:proofErr w:type="spellEnd"/>
      <w:r w:rsidRPr="00C051FD">
        <w:rPr>
          <w:lang w:val="en-US"/>
        </w:rPr>
        <w:t>] OR meta-analysis [</w:t>
      </w:r>
      <w:proofErr w:type="spellStart"/>
      <w:r w:rsidRPr="00C051FD">
        <w:rPr>
          <w:lang w:val="en-US"/>
        </w:rPr>
        <w:t>pt</w:t>
      </w:r>
      <w:proofErr w:type="spellEnd"/>
      <w:r w:rsidRPr="00C051FD">
        <w:rPr>
          <w:lang w:val="en-US"/>
        </w:rPr>
        <w:t>] OR meta-anal</w:t>
      </w:r>
      <w:r w:rsidRPr="00C051FD">
        <w:rPr>
          <w:lang w:val="en-US"/>
        </w:rPr>
        <w:t>ysis [</w:t>
      </w:r>
      <w:proofErr w:type="spellStart"/>
      <w:r w:rsidRPr="00C051FD">
        <w:rPr>
          <w:lang w:val="en-US"/>
        </w:rPr>
        <w:t>ti</w:t>
      </w:r>
      <w:proofErr w:type="spellEnd"/>
      <w:r w:rsidRPr="00C051FD">
        <w:rPr>
          <w:lang w:val="en-US"/>
        </w:rPr>
        <w:t>] OR systematic literature review [</w:t>
      </w:r>
      <w:proofErr w:type="spellStart"/>
      <w:r w:rsidRPr="00C051FD">
        <w:rPr>
          <w:lang w:val="en-US"/>
        </w:rPr>
        <w:t>ti</w:t>
      </w:r>
      <w:proofErr w:type="spellEnd"/>
      <w:r w:rsidRPr="00C051FD">
        <w:rPr>
          <w:lang w:val="en-US"/>
        </w:rPr>
        <w:t>] OR (systematic review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AND review [</w:t>
      </w:r>
      <w:proofErr w:type="spellStart"/>
      <w:r w:rsidRPr="00C051FD">
        <w:rPr>
          <w:lang w:val="en-US"/>
        </w:rPr>
        <w:t>pt</w:t>
      </w:r>
      <w:proofErr w:type="spellEnd"/>
      <w:r w:rsidRPr="00C051FD">
        <w:rPr>
          <w:lang w:val="en-US"/>
        </w:rPr>
        <w:t>]) OR consensus development conference [</w:t>
      </w:r>
      <w:proofErr w:type="spellStart"/>
      <w:r w:rsidRPr="00C051FD">
        <w:rPr>
          <w:lang w:val="en-US"/>
        </w:rPr>
        <w:t>pt</w:t>
      </w:r>
      <w:proofErr w:type="spellEnd"/>
      <w:r w:rsidRPr="00C051FD">
        <w:rPr>
          <w:lang w:val="en-US"/>
        </w:rPr>
        <w:t>] OR practice guideline [</w:t>
      </w:r>
      <w:proofErr w:type="spellStart"/>
      <w:r w:rsidRPr="00C051FD">
        <w:rPr>
          <w:lang w:val="en-US"/>
        </w:rPr>
        <w:t>pt</w:t>
      </w:r>
      <w:proofErr w:type="spellEnd"/>
      <w:r w:rsidRPr="00C051FD">
        <w:rPr>
          <w:lang w:val="en-US"/>
        </w:rPr>
        <w:t xml:space="preserve">] OR </w:t>
      </w:r>
      <w:proofErr w:type="spellStart"/>
      <w:r w:rsidRPr="00C051FD">
        <w:rPr>
          <w:lang w:val="en-US"/>
        </w:rPr>
        <w:t>cochrane</w:t>
      </w:r>
      <w:proofErr w:type="spellEnd"/>
      <w:r w:rsidRPr="00C051FD">
        <w:rPr>
          <w:lang w:val="en-US"/>
        </w:rPr>
        <w:t xml:space="preserve"> database </w:t>
      </w:r>
      <w:proofErr w:type="spellStart"/>
      <w:r w:rsidRPr="00C051FD">
        <w:rPr>
          <w:lang w:val="en-US"/>
        </w:rPr>
        <w:t>syst</w:t>
      </w:r>
      <w:proofErr w:type="spellEnd"/>
      <w:r w:rsidRPr="00C051FD">
        <w:rPr>
          <w:lang w:val="en-US"/>
        </w:rPr>
        <w:t xml:space="preserve"> rev [ta] OR </w:t>
      </w:r>
      <w:proofErr w:type="spellStart"/>
      <w:r w:rsidRPr="00C051FD">
        <w:rPr>
          <w:lang w:val="en-US"/>
        </w:rPr>
        <w:t>acp</w:t>
      </w:r>
      <w:proofErr w:type="spellEnd"/>
      <w:r w:rsidRPr="00C051FD">
        <w:rPr>
          <w:lang w:val="en-US"/>
        </w:rPr>
        <w:t xml:space="preserve"> journal club [ta] OR health </w:t>
      </w:r>
      <w:proofErr w:type="spellStart"/>
      <w:r w:rsidRPr="00C051FD">
        <w:rPr>
          <w:lang w:val="en-US"/>
        </w:rPr>
        <w:t>technol</w:t>
      </w:r>
      <w:proofErr w:type="spellEnd"/>
      <w:r w:rsidRPr="00C051FD">
        <w:rPr>
          <w:lang w:val="en-US"/>
        </w:rPr>
        <w:t xml:space="preserve"> assess [ta] OR </w:t>
      </w:r>
      <w:proofErr w:type="spellStart"/>
      <w:r w:rsidRPr="00C051FD">
        <w:rPr>
          <w:lang w:val="en-US"/>
        </w:rPr>
        <w:t>ev</w:t>
      </w:r>
      <w:r w:rsidRPr="00C051FD">
        <w:rPr>
          <w:lang w:val="en-US"/>
        </w:rPr>
        <w:t>id</w:t>
      </w:r>
      <w:proofErr w:type="spellEnd"/>
      <w:r w:rsidRPr="00C051FD">
        <w:rPr>
          <w:lang w:val="en-US"/>
        </w:rPr>
        <w:t xml:space="preserve"> rep </w:t>
      </w:r>
      <w:proofErr w:type="spellStart"/>
      <w:r w:rsidRPr="00C051FD">
        <w:rPr>
          <w:lang w:val="en-US"/>
        </w:rPr>
        <w:t>technol</w:t>
      </w:r>
      <w:proofErr w:type="spellEnd"/>
      <w:r w:rsidRPr="00C051FD">
        <w:rPr>
          <w:lang w:val="en-US"/>
        </w:rPr>
        <w:t xml:space="preserve"> assess </w:t>
      </w:r>
      <w:proofErr w:type="spellStart"/>
      <w:r w:rsidRPr="00C051FD">
        <w:rPr>
          <w:lang w:val="en-US"/>
        </w:rPr>
        <w:t>summ</w:t>
      </w:r>
      <w:proofErr w:type="spellEnd"/>
      <w:r w:rsidRPr="00C051FD">
        <w:rPr>
          <w:lang w:val="en-US"/>
        </w:rPr>
        <w:t xml:space="preserve"> [ta]) OR ((evidence based[</w:t>
      </w:r>
      <w:proofErr w:type="spellStart"/>
      <w:r w:rsidRPr="00C051FD">
        <w:rPr>
          <w:lang w:val="en-US"/>
        </w:rPr>
        <w:t>ti</w:t>
      </w:r>
      <w:proofErr w:type="spellEnd"/>
      <w:r w:rsidRPr="00C051FD">
        <w:rPr>
          <w:lang w:val="en-US"/>
        </w:rPr>
        <w:t>] OR evidence-based medicine [</w:t>
      </w:r>
      <w:proofErr w:type="spellStart"/>
      <w:r w:rsidRPr="00C051FD">
        <w:rPr>
          <w:lang w:val="en-US"/>
        </w:rPr>
        <w:t>mh</w:t>
      </w:r>
      <w:proofErr w:type="spellEnd"/>
      <w:r w:rsidRPr="00C051FD">
        <w:rPr>
          <w:lang w:val="en-US"/>
        </w:rPr>
        <w:t>] OR best practice* [</w:t>
      </w:r>
      <w:proofErr w:type="spellStart"/>
      <w:r w:rsidRPr="00C051FD">
        <w:rPr>
          <w:lang w:val="en-US"/>
        </w:rPr>
        <w:t>ti</w:t>
      </w:r>
      <w:proofErr w:type="spellEnd"/>
      <w:r w:rsidRPr="00C051FD">
        <w:rPr>
          <w:lang w:val="en-US"/>
        </w:rPr>
        <w:t>] OR evidence synthesis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]) AND (review [</w:t>
      </w:r>
      <w:proofErr w:type="spellStart"/>
      <w:r w:rsidRPr="00C051FD">
        <w:rPr>
          <w:lang w:val="en-US"/>
        </w:rPr>
        <w:t>pt</w:t>
      </w:r>
      <w:proofErr w:type="spellEnd"/>
      <w:r w:rsidRPr="00C051FD">
        <w:rPr>
          <w:lang w:val="en-US"/>
        </w:rPr>
        <w:t>] OR diseases category[</w:t>
      </w:r>
      <w:proofErr w:type="spellStart"/>
      <w:r w:rsidRPr="00C051FD">
        <w:rPr>
          <w:lang w:val="en-US"/>
        </w:rPr>
        <w:t>mh</w:t>
      </w:r>
      <w:proofErr w:type="spellEnd"/>
      <w:r w:rsidRPr="00C051FD">
        <w:rPr>
          <w:lang w:val="en-US"/>
        </w:rPr>
        <w:t>] OR behavior and behavior mechanisms [</w:t>
      </w:r>
      <w:proofErr w:type="spellStart"/>
      <w:r w:rsidRPr="00C051FD">
        <w:rPr>
          <w:lang w:val="en-US"/>
        </w:rPr>
        <w:t>mh</w:t>
      </w:r>
      <w:proofErr w:type="spellEnd"/>
      <w:r w:rsidRPr="00C051FD">
        <w:rPr>
          <w:lang w:val="en-US"/>
        </w:rPr>
        <w:t>] OR therapeutics [</w:t>
      </w:r>
      <w:proofErr w:type="spellStart"/>
      <w:r w:rsidRPr="00C051FD">
        <w:rPr>
          <w:lang w:val="en-US"/>
        </w:rPr>
        <w:t>mh</w:t>
      </w:r>
      <w:proofErr w:type="spellEnd"/>
      <w:r w:rsidRPr="00C051FD">
        <w:rPr>
          <w:lang w:val="en-US"/>
        </w:rPr>
        <w:t>] OR evaluat</w:t>
      </w:r>
      <w:r w:rsidRPr="00C051FD">
        <w:rPr>
          <w:lang w:val="en-US"/>
        </w:rPr>
        <w:t>ion studies[</w:t>
      </w:r>
      <w:proofErr w:type="spellStart"/>
      <w:r w:rsidRPr="00C051FD">
        <w:rPr>
          <w:lang w:val="en-US"/>
        </w:rPr>
        <w:t>pt</w:t>
      </w:r>
      <w:proofErr w:type="spellEnd"/>
      <w:r w:rsidRPr="00C051FD">
        <w:rPr>
          <w:lang w:val="en-US"/>
        </w:rPr>
        <w:t>] OR validation studies[</w:t>
      </w:r>
      <w:proofErr w:type="spellStart"/>
      <w:r w:rsidRPr="00C051FD">
        <w:rPr>
          <w:lang w:val="en-US"/>
        </w:rPr>
        <w:t>pt</w:t>
      </w:r>
      <w:proofErr w:type="spellEnd"/>
      <w:r w:rsidRPr="00C051FD">
        <w:rPr>
          <w:lang w:val="en-US"/>
        </w:rPr>
        <w:t>] OR guideline [</w:t>
      </w:r>
      <w:proofErr w:type="spellStart"/>
      <w:r w:rsidRPr="00C051FD">
        <w:rPr>
          <w:lang w:val="en-US"/>
        </w:rPr>
        <w:t>pt</w:t>
      </w:r>
      <w:proofErr w:type="spellEnd"/>
      <w:r w:rsidRPr="00C051FD">
        <w:rPr>
          <w:lang w:val="en-US"/>
        </w:rPr>
        <w:t>])) OR ((systematic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systematically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critical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(study selection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]) OR (predetermined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inclusion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 xml:space="preserve">] AND </w:t>
      </w:r>
      <w:proofErr w:type="spellStart"/>
      <w:r w:rsidRPr="00C051FD">
        <w:rPr>
          <w:lang w:val="en-US"/>
        </w:rPr>
        <w:t>criteri</w:t>
      </w:r>
      <w:proofErr w:type="spellEnd"/>
      <w:r w:rsidRPr="00C051FD">
        <w:rPr>
          <w:lang w:val="en-US"/>
        </w:rPr>
        <w:t>*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 xml:space="preserve">]) OR exclusion </w:t>
      </w:r>
      <w:proofErr w:type="spellStart"/>
      <w:r w:rsidRPr="00C051FD">
        <w:rPr>
          <w:lang w:val="en-US"/>
        </w:rPr>
        <w:t>criteri</w:t>
      </w:r>
      <w:proofErr w:type="spellEnd"/>
      <w:r w:rsidRPr="00C051FD">
        <w:rPr>
          <w:lang w:val="en-US"/>
        </w:rPr>
        <w:t>*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main outcome me</w:t>
      </w:r>
      <w:r w:rsidRPr="00C051FD">
        <w:rPr>
          <w:lang w:val="en-US"/>
        </w:rPr>
        <w:t>asures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standard of care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standards of care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]) AND (survey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 OR surveys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overview*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review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reviews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search*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 xml:space="preserve">] OR </w:t>
      </w:r>
      <w:proofErr w:type="spellStart"/>
      <w:r w:rsidRPr="00C051FD">
        <w:rPr>
          <w:lang w:val="en-US"/>
        </w:rPr>
        <w:t>handsearch</w:t>
      </w:r>
      <w:proofErr w:type="spellEnd"/>
      <w:r w:rsidRPr="00C051FD">
        <w:rPr>
          <w:lang w:val="en-US"/>
        </w:rPr>
        <w:t xml:space="preserve">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analysis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critique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appraisal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(reduct</w:t>
      </w:r>
      <w:r w:rsidRPr="00C051FD">
        <w:rPr>
          <w:lang w:val="en-US"/>
        </w:rPr>
        <w:t>ion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]AND (risk [</w:t>
      </w:r>
      <w:proofErr w:type="spellStart"/>
      <w:r w:rsidRPr="00C051FD">
        <w:rPr>
          <w:lang w:val="en-US"/>
        </w:rPr>
        <w:t>mh</w:t>
      </w:r>
      <w:proofErr w:type="spellEnd"/>
      <w:r w:rsidRPr="00C051FD">
        <w:rPr>
          <w:lang w:val="en-US"/>
        </w:rPr>
        <w:t>] OR risk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]) AND (death OR recurrence))) AND (literature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articles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publications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publication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bibliography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bibliographies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published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unpublished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citation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</w:t>
      </w:r>
      <w:r w:rsidRPr="00C051FD">
        <w:rPr>
          <w:lang w:val="en-US"/>
        </w:rPr>
        <w:t xml:space="preserve"> OR citations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database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internet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textbooks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references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scales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papers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datasets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trials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OR meta-</w:t>
      </w:r>
      <w:proofErr w:type="spellStart"/>
      <w:r w:rsidRPr="00C051FD">
        <w:rPr>
          <w:lang w:val="en-US"/>
        </w:rPr>
        <w:t>analy</w:t>
      </w:r>
      <w:proofErr w:type="spellEnd"/>
      <w:r w:rsidRPr="00C051FD">
        <w:rPr>
          <w:lang w:val="en-US"/>
        </w:rPr>
        <w:t>*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 OR (clinical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 AND studies [</w:t>
      </w:r>
      <w:proofErr w:type="spellStart"/>
      <w:r w:rsidRPr="00C051FD">
        <w:rPr>
          <w:lang w:val="en-US"/>
        </w:rPr>
        <w:t>tiab</w:t>
      </w:r>
      <w:proofErr w:type="spellEnd"/>
      <w:r w:rsidRPr="00C051FD">
        <w:rPr>
          <w:lang w:val="en-US"/>
        </w:rPr>
        <w:t>]) OR treatment outcome [</w:t>
      </w:r>
      <w:proofErr w:type="spellStart"/>
      <w:r w:rsidRPr="00C051FD">
        <w:rPr>
          <w:lang w:val="en-US"/>
        </w:rPr>
        <w:t>mh</w:t>
      </w:r>
      <w:proofErr w:type="spellEnd"/>
      <w:r w:rsidRPr="00C051FD">
        <w:rPr>
          <w:lang w:val="en-US"/>
        </w:rPr>
        <w:t>] OR treatme</w:t>
      </w:r>
      <w:r w:rsidRPr="00C051FD">
        <w:rPr>
          <w:lang w:val="en-US"/>
        </w:rPr>
        <w:t>nt outcome [</w:t>
      </w:r>
      <w:proofErr w:type="spellStart"/>
      <w:r w:rsidRPr="00C051FD">
        <w:rPr>
          <w:lang w:val="en-US"/>
        </w:rPr>
        <w:t>tw</w:t>
      </w:r>
      <w:proofErr w:type="spellEnd"/>
      <w:r w:rsidRPr="00C051FD">
        <w:rPr>
          <w:lang w:val="en-US"/>
        </w:rPr>
        <w:t>])) NOT (letter [</w:t>
      </w:r>
      <w:proofErr w:type="spellStart"/>
      <w:r w:rsidRPr="00C051FD">
        <w:rPr>
          <w:lang w:val="en-US"/>
        </w:rPr>
        <w:t>pt</w:t>
      </w:r>
      <w:proofErr w:type="spellEnd"/>
      <w:r w:rsidRPr="00C051FD">
        <w:rPr>
          <w:lang w:val="en-US"/>
        </w:rPr>
        <w:t>] OR newspaper article [</w:t>
      </w:r>
      <w:proofErr w:type="spellStart"/>
      <w:r w:rsidRPr="00C051FD">
        <w:rPr>
          <w:lang w:val="en-US"/>
        </w:rPr>
        <w:t>pt</w:t>
      </w:r>
      <w:proofErr w:type="spellEnd"/>
      <w:r w:rsidRPr="00C051FD">
        <w:rPr>
          <w:lang w:val="en-US"/>
        </w:rPr>
        <w:t>] OR comment [</w:t>
      </w:r>
      <w:proofErr w:type="spellStart"/>
      <w:r w:rsidRPr="00C051FD">
        <w:rPr>
          <w:lang w:val="en-US"/>
        </w:rPr>
        <w:t>pt</w:t>
      </w:r>
      <w:proofErr w:type="spellEnd"/>
      <w:r w:rsidRPr="00C051FD">
        <w:rPr>
          <w:lang w:val="en-US"/>
        </w:rPr>
        <w:t>]).</w:t>
      </w:r>
    </w:p>
    <w:p w:rsidR="00067738" w:rsidRDefault="00C051FD">
      <w:pPr>
        <w:pStyle w:val="Corpodetexto"/>
        <w:spacing w:before="1"/>
        <w:ind w:right="119" w:firstLine="566"/>
        <w:jc w:val="both"/>
      </w:pPr>
      <w:r>
        <w:t>Entre 103 referências encontradas, as 64 mais recentes (últimos cinco anos) foram selecionadas para revisão, das quais foram incluídos 22 estudos clínicos e meta-análises refere</w:t>
      </w:r>
      <w:r>
        <w:t xml:space="preserve">ntes a tratamento; e não foram considerados 20 estudos de ciência básica ou pré-clínica; 13 artigos sobre doenças fora do escopo deste Protocolo; </w:t>
      </w:r>
      <w:proofErr w:type="gramStart"/>
      <w:r>
        <w:t>7</w:t>
      </w:r>
      <w:proofErr w:type="gramEnd"/>
      <w:r>
        <w:t xml:space="preserve"> revisões narrativas ou estudos opinativos; e 2 textos sobre produtos sem registro na ANVISA.</w:t>
      </w:r>
    </w:p>
    <w:p w:rsidR="00067738" w:rsidRDefault="00067738">
      <w:pPr>
        <w:pStyle w:val="Corpodetexto"/>
        <w:spacing w:before="10"/>
        <w:ind w:left="0"/>
        <w:rPr>
          <w:sz w:val="15"/>
        </w:rPr>
      </w:pPr>
    </w:p>
    <w:p w:rsidR="00067738" w:rsidRDefault="00C051FD">
      <w:pPr>
        <w:pStyle w:val="PargrafodaLista"/>
        <w:numPr>
          <w:ilvl w:val="0"/>
          <w:numId w:val="4"/>
        </w:numPr>
        <w:tabs>
          <w:tab w:val="left" w:pos="810"/>
        </w:tabs>
        <w:spacing w:before="1"/>
        <w:ind w:firstLine="566"/>
        <w:rPr>
          <w:sz w:val="16"/>
        </w:rPr>
      </w:pPr>
      <w:r>
        <w:rPr>
          <w:sz w:val="16"/>
        </w:rPr>
        <w:t>INTRODUÇÃO</w:t>
      </w:r>
    </w:p>
    <w:p w:rsidR="00067738" w:rsidRDefault="00C051FD">
      <w:pPr>
        <w:pStyle w:val="Corpodetexto"/>
        <w:ind w:right="122" w:firstLine="566"/>
        <w:jc w:val="both"/>
      </w:pPr>
      <w:r>
        <w:t xml:space="preserve">Os </w:t>
      </w:r>
      <w:r>
        <w:t>linfomas (Doença de Hodgkin e Linfomas não Hodgkin) constituem um grupo de doenças neoplásicas malignas que se originam de células do sistema imunológico. Os Linfomas não Hodgkin (LNH) agressivos compreendem um grupo biológica e clinicamente heterogêneo de</w:t>
      </w:r>
      <w:r>
        <w:t xml:space="preserve"> </w:t>
      </w:r>
      <w:proofErr w:type="spellStart"/>
      <w:r>
        <w:t>hemopatias</w:t>
      </w:r>
      <w:proofErr w:type="spellEnd"/>
      <w:r>
        <w:t xml:space="preserve"> malignas. Destes, o Linfoma Difuso de Grandes Células B (LDGC B) é o mais comum, correspondendo a cerca de 40% dos novos casos diagnosticados e a cerca de 30% de todos os casos de LNH. Juntamente com o Linfoma de </w:t>
      </w:r>
      <w:proofErr w:type="spellStart"/>
      <w:r>
        <w:t>Burkitt</w:t>
      </w:r>
      <w:proofErr w:type="spellEnd"/>
      <w:r>
        <w:t>, o LDGC B é dos mais in</w:t>
      </w:r>
      <w:r>
        <w:t xml:space="preserve">cidentes em indivíduos HIV </w:t>
      </w:r>
      <w:proofErr w:type="gramStart"/>
      <w:r>
        <w:t>positivos[</w:t>
      </w:r>
      <w:proofErr w:type="gramEnd"/>
      <w:r>
        <w:t>1-4].</w:t>
      </w:r>
    </w:p>
    <w:p w:rsidR="00067738" w:rsidRDefault="00C051FD">
      <w:pPr>
        <w:pStyle w:val="Corpodetexto"/>
        <w:ind w:right="114" w:firstLine="566"/>
        <w:jc w:val="both"/>
      </w:pPr>
      <w:r>
        <w:t xml:space="preserve">O LDGC B pode-se manifestar nos linfonodos ou sítios </w:t>
      </w:r>
      <w:proofErr w:type="spellStart"/>
      <w:proofErr w:type="gramStart"/>
      <w:r>
        <w:t>extra-nodais</w:t>
      </w:r>
      <w:proofErr w:type="spellEnd"/>
      <w:proofErr w:type="gramEnd"/>
      <w:r>
        <w:t xml:space="preserve">, como osso, pele, tireoide, trato </w:t>
      </w:r>
      <w:proofErr w:type="spellStart"/>
      <w:r>
        <w:t>gastro-intestinal</w:t>
      </w:r>
      <w:proofErr w:type="spellEnd"/>
      <w:r>
        <w:t xml:space="preserve"> (TGI), sistema nervoso central (SNC) e testículo. A taxa de resposta completa (RC) a diversos t</w:t>
      </w:r>
      <w:r>
        <w:t xml:space="preserve">ratamentos do LDGC B, encontrada em muitos estudos, varia entre 70% e 80%; e, há 25 anos, o tratamento padrão, com um índice de cura dos doentes adultos com LDGC B de 30% a 40%, é o CHOP (ciclofosfamida, </w:t>
      </w:r>
      <w:proofErr w:type="spellStart"/>
      <w:r>
        <w:t>doxorrubicina</w:t>
      </w:r>
      <w:proofErr w:type="spellEnd"/>
      <w:r>
        <w:t>, vincristina e</w:t>
      </w:r>
      <w:r>
        <w:rPr>
          <w:spacing w:val="-21"/>
        </w:rPr>
        <w:t xml:space="preserve"> </w:t>
      </w:r>
      <w:r>
        <w:t>prednisona</w:t>
      </w:r>
      <w:proofErr w:type="gramStart"/>
      <w:r>
        <w:t>)[</w:t>
      </w:r>
      <w:proofErr w:type="gramEnd"/>
      <w:r>
        <w:t>5-7].</w:t>
      </w:r>
    </w:p>
    <w:p w:rsidR="00067738" w:rsidRDefault="00C051FD">
      <w:pPr>
        <w:pStyle w:val="Corpodetexto"/>
        <w:spacing w:before="1"/>
        <w:ind w:right="113" w:firstLine="566"/>
        <w:jc w:val="both"/>
      </w:pPr>
      <w:r>
        <w:t xml:space="preserve">O </w:t>
      </w:r>
      <w:proofErr w:type="spellStart"/>
      <w:r>
        <w:t>Rit</w:t>
      </w:r>
      <w:r>
        <w:t>uximabe</w:t>
      </w:r>
      <w:proofErr w:type="spellEnd"/>
      <w:r>
        <w:t xml:space="preserve"> é um anticorpo monoclonal quimérico contra o antígeno CD 20 presente na superfície dos linfócitos B normais e neoplásicos, que, quando associado ao CHOP (R-CHOP), conforme demonstrado estatisticamente, aumenta os percentuais de RC, de SLD e de sobr</w:t>
      </w:r>
      <w:r>
        <w:t xml:space="preserve">evida global (SG). Os resultados estatísticos conhecidos de pesquisas feitas com o R-CHOP mostram um aumento de 20,6% na taxa de RC e uma diminuição de 31% no risco de morte em 04 anos. Um estudo da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British Columbia (Vancouver, Canadá) mostro</w:t>
      </w:r>
      <w:r>
        <w:t>u que doentes com linfomas agressivos de célula B tratados com R-CHOP tiveram uma melhora absoluta de 18% na sobrevida livre de doença (SLD) em 02 anos e de 25% na sobrevida global (SG), quando comparado aos esquemas semelhantes ao CHOP, resultando numa di</w:t>
      </w:r>
      <w:r>
        <w:t>minuição de aproximadamente 50% no risco de morte nos primeiros 02 anos do</w:t>
      </w:r>
      <w:r>
        <w:rPr>
          <w:spacing w:val="-5"/>
        </w:rPr>
        <w:t xml:space="preserve"> </w:t>
      </w:r>
      <w:proofErr w:type="gramStart"/>
      <w:r>
        <w:t>diagnóstico[</w:t>
      </w:r>
      <w:proofErr w:type="gramEnd"/>
      <w:r>
        <w:t>8-10].</w:t>
      </w:r>
    </w:p>
    <w:p w:rsidR="00067738" w:rsidRDefault="00C051FD">
      <w:pPr>
        <w:pStyle w:val="Corpodetexto"/>
        <w:ind w:right="113" w:firstLine="566"/>
        <w:jc w:val="both"/>
      </w:pPr>
      <w:r>
        <w:t>As taxas de SLD e SG dos doentes tratados com o R-CHOP permanecem estatisticamente superiores no seguimento de 05 anos. Em revisões sistemáticas envolvendo doentes de LDGC B, o uso associado na quimioterapia com finalidade curativa apresentou um impacto de</w:t>
      </w:r>
      <w:r>
        <w:t xml:space="preserve"> mais de 11% de probabilidade de sobrevida em 36 meses. Quando comparados CHOP versus R-CHOP, os seguintes resultados se apresentaram no estudo GELA (idosos): 53% versus 36% vivos em 07 anos; no estudo E4494 (idosos): 74% versus. 63% vivos em 02 anos; e no</w:t>
      </w:r>
      <w:r>
        <w:t xml:space="preserve"> estudo </w:t>
      </w:r>
      <w:proofErr w:type="spellStart"/>
      <w:proofErr w:type="gramStart"/>
      <w:r>
        <w:t>MinT</w:t>
      </w:r>
      <w:proofErr w:type="spellEnd"/>
      <w:proofErr w:type="gramEnd"/>
      <w:r>
        <w:t xml:space="preserve"> (adultos): 95% versus 86% vivos. A quimioterapia com </w:t>
      </w:r>
      <w:proofErr w:type="spellStart"/>
      <w:r>
        <w:t>Rituximabe</w:t>
      </w:r>
      <w:proofErr w:type="spellEnd"/>
      <w:r>
        <w:t xml:space="preserve">, no Canadá, aumentou a sobrevida em </w:t>
      </w:r>
      <w:proofErr w:type="gramStart"/>
      <w:r>
        <w:t>2</w:t>
      </w:r>
      <w:proofErr w:type="gramEnd"/>
      <w:r>
        <w:t xml:space="preserve"> anos para idosos (67% </w:t>
      </w:r>
      <w:proofErr w:type="spellStart"/>
      <w:r>
        <w:t>vs</w:t>
      </w:r>
      <w:proofErr w:type="spellEnd"/>
      <w:r>
        <w:t xml:space="preserve"> 40%) e adultos (87% </w:t>
      </w:r>
      <w:proofErr w:type="spellStart"/>
      <w:r>
        <w:t>vs</w:t>
      </w:r>
      <w:proofErr w:type="spellEnd"/>
      <w:r>
        <w:t xml:space="preserve"> 69%) com LDGC</w:t>
      </w:r>
      <w:r>
        <w:rPr>
          <w:spacing w:val="-21"/>
        </w:rPr>
        <w:t xml:space="preserve"> </w:t>
      </w:r>
      <w:r>
        <w:t>B[11-13].</w:t>
      </w:r>
    </w:p>
    <w:p w:rsidR="00067738" w:rsidRDefault="00C051FD">
      <w:pPr>
        <w:pStyle w:val="Corpodetexto"/>
        <w:ind w:right="116" w:firstLine="566"/>
        <w:jc w:val="both"/>
      </w:pPr>
      <w:r>
        <w:t xml:space="preserve">Não se recomenda o uso de </w:t>
      </w:r>
      <w:proofErr w:type="spellStart"/>
      <w:r>
        <w:t>Rituximabe</w:t>
      </w:r>
      <w:proofErr w:type="spellEnd"/>
      <w:r>
        <w:t xml:space="preserve"> em doentes de LDGC B com </w:t>
      </w:r>
      <w:proofErr w:type="spellStart"/>
      <w:r>
        <w:t>anti-HI</w:t>
      </w:r>
      <w:r>
        <w:t>V</w:t>
      </w:r>
      <w:proofErr w:type="spellEnd"/>
      <w:r>
        <w:t xml:space="preserve"> positivo, mesmo em associação a terapia </w:t>
      </w:r>
      <w:proofErr w:type="spellStart"/>
      <w:proofErr w:type="gramStart"/>
      <w:r>
        <w:t>anti-retroviral</w:t>
      </w:r>
      <w:proofErr w:type="spellEnd"/>
      <w:proofErr w:type="gramEnd"/>
      <w:r>
        <w:t xml:space="preserve"> muito ativa e </w:t>
      </w:r>
      <w:proofErr w:type="spellStart"/>
      <w:r>
        <w:t>antibioticoterapia</w:t>
      </w:r>
      <w:proofErr w:type="spellEnd"/>
      <w:r>
        <w:t xml:space="preserve"> profilática, particularmente se os doentes apresentam contagem baixa de linfócitos CD4[14,15].</w:t>
      </w:r>
    </w:p>
    <w:p w:rsidR="00067738" w:rsidRDefault="00067738">
      <w:pPr>
        <w:pStyle w:val="Corpodetexto"/>
        <w:spacing w:before="1"/>
        <w:ind w:left="0"/>
      </w:pPr>
    </w:p>
    <w:p w:rsidR="00067738" w:rsidRDefault="00C051FD">
      <w:pPr>
        <w:pStyle w:val="PargrafodaLista"/>
        <w:numPr>
          <w:ilvl w:val="0"/>
          <w:numId w:val="4"/>
        </w:numPr>
        <w:tabs>
          <w:tab w:val="left" w:pos="810"/>
        </w:tabs>
        <w:ind w:right="115" w:firstLine="566"/>
        <w:jc w:val="both"/>
        <w:rPr>
          <w:sz w:val="16"/>
        </w:rPr>
      </w:pPr>
      <w:r>
        <w:rPr>
          <w:sz w:val="16"/>
        </w:rPr>
        <w:t>CLASSIFICAÇÃO</w:t>
      </w:r>
      <w:r>
        <w:rPr>
          <w:spacing w:val="-10"/>
          <w:sz w:val="16"/>
        </w:rPr>
        <w:t xml:space="preserve"> </w:t>
      </w:r>
      <w:r>
        <w:rPr>
          <w:sz w:val="16"/>
        </w:rPr>
        <w:t>ESTATÍSTICA</w:t>
      </w:r>
      <w:r>
        <w:rPr>
          <w:spacing w:val="-10"/>
          <w:sz w:val="16"/>
        </w:rPr>
        <w:t xml:space="preserve"> </w:t>
      </w:r>
      <w:r>
        <w:rPr>
          <w:sz w:val="16"/>
        </w:rPr>
        <w:t>INTERNACIONAL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DOENÇAS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PROBLEMAS</w:t>
      </w:r>
      <w:r>
        <w:rPr>
          <w:spacing w:val="-9"/>
          <w:sz w:val="16"/>
        </w:rPr>
        <w:t xml:space="preserve"> </w:t>
      </w:r>
      <w:r>
        <w:rPr>
          <w:sz w:val="16"/>
        </w:rPr>
        <w:t>RELACI</w:t>
      </w:r>
      <w:r>
        <w:rPr>
          <w:sz w:val="16"/>
        </w:rPr>
        <w:t>ONADOS</w:t>
      </w:r>
      <w:r>
        <w:rPr>
          <w:spacing w:val="-6"/>
          <w:sz w:val="16"/>
        </w:rPr>
        <w:t xml:space="preserve"> </w:t>
      </w:r>
      <w:r>
        <w:rPr>
          <w:sz w:val="16"/>
        </w:rPr>
        <w:t>À</w:t>
      </w:r>
      <w:r>
        <w:rPr>
          <w:spacing w:val="-10"/>
          <w:sz w:val="16"/>
        </w:rPr>
        <w:t xml:space="preserve"> </w:t>
      </w:r>
      <w:r>
        <w:rPr>
          <w:sz w:val="16"/>
        </w:rPr>
        <w:t>SAÚDE (CID-10)</w:t>
      </w:r>
    </w:p>
    <w:p w:rsidR="00067738" w:rsidRDefault="00C051FD">
      <w:pPr>
        <w:pStyle w:val="Corpodetexto"/>
        <w:spacing w:line="183" w:lineRule="exact"/>
        <w:ind w:left="668"/>
      </w:pPr>
      <w:proofErr w:type="gramStart"/>
      <w:r>
        <w:t>C-83.</w:t>
      </w:r>
      <w:proofErr w:type="gramEnd"/>
      <w:r>
        <w:t xml:space="preserve">3 - Linfoma não-Hodgkin difuso de grandes células, </w:t>
      </w:r>
      <w:proofErr w:type="spellStart"/>
      <w:r>
        <w:t>reticulossarcoma</w:t>
      </w:r>
      <w:proofErr w:type="spellEnd"/>
      <w:r>
        <w:t xml:space="preserve"> ou sarcoma de células reticulares.</w:t>
      </w:r>
    </w:p>
    <w:p w:rsidR="00067738" w:rsidRDefault="00067738">
      <w:pPr>
        <w:pStyle w:val="Corpodetexto"/>
        <w:spacing w:before="10"/>
        <w:ind w:left="0"/>
        <w:rPr>
          <w:sz w:val="15"/>
        </w:rPr>
      </w:pPr>
    </w:p>
    <w:p w:rsidR="00067738" w:rsidRDefault="00C051FD">
      <w:pPr>
        <w:pStyle w:val="PargrafodaLista"/>
        <w:numPr>
          <w:ilvl w:val="0"/>
          <w:numId w:val="4"/>
        </w:numPr>
        <w:tabs>
          <w:tab w:val="left" w:pos="810"/>
        </w:tabs>
        <w:spacing w:before="1"/>
        <w:ind w:firstLine="566"/>
        <w:rPr>
          <w:sz w:val="16"/>
        </w:rPr>
      </w:pPr>
      <w:r>
        <w:rPr>
          <w:sz w:val="16"/>
        </w:rPr>
        <w:t>DIAGNÓSTICO E</w:t>
      </w:r>
      <w:r>
        <w:rPr>
          <w:spacing w:val="-15"/>
          <w:sz w:val="16"/>
        </w:rPr>
        <w:t xml:space="preserve"> </w:t>
      </w:r>
      <w:r>
        <w:rPr>
          <w:sz w:val="16"/>
        </w:rPr>
        <w:t>ESTADIAMENTO</w:t>
      </w:r>
    </w:p>
    <w:p w:rsidR="00067738" w:rsidRDefault="00C051FD">
      <w:pPr>
        <w:pStyle w:val="Corpodetexto"/>
        <w:ind w:right="121" w:firstLine="566"/>
        <w:jc w:val="both"/>
      </w:pPr>
      <w:r>
        <w:t xml:space="preserve">O diagnóstico de LDGC B é estabelecido pela biopsia do tumor e, ao exame </w:t>
      </w:r>
      <w:proofErr w:type="spellStart"/>
      <w:r>
        <w:t>imuno-histoquímico</w:t>
      </w:r>
      <w:proofErr w:type="spellEnd"/>
      <w:r>
        <w:t xml:space="preserve"> ou d</w:t>
      </w:r>
      <w:r>
        <w:t xml:space="preserve">e </w:t>
      </w:r>
      <w:proofErr w:type="spellStart"/>
      <w:r>
        <w:t>citometria</w:t>
      </w:r>
      <w:proofErr w:type="spellEnd"/>
      <w:r>
        <w:t xml:space="preserve"> de fluxo, a identificação de antígenos de linfócitos B (CD 19, 20, 22 e 79a), CD 45 e </w:t>
      </w:r>
      <w:proofErr w:type="spellStart"/>
      <w:proofErr w:type="gramStart"/>
      <w:r>
        <w:t>IgM</w:t>
      </w:r>
      <w:proofErr w:type="spellEnd"/>
      <w:proofErr w:type="gramEnd"/>
      <w:r>
        <w:t xml:space="preserve"> de superfície[3,6,16].</w:t>
      </w:r>
    </w:p>
    <w:p w:rsidR="00067738" w:rsidRDefault="00C051FD">
      <w:pPr>
        <w:pStyle w:val="Corpodetexto"/>
        <w:spacing w:line="183" w:lineRule="exact"/>
        <w:ind w:left="668"/>
      </w:pPr>
      <w:r>
        <w:t>Os seguintes exames são necessários para a avaliação inicial do doente e da extensão da doença (</w:t>
      </w:r>
      <w:proofErr w:type="spellStart"/>
      <w:r>
        <w:t>estadiamento</w:t>
      </w:r>
      <w:proofErr w:type="spellEnd"/>
      <w:r>
        <w:t>):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before="1"/>
        <w:ind w:firstLine="0"/>
        <w:rPr>
          <w:sz w:val="16"/>
        </w:rPr>
      </w:pPr>
      <w:r>
        <w:rPr>
          <w:sz w:val="16"/>
        </w:rPr>
        <w:t>Exame</w:t>
      </w:r>
      <w:r>
        <w:rPr>
          <w:spacing w:val="-3"/>
          <w:sz w:val="16"/>
        </w:rPr>
        <w:t xml:space="preserve"> </w:t>
      </w:r>
      <w:r>
        <w:rPr>
          <w:sz w:val="16"/>
        </w:rPr>
        <w:t>físico;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before="1" w:line="183" w:lineRule="exact"/>
        <w:ind w:firstLine="0"/>
        <w:rPr>
          <w:sz w:val="16"/>
        </w:rPr>
      </w:pPr>
      <w:r>
        <w:rPr>
          <w:sz w:val="16"/>
        </w:rPr>
        <w:t>Hemog</w:t>
      </w:r>
      <w:r>
        <w:rPr>
          <w:sz w:val="16"/>
        </w:rPr>
        <w:t>rama completo com contagem de plaquetas e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reticulócitos</w:t>
      </w:r>
      <w:proofErr w:type="spellEnd"/>
      <w:r>
        <w:rPr>
          <w:sz w:val="16"/>
        </w:rPr>
        <w:t>;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line="183" w:lineRule="exact"/>
        <w:ind w:firstLine="0"/>
        <w:rPr>
          <w:sz w:val="16"/>
        </w:rPr>
      </w:pPr>
      <w:r>
        <w:rPr>
          <w:sz w:val="16"/>
        </w:rPr>
        <w:t>Teste de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Coombs</w:t>
      </w:r>
      <w:proofErr w:type="spellEnd"/>
      <w:r>
        <w:rPr>
          <w:sz w:val="16"/>
        </w:rPr>
        <w:t>;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before="1"/>
        <w:ind w:firstLine="0"/>
        <w:rPr>
          <w:sz w:val="16"/>
        </w:rPr>
      </w:pPr>
      <w:proofErr w:type="spellStart"/>
      <w:r>
        <w:rPr>
          <w:sz w:val="16"/>
        </w:rPr>
        <w:t>Desidrogenase</w:t>
      </w:r>
      <w:proofErr w:type="spellEnd"/>
      <w:r>
        <w:rPr>
          <w:sz w:val="16"/>
        </w:rPr>
        <w:t xml:space="preserve"> lática</w:t>
      </w:r>
      <w:r>
        <w:rPr>
          <w:spacing w:val="-2"/>
          <w:sz w:val="16"/>
        </w:rPr>
        <w:t xml:space="preserve"> </w:t>
      </w:r>
      <w:r>
        <w:rPr>
          <w:sz w:val="16"/>
        </w:rPr>
        <w:t>sérica;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before="1" w:line="183" w:lineRule="exact"/>
        <w:ind w:firstLine="0"/>
        <w:rPr>
          <w:sz w:val="16"/>
        </w:rPr>
      </w:pPr>
      <w:r>
        <w:rPr>
          <w:sz w:val="16"/>
        </w:rPr>
        <w:t>Beta-2-microglobulina;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line="183" w:lineRule="exact"/>
        <w:ind w:firstLine="0"/>
        <w:rPr>
          <w:sz w:val="16"/>
        </w:rPr>
      </w:pPr>
      <w:r>
        <w:rPr>
          <w:sz w:val="16"/>
        </w:rPr>
        <w:t>Exame sorológico para hepatite do tipo B e</w:t>
      </w:r>
      <w:r>
        <w:rPr>
          <w:spacing w:val="-15"/>
          <w:sz w:val="16"/>
        </w:rPr>
        <w:t xml:space="preserve"> </w:t>
      </w:r>
      <w:r>
        <w:rPr>
          <w:sz w:val="16"/>
        </w:rPr>
        <w:t>C;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ind w:firstLine="0"/>
        <w:rPr>
          <w:sz w:val="16"/>
        </w:rPr>
      </w:pPr>
      <w:r>
        <w:rPr>
          <w:sz w:val="16"/>
        </w:rPr>
        <w:t>Exame sorológico para</w:t>
      </w:r>
      <w:r>
        <w:rPr>
          <w:spacing w:val="-6"/>
          <w:sz w:val="16"/>
        </w:rPr>
        <w:t xml:space="preserve"> </w:t>
      </w:r>
      <w:r>
        <w:rPr>
          <w:sz w:val="16"/>
        </w:rPr>
        <w:t>HIV;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before="1" w:line="183" w:lineRule="exact"/>
        <w:ind w:firstLine="0"/>
        <w:rPr>
          <w:sz w:val="16"/>
        </w:rPr>
      </w:pPr>
      <w:r>
        <w:rPr>
          <w:sz w:val="16"/>
        </w:rPr>
        <w:t>Biopsia de medula</w:t>
      </w:r>
      <w:r>
        <w:rPr>
          <w:spacing w:val="-3"/>
          <w:sz w:val="16"/>
        </w:rPr>
        <w:t xml:space="preserve"> </w:t>
      </w:r>
      <w:r>
        <w:rPr>
          <w:sz w:val="16"/>
        </w:rPr>
        <w:t>óssea;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line="183" w:lineRule="exact"/>
        <w:ind w:firstLine="0"/>
        <w:rPr>
          <w:sz w:val="16"/>
        </w:rPr>
      </w:pPr>
      <w:r>
        <w:rPr>
          <w:sz w:val="16"/>
        </w:rPr>
        <w:t xml:space="preserve">Tomografia computadorizada (TC) </w:t>
      </w:r>
      <w:proofErr w:type="spellStart"/>
      <w:r>
        <w:rPr>
          <w:sz w:val="16"/>
        </w:rPr>
        <w:t>tóraco</w:t>
      </w:r>
      <w:proofErr w:type="spellEnd"/>
      <w:r>
        <w:rPr>
          <w:sz w:val="16"/>
        </w:rPr>
        <w:t>-</w:t>
      </w:r>
      <w:proofErr w:type="spellStart"/>
      <w:r>
        <w:rPr>
          <w:sz w:val="16"/>
        </w:rPr>
        <w:t>abdômino</w:t>
      </w:r>
      <w:proofErr w:type="spellEnd"/>
      <w:r>
        <w:rPr>
          <w:sz w:val="16"/>
        </w:rPr>
        <w:t>-pélvica ou Tomografia por emissão de pósitrons (PET-CT);</w:t>
      </w:r>
      <w:r>
        <w:rPr>
          <w:spacing w:val="-15"/>
          <w:sz w:val="16"/>
        </w:rPr>
        <w:t xml:space="preserve"> </w:t>
      </w:r>
      <w:proofErr w:type="gramStart"/>
      <w:r>
        <w:rPr>
          <w:sz w:val="16"/>
        </w:rPr>
        <w:t>e</w:t>
      </w:r>
      <w:proofErr w:type="gramEnd"/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before="2"/>
        <w:ind w:firstLine="0"/>
        <w:rPr>
          <w:sz w:val="16"/>
        </w:rPr>
      </w:pPr>
      <w:r>
        <w:rPr>
          <w:sz w:val="16"/>
        </w:rPr>
        <w:t xml:space="preserve">Exame do </w:t>
      </w:r>
      <w:proofErr w:type="spellStart"/>
      <w:r>
        <w:rPr>
          <w:sz w:val="16"/>
        </w:rPr>
        <w:t>líquor</w:t>
      </w:r>
      <w:proofErr w:type="spellEnd"/>
      <w:r>
        <w:rPr>
          <w:sz w:val="16"/>
        </w:rPr>
        <w:t xml:space="preserve"> em caso de infiltração </w:t>
      </w:r>
      <w:proofErr w:type="spellStart"/>
      <w:r>
        <w:rPr>
          <w:sz w:val="16"/>
        </w:rPr>
        <w:t>linfomatosa</w:t>
      </w:r>
      <w:proofErr w:type="spellEnd"/>
      <w:r>
        <w:rPr>
          <w:sz w:val="16"/>
        </w:rPr>
        <w:t xml:space="preserve"> da medula óssea, SNC ou estrutura na cabeça e</w:t>
      </w:r>
      <w:r>
        <w:rPr>
          <w:spacing w:val="-24"/>
          <w:sz w:val="16"/>
        </w:rPr>
        <w:t xml:space="preserve"> </w:t>
      </w:r>
      <w:r>
        <w:rPr>
          <w:sz w:val="16"/>
        </w:rPr>
        <w:t>pescoço.</w:t>
      </w:r>
    </w:p>
    <w:p w:rsidR="00067738" w:rsidRDefault="00C051FD">
      <w:pPr>
        <w:pStyle w:val="Corpodetexto"/>
        <w:spacing w:after="5"/>
        <w:ind w:firstLine="707"/>
      </w:pPr>
      <w:r>
        <w:t xml:space="preserve">O sistema de </w:t>
      </w:r>
      <w:proofErr w:type="spellStart"/>
      <w:r>
        <w:t>estadiamento</w:t>
      </w:r>
      <w:proofErr w:type="spellEnd"/>
      <w:r>
        <w:t xml:space="preserve"> preconizado é dad</w:t>
      </w:r>
      <w:r>
        <w:t>o pela classificação - TNM – Classificação de Tumores Malignos – UICC (Ann Arbor</w:t>
      </w:r>
      <w:proofErr w:type="gramStart"/>
      <w:r>
        <w:t>)[</w:t>
      </w:r>
      <w:proofErr w:type="gramEnd"/>
      <w:r>
        <w:t>17], em quatro estágios tumorais (estádios):</w:t>
      </w:r>
    </w:p>
    <w:tbl>
      <w:tblPr>
        <w:tblStyle w:val="TableNormal"/>
        <w:tblW w:w="0" w:type="auto"/>
        <w:tblInd w:w="2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985"/>
        <w:gridCol w:w="1418"/>
      </w:tblGrid>
      <w:tr w:rsidR="00067738">
        <w:trPr>
          <w:trHeight w:val="184"/>
        </w:trPr>
        <w:tc>
          <w:tcPr>
            <w:tcW w:w="1133" w:type="dxa"/>
          </w:tcPr>
          <w:p w:rsidR="00067738" w:rsidRDefault="00C051FD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ESTÁDIO</w:t>
            </w:r>
          </w:p>
        </w:tc>
        <w:tc>
          <w:tcPr>
            <w:tcW w:w="1985" w:type="dxa"/>
          </w:tcPr>
          <w:p w:rsidR="00067738" w:rsidRDefault="00C051FD">
            <w:pPr>
              <w:pStyle w:val="TableParagraph"/>
              <w:spacing w:line="164" w:lineRule="exact"/>
              <w:ind w:left="434"/>
              <w:rPr>
                <w:sz w:val="16"/>
              </w:rPr>
            </w:pPr>
            <w:r>
              <w:rPr>
                <w:sz w:val="16"/>
              </w:rPr>
              <w:t>EXTENSÃO DA</w:t>
            </w:r>
          </w:p>
        </w:tc>
        <w:tc>
          <w:tcPr>
            <w:tcW w:w="1418" w:type="dxa"/>
          </w:tcPr>
          <w:p w:rsidR="00067738" w:rsidRDefault="00C051FD">
            <w:pPr>
              <w:pStyle w:val="TableParagraph"/>
              <w:spacing w:line="164" w:lineRule="exact"/>
              <w:ind w:left="209"/>
              <w:rPr>
                <w:sz w:val="16"/>
              </w:rPr>
            </w:pPr>
            <w:r>
              <w:rPr>
                <w:sz w:val="16"/>
              </w:rPr>
              <w:t>SUBESTÁDIO</w:t>
            </w:r>
          </w:p>
        </w:tc>
      </w:tr>
    </w:tbl>
    <w:p w:rsidR="00067738" w:rsidRDefault="00067738">
      <w:pPr>
        <w:spacing w:line="164" w:lineRule="exact"/>
        <w:rPr>
          <w:sz w:val="16"/>
        </w:rPr>
        <w:sectPr w:rsidR="00067738">
          <w:pgSz w:w="11910" w:h="16840"/>
          <w:pgMar w:top="132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981"/>
        <w:gridCol w:w="1418"/>
      </w:tblGrid>
      <w:tr w:rsidR="00067738">
        <w:trPr>
          <w:trHeight w:val="184"/>
        </w:trPr>
        <w:tc>
          <w:tcPr>
            <w:tcW w:w="1138" w:type="dxa"/>
          </w:tcPr>
          <w:p w:rsidR="00067738" w:rsidRDefault="0006773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981" w:type="dxa"/>
          </w:tcPr>
          <w:p w:rsidR="00067738" w:rsidRDefault="00C051FD">
            <w:pPr>
              <w:pStyle w:val="TableParagraph"/>
              <w:spacing w:line="164" w:lineRule="exact"/>
              <w:ind w:left="652"/>
              <w:rPr>
                <w:sz w:val="16"/>
              </w:rPr>
            </w:pPr>
            <w:r>
              <w:rPr>
                <w:sz w:val="16"/>
              </w:rPr>
              <w:t>DOENÇA</w:t>
            </w:r>
          </w:p>
        </w:tc>
        <w:tc>
          <w:tcPr>
            <w:tcW w:w="1418" w:type="dxa"/>
          </w:tcPr>
          <w:p w:rsidR="00067738" w:rsidRDefault="0006773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7738">
        <w:trPr>
          <w:trHeight w:val="736"/>
        </w:trPr>
        <w:tc>
          <w:tcPr>
            <w:tcW w:w="1138" w:type="dxa"/>
          </w:tcPr>
          <w:p w:rsidR="00067738" w:rsidRDefault="00C051FD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981" w:type="dxa"/>
          </w:tcPr>
          <w:p w:rsidR="00067738" w:rsidRDefault="00C051FD">
            <w:pPr>
              <w:pStyle w:val="TableParagraph"/>
              <w:ind w:right="279"/>
              <w:rPr>
                <w:sz w:val="16"/>
              </w:rPr>
            </w:pPr>
            <w:r>
              <w:rPr>
                <w:sz w:val="16"/>
              </w:rPr>
              <w:t xml:space="preserve">Cadeia </w:t>
            </w:r>
            <w:proofErr w:type="spellStart"/>
            <w:r>
              <w:rPr>
                <w:sz w:val="16"/>
              </w:rPr>
              <w:t>linfonodal</w:t>
            </w:r>
            <w:proofErr w:type="spellEnd"/>
            <w:r>
              <w:rPr>
                <w:sz w:val="16"/>
              </w:rPr>
              <w:t xml:space="preserve"> única. Localização/órgão</w:t>
            </w:r>
          </w:p>
          <w:p w:rsidR="00067738" w:rsidRDefault="00C051FD">
            <w:pPr>
              <w:pStyle w:val="TableParagraph"/>
              <w:spacing w:line="182" w:lineRule="exact"/>
              <w:ind w:right="55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extralinfático</w:t>
            </w:r>
            <w:proofErr w:type="spellEnd"/>
            <w:proofErr w:type="gramEnd"/>
            <w:r>
              <w:rPr>
                <w:sz w:val="16"/>
              </w:rPr>
              <w:t xml:space="preserve"> único, localizado.</w:t>
            </w:r>
          </w:p>
        </w:tc>
        <w:tc>
          <w:tcPr>
            <w:tcW w:w="1418" w:type="dxa"/>
          </w:tcPr>
          <w:p w:rsidR="00067738" w:rsidRDefault="00C051FD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IE</w:t>
            </w:r>
          </w:p>
        </w:tc>
      </w:tr>
      <w:tr w:rsidR="00067738">
        <w:trPr>
          <w:trHeight w:val="913"/>
        </w:trPr>
        <w:tc>
          <w:tcPr>
            <w:tcW w:w="1138" w:type="dxa"/>
            <w:vMerge w:val="restart"/>
          </w:tcPr>
          <w:p w:rsidR="00067738" w:rsidRDefault="00C051FD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981" w:type="dxa"/>
            <w:tcBorders>
              <w:bottom w:val="nil"/>
            </w:tcBorders>
          </w:tcPr>
          <w:p w:rsidR="00067738" w:rsidRDefault="00C051FD">
            <w:pPr>
              <w:pStyle w:val="TableParagraph"/>
              <w:ind w:right="270"/>
              <w:rPr>
                <w:sz w:val="16"/>
              </w:rPr>
            </w:pPr>
            <w:r>
              <w:rPr>
                <w:sz w:val="16"/>
              </w:rPr>
              <w:t xml:space="preserve">Duas ou mais cadeias </w:t>
            </w:r>
            <w:proofErr w:type="spellStart"/>
            <w:r>
              <w:rPr>
                <w:sz w:val="16"/>
              </w:rPr>
              <w:t>linfonodais</w:t>
            </w:r>
            <w:proofErr w:type="spellEnd"/>
            <w:r>
              <w:rPr>
                <w:sz w:val="16"/>
              </w:rPr>
              <w:t>, mesmo lado do diafragma.</w:t>
            </w:r>
          </w:p>
          <w:p w:rsidR="00067738" w:rsidRDefault="00C051FD">
            <w:pPr>
              <w:pStyle w:val="TableParagraph"/>
              <w:spacing w:line="184" w:lineRule="exact"/>
              <w:ind w:right="84"/>
              <w:rPr>
                <w:sz w:val="16"/>
              </w:rPr>
            </w:pPr>
            <w:r>
              <w:rPr>
                <w:sz w:val="16"/>
              </w:rPr>
              <w:t xml:space="preserve">Local/órgão </w:t>
            </w:r>
            <w:proofErr w:type="spellStart"/>
            <w:r>
              <w:rPr>
                <w:sz w:val="16"/>
              </w:rPr>
              <w:t>extra-linfático</w:t>
            </w:r>
            <w:proofErr w:type="spellEnd"/>
            <w:r>
              <w:rPr>
                <w:sz w:val="16"/>
              </w:rPr>
              <w:t xml:space="preserve"> único, localizado, com </w:t>
            </w:r>
            <w:proofErr w:type="gramStart"/>
            <w:r>
              <w:rPr>
                <w:sz w:val="16"/>
              </w:rPr>
              <w:t>seus</w:t>
            </w:r>
            <w:proofErr w:type="gramEnd"/>
          </w:p>
        </w:tc>
        <w:tc>
          <w:tcPr>
            <w:tcW w:w="1418" w:type="dxa"/>
            <w:vMerge w:val="restart"/>
          </w:tcPr>
          <w:p w:rsidR="00067738" w:rsidRDefault="00067738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067738" w:rsidRDefault="00C051F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IIE</w:t>
            </w:r>
          </w:p>
        </w:tc>
      </w:tr>
      <w:tr w:rsidR="00067738">
        <w:trPr>
          <w:trHeight w:val="781"/>
        </w:trPr>
        <w:tc>
          <w:tcPr>
            <w:tcW w:w="1138" w:type="dxa"/>
            <w:vMerge/>
            <w:tcBorders>
              <w:top w:val="nil"/>
            </w:tcBorders>
          </w:tcPr>
          <w:p w:rsidR="00067738" w:rsidRDefault="0006773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067738" w:rsidRDefault="00C051FD">
            <w:pPr>
              <w:pStyle w:val="TableParagraph"/>
              <w:spacing w:line="167" w:lineRule="exact"/>
              <w:ind w:left="144"/>
              <w:rPr>
                <w:sz w:val="16"/>
              </w:rPr>
            </w:pPr>
            <w:proofErr w:type="gramStart"/>
            <w:r>
              <w:rPr>
                <w:sz w:val="16"/>
              </w:rPr>
              <w:t>linfonodos</w:t>
            </w:r>
            <w:proofErr w:type="gramEnd"/>
            <w:r>
              <w:rPr>
                <w:sz w:val="16"/>
              </w:rPr>
              <w:t xml:space="preserve"> regionais, com</w:t>
            </w:r>
          </w:p>
          <w:p w:rsidR="00067738" w:rsidRDefault="00C051FD">
            <w:pPr>
              <w:pStyle w:val="TableParagraph"/>
              <w:ind w:right="110"/>
              <w:rPr>
                <w:sz w:val="16"/>
              </w:rPr>
            </w:pP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z w:val="16"/>
              </w:rPr>
              <w:t xml:space="preserve"> sem outras cadeias </w:t>
            </w:r>
            <w:proofErr w:type="spellStart"/>
            <w:r>
              <w:rPr>
                <w:sz w:val="16"/>
              </w:rPr>
              <w:t>linfonodais</w:t>
            </w:r>
            <w:proofErr w:type="spellEnd"/>
            <w:r>
              <w:rPr>
                <w:sz w:val="16"/>
              </w:rPr>
              <w:t xml:space="preserve"> do mesmo lado do diafragma.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67738" w:rsidRDefault="00067738">
            <w:pPr>
              <w:rPr>
                <w:sz w:val="2"/>
                <w:szCs w:val="2"/>
              </w:rPr>
            </w:pPr>
          </w:p>
        </w:tc>
      </w:tr>
      <w:tr w:rsidR="00067738">
        <w:trPr>
          <w:trHeight w:val="957"/>
        </w:trPr>
        <w:tc>
          <w:tcPr>
            <w:tcW w:w="1138" w:type="dxa"/>
            <w:vMerge w:val="restart"/>
          </w:tcPr>
          <w:p w:rsidR="00067738" w:rsidRDefault="00C051FD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1981" w:type="dxa"/>
          </w:tcPr>
          <w:p w:rsidR="00067738" w:rsidRDefault="00C051FD">
            <w:pPr>
              <w:pStyle w:val="TableParagraph"/>
              <w:ind w:right="235"/>
              <w:rPr>
                <w:sz w:val="16"/>
              </w:rPr>
            </w:pPr>
            <w:r>
              <w:rPr>
                <w:sz w:val="16"/>
              </w:rPr>
              <w:t xml:space="preserve">Cadeias </w:t>
            </w:r>
            <w:proofErr w:type="spellStart"/>
            <w:r>
              <w:rPr>
                <w:sz w:val="16"/>
              </w:rPr>
              <w:t>linfonodais</w:t>
            </w:r>
            <w:proofErr w:type="spellEnd"/>
            <w:r>
              <w:rPr>
                <w:sz w:val="16"/>
              </w:rPr>
              <w:t xml:space="preserve"> em ambos os lados do diafragma com ou sem local/órgão </w:t>
            </w:r>
            <w:proofErr w:type="spellStart"/>
            <w:r>
              <w:rPr>
                <w:sz w:val="16"/>
              </w:rPr>
              <w:t>extralinfático</w:t>
            </w:r>
            <w:proofErr w:type="spellEnd"/>
            <w:r>
              <w:rPr>
                <w:sz w:val="16"/>
              </w:rPr>
              <w:t xml:space="preserve"> único, localizado.</w:t>
            </w:r>
          </w:p>
        </w:tc>
        <w:tc>
          <w:tcPr>
            <w:tcW w:w="1418" w:type="dxa"/>
          </w:tcPr>
          <w:p w:rsidR="00067738" w:rsidRDefault="00C051FD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IIIE</w:t>
            </w:r>
          </w:p>
        </w:tc>
      </w:tr>
      <w:tr w:rsidR="00067738">
        <w:trPr>
          <w:trHeight w:val="225"/>
        </w:trPr>
        <w:tc>
          <w:tcPr>
            <w:tcW w:w="1138" w:type="dxa"/>
            <w:vMerge/>
            <w:tcBorders>
              <w:top w:val="nil"/>
            </w:tcBorders>
          </w:tcPr>
          <w:p w:rsidR="00067738" w:rsidRDefault="0006773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:rsidR="00067738" w:rsidRDefault="00C051FD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Baço.</w:t>
            </w:r>
          </w:p>
        </w:tc>
        <w:tc>
          <w:tcPr>
            <w:tcW w:w="1418" w:type="dxa"/>
          </w:tcPr>
          <w:p w:rsidR="00067738" w:rsidRDefault="00C051FD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IIIS</w:t>
            </w:r>
          </w:p>
        </w:tc>
      </w:tr>
      <w:tr w:rsidR="00067738">
        <w:trPr>
          <w:trHeight w:val="184"/>
        </w:trPr>
        <w:tc>
          <w:tcPr>
            <w:tcW w:w="1138" w:type="dxa"/>
            <w:vMerge/>
            <w:tcBorders>
              <w:top w:val="nil"/>
            </w:tcBorders>
          </w:tcPr>
          <w:p w:rsidR="00067738" w:rsidRDefault="0006773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:rsidR="00067738" w:rsidRDefault="00C051FD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Ambos.</w:t>
            </w:r>
          </w:p>
        </w:tc>
        <w:tc>
          <w:tcPr>
            <w:tcW w:w="1418" w:type="dxa"/>
          </w:tcPr>
          <w:p w:rsidR="00067738" w:rsidRDefault="00C051F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IIIE+S</w:t>
            </w:r>
          </w:p>
        </w:tc>
      </w:tr>
      <w:tr w:rsidR="00067738">
        <w:trPr>
          <w:trHeight w:val="736"/>
        </w:trPr>
        <w:tc>
          <w:tcPr>
            <w:tcW w:w="1138" w:type="dxa"/>
          </w:tcPr>
          <w:p w:rsidR="00067738" w:rsidRDefault="00C051FD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981" w:type="dxa"/>
          </w:tcPr>
          <w:p w:rsidR="00067738" w:rsidRDefault="00C051FD">
            <w:pPr>
              <w:pStyle w:val="TableParagraph"/>
              <w:ind w:right="214"/>
              <w:jc w:val="both"/>
              <w:rPr>
                <w:sz w:val="16"/>
              </w:rPr>
            </w:pPr>
            <w:r>
              <w:rPr>
                <w:sz w:val="16"/>
              </w:rPr>
              <w:t xml:space="preserve">Comprometimento difuso ou multifocal de órgão(s) </w:t>
            </w:r>
            <w:proofErr w:type="spellStart"/>
            <w:r>
              <w:rPr>
                <w:sz w:val="16"/>
              </w:rPr>
              <w:t>extralinfático</w:t>
            </w:r>
            <w:proofErr w:type="spellEnd"/>
            <w:r>
              <w:rPr>
                <w:sz w:val="16"/>
              </w:rPr>
              <w:t>(s) com ou</w:t>
            </w:r>
          </w:p>
          <w:p w:rsidR="00067738" w:rsidRDefault="00C051FD"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sem</w:t>
            </w:r>
            <w:proofErr w:type="gramEnd"/>
            <w:r>
              <w:rPr>
                <w:sz w:val="16"/>
              </w:rPr>
              <w:t xml:space="preserve"> linfonodo(s)</w:t>
            </w:r>
          </w:p>
        </w:tc>
        <w:tc>
          <w:tcPr>
            <w:tcW w:w="1418" w:type="dxa"/>
          </w:tcPr>
          <w:p w:rsidR="00067738" w:rsidRDefault="00067738">
            <w:pPr>
              <w:pStyle w:val="TableParagraph"/>
              <w:ind w:left="0"/>
              <w:rPr>
                <w:sz w:val="16"/>
              </w:rPr>
            </w:pPr>
          </w:p>
        </w:tc>
      </w:tr>
      <w:tr w:rsidR="00067738">
        <w:trPr>
          <w:trHeight w:val="597"/>
        </w:trPr>
        <w:tc>
          <w:tcPr>
            <w:tcW w:w="1138" w:type="dxa"/>
          </w:tcPr>
          <w:p w:rsidR="00067738" w:rsidRDefault="0006773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</w:tcPr>
          <w:p w:rsidR="00067738" w:rsidRDefault="00C051FD">
            <w:pPr>
              <w:pStyle w:val="TableParagraph"/>
              <w:ind w:right="226"/>
              <w:rPr>
                <w:sz w:val="16"/>
              </w:rPr>
            </w:pPr>
            <w:proofErr w:type="gramStart"/>
            <w:r>
              <w:rPr>
                <w:sz w:val="16"/>
              </w:rPr>
              <w:t>regional</w:t>
            </w:r>
            <w:proofErr w:type="gramEnd"/>
            <w:r>
              <w:rPr>
                <w:sz w:val="16"/>
              </w:rPr>
              <w:t xml:space="preserve">(ais); órgão </w:t>
            </w:r>
            <w:proofErr w:type="spellStart"/>
            <w:r>
              <w:rPr>
                <w:sz w:val="16"/>
              </w:rPr>
              <w:t>extralinfático</w:t>
            </w:r>
            <w:proofErr w:type="spellEnd"/>
            <w:r>
              <w:rPr>
                <w:sz w:val="16"/>
              </w:rPr>
              <w:t xml:space="preserve"> isolado e linfonodos não regionais.</w:t>
            </w:r>
          </w:p>
        </w:tc>
        <w:tc>
          <w:tcPr>
            <w:tcW w:w="1418" w:type="dxa"/>
          </w:tcPr>
          <w:p w:rsidR="00067738" w:rsidRDefault="00067738">
            <w:pPr>
              <w:pStyle w:val="TableParagraph"/>
              <w:ind w:left="0"/>
              <w:rPr>
                <w:sz w:val="16"/>
              </w:rPr>
            </w:pPr>
          </w:p>
        </w:tc>
      </w:tr>
      <w:tr w:rsidR="00067738">
        <w:trPr>
          <w:trHeight w:val="407"/>
        </w:trPr>
        <w:tc>
          <w:tcPr>
            <w:tcW w:w="1138" w:type="dxa"/>
            <w:vMerge w:val="restart"/>
          </w:tcPr>
          <w:p w:rsidR="00067738" w:rsidRDefault="00C051FD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Qualquer</w:t>
            </w:r>
          </w:p>
        </w:tc>
        <w:tc>
          <w:tcPr>
            <w:tcW w:w="1981" w:type="dxa"/>
          </w:tcPr>
          <w:p w:rsidR="00067738" w:rsidRDefault="00C051FD">
            <w:pPr>
              <w:pStyle w:val="TableParagraph"/>
              <w:ind w:right="537"/>
              <w:rPr>
                <w:sz w:val="16"/>
              </w:rPr>
            </w:pPr>
            <w:r>
              <w:rPr>
                <w:sz w:val="16"/>
              </w:rPr>
              <w:t>Sem perda de peso/febre/sudorese.</w:t>
            </w:r>
          </w:p>
        </w:tc>
        <w:tc>
          <w:tcPr>
            <w:tcW w:w="1418" w:type="dxa"/>
          </w:tcPr>
          <w:p w:rsidR="00067738" w:rsidRDefault="00C051FD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 w:rsidR="00067738">
        <w:trPr>
          <w:trHeight w:val="369"/>
        </w:trPr>
        <w:tc>
          <w:tcPr>
            <w:tcW w:w="1138" w:type="dxa"/>
            <w:vMerge/>
            <w:tcBorders>
              <w:top w:val="nil"/>
            </w:tcBorders>
          </w:tcPr>
          <w:p w:rsidR="00067738" w:rsidRDefault="0006773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:rsidR="00067738" w:rsidRDefault="00C051FD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Com perda de</w:t>
            </w:r>
          </w:p>
          <w:p w:rsidR="00067738" w:rsidRDefault="00C051FD">
            <w:pPr>
              <w:pStyle w:val="TableParagraph"/>
              <w:spacing w:line="172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peso</w:t>
            </w:r>
            <w:proofErr w:type="gramEnd"/>
            <w:r>
              <w:rPr>
                <w:sz w:val="16"/>
              </w:rPr>
              <w:t>/febre/sudorese.</w:t>
            </w:r>
          </w:p>
        </w:tc>
        <w:tc>
          <w:tcPr>
            <w:tcW w:w="1418" w:type="dxa"/>
          </w:tcPr>
          <w:p w:rsidR="00067738" w:rsidRDefault="00C051F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</w:tr>
    </w:tbl>
    <w:p w:rsidR="00067738" w:rsidRDefault="00067738">
      <w:pPr>
        <w:pStyle w:val="Corpodetexto"/>
        <w:spacing w:before="2"/>
        <w:ind w:left="0"/>
        <w:rPr>
          <w:sz w:val="7"/>
        </w:rPr>
      </w:pPr>
    </w:p>
    <w:p w:rsidR="00067738" w:rsidRDefault="00C051FD">
      <w:pPr>
        <w:pStyle w:val="Corpodetexto"/>
        <w:spacing w:before="94"/>
        <w:ind w:right="111" w:firstLine="566"/>
        <w:jc w:val="both"/>
      </w:pPr>
      <w:r>
        <w:t xml:space="preserve">Com a finalidade de estimar prognóstico, recomenda-se registrar o número de fatores de risco segundo o Índice Prognóstico Internacional (IPI), entre os seguintes: Idade maior do que 60 anos, estágio III ou IV, acometimento de mais de um sítio </w:t>
      </w:r>
      <w:proofErr w:type="spellStart"/>
      <w:r>
        <w:t>extra-nodal</w:t>
      </w:r>
      <w:proofErr w:type="spellEnd"/>
      <w:r>
        <w:t xml:space="preserve">, </w:t>
      </w:r>
      <w:proofErr w:type="spellStart"/>
      <w:r>
        <w:t>perfomance</w:t>
      </w:r>
      <w:proofErr w:type="spellEnd"/>
      <w:r>
        <w:t xml:space="preserve"> status maior do que </w:t>
      </w:r>
      <w:proofErr w:type="gramStart"/>
      <w:r>
        <w:t>2</w:t>
      </w:r>
      <w:proofErr w:type="gramEnd"/>
      <w:r>
        <w:t xml:space="preserve"> e dosagem sérica de </w:t>
      </w:r>
      <w:proofErr w:type="spellStart"/>
      <w:r>
        <w:t>desidrogenase</w:t>
      </w:r>
      <w:proofErr w:type="spellEnd"/>
      <w:r>
        <w:t xml:space="preserve"> láctica além do limite máximo normal.</w:t>
      </w:r>
    </w:p>
    <w:p w:rsidR="00067738" w:rsidRDefault="00C051FD">
      <w:pPr>
        <w:pStyle w:val="Corpodetexto"/>
        <w:spacing w:before="1" w:line="183" w:lineRule="exact"/>
        <w:ind w:left="668"/>
      </w:pPr>
      <w:r>
        <w:t xml:space="preserve">De acordo com o número de fatores presentes, classificam-se os seguintes grupos de </w:t>
      </w:r>
      <w:proofErr w:type="gramStart"/>
      <w:r>
        <w:t>risco[</w:t>
      </w:r>
      <w:proofErr w:type="gramEnd"/>
      <w:r>
        <w:t>2,6]: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line="183" w:lineRule="exact"/>
        <w:ind w:firstLine="0"/>
        <w:rPr>
          <w:sz w:val="16"/>
        </w:rPr>
      </w:pPr>
      <w:r>
        <w:rPr>
          <w:sz w:val="16"/>
        </w:rPr>
        <w:t xml:space="preserve">Baixo risco: </w:t>
      </w:r>
      <w:proofErr w:type="gramStart"/>
      <w:r>
        <w:rPr>
          <w:sz w:val="16"/>
        </w:rPr>
        <w:t>0</w:t>
      </w:r>
      <w:proofErr w:type="gramEnd"/>
      <w:r>
        <w:rPr>
          <w:sz w:val="16"/>
        </w:rPr>
        <w:t xml:space="preserve"> ou 1 fator de</w:t>
      </w:r>
      <w:r>
        <w:rPr>
          <w:spacing w:val="-5"/>
          <w:sz w:val="16"/>
        </w:rPr>
        <w:t xml:space="preserve"> </w:t>
      </w:r>
      <w:r>
        <w:rPr>
          <w:sz w:val="16"/>
        </w:rPr>
        <w:t>risco;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ind w:firstLine="0"/>
        <w:rPr>
          <w:sz w:val="16"/>
        </w:rPr>
      </w:pPr>
      <w:r>
        <w:rPr>
          <w:sz w:val="16"/>
        </w:rPr>
        <w:t>Risco intermediário-</w:t>
      </w:r>
      <w:r>
        <w:rPr>
          <w:sz w:val="16"/>
        </w:rPr>
        <w:t xml:space="preserve">baixo: 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fatores de</w:t>
      </w:r>
      <w:r>
        <w:rPr>
          <w:spacing w:val="-4"/>
          <w:sz w:val="16"/>
        </w:rPr>
        <w:t xml:space="preserve"> </w:t>
      </w:r>
      <w:r>
        <w:rPr>
          <w:sz w:val="16"/>
        </w:rPr>
        <w:t>risco;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before="1" w:line="183" w:lineRule="exact"/>
        <w:ind w:firstLine="0"/>
        <w:rPr>
          <w:sz w:val="16"/>
        </w:rPr>
      </w:pPr>
      <w:r>
        <w:rPr>
          <w:sz w:val="16"/>
        </w:rPr>
        <w:t xml:space="preserve">Risco intermediário-alto: </w:t>
      </w:r>
      <w:proofErr w:type="gramStart"/>
      <w:r>
        <w:rPr>
          <w:sz w:val="16"/>
        </w:rPr>
        <w:t>3</w:t>
      </w:r>
      <w:proofErr w:type="gramEnd"/>
      <w:r>
        <w:rPr>
          <w:sz w:val="16"/>
        </w:rPr>
        <w:t xml:space="preserve"> fatores de</w:t>
      </w:r>
      <w:r>
        <w:rPr>
          <w:spacing w:val="-4"/>
          <w:sz w:val="16"/>
        </w:rPr>
        <w:t xml:space="preserve"> </w:t>
      </w:r>
      <w:r>
        <w:rPr>
          <w:sz w:val="16"/>
        </w:rPr>
        <w:t>risco;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line="183" w:lineRule="exact"/>
        <w:ind w:firstLine="0"/>
        <w:rPr>
          <w:sz w:val="16"/>
        </w:rPr>
      </w:pPr>
      <w:r>
        <w:rPr>
          <w:sz w:val="16"/>
        </w:rPr>
        <w:t xml:space="preserve">Alto risco: </w:t>
      </w:r>
      <w:proofErr w:type="gramStart"/>
      <w:r>
        <w:rPr>
          <w:sz w:val="16"/>
        </w:rPr>
        <w:t>4</w:t>
      </w:r>
      <w:proofErr w:type="gramEnd"/>
      <w:r>
        <w:rPr>
          <w:sz w:val="16"/>
        </w:rPr>
        <w:t xml:space="preserve"> ou 5 fatores de</w:t>
      </w:r>
      <w:r>
        <w:rPr>
          <w:spacing w:val="-6"/>
          <w:sz w:val="16"/>
        </w:rPr>
        <w:t xml:space="preserve"> </w:t>
      </w:r>
      <w:r>
        <w:rPr>
          <w:sz w:val="16"/>
        </w:rPr>
        <w:t>risco.</w:t>
      </w:r>
    </w:p>
    <w:p w:rsidR="00067738" w:rsidRDefault="00C051FD">
      <w:pPr>
        <w:pStyle w:val="Corpodetexto"/>
        <w:spacing w:before="1"/>
        <w:ind w:right="115" w:firstLine="566"/>
        <w:jc w:val="both"/>
      </w:pPr>
      <w:r>
        <w:t xml:space="preserve">O IPI foi desenvolvido a partir de informações históricas sobre o tratamento de doentes com linfoma antes da introdução do </w:t>
      </w:r>
      <w:proofErr w:type="spellStart"/>
      <w:r>
        <w:t>rituximabe</w:t>
      </w:r>
      <w:proofErr w:type="spellEnd"/>
      <w:r>
        <w:t>. Para doente</w:t>
      </w:r>
      <w:r>
        <w:t xml:space="preserve">s tratados com esquemas terapêuticos, quimioterápicos, contendo este medicamento, um agrupamento mais simples fornece boa discriminação </w:t>
      </w:r>
      <w:proofErr w:type="gramStart"/>
      <w:r>
        <w:t>prognóstica[</w:t>
      </w:r>
      <w:proofErr w:type="gramEnd"/>
      <w:r>
        <w:t>18]: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ind w:firstLine="0"/>
        <w:rPr>
          <w:sz w:val="16"/>
        </w:rPr>
      </w:pPr>
      <w:r>
        <w:rPr>
          <w:sz w:val="16"/>
        </w:rPr>
        <w:t>Baixo risco: nenhum fator de</w:t>
      </w:r>
      <w:r>
        <w:rPr>
          <w:spacing w:val="-6"/>
          <w:sz w:val="16"/>
        </w:rPr>
        <w:t xml:space="preserve"> </w:t>
      </w:r>
      <w:r>
        <w:rPr>
          <w:sz w:val="16"/>
        </w:rPr>
        <w:t>risco;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before="1" w:line="183" w:lineRule="exact"/>
        <w:ind w:firstLine="0"/>
        <w:rPr>
          <w:sz w:val="16"/>
        </w:rPr>
      </w:pPr>
      <w:r>
        <w:rPr>
          <w:sz w:val="16"/>
        </w:rPr>
        <w:t xml:space="preserve">Risco intermediário: </w:t>
      </w:r>
      <w:proofErr w:type="gramStart"/>
      <w:r>
        <w:rPr>
          <w:sz w:val="16"/>
        </w:rPr>
        <w:t>1</w:t>
      </w:r>
      <w:proofErr w:type="gramEnd"/>
      <w:r>
        <w:rPr>
          <w:sz w:val="16"/>
        </w:rPr>
        <w:t xml:space="preserve"> ou 2 fatores de</w:t>
      </w:r>
      <w:r>
        <w:rPr>
          <w:spacing w:val="-4"/>
          <w:sz w:val="16"/>
        </w:rPr>
        <w:t xml:space="preserve"> </w:t>
      </w:r>
      <w:r>
        <w:rPr>
          <w:sz w:val="16"/>
        </w:rPr>
        <w:t>risco;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line="183" w:lineRule="exact"/>
        <w:ind w:firstLine="0"/>
        <w:rPr>
          <w:sz w:val="16"/>
        </w:rPr>
      </w:pPr>
      <w:r>
        <w:rPr>
          <w:sz w:val="16"/>
        </w:rPr>
        <w:t xml:space="preserve">Alto risco: 3, 4 ou </w:t>
      </w:r>
      <w:proofErr w:type="gramStart"/>
      <w:r>
        <w:rPr>
          <w:sz w:val="16"/>
        </w:rPr>
        <w:t>5</w:t>
      </w:r>
      <w:proofErr w:type="gramEnd"/>
      <w:r>
        <w:rPr>
          <w:sz w:val="16"/>
        </w:rPr>
        <w:t xml:space="preserve"> fatores de</w:t>
      </w:r>
      <w:r>
        <w:rPr>
          <w:spacing w:val="-6"/>
          <w:sz w:val="16"/>
        </w:rPr>
        <w:t xml:space="preserve"> </w:t>
      </w:r>
      <w:r>
        <w:rPr>
          <w:sz w:val="16"/>
        </w:rPr>
        <w:t>risco.</w:t>
      </w:r>
    </w:p>
    <w:p w:rsidR="00067738" w:rsidRDefault="00C051FD">
      <w:pPr>
        <w:pStyle w:val="Corpodetexto"/>
        <w:spacing w:before="1"/>
        <w:ind w:right="126" w:firstLine="566"/>
        <w:jc w:val="both"/>
      </w:pPr>
      <w:r>
        <w:t xml:space="preserve">Nos doentes com LDGC e infecção por HIV, o diagnóstico prévio de síndrome da imunodeficiência adquirida (AIDS/SIDA) e presença de </w:t>
      </w:r>
      <w:proofErr w:type="gramStart"/>
      <w:r>
        <w:t>3</w:t>
      </w:r>
      <w:proofErr w:type="gramEnd"/>
      <w:r>
        <w:t xml:space="preserve"> ou mais fatores de risco pelo IPI parecem indicar pior prognóstico[4].</w:t>
      </w:r>
    </w:p>
    <w:p w:rsidR="00067738" w:rsidRDefault="00067738">
      <w:pPr>
        <w:pStyle w:val="Corpodetexto"/>
        <w:ind w:left="0"/>
      </w:pPr>
    </w:p>
    <w:p w:rsidR="00067738" w:rsidRDefault="00C051FD">
      <w:pPr>
        <w:pStyle w:val="PargrafodaLista"/>
        <w:numPr>
          <w:ilvl w:val="0"/>
          <w:numId w:val="4"/>
        </w:numPr>
        <w:tabs>
          <w:tab w:val="left" w:pos="830"/>
        </w:tabs>
        <w:ind w:left="829" w:hanging="161"/>
        <w:rPr>
          <w:sz w:val="16"/>
        </w:rPr>
      </w:pPr>
      <w:r>
        <w:rPr>
          <w:sz w:val="16"/>
        </w:rPr>
        <w:t>CRITÉRIOS DE</w:t>
      </w:r>
      <w:r>
        <w:rPr>
          <w:spacing w:val="2"/>
          <w:sz w:val="16"/>
        </w:rPr>
        <w:t xml:space="preserve"> </w:t>
      </w:r>
      <w:r>
        <w:rPr>
          <w:sz w:val="16"/>
        </w:rPr>
        <w:t>INCLUSÃO</w:t>
      </w:r>
    </w:p>
    <w:p w:rsidR="00067738" w:rsidRDefault="00C051FD">
      <w:pPr>
        <w:pStyle w:val="PargrafodaLista"/>
        <w:numPr>
          <w:ilvl w:val="0"/>
          <w:numId w:val="2"/>
        </w:numPr>
        <w:tabs>
          <w:tab w:val="left" w:pos="906"/>
        </w:tabs>
        <w:spacing w:before="1" w:line="183" w:lineRule="exact"/>
        <w:rPr>
          <w:sz w:val="16"/>
        </w:rPr>
      </w:pPr>
      <w:r>
        <w:rPr>
          <w:sz w:val="16"/>
        </w:rPr>
        <w:t>Idade de 18 ou mais</w:t>
      </w:r>
      <w:r>
        <w:rPr>
          <w:spacing w:val="-5"/>
          <w:sz w:val="16"/>
        </w:rPr>
        <w:t xml:space="preserve"> </w:t>
      </w:r>
      <w:r>
        <w:rPr>
          <w:sz w:val="16"/>
        </w:rPr>
        <w:t>anos.</w:t>
      </w:r>
    </w:p>
    <w:p w:rsidR="00067738" w:rsidRDefault="00C051FD">
      <w:pPr>
        <w:pStyle w:val="PargrafodaLista"/>
        <w:numPr>
          <w:ilvl w:val="0"/>
          <w:numId w:val="2"/>
        </w:numPr>
        <w:tabs>
          <w:tab w:val="left" w:pos="904"/>
        </w:tabs>
        <w:spacing w:line="183" w:lineRule="exact"/>
        <w:ind w:left="903" w:hanging="93"/>
        <w:rPr>
          <w:sz w:val="16"/>
        </w:rPr>
      </w:pPr>
      <w:r>
        <w:rPr>
          <w:sz w:val="16"/>
        </w:rPr>
        <w:t>Diagnóstico inequívoco de LDGC</w:t>
      </w:r>
      <w:r>
        <w:rPr>
          <w:spacing w:val="-4"/>
          <w:sz w:val="16"/>
        </w:rPr>
        <w:t xml:space="preserve"> </w:t>
      </w:r>
      <w:r>
        <w:rPr>
          <w:sz w:val="16"/>
        </w:rPr>
        <w:t>B.</w:t>
      </w:r>
    </w:p>
    <w:p w:rsidR="00067738" w:rsidRDefault="00C051FD">
      <w:pPr>
        <w:pStyle w:val="Corpodetexto"/>
        <w:ind w:left="810"/>
      </w:pPr>
      <w:r>
        <w:t>Nota: Doentes com LDGC B com menos de 18 anos devem ser avaliados e tratados segundo protocolos institucionais.</w:t>
      </w:r>
    </w:p>
    <w:p w:rsidR="00067738" w:rsidRDefault="00067738">
      <w:pPr>
        <w:pStyle w:val="Corpodetexto"/>
        <w:ind w:left="0"/>
      </w:pPr>
    </w:p>
    <w:p w:rsidR="00067738" w:rsidRDefault="00C051FD">
      <w:pPr>
        <w:pStyle w:val="PargrafodaLista"/>
        <w:numPr>
          <w:ilvl w:val="0"/>
          <w:numId w:val="4"/>
        </w:numPr>
        <w:tabs>
          <w:tab w:val="left" w:pos="810"/>
        </w:tabs>
        <w:ind w:left="668" w:right="6087" w:firstLine="0"/>
        <w:rPr>
          <w:sz w:val="16"/>
        </w:rPr>
      </w:pPr>
      <w:r>
        <w:rPr>
          <w:sz w:val="16"/>
        </w:rPr>
        <w:t>OPÇÕES</w:t>
      </w:r>
      <w:r>
        <w:rPr>
          <w:spacing w:val="-13"/>
          <w:sz w:val="16"/>
        </w:rPr>
        <w:t xml:space="preserve"> </w:t>
      </w:r>
      <w:r>
        <w:rPr>
          <w:sz w:val="16"/>
        </w:rPr>
        <w:t>TERAPÊUTICAS 6.1- Quimioterapia de 1ª</w:t>
      </w:r>
      <w:r>
        <w:rPr>
          <w:spacing w:val="-12"/>
          <w:sz w:val="16"/>
        </w:rPr>
        <w:t xml:space="preserve"> </w:t>
      </w:r>
      <w:r>
        <w:rPr>
          <w:sz w:val="16"/>
        </w:rPr>
        <w:t>linha</w:t>
      </w:r>
    </w:p>
    <w:p w:rsidR="00067738" w:rsidRDefault="00C051FD">
      <w:pPr>
        <w:pStyle w:val="Corpodetexto"/>
        <w:spacing w:before="1" w:line="183" w:lineRule="exact"/>
      </w:pPr>
      <w:r>
        <w:t>6.1.1- CHOP</w:t>
      </w:r>
    </w:p>
    <w:p w:rsidR="00067738" w:rsidRDefault="00C051FD">
      <w:pPr>
        <w:pStyle w:val="Corpodetexto"/>
        <w:ind w:right="5910"/>
      </w:pPr>
      <w:r>
        <w:t xml:space="preserve">Ciclofosfamida – 750mg/m2 – EV - Dia 1 </w:t>
      </w:r>
      <w:proofErr w:type="spellStart"/>
      <w:r>
        <w:t>Doxorrubicina</w:t>
      </w:r>
      <w:proofErr w:type="spellEnd"/>
      <w:r>
        <w:t xml:space="preserve"> – 50mg/m2 – EV – D1</w:t>
      </w:r>
    </w:p>
    <w:p w:rsidR="00067738" w:rsidRDefault="00C051FD">
      <w:pPr>
        <w:pStyle w:val="Corpodetexto"/>
        <w:spacing w:before="1"/>
        <w:ind w:right="5168"/>
      </w:pPr>
      <w:r>
        <w:t>Vincristina – 1,4</w:t>
      </w:r>
      <w:proofErr w:type="gramStart"/>
      <w:r>
        <w:t>mg</w:t>
      </w:r>
      <w:proofErr w:type="gramEnd"/>
      <w:r>
        <w:t>/m2 (máximo de 2mg) – EV – D1 Prednisona – 40mg/m2 – VO – D1 a D5</w:t>
      </w:r>
    </w:p>
    <w:p w:rsidR="00067738" w:rsidRDefault="00C051FD">
      <w:pPr>
        <w:pStyle w:val="Corpodetexto"/>
        <w:spacing w:line="183" w:lineRule="exact"/>
      </w:pPr>
      <w:r>
        <w:t>Intervalo de 21 dias</w:t>
      </w:r>
    </w:p>
    <w:p w:rsidR="00067738" w:rsidRDefault="00C051FD">
      <w:pPr>
        <w:pStyle w:val="Corpodetexto"/>
        <w:spacing w:before="1"/>
        <w:ind w:right="118"/>
        <w:jc w:val="both"/>
      </w:pPr>
      <w:r>
        <w:t>Total de ciclos = 06, podendo ser 08, se não se alcançar RC após o 4º ciclo o</w:t>
      </w:r>
      <w:r>
        <w:t>u se houver doença residual após o 6º ciclo. Porém, o tratamento deve ser suspenso na ausência de resposta após o 4º ciclo ou se houver progressão da doença na vigência da quimioterapia.</w:t>
      </w:r>
    </w:p>
    <w:p w:rsidR="00067738" w:rsidRDefault="00C051FD">
      <w:pPr>
        <w:pStyle w:val="Corpodetexto"/>
        <w:ind w:right="117" w:firstLine="566"/>
        <w:jc w:val="both"/>
      </w:pPr>
      <w:r>
        <w:t>NOTA: O CHOP aqui descrito, caracterizado como CHOP-21, pode ser subs</w:t>
      </w:r>
      <w:r>
        <w:t xml:space="preserve">tituído pelo CHOP-14. Embora haja outros esquemas quimioterápicos de 1ª linha, o CHOP deve ser considerado o de </w:t>
      </w:r>
      <w:proofErr w:type="gramStart"/>
      <w:r>
        <w:t>escolha[</w:t>
      </w:r>
      <w:proofErr w:type="gramEnd"/>
      <w:r>
        <w:t>5].</w:t>
      </w:r>
    </w:p>
    <w:p w:rsidR="00067738" w:rsidRDefault="00C051FD">
      <w:pPr>
        <w:pStyle w:val="Corpodetexto"/>
        <w:spacing w:line="183" w:lineRule="exact"/>
      </w:pPr>
      <w:r>
        <w:t>6.1.2-</w:t>
      </w:r>
      <w:r>
        <w:rPr>
          <w:spacing w:val="-4"/>
        </w:rPr>
        <w:t xml:space="preserve"> </w:t>
      </w:r>
      <w:r>
        <w:t>R-CHOP</w:t>
      </w:r>
    </w:p>
    <w:p w:rsidR="00067738" w:rsidRDefault="00C051FD">
      <w:pPr>
        <w:pStyle w:val="Corpodetexto"/>
        <w:spacing w:before="1"/>
        <w:ind w:right="115" w:firstLine="566"/>
        <w:jc w:val="both"/>
      </w:pPr>
      <w:r>
        <w:t>Indicado para doentes com mais de 18 anos de idade e diagnóstico histopatológico de LDGC B CD 20 positivo de novo, (ou</w:t>
      </w:r>
      <w:r>
        <w:t xml:space="preserve"> seja, sem ser por evolução de outro tipo de linfoma), excluindo-se linfoma primário cerebral; em estágio III ou IV, ou</w:t>
      </w:r>
      <w:proofErr w:type="gramStart"/>
      <w:r>
        <w:t xml:space="preserve">  </w:t>
      </w:r>
      <w:proofErr w:type="gramEnd"/>
      <w:r>
        <w:t>em estádio I ou II com sintomas B ou com doença volumosa (maior do que 7,5 cm); sem tratamento prévio; e com resultado de exame sorológ</w:t>
      </w:r>
      <w:r>
        <w:t xml:space="preserve">ico negativo para HIV e incompatível com hepatite tipo B e tipo C ativa[9,10]. O </w:t>
      </w:r>
      <w:proofErr w:type="spellStart"/>
      <w:r>
        <w:t>Rituximabe</w:t>
      </w:r>
      <w:proofErr w:type="spellEnd"/>
      <w:r>
        <w:t xml:space="preserve"> não é indicado se o CHOP é </w:t>
      </w:r>
      <w:proofErr w:type="spellStart"/>
      <w:proofErr w:type="gramStart"/>
      <w:r>
        <w:t>contra-indicado</w:t>
      </w:r>
      <w:proofErr w:type="spellEnd"/>
      <w:proofErr w:type="gramEnd"/>
      <w:r>
        <w:t>.</w:t>
      </w:r>
    </w:p>
    <w:p w:rsidR="00067738" w:rsidRDefault="00067738">
      <w:pPr>
        <w:jc w:val="both"/>
        <w:sectPr w:rsidR="00067738">
          <w:pgSz w:w="11910" w:h="16840"/>
          <w:pgMar w:top="1400" w:right="1580" w:bottom="280" w:left="1600" w:header="720" w:footer="720" w:gutter="0"/>
          <w:cols w:space="720"/>
        </w:sectPr>
      </w:pPr>
    </w:p>
    <w:p w:rsidR="00067738" w:rsidRDefault="00C051FD">
      <w:pPr>
        <w:pStyle w:val="Corpodetexto"/>
        <w:spacing w:before="72"/>
        <w:ind w:right="112" w:firstLine="566"/>
        <w:jc w:val="both"/>
      </w:pPr>
      <w:r>
        <w:lastRenderedPageBreak/>
        <w:t xml:space="preserve">O esquema terapêutico consiste no CHOP (o mesmo do item 6.1.1) associado ao </w:t>
      </w:r>
      <w:proofErr w:type="spellStart"/>
      <w:r>
        <w:t>rituximabe</w:t>
      </w:r>
      <w:proofErr w:type="spellEnd"/>
      <w:r>
        <w:t xml:space="preserve"> (375mg/m2 – EV – D1</w:t>
      </w:r>
      <w:r>
        <w:t xml:space="preserve"> – antes dos demais quimioterápicos), administrado em intervalo de 21 dias por um total de seis (se se alcançar RC ao 4º ciclo) a oito ciclos (se não se alcançar RC após o 4º ciclo ou se houver doença residual após o 6º ciclo). Porém, o tratamento deve ser</w:t>
      </w:r>
      <w:r>
        <w:t xml:space="preserve"> suspenso na ausência de resposta após o 4º ciclo ou se houver progressão da doença na vigência da quimioterapia.</w:t>
      </w:r>
    </w:p>
    <w:p w:rsidR="00067738" w:rsidRDefault="00C051FD">
      <w:pPr>
        <w:pStyle w:val="Corpodetexto"/>
        <w:spacing w:before="1"/>
        <w:ind w:left="668"/>
      </w:pPr>
      <w:proofErr w:type="gramStart"/>
      <w:r>
        <w:t>6.2- Quimioterapia</w:t>
      </w:r>
      <w:proofErr w:type="gramEnd"/>
      <w:r>
        <w:t xml:space="preserve"> de 2ª linha</w:t>
      </w:r>
    </w:p>
    <w:p w:rsidR="00067738" w:rsidRDefault="00C051FD">
      <w:pPr>
        <w:pStyle w:val="Corpodetexto"/>
        <w:spacing w:before="1"/>
        <w:ind w:right="115" w:firstLine="566"/>
        <w:jc w:val="both"/>
      </w:pPr>
      <w:r>
        <w:t>Indicada em caso de ausência de resposta após o 4º ciclo, ausência de RC após o 8º ciclo ou progressão na vigên</w:t>
      </w:r>
      <w:r>
        <w:t>cia da quimioterapia de 1ª linha, ou à primeira recidiva, utilizando-se esquemas terapêuticos como DHAP, ESHAP, EPOCH, ICE, MINE, com objetivo de identificar casos de doença sensível à quimioterapia e que possam se beneficiar de transplante autólogo de cél</w:t>
      </w:r>
      <w:r>
        <w:t xml:space="preserve">ulas tronco </w:t>
      </w:r>
      <w:proofErr w:type="spellStart"/>
      <w:r>
        <w:t>hematopoéticas</w:t>
      </w:r>
      <w:proofErr w:type="spellEnd"/>
      <w:r>
        <w:t xml:space="preserve"> [7,19-21].</w:t>
      </w:r>
    </w:p>
    <w:p w:rsidR="00067738" w:rsidRDefault="00C051FD">
      <w:pPr>
        <w:pStyle w:val="Corpodetexto"/>
        <w:ind w:right="113" w:firstLine="566"/>
        <w:jc w:val="both"/>
      </w:pPr>
      <w:r>
        <w:t>O total de ciclos é 06, podendo ser 08, se não se alcançar RC após o 4º ciclo ou se houver doença residual após o 6º ciclo, porém, o tratamento deve ser suspenso na ausência de resposta após o 4º ciclo ou se houver pro</w:t>
      </w:r>
      <w:r>
        <w:t xml:space="preserve">gressão da doença na vigência da quimioterapia. O número total de ciclos dependerá da resposta clínica obtida, tolerância do paciente e tratamento subsequentemente indicado – transplante de células-tronco </w:t>
      </w:r>
      <w:proofErr w:type="spellStart"/>
      <w:r>
        <w:t>hematopoéticas</w:t>
      </w:r>
      <w:proofErr w:type="spellEnd"/>
      <w:r>
        <w:t xml:space="preserve"> ou radioterapia.</w:t>
      </w:r>
    </w:p>
    <w:p w:rsidR="00067738" w:rsidRDefault="00C051FD">
      <w:pPr>
        <w:pStyle w:val="Corpodetexto"/>
        <w:ind w:left="668"/>
      </w:pPr>
      <w:proofErr w:type="gramStart"/>
      <w:r>
        <w:t>6.3- Quimioterapia</w:t>
      </w:r>
      <w:proofErr w:type="gramEnd"/>
      <w:r>
        <w:t xml:space="preserve"> </w:t>
      </w:r>
      <w:r>
        <w:t>de 3ª linha</w:t>
      </w:r>
    </w:p>
    <w:p w:rsidR="00067738" w:rsidRDefault="00C051FD">
      <w:pPr>
        <w:pStyle w:val="Corpodetexto"/>
        <w:ind w:right="110" w:firstLine="566"/>
        <w:jc w:val="both"/>
      </w:pPr>
      <w:r>
        <w:t xml:space="preserve">Indicada com intuito paliativo em casos selecionados, quando houver ausência de resposta, progressão clínica ou recidiva após a quimioterapia de 2ª linha em doente com capacidade funcional classificada como </w:t>
      </w:r>
      <w:proofErr w:type="spellStart"/>
      <w:r>
        <w:t>Zubrod</w:t>
      </w:r>
      <w:proofErr w:type="spellEnd"/>
      <w:r>
        <w:t xml:space="preserve"> 0, 1 ou </w:t>
      </w:r>
      <w:proofErr w:type="gramStart"/>
      <w:r>
        <w:t>2</w:t>
      </w:r>
      <w:proofErr w:type="gramEnd"/>
      <w:r>
        <w:t>[19,22]. Utiliza-se e</w:t>
      </w:r>
      <w:r>
        <w:t>squema terapêutico não utilizado anteriormente como de 2ª</w:t>
      </w:r>
      <w:r>
        <w:rPr>
          <w:spacing w:val="-15"/>
        </w:rPr>
        <w:t xml:space="preserve"> </w:t>
      </w:r>
      <w:r>
        <w:t>linha.</w:t>
      </w:r>
    </w:p>
    <w:p w:rsidR="00067738" w:rsidRDefault="00C051FD">
      <w:pPr>
        <w:pStyle w:val="Corpodetexto"/>
        <w:ind w:right="116" w:firstLine="566"/>
        <w:jc w:val="both"/>
      </w:pPr>
      <w:r>
        <w:t>Total de ciclos = 06, podendo ser 08, se não se alcançar RC após o 4º ciclo ou se houver doença residual após os 06 ciclos. Porém, o tratamento deve ser suspenso na ausência de resposta após o 4º ciclo ou se houver progressão da doença na vigência da quimi</w:t>
      </w:r>
      <w:r>
        <w:t>oterapia.</w:t>
      </w:r>
    </w:p>
    <w:p w:rsidR="00067738" w:rsidRDefault="00C051FD">
      <w:pPr>
        <w:pStyle w:val="Corpodetexto"/>
        <w:spacing w:before="1" w:line="183" w:lineRule="exact"/>
        <w:ind w:left="668"/>
      </w:pPr>
      <w:proofErr w:type="gramStart"/>
      <w:r>
        <w:t>6.4- Fator</w:t>
      </w:r>
      <w:proofErr w:type="gramEnd"/>
      <w:r>
        <w:t xml:space="preserve"> estimulante de crescimento de colônias de </w:t>
      </w:r>
      <w:proofErr w:type="spellStart"/>
      <w:r>
        <w:t>granulócitos</w:t>
      </w:r>
      <w:proofErr w:type="spellEnd"/>
    </w:p>
    <w:p w:rsidR="00067738" w:rsidRDefault="00C051FD">
      <w:pPr>
        <w:pStyle w:val="Corpodetexto"/>
        <w:ind w:right="112" w:firstLine="707"/>
        <w:jc w:val="both"/>
      </w:pPr>
      <w:r>
        <w:t xml:space="preserve">Reservado para os casos de doentes intensamente </w:t>
      </w:r>
      <w:proofErr w:type="spellStart"/>
      <w:r>
        <w:t>neutropênicos</w:t>
      </w:r>
      <w:proofErr w:type="spellEnd"/>
      <w:r>
        <w:t xml:space="preserve">, em intervalo de quimioterapia (fora do nadir) e impedidos de receber a quimioterapia </w:t>
      </w:r>
      <w:proofErr w:type="gramStart"/>
      <w:r>
        <w:t>programada[</w:t>
      </w:r>
      <w:proofErr w:type="gramEnd"/>
      <w:r>
        <w:t xml:space="preserve">23]. Caso as </w:t>
      </w:r>
      <w:proofErr w:type="spellStart"/>
      <w:r>
        <w:t>neutrope</w:t>
      </w:r>
      <w:r>
        <w:t>nias</w:t>
      </w:r>
      <w:proofErr w:type="spellEnd"/>
      <w:r>
        <w:t xml:space="preserve"> (fora do nadir) se repetirem em pelo menos dois ciclos consecutivos, comprovadas por hemograma, pode-se adotar o tratamento profilático com o fator estimulante.</w:t>
      </w:r>
    </w:p>
    <w:p w:rsidR="00067738" w:rsidRDefault="00C051FD">
      <w:pPr>
        <w:pStyle w:val="Corpodetexto"/>
        <w:ind w:left="668"/>
      </w:pPr>
      <w:r>
        <w:t xml:space="preserve">6.5- Transplante de Células-Tronco </w:t>
      </w:r>
      <w:proofErr w:type="spellStart"/>
      <w:r>
        <w:t>Hematopoéticas</w:t>
      </w:r>
      <w:proofErr w:type="spellEnd"/>
      <w:r>
        <w:t xml:space="preserve"> (TCTH)</w:t>
      </w:r>
    </w:p>
    <w:p w:rsidR="00067738" w:rsidRDefault="00C051FD">
      <w:pPr>
        <w:pStyle w:val="Corpodetexto"/>
        <w:ind w:right="112" w:firstLine="566"/>
        <w:jc w:val="both"/>
      </w:pPr>
      <w:r>
        <w:t>A indicação de TCTH autólogo se f</w:t>
      </w:r>
      <w:r>
        <w:t>az para doentes com recidiva sensível à quimioterapia de 2ª linha, medicamente aptos para o procedimento.</w:t>
      </w:r>
    </w:p>
    <w:p w:rsidR="00067738" w:rsidRDefault="00C051FD">
      <w:pPr>
        <w:pStyle w:val="Corpodetexto"/>
        <w:ind w:right="112" w:firstLine="566"/>
        <w:jc w:val="both"/>
      </w:pPr>
      <w:r>
        <w:t xml:space="preserve">O uso do </w:t>
      </w:r>
      <w:proofErr w:type="spellStart"/>
      <w:r>
        <w:t>rituximabe</w:t>
      </w:r>
      <w:proofErr w:type="spellEnd"/>
      <w:r>
        <w:t xml:space="preserve"> no tratamento inicial não limita a indicação de TCTH, mas pacientes primariamente refratários ou com recidiva resistente ao tratam</w:t>
      </w:r>
      <w:r>
        <w:t>ento de 2ª linha não se beneficiam desta modalidade terapêutica. A obtenção de células–tronco para o procedimento pode ser feita da medula óssea (punção aspirativa) ou, preferencialmente, a partir do sangue periférico (aférese</w:t>
      </w:r>
      <w:proofErr w:type="gramStart"/>
      <w:r>
        <w:t>)[</w:t>
      </w:r>
      <w:proofErr w:type="gramEnd"/>
      <w:r>
        <w:t>25- 27].</w:t>
      </w:r>
    </w:p>
    <w:p w:rsidR="00067738" w:rsidRDefault="00C051FD">
      <w:pPr>
        <w:pStyle w:val="Corpodetexto"/>
        <w:ind w:right="116" w:firstLine="566"/>
        <w:jc w:val="both"/>
      </w:pPr>
      <w:r>
        <w:t xml:space="preserve">As indicações e os </w:t>
      </w:r>
      <w:r>
        <w:t>procedimentos de TCTH devem observar o Regulamento Técnico do Sistema Nacional de Transplante em vigor no Brasil.</w:t>
      </w:r>
    </w:p>
    <w:p w:rsidR="00067738" w:rsidRDefault="00C051FD">
      <w:pPr>
        <w:pStyle w:val="Corpodetexto"/>
        <w:spacing w:line="183" w:lineRule="exact"/>
        <w:ind w:left="668"/>
      </w:pPr>
      <w:r>
        <w:t>6.6- Radioterapia</w:t>
      </w:r>
    </w:p>
    <w:p w:rsidR="00067738" w:rsidRDefault="00C051FD">
      <w:pPr>
        <w:pStyle w:val="Corpodetexto"/>
        <w:spacing w:before="1"/>
        <w:ind w:right="117" w:firstLine="566"/>
        <w:jc w:val="both"/>
      </w:pPr>
      <w:r>
        <w:t>A radioterapia não é uma modalidade terapêutica de uso estabelecido para doentes com LDGC B, ficando a sua utilização a crit</w:t>
      </w:r>
      <w:r>
        <w:t xml:space="preserve">ério das condutas adotadas nos </w:t>
      </w:r>
      <w:proofErr w:type="gramStart"/>
      <w:r>
        <w:t>serviços[</w:t>
      </w:r>
      <w:proofErr w:type="gramEnd"/>
      <w:r>
        <w:t>28,29].</w:t>
      </w:r>
    </w:p>
    <w:p w:rsidR="00067738" w:rsidRDefault="00C051FD">
      <w:pPr>
        <w:pStyle w:val="Corpodetexto"/>
        <w:ind w:right="114" w:firstLine="566"/>
        <w:jc w:val="both"/>
      </w:pPr>
      <w:r>
        <w:t xml:space="preserve">NOTA </w:t>
      </w:r>
      <w:proofErr w:type="gramStart"/>
      <w:r>
        <w:t>1</w:t>
      </w:r>
      <w:proofErr w:type="gramEnd"/>
      <w:r>
        <w:t xml:space="preserve">: Embora ainda sem evidência consistente de efetividade, a quimioterapia </w:t>
      </w:r>
      <w:proofErr w:type="spellStart"/>
      <w:r>
        <w:t>intratecal</w:t>
      </w:r>
      <w:proofErr w:type="spellEnd"/>
      <w:r>
        <w:t xml:space="preserve"> profilática tem sido indicada no tratamento inicial ou da doença recidivada, em casos de estádio </w:t>
      </w:r>
      <w:r>
        <w:rPr>
          <w:spacing w:val="-3"/>
        </w:rPr>
        <w:t xml:space="preserve">IV, </w:t>
      </w:r>
      <w:r>
        <w:t xml:space="preserve">massa </w:t>
      </w:r>
      <w:proofErr w:type="spellStart"/>
      <w:r>
        <w:t>paravertebr</w:t>
      </w:r>
      <w:r>
        <w:t>al</w:t>
      </w:r>
      <w:proofErr w:type="spellEnd"/>
      <w:r>
        <w:t xml:space="preserve"> e acometimento primário de sítios na cabeça.</w:t>
      </w:r>
    </w:p>
    <w:p w:rsidR="00067738" w:rsidRDefault="00C051FD">
      <w:pPr>
        <w:pStyle w:val="Corpodetexto"/>
        <w:ind w:firstLine="566"/>
      </w:pPr>
      <w:r>
        <w:t xml:space="preserve">NOTA </w:t>
      </w:r>
      <w:proofErr w:type="gramStart"/>
      <w:r>
        <w:t>2</w:t>
      </w:r>
      <w:proofErr w:type="gramEnd"/>
      <w:r>
        <w:t>: Esgotadas as possibilidades terapêuticas descritas no item 6, o atendimento do doente assume caráter paliativo e deve ser privilegiado o controle de sintomas e a preservação da qualidade de vida.</w:t>
      </w:r>
    </w:p>
    <w:p w:rsidR="00067738" w:rsidRDefault="00067738">
      <w:pPr>
        <w:pStyle w:val="Corpodetexto"/>
        <w:spacing w:before="11"/>
        <w:ind w:left="0"/>
        <w:rPr>
          <w:sz w:val="15"/>
        </w:rPr>
      </w:pPr>
    </w:p>
    <w:p w:rsidR="00067738" w:rsidRDefault="00C051FD">
      <w:pPr>
        <w:pStyle w:val="PargrafodaLista"/>
        <w:numPr>
          <w:ilvl w:val="0"/>
          <w:numId w:val="4"/>
        </w:numPr>
        <w:tabs>
          <w:tab w:val="left" w:pos="810"/>
        </w:tabs>
        <w:ind w:firstLine="566"/>
        <w:rPr>
          <w:sz w:val="16"/>
        </w:rPr>
      </w:pPr>
      <w:r>
        <w:rPr>
          <w:sz w:val="16"/>
        </w:rPr>
        <w:t>MON</w:t>
      </w:r>
      <w:r>
        <w:rPr>
          <w:sz w:val="16"/>
        </w:rPr>
        <w:t>ITORIZAÇÃO DO</w:t>
      </w:r>
      <w:r>
        <w:rPr>
          <w:spacing w:val="-15"/>
          <w:sz w:val="16"/>
        </w:rPr>
        <w:t xml:space="preserve"> </w:t>
      </w:r>
      <w:r>
        <w:rPr>
          <w:sz w:val="16"/>
        </w:rPr>
        <w:t>TRATAMENTO</w:t>
      </w:r>
    </w:p>
    <w:p w:rsidR="00067738" w:rsidRDefault="00C051FD">
      <w:pPr>
        <w:pStyle w:val="PargrafodaLista"/>
        <w:numPr>
          <w:ilvl w:val="1"/>
          <w:numId w:val="4"/>
        </w:numPr>
        <w:tabs>
          <w:tab w:val="left" w:pos="952"/>
        </w:tabs>
        <w:spacing w:before="1" w:line="183" w:lineRule="exact"/>
        <w:ind w:hanging="283"/>
        <w:rPr>
          <w:sz w:val="16"/>
        </w:rPr>
      </w:pPr>
      <w:r>
        <w:rPr>
          <w:sz w:val="16"/>
        </w:rPr>
        <w:t>AVALIAÇÃO DA RESPOSTA</w:t>
      </w:r>
      <w:r>
        <w:rPr>
          <w:spacing w:val="-28"/>
          <w:sz w:val="16"/>
        </w:rPr>
        <w:t xml:space="preserve"> </w:t>
      </w:r>
      <w:r>
        <w:rPr>
          <w:sz w:val="16"/>
        </w:rPr>
        <w:t>TERAPÊUTICA</w:t>
      </w:r>
    </w:p>
    <w:p w:rsidR="00067738" w:rsidRDefault="00C051FD">
      <w:pPr>
        <w:pStyle w:val="Corpodetexto"/>
        <w:ind w:right="112" w:firstLine="566"/>
        <w:jc w:val="both"/>
      </w:pPr>
      <w:r>
        <w:t>O exame físico e os exames complementares de resultado anormal à avaliação inicial do doente e da extensão da doença (</w:t>
      </w:r>
      <w:proofErr w:type="spellStart"/>
      <w:r>
        <w:t>estadiamento</w:t>
      </w:r>
      <w:proofErr w:type="spellEnd"/>
      <w:r>
        <w:t>) devem ser repetidos para a avaliação da resposta terapêutica ao final do 4º ciclo (se o doente apresentar RC ao exame físico</w:t>
      </w:r>
      <w:r>
        <w:t>) e do último ciclo da quimioterapia planejada (6º, se alcançada RC ao 4º ciclo, ou 8º, se não alcançada RC ao 4º ciclo), sendo a resposta terapêutica assim</w:t>
      </w:r>
      <w:r>
        <w:rPr>
          <w:spacing w:val="-4"/>
        </w:rPr>
        <w:t xml:space="preserve"> </w:t>
      </w:r>
      <w:r>
        <w:t>estabelecida: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215"/>
        </w:tabs>
        <w:ind w:right="118" w:firstLine="0"/>
        <w:rPr>
          <w:sz w:val="16"/>
        </w:rPr>
      </w:pPr>
      <w:r>
        <w:rPr>
          <w:sz w:val="16"/>
        </w:rPr>
        <w:t xml:space="preserve">Resposta Completa (RC) - Quando há o desaparecimento total da(s) </w:t>
      </w:r>
      <w:proofErr w:type="gramStart"/>
      <w:r>
        <w:rPr>
          <w:sz w:val="16"/>
        </w:rPr>
        <w:t>lesão(</w:t>
      </w:r>
      <w:proofErr w:type="spellStart"/>
      <w:proofErr w:type="gramEnd"/>
      <w:r>
        <w:rPr>
          <w:sz w:val="16"/>
        </w:rPr>
        <w:t>ões</w:t>
      </w:r>
      <w:proofErr w:type="spellEnd"/>
      <w:r>
        <w:rPr>
          <w:sz w:val="16"/>
        </w:rPr>
        <w:t>) previamen</w:t>
      </w:r>
      <w:r>
        <w:rPr>
          <w:sz w:val="16"/>
        </w:rPr>
        <w:t>te existente(s). Sem aparecimento de novas</w:t>
      </w:r>
      <w:r>
        <w:rPr>
          <w:spacing w:val="-1"/>
          <w:sz w:val="16"/>
        </w:rPr>
        <w:t xml:space="preserve"> </w:t>
      </w:r>
      <w:r>
        <w:rPr>
          <w:sz w:val="16"/>
        </w:rPr>
        <w:t>lesões.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220"/>
        </w:tabs>
        <w:ind w:right="123" w:firstLine="0"/>
        <w:rPr>
          <w:sz w:val="16"/>
        </w:rPr>
      </w:pPr>
      <w:r>
        <w:rPr>
          <w:sz w:val="16"/>
        </w:rPr>
        <w:t xml:space="preserve">Resposta Parcial (RP) - Quando se observa uma redução de, no mínimo, 50% da(s) </w:t>
      </w:r>
      <w:proofErr w:type="gramStart"/>
      <w:r>
        <w:rPr>
          <w:sz w:val="16"/>
        </w:rPr>
        <w:t>lesão(</w:t>
      </w:r>
      <w:proofErr w:type="spellStart"/>
      <w:proofErr w:type="gramEnd"/>
      <w:r>
        <w:rPr>
          <w:sz w:val="16"/>
        </w:rPr>
        <w:t>ões</w:t>
      </w:r>
      <w:proofErr w:type="spellEnd"/>
      <w:r>
        <w:rPr>
          <w:sz w:val="16"/>
        </w:rPr>
        <w:t>) previamente existente(s). Sem aparecimento de novas</w:t>
      </w:r>
      <w:r>
        <w:rPr>
          <w:spacing w:val="-6"/>
          <w:sz w:val="16"/>
        </w:rPr>
        <w:t xml:space="preserve"> </w:t>
      </w:r>
      <w:r>
        <w:rPr>
          <w:sz w:val="16"/>
        </w:rPr>
        <w:t>lesões.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before="1" w:line="183" w:lineRule="exact"/>
        <w:ind w:firstLine="0"/>
        <w:rPr>
          <w:sz w:val="16"/>
        </w:rPr>
      </w:pPr>
      <w:r>
        <w:rPr>
          <w:sz w:val="16"/>
        </w:rPr>
        <w:t>Doença Estável (DE) - Redução inferior a 50% ou aumento inferior a 25%. Sem aparecimento de novas</w:t>
      </w:r>
      <w:r>
        <w:rPr>
          <w:spacing w:val="-25"/>
          <w:sz w:val="16"/>
        </w:rPr>
        <w:t xml:space="preserve"> </w:t>
      </w:r>
      <w:r>
        <w:rPr>
          <w:sz w:val="16"/>
        </w:rPr>
        <w:t>lesões.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208"/>
        </w:tabs>
        <w:ind w:right="122" w:firstLine="0"/>
        <w:rPr>
          <w:sz w:val="16"/>
        </w:rPr>
      </w:pPr>
      <w:r>
        <w:rPr>
          <w:sz w:val="16"/>
        </w:rPr>
        <w:t>Progressão de Doença (PD) - Aumento de 25%, ou mais, no tamanho de uma ou mais lesões, comparado à avaliação prévia, ou aparecimento de uma nova</w:t>
      </w:r>
      <w:r>
        <w:rPr>
          <w:spacing w:val="-7"/>
          <w:sz w:val="16"/>
        </w:rPr>
        <w:t xml:space="preserve"> </w:t>
      </w:r>
      <w:r>
        <w:rPr>
          <w:sz w:val="16"/>
        </w:rPr>
        <w:t>lesão</w:t>
      </w:r>
      <w:r>
        <w:rPr>
          <w:sz w:val="16"/>
        </w:rPr>
        <w:t>.</w:t>
      </w:r>
    </w:p>
    <w:p w:rsidR="00067738" w:rsidRDefault="00C051FD">
      <w:pPr>
        <w:pStyle w:val="Corpodetexto"/>
        <w:spacing w:before="1"/>
        <w:ind w:firstLine="566"/>
      </w:pPr>
      <w:r>
        <w:t xml:space="preserve">NOTA </w:t>
      </w:r>
      <w:proofErr w:type="gramStart"/>
      <w:r>
        <w:t>1</w:t>
      </w:r>
      <w:proofErr w:type="gramEnd"/>
      <w:r>
        <w:t>: Define-se como Recidiva o reaparecimento de lesão antiga ou o aparecimento de nova lesão, após o alcance de resposta completa.</w:t>
      </w:r>
    </w:p>
    <w:p w:rsidR="00067738" w:rsidRDefault="00C051FD">
      <w:pPr>
        <w:pStyle w:val="Corpodetexto"/>
        <w:ind w:firstLine="566"/>
      </w:pPr>
      <w:r>
        <w:t xml:space="preserve">NOTA </w:t>
      </w:r>
      <w:proofErr w:type="gramStart"/>
      <w:r>
        <w:t>2</w:t>
      </w:r>
      <w:proofErr w:type="gramEnd"/>
      <w:r>
        <w:t>: A TC é o exame de imagem padrão para avaliar a resposta terapêutica, podendo ser substituída pela PET-CT, se di</w:t>
      </w:r>
      <w:r>
        <w:t>sponível na avaliação final, ao término da quimioterapia.</w:t>
      </w:r>
    </w:p>
    <w:p w:rsidR="00067738" w:rsidRDefault="00C051FD">
      <w:pPr>
        <w:pStyle w:val="PargrafodaLista"/>
        <w:numPr>
          <w:ilvl w:val="1"/>
          <w:numId w:val="4"/>
        </w:numPr>
        <w:tabs>
          <w:tab w:val="left" w:pos="950"/>
        </w:tabs>
        <w:spacing w:line="183" w:lineRule="exact"/>
        <w:ind w:left="949" w:hanging="281"/>
        <w:rPr>
          <w:sz w:val="16"/>
        </w:rPr>
      </w:pPr>
      <w:r>
        <w:rPr>
          <w:sz w:val="16"/>
        </w:rPr>
        <w:t>CRITÉRIOS DE INTERRUPÇÃO DO</w:t>
      </w:r>
      <w:r>
        <w:rPr>
          <w:spacing w:val="-27"/>
          <w:sz w:val="16"/>
        </w:rPr>
        <w:t xml:space="preserve"> </w:t>
      </w:r>
      <w:r>
        <w:rPr>
          <w:sz w:val="16"/>
        </w:rPr>
        <w:t>TRATAMENTO</w:t>
      </w:r>
    </w:p>
    <w:p w:rsidR="00067738" w:rsidRDefault="00C051FD">
      <w:pPr>
        <w:pStyle w:val="Corpodetexto"/>
        <w:ind w:left="668"/>
      </w:pPr>
      <w:r>
        <w:t>A quimioterapia deve ser suspensa, temporária ou definitivamente, na ocorrência de: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before="1" w:line="183" w:lineRule="exact"/>
        <w:ind w:firstLine="0"/>
        <w:rPr>
          <w:sz w:val="16"/>
        </w:rPr>
      </w:pPr>
      <w:r>
        <w:rPr>
          <w:sz w:val="16"/>
        </w:rPr>
        <w:t>Graus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toxicidade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3</w:t>
      </w:r>
      <w:proofErr w:type="gramEnd"/>
      <w:r>
        <w:rPr>
          <w:sz w:val="16"/>
        </w:rPr>
        <w:t xml:space="preserve"> e</w:t>
      </w:r>
      <w:r>
        <w:rPr>
          <w:spacing w:val="-5"/>
          <w:sz w:val="16"/>
        </w:rPr>
        <w:t xml:space="preserve"> </w:t>
      </w:r>
      <w:r>
        <w:rPr>
          <w:sz w:val="16"/>
        </w:rPr>
        <w:t>4,</w:t>
      </w:r>
      <w:r>
        <w:rPr>
          <w:spacing w:val="-3"/>
          <w:sz w:val="16"/>
        </w:rPr>
        <w:t xml:space="preserve"> </w:t>
      </w:r>
      <w:r>
        <w:rPr>
          <w:sz w:val="16"/>
        </w:rPr>
        <w:t>conforme</w:t>
      </w:r>
      <w:r>
        <w:rPr>
          <w:spacing w:val="-4"/>
          <w:sz w:val="16"/>
        </w:rPr>
        <w:t xml:space="preserve"> </w:t>
      </w:r>
      <w:r>
        <w:rPr>
          <w:sz w:val="16"/>
        </w:rPr>
        <w:t>os</w:t>
      </w:r>
      <w:r>
        <w:rPr>
          <w:spacing w:val="-1"/>
          <w:sz w:val="16"/>
        </w:rPr>
        <w:t xml:space="preserve"> </w:t>
      </w:r>
      <w:r>
        <w:rPr>
          <w:sz w:val="16"/>
        </w:rPr>
        <w:t>parâmetros</w:t>
      </w:r>
      <w:r>
        <w:rPr>
          <w:spacing w:val="-1"/>
          <w:sz w:val="16"/>
        </w:rPr>
        <w:t xml:space="preserve"> </w:t>
      </w:r>
      <w:r>
        <w:rPr>
          <w:sz w:val="16"/>
        </w:rPr>
        <w:t>mensuráveis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National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</w:t>
      </w:r>
      <w:r>
        <w:rPr>
          <w:sz w:val="16"/>
        </w:rPr>
        <w:t>ancer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Institute</w:t>
      </w:r>
      <w:proofErr w:type="spellEnd"/>
      <w:r>
        <w:rPr>
          <w:sz w:val="16"/>
        </w:rPr>
        <w:t xml:space="preserve"> -</w:t>
      </w:r>
      <w:r>
        <w:rPr>
          <w:spacing w:val="-1"/>
          <w:sz w:val="16"/>
        </w:rPr>
        <w:t xml:space="preserve"> </w:t>
      </w:r>
      <w:r>
        <w:rPr>
          <w:sz w:val="16"/>
        </w:rPr>
        <w:t>NCI, de</w:t>
      </w:r>
      <w:r>
        <w:rPr>
          <w:spacing w:val="-3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>
        <w:rPr>
          <w:sz w:val="16"/>
        </w:rPr>
        <w:t>internacional.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227"/>
        </w:tabs>
        <w:ind w:right="113" w:firstLine="0"/>
        <w:rPr>
          <w:sz w:val="16"/>
        </w:rPr>
      </w:pPr>
      <w:r>
        <w:rPr>
          <w:sz w:val="16"/>
        </w:rPr>
        <w:t xml:space="preserve">Capacidade funcional do doente, também mensurada como medida dos graus de toxicidade </w:t>
      </w:r>
      <w:proofErr w:type="gramStart"/>
      <w:r>
        <w:rPr>
          <w:sz w:val="16"/>
        </w:rPr>
        <w:t>3</w:t>
      </w:r>
      <w:proofErr w:type="gramEnd"/>
      <w:r>
        <w:rPr>
          <w:sz w:val="16"/>
        </w:rPr>
        <w:t xml:space="preserve"> e 4, utilizando-se os critérios propostos pelo </w:t>
      </w:r>
      <w:proofErr w:type="spellStart"/>
      <w:r>
        <w:rPr>
          <w:sz w:val="16"/>
        </w:rPr>
        <w:t>Eastern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Cooperative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Oncology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Group</w:t>
      </w:r>
      <w:proofErr w:type="spellEnd"/>
      <w:r>
        <w:rPr>
          <w:sz w:val="16"/>
        </w:rPr>
        <w:t xml:space="preserve"> -</w:t>
      </w:r>
      <w:r>
        <w:rPr>
          <w:spacing w:val="-4"/>
          <w:sz w:val="16"/>
        </w:rPr>
        <w:t xml:space="preserve"> </w:t>
      </w:r>
      <w:r>
        <w:rPr>
          <w:sz w:val="16"/>
        </w:rPr>
        <w:t>ECOG.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before="1" w:line="183" w:lineRule="exact"/>
        <w:ind w:firstLine="0"/>
        <w:rPr>
          <w:sz w:val="16"/>
        </w:rPr>
      </w:pPr>
      <w:r>
        <w:rPr>
          <w:sz w:val="16"/>
        </w:rPr>
        <w:t>Ausência de resposta após o 4º ou o 8º</w:t>
      </w:r>
      <w:r>
        <w:rPr>
          <w:spacing w:val="-13"/>
          <w:sz w:val="16"/>
        </w:rPr>
        <w:t xml:space="preserve"> </w:t>
      </w:r>
      <w:r>
        <w:rPr>
          <w:sz w:val="16"/>
        </w:rPr>
        <w:t>ciclo.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line="183" w:lineRule="exact"/>
        <w:ind w:firstLine="0"/>
        <w:rPr>
          <w:sz w:val="16"/>
        </w:rPr>
      </w:pPr>
      <w:r>
        <w:rPr>
          <w:sz w:val="16"/>
        </w:rPr>
        <w:t>Progressão de</w:t>
      </w:r>
      <w:r>
        <w:rPr>
          <w:spacing w:val="-4"/>
          <w:sz w:val="16"/>
        </w:rPr>
        <w:t xml:space="preserve"> </w:t>
      </w:r>
      <w:r>
        <w:rPr>
          <w:sz w:val="16"/>
        </w:rPr>
        <w:t>doença.</w:t>
      </w:r>
    </w:p>
    <w:p w:rsidR="00067738" w:rsidRDefault="00C051FD">
      <w:pPr>
        <w:pStyle w:val="PargrafodaLista"/>
        <w:numPr>
          <w:ilvl w:val="0"/>
          <w:numId w:val="3"/>
        </w:numPr>
        <w:tabs>
          <w:tab w:val="left" w:pos="196"/>
        </w:tabs>
        <w:spacing w:before="1"/>
        <w:ind w:firstLine="0"/>
        <w:rPr>
          <w:sz w:val="16"/>
        </w:rPr>
      </w:pPr>
      <w:r>
        <w:rPr>
          <w:sz w:val="16"/>
        </w:rPr>
        <w:t>Falta de aderência ao</w:t>
      </w:r>
      <w:r>
        <w:rPr>
          <w:spacing w:val="-5"/>
          <w:sz w:val="16"/>
        </w:rPr>
        <w:t xml:space="preserve"> </w:t>
      </w:r>
      <w:r>
        <w:rPr>
          <w:sz w:val="16"/>
        </w:rPr>
        <w:t>tratamento.</w:t>
      </w:r>
    </w:p>
    <w:p w:rsidR="00067738" w:rsidRDefault="00067738">
      <w:pPr>
        <w:pStyle w:val="Corpodetexto"/>
        <w:spacing w:before="10"/>
        <w:ind w:left="0"/>
        <w:rPr>
          <w:sz w:val="15"/>
        </w:rPr>
      </w:pPr>
    </w:p>
    <w:p w:rsidR="00067738" w:rsidRDefault="00C051FD">
      <w:pPr>
        <w:pStyle w:val="PargrafodaLista"/>
        <w:numPr>
          <w:ilvl w:val="0"/>
          <w:numId w:val="4"/>
        </w:numPr>
        <w:tabs>
          <w:tab w:val="left" w:pos="810"/>
        </w:tabs>
        <w:ind w:firstLine="566"/>
        <w:rPr>
          <w:sz w:val="16"/>
        </w:rPr>
      </w:pPr>
      <w:r>
        <w:rPr>
          <w:sz w:val="16"/>
        </w:rPr>
        <w:t>ACOMPANHAMENTO</w:t>
      </w:r>
      <w:r>
        <w:rPr>
          <w:spacing w:val="-7"/>
          <w:sz w:val="16"/>
        </w:rPr>
        <w:t xml:space="preserve"> </w:t>
      </w:r>
      <w:r>
        <w:rPr>
          <w:sz w:val="16"/>
        </w:rPr>
        <w:t>PÓS-TRATAMENTO</w:t>
      </w:r>
    </w:p>
    <w:p w:rsidR="00067738" w:rsidRDefault="00C051FD">
      <w:pPr>
        <w:pStyle w:val="Corpodetexto"/>
        <w:spacing w:before="1"/>
        <w:ind w:right="113" w:firstLine="566"/>
        <w:jc w:val="both"/>
      </w:pPr>
      <w:r>
        <w:t xml:space="preserve">O acompanhamento pós-tratamento para doentes com LDGC-B visa à identificação e tratamento de complicações do tratamento e recidivas da doença. Apesar de potencialmente curável, 10% a 65% dos pacientes apresentarão recidiva da doença, a depender do estádio </w:t>
      </w:r>
      <w:r>
        <w:t xml:space="preserve">clínico e do IPI; quando a recidiva ocorre após um ano do tratamento, recomenda-se a repetição da biópsia para confirmar o tipo histopatológico do linfoma. Após o tratamento, deve-se atentar para o rastreamento de infertilidade, </w:t>
      </w:r>
      <w:proofErr w:type="spellStart"/>
      <w:r>
        <w:t>hipotiroidismo</w:t>
      </w:r>
      <w:proofErr w:type="spellEnd"/>
      <w:r>
        <w:t xml:space="preserve"> (irradiação </w:t>
      </w:r>
      <w:r>
        <w:t xml:space="preserve">do pescoço), cárie e doença periodontal (irradiação da boca e glândulas salivares), </w:t>
      </w:r>
      <w:proofErr w:type="spellStart"/>
      <w:r>
        <w:t>mielodisplasia</w:t>
      </w:r>
      <w:proofErr w:type="spellEnd"/>
      <w:r>
        <w:t xml:space="preserve"> e neoplasias malignas secundárias, tais como leucemia </w:t>
      </w:r>
      <w:proofErr w:type="spellStart"/>
      <w:r>
        <w:t>mieloide</w:t>
      </w:r>
      <w:proofErr w:type="spellEnd"/>
      <w:r>
        <w:t xml:space="preserve"> aguda, câncer de mama, melanoma e câncer do colo </w:t>
      </w:r>
      <w:proofErr w:type="gramStart"/>
      <w:r>
        <w:t>uterino[</w:t>
      </w:r>
      <w:proofErr w:type="gramEnd"/>
      <w:r>
        <w:t>6,34,35].</w:t>
      </w:r>
    </w:p>
    <w:p w:rsidR="00067738" w:rsidRDefault="00C051FD">
      <w:pPr>
        <w:pStyle w:val="Corpodetexto"/>
        <w:spacing w:before="1"/>
        <w:ind w:left="810"/>
      </w:pPr>
      <w:r>
        <w:t>Inexiste evidência inquesti</w:t>
      </w:r>
      <w:r>
        <w:t>onável de que exames de imagem no paciente em remissão completa possam melhorar a</w:t>
      </w:r>
    </w:p>
    <w:p w:rsidR="00067738" w:rsidRDefault="00067738">
      <w:pPr>
        <w:sectPr w:rsidR="00067738">
          <w:pgSz w:w="11910" w:h="16840"/>
          <w:pgMar w:top="1320" w:right="1580" w:bottom="280" w:left="1600" w:header="720" w:footer="720" w:gutter="0"/>
          <w:cols w:space="720"/>
        </w:sectPr>
      </w:pPr>
    </w:p>
    <w:p w:rsidR="00067738" w:rsidRDefault="00C051FD">
      <w:pPr>
        <w:pStyle w:val="Corpodetexto"/>
        <w:spacing w:before="72"/>
        <w:ind w:right="115"/>
        <w:jc w:val="both"/>
      </w:pPr>
      <w:proofErr w:type="gramStart"/>
      <w:r>
        <w:lastRenderedPageBreak/>
        <w:t>sobrevida</w:t>
      </w:r>
      <w:proofErr w:type="gramEnd"/>
      <w:r>
        <w:t xml:space="preserve"> com o diagnóstico precoce de recaída. Além do mais, algumas alterações de imagem podem levar a resultado falso positivo, passando esses exames a repre</w:t>
      </w:r>
      <w:r>
        <w:t>sentarem fonte de ansiedade. Assim, exame de imagem deve ser solicitado conforme os achados anormais ao exame físico, na suspeita de recaída. A PET-CT não deve ser indicada no acompanhamento de doentes com LBGC B tratados.</w:t>
      </w:r>
    </w:p>
    <w:p w:rsidR="00067738" w:rsidRDefault="00C051FD">
      <w:pPr>
        <w:pStyle w:val="Corpodetexto"/>
        <w:spacing w:before="1"/>
        <w:ind w:left="668" w:right="1987"/>
      </w:pPr>
      <w:r>
        <w:t>Além de vacinação anual para infl</w:t>
      </w:r>
      <w:r>
        <w:t xml:space="preserve">uenza e </w:t>
      </w:r>
      <w:proofErr w:type="spellStart"/>
      <w:r>
        <w:t>antipneumocócica</w:t>
      </w:r>
      <w:proofErr w:type="spellEnd"/>
      <w:r>
        <w:t xml:space="preserve"> a cada cinco anos, recomenda-se: A cada </w:t>
      </w:r>
      <w:proofErr w:type="gramStart"/>
      <w:r>
        <w:t>3</w:t>
      </w:r>
      <w:proofErr w:type="gramEnd"/>
      <w:r>
        <w:t xml:space="preserve"> meses, por dois anos e semestral no terceiro ano:</w:t>
      </w:r>
    </w:p>
    <w:p w:rsidR="00067738" w:rsidRDefault="00C051FD">
      <w:pPr>
        <w:pStyle w:val="PargrafodaLista"/>
        <w:numPr>
          <w:ilvl w:val="1"/>
          <w:numId w:val="3"/>
        </w:numPr>
        <w:tabs>
          <w:tab w:val="left" w:pos="762"/>
        </w:tabs>
        <w:spacing w:line="183" w:lineRule="exact"/>
        <w:ind w:firstLine="0"/>
        <w:rPr>
          <w:sz w:val="16"/>
        </w:rPr>
      </w:pPr>
      <w:proofErr w:type="gramStart"/>
      <w:r>
        <w:rPr>
          <w:sz w:val="16"/>
        </w:rPr>
        <w:t>exame</w:t>
      </w:r>
      <w:proofErr w:type="gramEnd"/>
      <w:r>
        <w:rPr>
          <w:sz w:val="16"/>
        </w:rPr>
        <w:t xml:space="preserve"> físico, atentando em especial para os linfonodos superficiais, pele, tireoide, tórax e abdome;</w:t>
      </w:r>
      <w:r>
        <w:rPr>
          <w:spacing w:val="-16"/>
          <w:sz w:val="16"/>
        </w:rPr>
        <w:t xml:space="preserve"> </w:t>
      </w:r>
      <w:r>
        <w:rPr>
          <w:sz w:val="16"/>
        </w:rPr>
        <w:t>e</w:t>
      </w:r>
    </w:p>
    <w:p w:rsidR="00067738" w:rsidRDefault="00C051FD">
      <w:pPr>
        <w:pStyle w:val="PargrafodaLista"/>
        <w:numPr>
          <w:ilvl w:val="1"/>
          <w:numId w:val="3"/>
        </w:numPr>
        <w:tabs>
          <w:tab w:val="left" w:pos="762"/>
        </w:tabs>
        <w:spacing w:before="1"/>
        <w:ind w:firstLine="0"/>
        <w:rPr>
          <w:sz w:val="16"/>
        </w:rPr>
      </w:pPr>
      <w:proofErr w:type="gramStart"/>
      <w:r>
        <w:rPr>
          <w:sz w:val="16"/>
        </w:rPr>
        <w:t>hemograma</w:t>
      </w:r>
      <w:proofErr w:type="gramEnd"/>
      <w:r>
        <w:rPr>
          <w:sz w:val="16"/>
        </w:rPr>
        <w:t xml:space="preserve"> e dosagem de </w:t>
      </w:r>
      <w:proofErr w:type="spellStart"/>
      <w:r>
        <w:rPr>
          <w:sz w:val="16"/>
        </w:rPr>
        <w:t>desidrogenase</w:t>
      </w:r>
      <w:proofErr w:type="spellEnd"/>
      <w:r>
        <w:rPr>
          <w:sz w:val="16"/>
        </w:rPr>
        <w:t xml:space="preserve"> lática sérica;</w:t>
      </w:r>
      <w:r>
        <w:rPr>
          <w:spacing w:val="-17"/>
          <w:sz w:val="16"/>
        </w:rPr>
        <w:t xml:space="preserve"> </w:t>
      </w:r>
      <w:r>
        <w:rPr>
          <w:sz w:val="16"/>
        </w:rPr>
        <w:t>e</w:t>
      </w:r>
    </w:p>
    <w:p w:rsidR="00067738" w:rsidRDefault="00C051FD">
      <w:pPr>
        <w:pStyle w:val="PargrafodaLista"/>
        <w:numPr>
          <w:ilvl w:val="1"/>
          <w:numId w:val="3"/>
        </w:numPr>
        <w:tabs>
          <w:tab w:val="left" w:pos="762"/>
        </w:tabs>
        <w:spacing w:before="1"/>
        <w:ind w:right="2905" w:firstLine="0"/>
        <w:rPr>
          <w:sz w:val="16"/>
        </w:rPr>
      </w:pPr>
      <w:proofErr w:type="gramStart"/>
      <w:r>
        <w:rPr>
          <w:sz w:val="16"/>
        </w:rPr>
        <w:t>dosagem</w:t>
      </w:r>
      <w:proofErr w:type="gramEnd"/>
      <w:r>
        <w:rPr>
          <w:sz w:val="16"/>
        </w:rPr>
        <w:t xml:space="preserve"> de hormônio </w:t>
      </w:r>
      <w:proofErr w:type="spellStart"/>
      <w:r>
        <w:rPr>
          <w:sz w:val="16"/>
        </w:rPr>
        <w:t>tireoestimulante</w:t>
      </w:r>
      <w:proofErr w:type="spellEnd"/>
      <w:r>
        <w:rPr>
          <w:sz w:val="16"/>
        </w:rPr>
        <w:t xml:space="preserve"> (TSH), se houve irradiação do pescoço. A cada </w:t>
      </w:r>
      <w:proofErr w:type="gramStart"/>
      <w:r>
        <w:rPr>
          <w:sz w:val="16"/>
        </w:rPr>
        <w:t>6</w:t>
      </w:r>
      <w:proofErr w:type="gramEnd"/>
      <w:r>
        <w:rPr>
          <w:sz w:val="16"/>
        </w:rPr>
        <w:t xml:space="preserve"> meses, no quarto e quinto ano de</w:t>
      </w:r>
      <w:r>
        <w:rPr>
          <w:spacing w:val="-18"/>
          <w:sz w:val="16"/>
        </w:rPr>
        <w:t xml:space="preserve"> </w:t>
      </w:r>
      <w:r>
        <w:rPr>
          <w:sz w:val="16"/>
        </w:rPr>
        <w:t>seguimento:</w:t>
      </w:r>
    </w:p>
    <w:p w:rsidR="00067738" w:rsidRDefault="00C051FD">
      <w:pPr>
        <w:pStyle w:val="PargrafodaLista"/>
        <w:numPr>
          <w:ilvl w:val="1"/>
          <w:numId w:val="3"/>
        </w:numPr>
        <w:tabs>
          <w:tab w:val="left" w:pos="762"/>
        </w:tabs>
        <w:spacing w:line="183" w:lineRule="exact"/>
        <w:ind w:firstLine="0"/>
        <w:rPr>
          <w:sz w:val="16"/>
        </w:rPr>
      </w:pPr>
      <w:proofErr w:type="gramStart"/>
      <w:r>
        <w:rPr>
          <w:sz w:val="16"/>
        </w:rPr>
        <w:t>exame</w:t>
      </w:r>
      <w:proofErr w:type="gramEnd"/>
      <w:r>
        <w:rPr>
          <w:sz w:val="16"/>
        </w:rPr>
        <w:t xml:space="preserve"> físico, atentando em especial para os linfonodos superficiais, pel</w:t>
      </w:r>
      <w:r>
        <w:rPr>
          <w:sz w:val="16"/>
        </w:rPr>
        <w:t>e, tireoide, tórax e abdome;</w:t>
      </w:r>
      <w:r>
        <w:rPr>
          <w:spacing w:val="-18"/>
          <w:sz w:val="16"/>
        </w:rPr>
        <w:t xml:space="preserve"> </w:t>
      </w:r>
      <w:r>
        <w:rPr>
          <w:sz w:val="16"/>
        </w:rPr>
        <w:t>e</w:t>
      </w:r>
    </w:p>
    <w:p w:rsidR="00067738" w:rsidRDefault="00C051FD">
      <w:pPr>
        <w:pStyle w:val="PargrafodaLista"/>
        <w:numPr>
          <w:ilvl w:val="1"/>
          <w:numId w:val="3"/>
        </w:numPr>
        <w:tabs>
          <w:tab w:val="left" w:pos="762"/>
        </w:tabs>
        <w:spacing w:before="1"/>
        <w:ind w:right="4511" w:firstLine="0"/>
        <w:rPr>
          <w:sz w:val="16"/>
        </w:rPr>
      </w:pPr>
      <w:proofErr w:type="gramStart"/>
      <w:r>
        <w:rPr>
          <w:sz w:val="16"/>
        </w:rPr>
        <w:t>hemograma</w:t>
      </w:r>
      <w:proofErr w:type="gramEnd"/>
      <w:r>
        <w:rPr>
          <w:sz w:val="16"/>
        </w:rPr>
        <w:t xml:space="preserve"> e dosagem de </w:t>
      </w:r>
      <w:proofErr w:type="spellStart"/>
      <w:r>
        <w:rPr>
          <w:sz w:val="16"/>
        </w:rPr>
        <w:t>desidrogenase</w:t>
      </w:r>
      <w:proofErr w:type="spellEnd"/>
      <w:r>
        <w:rPr>
          <w:sz w:val="16"/>
        </w:rPr>
        <w:t xml:space="preserve"> lática sérica. Anualmente, no quarto e quinto ano de</w:t>
      </w:r>
      <w:r>
        <w:rPr>
          <w:spacing w:val="-20"/>
          <w:sz w:val="16"/>
        </w:rPr>
        <w:t xml:space="preserve"> </w:t>
      </w:r>
      <w:r>
        <w:rPr>
          <w:sz w:val="16"/>
        </w:rPr>
        <w:t>seguimento:</w:t>
      </w:r>
    </w:p>
    <w:p w:rsidR="00067738" w:rsidRDefault="00C051FD">
      <w:pPr>
        <w:pStyle w:val="PargrafodaLista"/>
        <w:numPr>
          <w:ilvl w:val="1"/>
          <w:numId w:val="3"/>
        </w:numPr>
        <w:tabs>
          <w:tab w:val="left" w:pos="762"/>
        </w:tabs>
        <w:spacing w:line="183" w:lineRule="exact"/>
        <w:ind w:firstLine="0"/>
        <w:rPr>
          <w:sz w:val="16"/>
        </w:rPr>
      </w:pPr>
      <w:proofErr w:type="gramStart"/>
      <w:r>
        <w:rPr>
          <w:sz w:val="16"/>
        </w:rPr>
        <w:t>dosagem</w:t>
      </w:r>
      <w:proofErr w:type="gramEnd"/>
      <w:r>
        <w:rPr>
          <w:sz w:val="16"/>
        </w:rPr>
        <w:t xml:space="preserve"> de hormônio </w:t>
      </w:r>
      <w:proofErr w:type="spellStart"/>
      <w:r>
        <w:rPr>
          <w:sz w:val="16"/>
        </w:rPr>
        <w:t>tireoestimulante</w:t>
      </w:r>
      <w:proofErr w:type="spellEnd"/>
      <w:r>
        <w:rPr>
          <w:sz w:val="16"/>
        </w:rPr>
        <w:t xml:space="preserve"> (TSH), se houve irradiação do</w:t>
      </w:r>
      <w:r>
        <w:rPr>
          <w:spacing w:val="-19"/>
          <w:sz w:val="16"/>
        </w:rPr>
        <w:t xml:space="preserve"> </w:t>
      </w:r>
      <w:r>
        <w:rPr>
          <w:sz w:val="16"/>
        </w:rPr>
        <w:t>pescoço.</w:t>
      </w:r>
    </w:p>
    <w:p w:rsidR="00067738" w:rsidRDefault="00067738">
      <w:pPr>
        <w:pStyle w:val="Corpodetexto"/>
        <w:spacing w:before="10"/>
        <w:ind w:left="0"/>
        <w:rPr>
          <w:sz w:val="15"/>
        </w:rPr>
      </w:pPr>
    </w:p>
    <w:p w:rsidR="00067738" w:rsidRDefault="00C051FD">
      <w:pPr>
        <w:pStyle w:val="PargrafodaLista"/>
        <w:numPr>
          <w:ilvl w:val="0"/>
          <w:numId w:val="4"/>
        </w:numPr>
        <w:tabs>
          <w:tab w:val="left" w:pos="810"/>
        </w:tabs>
        <w:ind w:firstLine="566"/>
        <w:rPr>
          <w:sz w:val="16"/>
        </w:rPr>
      </w:pPr>
      <w:r>
        <w:rPr>
          <w:sz w:val="16"/>
        </w:rPr>
        <w:t>REGULAÇÃO/CONTROLE/AVALIAÇÃO PELO</w:t>
      </w:r>
      <w:r>
        <w:rPr>
          <w:spacing w:val="-11"/>
          <w:sz w:val="16"/>
        </w:rPr>
        <w:t xml:space="preserve"> </w:t>
      </w:r>
      <w:r>
        <w:rPr>
          <w:sz w:val="16"/>
        </w:rPr>
        <w:t>GESTOR</w:t>
      </w:r>
    </w:p>
    <w:p w:rsidR="00067738" w:rsidRDefault="00C051FD">
      <w:pPr>
        <w:pStyle w:val="Corpodetexto"/>
        <w:spacing w:before="1"/>
        <w:ind w:right="156" w:firstLine="566"/>
      </w:pPr>
      <w:r>
        <w:t>Doent</w:t>
      </w:r>
      <w:r>
        <w:t>es com diagnóstico de linfoma difuso de grandes células B devem ser atendidos em hospitais habilitados em oncologia com porte tecnológico suficiente para diagnosticar, tratar e realizar o seu acompanhamento.</w:t>
      </w:r>
    </w:p>
    <w:p w:rsidR="00067738" w:rsidRDefault="00C051FD">
      <w:pPr>
        <w:pStyle w:val="Corpodetexto"/>
        <w:ind w:right="122" w:firstLine="566"/>
        <w:jc w:val="both"/>
      </w:pPr>
      <w:r>
        <w:t>Além da familiaridade que esses hospitais guarda</w:t>
      </w:r>
      <w:r>
        <w:t xml:space="preserve">m com o </w:t>
      </w:r>
      <w:proofErr w:type="spellStart"/>
      <w:r>
        <w:t>estadiamento</w:t>
      </w:r>
      <w:proofErr w:type="spellEnd"/>
      <w:r>
        <w:t>, o tratamento, o manejo das doses e o controle dos efeitos adversos, eles têm toda a estrutura ambulatorial, de internação, de terapia intensiva, de hemoterapia, de suporte multiprofissional e de laboratórios necessária para o adequado</w:t>
      </w:r>
      <w:r>
        <w:t xml:space="preserve"> atendimento e obtenção dos resultados terapêuticos esperados.</w:t>
      </w:r>
    </w:p>
    <w:p w:rsidR="00067738" w:rsidRDefault="00C051FD">
      <w:pPr>
        <w:pStyle w:val="Corpodetexto"/>
        <w:ind w:right="112" w:firstLine="566"/>
        <w:jc w:val="both"/>
      </w:pPr>
      <w:r>
        <w:t>Os procedimentos radioterápicos (Grupo 03, Subgrupo 01) e de transplantes (Grupo 05, Subgrupo 05) da Tabela de Procedimentos, Medicamentos e OPM do SUS podem ser acessados, por código do proced</w:t>
      </w:r>
      <w:r>
        <w:t xml:space="preserve">imento ou nome do procedimento e por código da CID – Classificação Estatística Internacional de Doenças e Problemas Relacionados à Saúde – para a respectiva neoplasia maligna, no SIGTAP-Sistema de Gerenciamento dessa Tabela </w:t>
      </w:r>
      <w:hyperlink r:id="rId7">
        <w:r>
          <w:t>(http://sigtap.datasus.gov.br/tabela-unificada/app/sec/inicio.jsp</w:t>
        </w:r>
      </w:hyperlink>
      <w:r>
        <w:t>), com versão mensalmente disponibilizada.</w:t>
      </w:r>
    </w:p>
    <w:p w:rsidR="00067738" w:rsidRDefault="00C051FD">
      <w:pPr>
        <w:pStyle w:val="Corpodetexto"/>
        <w:spacing w:before="2"/>
        <w:ind w:left="668"/>
      </w:pPr>
      <w:r>
        <w:t>São os seguintes os procedimentos da tabela do SUS para a quimioterapia de adultos com linfoma d</w:t>
      </w:r>
      <w:r>
        <w:t>ifuso de grandes células</w:t>
      </w:r>
    </w:p>
    <w:p w:rsidR="00067738" w:rsidRDefault="00C051FD">
      <w:pPr>
        <w:pStyle w:val="Corpodetexto"/>
        <w:spacing w:line="182" w:lineRule="exact"/>
      </w:pPr>
      <w:r>
        <w:t>B:</w:t>
      </w:r>
    </w:p>
    <w:p w:rsidR="00067738" w:rsidRDefault="00C051FD">
      <w:pPr>
        <w:pStyle w:val="Corpodetexto"/>
        <w:spacing w:before="1"/>
        <w:ind w:left="668" w:right="114"/>
      </w:pPr>
      <w:r>
        <w:t>03.04.06.013-</w:t>
      </w:r>
      <w:proofErr w:type="gramStart"/>
      <w:r>
        <w:t>5 - Quimioterapia</w:t>
      </w:r>
      <w:proofErr w:type="gramEnd"/>
      <w:r>
        <w:t xml:space="preserve"> de linfoma não Hodgkin de graus de malignidade intermediário ou alto – 1ª linha 03.04.06.022-4 - Quimioterapia de linfoma difuso de grandes células B – 1ª linha (excludente com o procedimento</w:t>
      </w:r>
    </w:p>
    <w:p w:rsidR="00067738" w:rsidRDefault="00C051FD">
      <w:pPr>
        <w:pStyle w:val="Corpodetexto"/>
        <w:ind w:left="668" w:right="2098" w:hanging="567"/>
      </w:pPr>
      <w:r>
        <w:t>03.04.06.013</w:t>
      </w:r>
      <w:proofErr w:type="gramStart"/>
      <w:r>
        <w:t>-5 Quimioterapia de Linfoma não Hodgkin de Grau Intermediário ou Alto – 1ª linha)</w:t>
      </w:r>
      <w:proofErr w:type="gramEnd"/>
      <w:r>
        <w:t xml:space="preserve"> 03.04.06.011-9 - Quimioterapia de linfoma não Hodgkin grau intermediário ou alto - 2ª linha 03.04.06.012-7 - Quimioterapia de linfoma não Hodgkin grau intermediár</w:t>
      </w:r>
      <w:r>
        <w:t>io ou alto - 3ª linha</w:t>
      </w:r>
    </w:p>
    <w:p w:rsidR="00067738" w:rsidRDefault="00C051FD">
      <w:pPr>
        <w:pStyle w:val="Corpodetexto"/>
        <w:ind w:right="112" w:firstLine="566"/>
        <w:jc w:val="both"/>
      </w:pPr>
      <w:r>
        <w:t>A regulação do acesso é um componente essencial da gestão para a organização da rede assistencial e garantia do atendimento dos doentes, e muito facilita as ações de controle e avaliação. Ações de controle e avaliação incluem, entre o</w:t>
      </w:r>
      <w:r>
        <w:t>utras: a manutenção atualizada do Cadastro Nacional dos Estabelecimentos de Saúde (CNES); a autorização prévia dos procedimentos; o monitoramento da produção dos procedimentos (por exemplo, frequência apresentada versus autorizada, valores apresentados</w:t>
      </w:r>
      <w:proofErr w:type="gramStart"/>
      <w:r>
        <w:t xml:space="preserve">  </w:t>
      </w:r>
      <w:proofErr w:type="gramEnd"/>
      <w:r>
        <w:t>ve</w:t>
      </w:r>
      <w:r>
        <w:t>rsus autorizados versus ressarcidos); a verificação dos percentuais das frequências dos procedimentos quimioterápicos em suas diferentes linhas (cuja ordem descendente - primeira maior do que segunda maior do que terceira – sinaliza a  efetividade terapêut</w:t>
      </w:r>
      <w:r>
        <w:t>ica) e análise dos percentuais de LDGC B entre o total de LNH de graus intermediário e alto e entre o total de todos os procedimentos de</w:t>
      </w:r>
      <w:r>
        <w:rPr>
          <w:spacing w:val="-3"/>
        </w:rPr>
        <w:t xml:space="preserve"> </w:t>
      </w:r>
      <w:r>
        <w:t>LNH.</w:t>
      </w:r>
    </w:p>
    <w:p w:rsidR="00067738" w:rsidRDefault="00C051FD">
      <w:pPr>
        <w:pStyle w:val="Corpodetexto"/>
        <w:ind w:right="114" w:firstLine="566"/>
        <w:jc w:val="both"/>
      </w:pPr>
      <w:r>
        <w:t xml:space="preserve">Ações de auditoria devem verificar in loco, por exemplo, a existência e a observância da conduta ou protocolo </w:t>
      </w:r>
      <w:proofErr w:type="gramStart"/>
      <w:r>
        <w:t>adot</w:t>
      </w:r>
      <w:r>
        <w:t>ados no hospital</w:t>
      </w:r>
      <w:proofErr w:type="gramEnd"/>
      <w:r>
        <w:t>; regulação do acesso assistencial; qualidade da autorização; a conformidade da prescrição e da dispensação e administração dos medicamentos (tipos e doses); compatibilidade do procedimento codificado com o diagnóstico (LDGC B e CD 20 posit</w:t>
      </w:r>
      <w:r>
        <w:t xml:space="preserve">ivo); compatibilidade do procedimento codificado com o diagnóstico e capacidade funcional (escala de </w:t>
      </w:r>
      <w:proofErr w:type="spellStart"/>
      <w:r>
        <w:t>Zubrod</w:t>
      </w:r>
      <w:proofErr w:type="spellEnd"/>
      <w:r>
        <w:t>); a compatibilidade da cobrança com os serviços executados; a abrangência e a integralidade assistenciais; e o grau de satisfação dos doentes.</w:t>
      </w:r>
    </w:p>
    <w:p w:rsidR="00067738" w:rsidRDefault="00C051FD">
      <w:pPr>
        <w:pStyle w:val="Corpodetexto"/>
        <w:ind w:right="115" w:firstLine="566"/>
        <w:jc w:val="both"/>
      </w:pPr>
      <w:r>
        <w:t>Excet</w:t>
      </w:r>
      <w:r>
        <w:t xml:space="preserve">o pela Talidomida para o tratamento de </w:t>
      </w:r>
      <w:proofErr w:type="spellStart"/>
      <w:r>
        <w:t>Mieloma</w:t>
      </w:r>
      <w:proofErr w:type="spellEnd"/>
      <w:r>
        <w:t xml:space="preserve"> Múltiplo e pelo </w:t>
      </w:r>
      <w:proofErr w:type="spellStart"/>
      <w:r>
        <w:t>Mesilato</w:t>
      </w:r>
      <w:proofErr w:type="spellEnd"/>
      <w:r>
        <w:t xml:space="preserve"> de </w:t>
      </w:r>
      <w:proofErr w:type="spellStart"/>
      <w:r>
        <w:t>Imatinibe</w:t>
      </w:r>
      <w:proofErr w:type="spellEnd"/>
      <w:r>
        <w:t xml:space="preserve"> para a quimioterapia do Tumor do Estroma Gastrointestinal (GIST), da Leucemia </w:t>
      </w:r>
      <w:proofErr w:type="spellStart"/>
      <w:r>
        <w:t>Mieloide</w:t>
      </w:r>
      <w:proofErr w:type="spellEnd"/>
      <w:r>
        <w:t xml:space="preserve"> Crônica e Leucemia </w:t>
      </w:r>
      <w:proofErr w:type="spellStart"/>
      <w:r>
        <w:t>Linfoblástica</w:t>
      </w:r>
      <w:proofErr w:type="spellEnd"/>
      <w:r>
        <w:t xml:space="preserve"> Aguda cromossoma Philadelphia positivo, o Ministéri</w:t>
      </w:r>
      <w:r>
        <w:t>o da Saúde e as Secretarias de Saúde não padronizam nem fornecem medicamentos</w:t>
      </w:r>
      <w:proofErr w:type="gramStart"/>
      <w:r>
        <w:t xml:space="preserve">  </w:t>
      </w:r>
      <w:proofErr w:type="spellStart"/>
      <w:proofErr w:type="gramEnd"/>
      <w:r>
        <w:t>antineoplásicos</w:t>
      </w:r>
      <w:proofErr w:type="spellEnd"/>
      <w:r>
        <w:t xml:space="preserve"> diretamente aos hospitais ou aos usuários do SUS. Os procedimentos quimioterápicos da tabela do SUS não fazem referência a qualquer medicamento e são aplicáveis </w:t>
      </w:r>
      <w:r>
        <w:t xml:space="preserve">às situações clínicas específicas para as quais terapias </w:t>
      </w:r>
      <w:proofErr w:type="spellStart"/>
      <w:r>
        <w:t>antineoplásicas</w:t>
      </w:r>
      <w:proofErr w:type="spellEnd"/>
      <w:r>
        <w:t xml:space="preserve"> medicamentosas são indicadas. Ou seja, os hospitais credenciados no SUS e habilitados em Oncologia são os responsáveis pelo fornecimento de medicamentos oncológicos que eles, livremen</w:t>
      </w:r>
      <w:r>
        <w:t>te, padronizam, adquirem e fornecem, cabendo-lhes codificar e registrar conforme o respectivo procedimento. Assim, a partir do momento em que um hospital é habilitado para prestar assistência oncológica pelo SUS, a responsabilidade pelo fornecimento do med</w:t>
      </w:r>
      <w:r>
        <w:t xml:space="preserve">icamento </w:t>
      </w:r>
      <w:proofErr w:type="spellStart"/>
      <w:r>
        <w:t>antineoplásico</w:t>
      </w:r>
      <w:proofErr w:type="spellEnd"/>
      <w:r>
        <w:t xml:space="preserve"> é desse hospital, seja ele público ou privado, com ou sem fins</w:t>
      </w:r>
      <w:r>
        <w:rPr>
          <w:spacing w:val="-1"/>
        </w:rPr>
        <w:t xml:space="preserve"> </w:t>
      </w:r>
      <w:r>
        <w:t>lucrativos.</w:t>
      </w:r>
    </w:p>
    <w:p w:rsidR="00067738" w:rsidRDefault="00067738">
      <w:pPr>
        <w:pStyle w:val="Corpodetexto"/>
        <w:ind w:left="0"/>
      </w:pPr>
    </w:p>
    <w:p w:rsidR="00067738" w:rsidRDefault="00C051FD">
      <w:pPr>
        <w:pStyle w:val="PargrafodaLista"/>
        <w:numPr>
          <w:ilvl w:val="0"/>
          <w:numId w:val="4"/>
        </w:numPr>
        <w:tabs>
          <w:tab w:val="left" w:pos="909"/>
        </w:tabs>
        <w:ind w:left="908" w:hanging="240"/>
        <w:rPr>
          <w:sz w:val="16"/>
        </w:rPr>
      </w:pPr>
      <w:r>
        <w:rPr>
          <w:sz w:val="16"/>
        </w:rPr>
        <w:t>REFERÊNCIAS</w:t>
      </w:r>
      <w:r>
        <w:rPr>
          <w:spacing w:val="-8"/>
          <w:sz w:val="16"/>
        </w:rPr>
        <w:t xml:space="preserve"> </w:t>
      </w:r>
      <w:r>
        <w:rPr>
          <w:sz w:val="16"/>
        </w:rPr>
        <w:t>BIBLIOGRÁFICAS</w:t>
      </w:r>
    </w:p>
    <w:p w:rsidR="00067738" w:rsidRPr="00C051FD" w:rsidRDefault="00C051FD">
      <w:pPr>
        <w:pStyle w:val="Corpodetexto"/>
        <w:spacing w:before="1"/>
        <w:ind w:right="116" w:firstLine="566"/>
        <w:jc w:val="both"/>
        <w:rPr>
          <w:lang w:val="en-US"/>
        </w:rPr>
      </w:pPr>
      <w:r w:rsidRPr="00C051FD">
        <w:rPr>
          <w:lang w:val="en-US"/>
        </w:rPr>
        <w:t xml:space="preserve">1 - Simon R, </w:t>
      </w:r>
      <w:proofErr w:type="spellStart"/>
      <w:r w:rsidRPr="00C051FD">
        <w:rPr>
          <w:lang w:val="en-US"/>
        </w:rPr>
        <w:t>Durrleman</w:t>
      </w:r>
      <w:proofErr w:type="spellEnd"/>
      <w:r w:rsidRPr="00C051FD">
        <w:rPr>
          <w:lang w:val="en-US"/>
        </w:rPr>
        <w:t xml:space="preserve"> S, Hoppe RT, </w:t>
      </w:r>
      <w:proofErr w:type="spellStart"/>
      <w:r w:rsidRPr="00C051FD">
        <w:rPr>
          <w:lang w:val="en-US"/>
        </w:rPr>
        <w:t>Bonadonna</w:t>
      </w:r>
      <w:proofErr w:type="spellEnd"/>
      <w:r w:rsidRPr="00C051FD">
        <w:rPr>
          <w:lang w:val="en-US"/>
        </w:rPr>
        <w:t xml:space="preserve"> G, Bloomfield CD, Rudders RA, et al. </w:t>
      </w:r>
      <w:proofErr w:type="gramStart"/>
      <w:r w:rsidRPr="00C051FD">
        <w:rPr>
          <w:lang w:val="en-US"/>
        </w:rPr>
        <w:t>The Non-Hodgkin Lymphoma Pathologic Classifica</w:t>
      </w:r>
      <w:r w:rsidRPr="00C051FD">
        <w:rPr>
          <w:lang w:val="en-US"/>
        </w:rPr>
        <w:t>tion Project.</w:t>
      </w:r>
      <w:proofErr w:type="gramEnd"/>
      <w:r w:rsidRPr="00C051FD">
        <w:rPr>
          <w:lang w:val="en-US"/>
        </w:rPr>
        <w:t xml:space="preserve"> </w:t>
      </w:r>
      <w:proofErr w:type="gramStart"/>
      <w:r w:rsidRPr="00C051FD">
        <w:rPr>
          <w:lang w:val="en-US"/>
        </w:rPr>
        <w:t>Long-term follow-up of 1153 patients with non-Hodgkin lymphomas.</w:t>
      </w:r>
      <w:proofErr w:type="gramEnd"/>
      <w:r w:rsidRPr="00C051FD">
        <w:rPr>
          <w:lang w:val="en-US"/>
        </w:rPr>
        <w:t xml:space="preserve"> Ann Intern Med. 1988 Dec 15</w:t>
      </w:r>
      <w:proofErr w:type="gramStart"/>
      <w:r w:rsidRPr="00C051FD">
        <w:rPr>
          <w:lang w:val="en-US"/>
        </w:rPr>
        <w:t>;109</w:t>
      </w:r>
      <w:proofErr w:type="gramEnd"/>
      <w:r w:rsidRPr="00C051FD">
        <w:rPr>
          <w:lang w:val="en-US"/>
        </w:rPr>
        <w:t>(12):939-45.</w:t>
      </w:r>
    </w:p>
    <w:p w:rsidR="00067738" w:rsidRDefault="00C051FD">
      <w:pPr>
        <w:pStyle w:val="Corpodetexto"/>
      </w:pPr>
      <w:r w:rsidRPr="00C051FD">
        <w:rPr>
          <w:lang w:val="en-US"/>
        </w:rPr>
        <w:t xml:space="preserve">2 - The International Non-Hodgkin's Lymphoma Prognostic Factors Project. </w:t>
      </w:r>
      <w:proofErr w:type="gramStart"/>
      <w:r w:rsidRPr="00C051FD">
        <w:rPr>
          <w:lang w:val="en-US"/>
        </w:rPr>
        <w:t>A predictive model for aggressive non-Hodgkin's lymphoma.</w:t>
      </w:r>
      <w:proofErr w:type="gramEnd"/>
      <w:r w:rsidRPr="00C051FD">
        <w:rPr>
          <w:lang w:val="en-US"/>
        </w:rPr>
        <w:t xml:space="preserve"> </w:t>
      </w:r>
      <w:proofErr w:type="gramStart"/>
      <w:r w:rsidRPr="00C051FD">
        <w:rPr>
          <w:lang w:val="en-US"/>
        </w:rPr>
        <w:t>Th</w:t>
      </w:r>
      <w:r w:rsidRPr="00C051FD">
        <w:rPr>
          <w:lang w:val="en-US"/>
        </w:rPr>
        <w:t>e International Non-Hodgkin's Lymphoma Prognostic Factors Project.</w:t>
      </w:r>
      <w:proofErr w:type="gramEnd"/>
      <w:r w:rsidRPr="00C051FD">
        <w:rPr>
          <w:lang w:val="en-US"/>
        </w:rPr>
        <w:t xml:space="preserve"> </w:t>
      </w:r>
      <w:r>
        <w:t xml:space="preserve">N </w:t>
      </w:r>
      <w:proofErr w:type="spellStart"/>
      <w:r>
        <w:t>Engl</w:t>
      </w:r>
      <w:proofErr w:type="spellEnd"/>
      <w:r>
        <w:t xml:space="preserve"> J Med. 1993 </w:t>
      </w:r>
      <w:proofErr w:type="spellStart"/>
      <w:r>
        <w:t>Sep</w:t>
      </w:r>
      <w:proofErr w:type="spellEnd"/>
      <w:r>
        <w:t xml:space="preserve"> </w:t>
      </w:r>
      <w:proofErr w:type="gramStart"/>
      <w:r>
        <w:t>30;</w:t>
      </w:r>
      <w:proofErr w:type="gramEnd"/>
      <w:r>
        <w:t>329(14):987-94.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25"/>
        </w:tabs>
        <w:ind w:right="117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Harris NL, Jaffe ES, Diebold J, </w:t>
      </w:r>
      <w:proofErr w:type="spellStart"/>
      <w:r w:rsidRPr="00C051FD">
        <w:rPr>
          <w:sz w:val="16"/>
          <w:lang w:val="en-US"/>
        </w:rPr>
        <w:t>Flandrin</w:t>
      </w:r>
      <w:proofErr w:type="spellEnd"/>
      <w:r w:rsidRPr="00C051FD">
        <w:rPr>
          <w:sz w:val="16"/>
          <w:lang w:val="en-US"/>
        </w:rPr>
        <w:t xml:space="preserve"> G, Muller-</w:t>
      </w:r>
      <w:proofErr w:type="spellStart"/>
      <w:r w:rsidRPr="00C051FD">
        <w:rPr>
          <w:sz w:val="16"/>
          <w:lang w:val="en-US"/>
        </w:rPr>
        <w:t>Hermelink</w:t>
      </w:r>
      <w:proofErr w:type="spellEnd"/>
      <w:r w:rsidRPr="00C051FD">
        <w:rPr>
          <w:sz w:val="16"/>
          <w:lang w:val="en-US"/>
        </w:rPr>
        <w:t xml:space="preserve"> HK, </w:t>
      </w:r>
      <w:proofErr w:type="spellStart"/>
      <w:r w:rsidRPr="00C051FD">
        <w:rPr>
          <w:sz w:val="16"/>
          <w:lang w:val="en-US"/>
        </w:rPr>
        <w:t>Vardiman</w:t>
      </w:r>
      <w:proofErr w:type="spellEnd"/>
      <w:r w:rsidRPr="00C051FD">
        <w:rPr>
          <w:sz w:val="16"/>
          <w:lang w:val="en-US"/>
        </w:rPr>
        <w:t xml:space="preserve"> J. Lymphoma classification--from controversy</w:t>
      </w:r>
      <w:r w:rsidRPr="00C051FD">
        <w:rPr>
          <w:spacing w:val="-5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to</w:t>
      </w:r>
      <w:r w:rsidRPr="00C051FD">
        <w:rPr>
          <w:spacing w:val="-2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consensus:</w:t>
      </w:r>
      <w:r w:rsidRPr="00C051FD">
        <w:rPr>
          <w:spacing w:val="-2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the</w:t>
      </w:r>
      <w:r w:rsidRPr="00C051FD">
        <w:rPr>
          <w:spacing w:val="-3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R.E.A.L.</w:t>
      </w:r>
      <w:r w:rsidRPr="00C051FD">
        <w:rPr>
          <w:spacing w:val="-1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and WHO</w:t>
      </w:r>
      <w:r w:rsidRPr="00C051FD">
        <w:rPr>
          <w:spacing w:val="-2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Classification</w:t>
      </w:r>
      <w:r w:rsidRPr="00C051FD">
        <w:rPr>
          <w:spacing w:val="-3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of</w:t>
      </w:r>
      <w:r w:rsidRPr="00C051FD">
        <w:rPr>
          <w:spacing w:val="-2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lymphoid</w:t>
      </w:r>
      <w:r w:rsidRPr="00C051FD">
        <w:rPr>
          <w:spacing w:val="-2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neoplasms.</w:t>
      </w:r>
      <w:r w:rsidRPr="00C051FD">
        <w:rPr>
          <w:spacing w:val="-3"/>
          <w:sz w:val="16"/>
          <w:lang w:val="en-US"/>
        </w:rPr>
        <w:t xml:space="preserve"> </w:t>
      </w:r>
      <w:r>
        <w:rPr>
          <w:sz w:val="16"/>
        </w:rPr>
        <w:t>Ann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Oncol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2000;</w:t>
      </w:r>
      <w:proofErr w:type="gramEnd"/>
      <w:r>
        <w:rPr>
          <w:sz w:val="16"/>
        </w:rPr>
        <w:t>11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Suppl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1:3-10.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796"/>
        </w:tabs>
        <w:ind w:right="114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Tanaka PY, </w:t>
      </w:r>
      <w:proofErr w:type="spellStart"/>
      <w:r w:rsidRPr="00C051FD">
        <w:rPr>
          <w:sz w:val="16"/>
          <w:lang w:val="en-US"/>
        </w:rPr>
        <w:t>Pracchia</w:t>
      </w:r>
      <w:proofErr w:type="spellEnd"/>
      <w:r w:rsidRPr="00C051FD">
        <w:rPr>
          <w:sz w:val="16"/>
          <w:lang w:val="en-US"/>
        </w:rPr>
        <w:t xml:space="preserve"> </w:t>
      </w:r>
      <w:r w:rsidRPr="00C051FD">
        <w:rPr>
          <w:spacing w:val="-3"/>
          <w:sz w:val="16"/>
          <w:lang w:val="en-US"/>
        </w:rPr>
        <w:t xml:space="preserve">LF, </w:t>
      </w:r>
      <w:proofErr w:type="spellStart"/>
      <w:r w:rsidRPr="00C051FD">
        <w:rPr>
          <w:sz w:val="16"/>
          <w:lang w:val="en-US"/>
        </w:rPr>
        <w:t>Bellesso</w:t>
      </w:r>
      <w:proofErr w:type="spellEnd"/>
      <w:r w:rsidRPr="00C051FD">
        <w:rPr>
          <w:sz w:val="16"/>
          <w:lang w:val="en-US"/>
        </w:rPr>
        <w:t xml:space="preserve"> M, </w:t>
      </w:r>
      <w:proofErr w:type="spellStart"/>
      <w:r w:rsidRPr="00C051FD">
        <w:rPr>
          <w:sz w:val="16"/>
          <w:lang w:val="en-US"/>
        </w:rPr>
        <w:t>Chamone</w:t>
      </w:r>
      <w:proofErr w:type="spellEnd"/>
      <w:r w:rsidRPr="00C051FD">
        <w:rPr>
          <w:sz w:val="16"/>
          <w:lang w:val="en-US"/>
        </w:rPr>
        <w:t xml:space="preserve"> DA, </w:t>
      </w:r>
      <w:proofErr w:type="spellStart"/>
      <w:r w:rsidRPr="00C051FD">
        <w:rPr>
          <w:sz w:val="16"/>
          <w:lang w:val="en-US"/>
        </w:rPr>
        <w:t>Calore</w:t>
      </w:r>
      <w:proofErr w:type="spellEnd"/>
      <w:r w:rsidRPr="00C051FD">
        <w:rPr>
          <w:sz w:val="16"/>
          <w:lang w:val="en-US"/>
        </w:rPr>
        <w:t xml:space="preserve"> EE, Pereira J. A prognostic score for AIDS-related diffuse large B-cell lymphoma in Brazil. </w:t>
      </w:r>
      <w:r>
        <w:rPr>
          <w:sz w:val="16"/>
        </w:rPr>
        <w:t xml:space="preserve">Ann </w:t>
      </w:r>
      <w:proofErr w:type="spellStart"/>
      <w:r>
        <w:rPr>
          <w:sz w:val="16"/>
        </w:rPr>
        <w:t>Hematol</w:t>
      </w:r>
      <w:proofErr w:type="spellEnd"/>
      <w:r>
        <w:rPr>
          <w:sz w:val="16"/>
        </w:rPr>
        <w:t xml:space="preserve">. 2009 </w:t>
      </w:r>
      <w:proofErr w:type="spellStart"/>
      <w:r>
        <w:rPr>
          <w:sz w:val="16"/>
        </w:rPr>
        <w:t>Jun</w:t>
      </w:r>
      <w:proofErr w:type="spellEnd"/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4</w:t>
      </w:r>
      <w:proofErr w:type="gramEnd"/>
      <w:r>
        <w:rPr>
          <w:sz w:val="16"/>
        </w:rPr>
        <w:t>.</w:t>
      </w:r>
    </w:p>
    <w:p w:rsidR="00067738" w:rsidRPr="00C051FD" w:rsidRDefault="00C051FD">
      <w:pPr>
        <w:pStyle w:val="PargrafodaLista"/>
        <w:numPr>
          <w:ilvl w:val="0"/>
          <w:numId w:val="1"/>
        </w:numPr>
        <w:tabs>
          <w:tab w:val="left" w:pos="798"/>
        </w:tabs>
        <w:ind w:right="117" w:firstLine="566"/>
        <w:jc w:val="both"/>
        <w:rPr>
          <w:sz w:val="16"/>
          <w:lang w:val="en-US"/>
        </w:rPr>
      </w:pPr>
      <w:r w:rsidRPr="00C051FD">
        <w:rPr>
          <w:sz w:val="16"/>
          <w:lang w:val="en-US"/>
        </w:rPr>
        <w:t xml:space="preserve">- </w:t>
      </w:r>
      <w:proofErr w:type="spellStart"/>
      <w:r w:rsidRPr="00C051FD">
        <w:rPr>
          <w:sz w:val="16"/>
          <w:lang w:val="en-US"/>
        </w:rPr>
        <w:t>Hallack</w:t>
      </w:r>
      <w:proofErr w:type="spellEnd"/>
      <w:r w:rsidRPr="00C051FD">
        <w:rPr>
          <w:sz w:val="16"/>
          <w:lang w:val="en-US"/>
        </w:rPr>
        <w:t xml:space="preserve"> </w:t>
      </w:r>
      <w:proofErr w:type="spellStart"/>
      <w:r w:rsidRPr="00C051FD">
        <w:rPr>
          <w:sz w:val="16"/>
          <w:lang w:val="en-US"/>
        </w:rPr>
        <w:t>Neto</w:t>
      </w:r>
      <w:proofErr w:type="spellEnd"/>
      <w:r w:rsidRPr="00C051FD">
        <w:rPr>
          <w:sz w:val="16"/>
          <w:lang w:val="en-US"/>
        </w:rPr>
        <w:t xml:space="preserve"> AE, Pereira J, </w:t>
      </w:r>
      <w:proofErr w:type="spellStart"/>
      <w:r w:rsidRPr="00C051FD">
        <w:rPr>
          <w:sz w:val="16"/>
          <w:lang w:val="en-US"/>
        </w:rPr>
        <w:t>Beitler</w:t>
      </w:r>
      <w:proofErr w:type="spellEnd"/>
      <w:r w:rsidRPr="00C051FD">
        <w:rPr>
          <w:sz w:val="16"/>
          <w:lang w:val="en-US"/>
        </w:rPr>
        <w:t xml:space="preserve"> B, </w:t>
      </w:r>
      <w:proofErr w:type="spellStart"/>
      <w:r w:rsidRPr="00C051FD">
        <w:rPr>
          <w:sz w:val="16"/>
          <w:lang w:val="en-US"/>
        </w:rPr>
        <w:t>Chamone</w:t>
      </w:r>
      <w:proofErr w:type="spellEnd"/>
      <w:r w:rsidRPr="00C051FD">
        <w:rPr>
          <w:sz w:val="16"/>
          <w:lang w:val="en-US"/>
        </w:rPr>
        <w:t xml:space="preserve"> DA, </w:t>
      </w:r>
      <w:proofErr w:type="spellStart"/>
      <w:r w:rsidRPr="00C051FD">
        <w:rPr>
          <w:sz w:val="16"/>
          <w:lang w:val="en-US"/>
        </w:rPr>
        <w:t>Llacer</w:t>
      </w:r>
      <w:proofErr w:type="spellEnd"/>
      <w:r w:rsidRPr="00C051FD">
        <w:rPr>
          <w:sz w:val="16"/>
          <w:lang w:val="en-US"/>
        </w:rPr>
        <w:t xml:space="preserve"> PD, </w:t>
      </w:r>
      <w:proofErr w:type="spellStart"/>
      <w:r w:rsidRPr="00C051FD">
        <w:rPr>
          <w:sz w:val="16"/>
          <w:lang w:val="en-US"/>
        </w:rPr>
        <w:t>Dulley</w:t>
      </w:r>
      <w:proofErr w:type="spellEnd"/>
      <w:r w:rsidRPr="00C051FD">
        <w:rPr>
          <w:sz w:val="16"/>
          <w:lang w:val="en-US"/>
        </w:rPr>
        <w:t xml:space="preserve"> FL, et al. Results of CHOP chemotherapy for diffuse large B-cell lymphoma. </w:t>
      </w:r>
      <w:proofErr w:type="spellStart"/>
      <w:r w:rsidRPr="00C051FD">
        <w:rPr>
          <w:sz w:val="16"/>
          <w:lang w:val="en-US"/>
        </w:rPr>
        <w:t>Braz</w:t>
      </w:r>
      <w:proofErr w:type="spellEnd"/>
      <w:r w:rsidRPr="00C051FD">
        <w:rPr>
          <w:sz w:val="16"/>
          <w:lang w:val="en-US"/>
        </w:rPr>
        <w:t xml:space="preserve"> J Med </w:t>
      </w:r>
      <w:proofErr w:type="spellStart"/>
      <w:r w:rsidRPr="00C051FD">
        <w:rPr>
          <w:sz w:val="16"/>
          <w:lang w:val="en-US"/>
        </w:rPr>
        <w:t>Biol</w:t>
      </w:r>
      <w:proofErr w:type="spellEnd"/>
      <w:r w:rsidRPr="00C051FD">
        <w:rPr>
          <w:sz w:val="16"/>
          <w:lang w:val="en-US"/>
        </w:rPr>
        <w:t xml:space="preserve"> Res. 2006</w:t>
      </w:r>
      <w:r w:rsidRPr="00C051FD">
        <w:rPr>
          <w:spacing w:val="-17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Oct</w:t>
      </w:r>
      <w:proofErr w:type="gramStart"/>
      <w:r w:rsidRPr="00C051FD">
        <w:rPr>
          <w:sz w:val="16"/>
          <w:lang w:val="en-US"/>
        </w:rPr>
        <w:t>;39</w:t>
      </w:r>
      <w:proofErr w:type="gramEnd"/>
      <w:r w:rsidRPr="00C051FD">
        <w:rPr>
          <w:sz w:val="16"/>
          <w:lang w:val="en-US"/>
        </w:rPr>
        <w:t>(10):1315-22.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27"/>
        </w:tabs>
        <w:ind w:right="117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</w:t>
      </w:r>
      <w:proofErr w:type="spellStart"/>
      <w:r w:rsidRPr="00C051FD">
        <w:rPr>
          <w:sz w:val="16"/>
          <w:lang w:val="en-US"/>
        </w:rPr>
        <w:t>Jost</w:t>
      </w:r>
      <w:proofErr w:type="spellEnd"/>
      <w:r w:rsidRPr="00C051FD">
        <w:rPr>
          <w:sz w:val="16"/>
          <w:lang w:val="en-US"/>
        </w:rPr>
        <w:t xml:space="preserve"> </w:t>
      </w:r>
      <w:r w:rsidRPr="00C051FD">
        <w:rPr>
          <w:spacing w:val="-3"/>
          <w:sz w:val="16"/>
          <w:lang w:val="en-US"/>
        </w:rPr>
        <w:t xml:space="preserve">L. </w:t>
      </w:r>
      <w:r w:rsidRPr="00C051FD">
        <w:rPr>
          <w:sz w:val="16"/>
          <w:lang w:val="en-US"/>
        </w:rPr>
        <w:t>Newly diagnosed large B-cell non-Hodgkin's lymphoma: E</w:t>
      </w:r>
      <w:r w:rsidRPr="00C051FD">
        <w:rPr>
          <w:sz w:val="16"/>
          <w:lang w:val="en-US"/>
        </w:rPr>
        <w:t xml:space="preserve">SMO clinical recommendations for diagnosis, treatment and follow-up. </w:t>
      </w:r>
      <w:r>
        <w:rPr>
          <w:spacing w:val="-2"/>
          <w:sz w:val="16"/>
        </w:rPr>
        <w:t xml:space="preserve">Ann </w:t>
      </w:r>
      <w:proofErr w:type="spellStart"/>
      <w:r>
        <w:rPr>
          <w:sz w:val="16"/>
        </w:rPr>
        <w:t>Oncol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2007;</w:t>
      </w:r>
      <w:proofErr w:type="gramEnd"/>
      <w:r>
        <w:rPr>
          <w:sz w:val="16"/>
        </w:rPr>
        <w:t xml:space="preserve">18 </w:t>
      </w:r>
      <w:proofErr w:type="spellStart"/>
      <w:r>
        <w:rPr>
          <w:sz w:val="16"/>
        </w:rPr>
        <w:t>Suppl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2:ii55-6.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08"/>
        </w:tabs>
        <w:ind w:right="115" w:firstLine="566"/>
        <w:jc w:val="both"/>
        <w:rPr>
          <w:sz w:val="16"/>
        </w:rPr>
      </w:pPr>
      <w:r>
        <w:rPr>
          <w:sz w:val="16"/>
        </w:rPr>
        <w:t xml:space="preserve">- </w:t>
      </w:r>
      <w:proofErr w:type="spellStart"/>
      <w:r>
        <w:rPr>
          <w:sz w:val="16"/>
        </w:rPr>
        <w:t>Flowers</w:t>
      </w:r>
      <w:proofErr w:type="spellEnd"/>
      <w:r>
        <w:rPr>
          <w:sz w:val="16"/>
        </w:rPr>
        <w:t xml:space="preserve"> CR, </w:t>
      </w:r>
      <w:proofErr w:type="spellStart"/>
      <w:r>
        <w:rPr>
          <w:sz w:val="16"/>
        </w:rPr>
        <w:t>Sinha</w:t>
      </w:r>
      <w:proofErr w:type="spellEnd"/>
      <w:r>
        <w:rPr>
          <w:sz w:val="16"/>
        </w:rPr>
        <w:t xml:space="preserve"> R, </w:t>
      </w:r>
      <w:proofErr w:type="spellStart"/>
      <w:r>
        <w:rPr>
          <w:sz w:val="16"/>
        </w:rPr>
        <w:t>Vose</w:t>
      </w:r>
      <w:proofErr w:type="spellEnd"/>
      <w:r>
        <w:rPr>
          <w:sz w:val="16"/>
        </w:rPr>
        <w:t xml:space="preserve"> JM. </w:t>
      </w:r>
      <w:r w:rsidRPr="00C051FD">
        <w:rPr>
          <w:sz w:val="16"/>
          <w:lang w:val="en-US"/>
        </w:rPr>
        <w:t xml:space="preserve">Improving outcomes for patients with diffuse large B-cell lymphoma. </w:t>
      </w:r>
      <w:r>
        <w:rPr>
          <w:sz w:val="16"/>
        </w:rPr>
        <w:t xml:space="preserve">CA </w:t>
      </w:r>
      <w:proofErr w:type="spellStart"/>
      <w:r>
        <w:rPr>
          <w:sz w:val="16"/>
        </w:rPr>
        <w:t>Cancer</w:t>
      </w:r>
      <w:proofErr w:type="spellEnd"/>
      <w:r>
        <w:rPr>
          <w:sz w:val="16"/>
        </w:rPr>
        <w:t xml:space="preserve"> J </w:t>
      </w:r>
      <w:proofErr w:type="spellStart"/>
      <w:r>
        <w:rPr>
          <w:sz w:val="16"/>
        </w:rPr>
        <w:t>Clin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2010;</w:t>
      </w:r>
      <w:proofErr w:type="gramEnd"/>
      <w:r>
        <w:rPr>
          <w:sz w:val="16"/>
        </w:rPr>
        <w:t>60(6):393-408.</w:t>
      </w:r>
    </w:p>
    <w:p w:rsidR="00067738" w:rsidRPr="00C051FD" w:rsidRDefault="00C051FD">
      <w:pPr>
        <w:pStyle w:val="PargrafodaLista"/>
        <w:numPr>
          <w:ilvl w:val="0"/>
          <w:numId w:val="1"/>
        </w:numPr>
        <w:tabs>
          <w:tab w:val="left" w:pos="813"/>
        </w:tabs>
        <w:spacing w:before="1"/>
        <w:ind w:right="120" w:firstLine="566"/>
        <w:jc w:val="both"/>
        <w:rPr>
          <w:sz w:val="16"/>
          <w:lang w:val="en-US"/>
        </w:rPr>
      </w:pPr>
      <w:r>
        <w:rPr>
          <w:sz w:val="16"/>
        </w:rPr>
        <w:t xml:space="preserve">- </w:t>
      </w:r>
      <w:proofErr w:type="spellStart"/>
      <w:r>
        <w:rPr>
          <w:sz w:val="16"/>
        </w:rPr>
        <w:t>Sehn</w:t>
      </w:r>
      <w:proofErr w:type="spellEnd"/>
      <w:r>
        <w:rPr>
          <w:sz w:val="16"/>
        </w:rPr>
        <w:t xml:space="preserve"> LH, </w:t>
      </w:r>
      <w:proofErr w:type="spellStart"/>
      <w:r>
        <w:rPr>
          <w:sz w:val="16"/>
        </w:rPr>
        <w:t>Don</w:t>
      </w:r>
      <w:r>
        <w:rPr>
          <w:sz w:val="16"/>
        </w:rPr>
        <w:t>aldson</w:t>
      </w:r>
      <w:proofErr w:type="spellEnd"/>
      <w:r>
        <w:rPr>
          <w:sz w:val="16"/>
        </w:rPr>
        <w:t xml:space="preserve"> J, </w:t>
      </w:r>
      <w:proofErr w:type="spellStart"/>
      <w:r>
        <w:rPr>
          <w:sz w:val="16"/>
        </w:rPr>
        <w:t>Chhanabhai</w:t>
      </w:r>
      <w:proofErr w:type="spellEnd"/>
      <w:r>
        <w:rPr>
          <w:sz w:val="16"/>
        </w:rPr>
        <w:t xml:space="preserve"> M, Fitzgerald C, Gill K, </w:t>
      </w:r>
      <w:proofErr w:type="spellStart"/>
      <w:r>
        <w:rPr>
          <w:sz w:val="16"/>
        </w:rPr>
        <w:t>Klasa</w:t>
      </w:r>
      <w:proofErr w:type="spellEnd"/>
      <w:r>
        <w:rPr>
          <w:sz w:val="16"/>
        </w:rPr>
        <w:t xml:space="preserve"> R,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C051FD">
        <w:rPr>
          <w:sz w:val="16"/>
          <w:lang w:val="en-US"/>
        </w:rPr>
        <w:t xml:space="preserve">Introduction of combined CHOP plus rituximab therapy dramatically improved outcome of diffuse large B-cell lymphoma in British Columbia. J </w:t>
      </w:r>
      <w:proofErr w:type="spellStart"/>
      <w:r w:rsidRPr="00C051FD">
        <w:rPr>
          <w:sz w:val="16"/>
          <w:lang w:val="en-US"/>
        </w:rPr>
        <w:t>Clin</w:t>
      </w:r>
      <w:proofErr w:type="spellEnd"/>
      <w:r w:rsidRPr="00C051FD">
        <w:rPr>
          <w:sz w:val="16"/>
          <w:lang w:val="en-US"/>
        </w:rPr>
        <w:t xml:space="preserve"> </w:t>
      </w:r>
      <w:proofErr w:type="spellStart"/>
      <w:r w:rsidRPr="00C051FD">
        <w:rPr>
          <w:sz w:val="16"/>
          <w:lang w:val="en-US"/>
        </w:rPr>
        <w:t>Oncol</w:t>
      </w:r>
      <w:proofErr w:type="spellEnd"/>
      <w:r w:rsidRPr="00C051FD">
        <w:rPr>
          <w:sz w:val="16"/>
          <w:lang w:val="en-US"/>
        </w:rPr>
        <w:t>. 2005 Aug 1</w:t>
      </w:r>
      <w:proofErr w:type="gramStart"/>
      <w:r w:rsidRPr="00C051FD">
        <w:rPr>
          <w:sz w:val="16"/>
          <w:lang w:val="en-US"/>
        </w:rPr>
        <w:t>;23</w:t>
      </w:r>
      <w:proofErr w:type="gramEnd"/>
      <w:r w:rsidRPr="00C051FD">
        <w:rPr>
          <w:sz w:val="16"/>
          <w:lang w:val="en-US"/>
        </w:rPr>
        <w:t>(22):5027-33.</w:t>
      </w:r>
    </w:p>
    <w:p w:rsidR="00067738" w:rsidRPr="00C051FD" w:rsidRDefault="00067738">
      <w:pPr>
        <w:jc w:val="both"/>
        <w:rPr>
          <w:sz w:val="16"/>
          <w:lang w:val="en-US"/>
        </w:rPr>
        <w:sectPr w:rsidR="00067738" w:rsidRPr="00C051FD">
          <w:pgSz w:w="11910" w:h="16840"/>
          <w:pgMar w:top="1320" w:right="1580" w:bottom="280" w:left="1600" w:header="720" w:footer="720" w:gutter="0"/>
          <w:cols w:space="720"/>
        </w:sectPr>
      </w:pP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15"/>
        </w:tabs>
        <w:spacing w:before="72"/>
        <w:ind w:right="115" w:firstLine="566"/>
        <w:jc w:val="both"/>
        <w:rPr>
          <w:sz w:val="16"/>
        </w:rPr>
      </w:pPr>
      <w:r w:rsidRPr="00C051FD">
        <w:rPr>
          <w:sz w:val="16"/>
          <w:lang w:val="en-US"/>
        </w:rPr>
        <w:lastRenderedPageBreak/>
        <w:t xml:space="preserve">- </w:t>
      </w:r>
      <w:proofErr w:type="spellStart"/>
      <w:r w:rsidRPr="00C051FD">
        <w:rPr>
          <w:sz w:val="16"/>
          <w:lang w:val="en-US"/>
        </w:rPr>
        <w:t>Pfreundschuh</w:t>
      </w:r>
      <w:proofErr w:type="spellEnd"/>
      <w:r w:rsidRPr="00C051FD">
        <w:rPr>
          <w:sz w:val="16"/>
          <w:lang w:val="en-US"/>
        </w:rPr>
        <w:t xml:space="preserve"> M, </w:t>
      </w:r>
      <w:proofErr w:type="spellStart"/>
      <w:r w:rsidRPr="00C051FD">
        <w:rPr>
          <w:sz w:val="16"/>
          <w:lang w:val="en-US"/>
        </w:rPr>
        <w:t>Trumper</w:t>
      </w:r>
      <w:proofErr w:type="spellEnd"/>
      <w:r w:rsidRPr="00C051FD">
        <w:rPr>
          <w:sz w:val="16"/>
          <w:lang w:val="en-US"/>
        </w:rPr>
        <w:t xml:space="preserve"> </w:t>
      </w:r>
      <w:r w:rsidRPr="00C051FD">
        <w:rPr>
          <w:spacing w:val="-3"/>
          <w:sz w:val="16"/>
          <w:lang w:val="en-US"/>
        </w:rPr>
        <w:t xml:space="preserve">L, </w:t>
      </w:r>
      <w:proofErr w:type="spellStart"/>
      <w:r w:rsidRPr="00C051FD">
        <w:rPr>
          <w:sz w:val="16"/>
          <w:lang w:val="en-US"/>
        </w:rPr>
        <w:t>Osterborg</w:t>
      </w:r>
      <w:proofErr w:type="spellEnd"/>
      <w:r w:rsidRPr="00C051FD">
        <w:rPr>
          <w:sz w:val="16"/>
          <w:lang w:val="en-US"/>
        </w:rPr>
        <w:t xml:space="preserve"> A, </w:t>
      </w:r>
      <w:proofErr w:type="spellStart"/>
      <w:r w:rsidRPr="00C051FD">
        <w:rPr>
          <w:sz w:val="16"/>
          <w:lang w:val="en-US"/>
        </w:rPr>
        <w:t>Pettengell</w:t>
      </w:r>
      <w:proofErr w:type="spellEnd"/>
      <w:r w:rsidRPr="00C051FD">
        <w:rPr>
          <w:sz w:val="16"/>
          <w:lang w:val="en-US"/>
        </w:rPr>
        <w:t xml:space="preserve"> R, </w:t>
      </w:r>
      <w:proofErr w:type="spellStart"/>
      <w:r w:rsidRPr="00C051FD">
        <w:rPr>
          <w:sz w:val="16"/>
          <w:lang w:val="en-US"/>
        </w:rPr>
        <w:t>Trneny</w:t>
      </w:r>
      <w:proofErr w:type="spellEnd"/>
      <w:r w:rsidRPr="00C051FD">
        <w:rPr>
          <w:sz w:val="16"/>
          <w:lang w:val="en-US"/>
        </w:rPr>
        <w:t xml:space="preserve"> M, </w:t>
      </w:r>
      <w:proofErr w:type="spellStart"/>
      <w:r w:rsidRPr="00C051FD">
        <w:rPr>
          <w:sz w:val="16"/>
          <w:lang w:val="en-US"/>
        </w:rPr>
        <w:t>Imrie</w:t>
      </w:r>
      <w:proofErr w:type="spellEnd"/>
      <w:r w:rsidRPr="00C051FD">
        <w:rPr>
          <w:sz w:val="16"/>
          <w:lang w:val="en-US"/>
        </w:rPr>
        <w:t xml:space="preserve"> K, et al. CHOP-like chemotherapy plus rituximab versus CHOP-like chemotherapy alone in young patients with good-prognosis diffuse large-B-cell lymphoma: a </w:t>
      </w:r>
      <w:proofErr w:type="spellStart"/>
      <w:r w:rsidRPr="00C051FD">
        <w:rPr>
          <w:sz w:val="16"/>
          <w:lang w:val="en-US"/>
        </w:rPr>
        <w:t>randomised</w:t>
      </w:r>
      <w:proofErr w:type="spellEnd"/>
      <w:r w:rsidRPr="00C051FD">
        <w:rPr>
          <w:sz w:val="16"/>
          <w:lang w:val="en-US"/>
        </w:rPr>
        <w:t xml:space="preserve"> controlled trial by </w:t>
      </w:r>
      <w:r w:rsidRPr="00C051FD">
        <w:rPr>
          <w:sz w:val="16"/>
          <w:lang w:val="en-US"/>
        </w:rPr>
        <w:t xml:space="preserve">the </w:t>
      </w:r>
      <w:proofErr w:type="spellStart"/>
      <w:r w:rsidRPr="00C051FD">
        <w:rPr>
          <w:sz w:val="16"/>
          <w:lang w:val="en-US"/>
        </w:rPr>
        <w:t>MabThera</w:t>
      </w:r>
      <w:proofErr w:type="spellEnd"/>
      <w:r w:rsidRPr="00C051FD">
        <w:rPr>
          <w:sz w:val="16"/>
          <w:lang w:val="en-US"/>
        </w:rPr>
        <w:t xml:space="preserve"> International Trial (</w:t>
      </w:r>
      <w:proofErr w:type="spellStart"/>
      <w:r w:rsidRPr="00C051FD">
        <w:rPr>
          <w:sz w:val="16"/>
          <w:lang w:val="en-US"/>
        </w:rPr>
        <w:t>MInT</w:t>
      </w:r>
      <w:proofErr w:type="spellEnd"/>
      <w:r w:rsidRPr="00C051FD">
        <w:rPr>
          <w:sz w:val="16"/>
          <w:lang w:val="en-US"/>
        </w:rPr>
        <w:t xml:space="preserve">) Group. Lancet </w:t>
      </w:r>
      <w:proofErr w:type="spellStart"/>
      <w:r w:rsidRPr="00C051FD">
        <w:rPr>
          <w:sz w:val="16"/>
          <w:lang w:val="en-US"/>
        </w:rPr>
        <w:t>Oncol</w:t>
      </w:r>
      <w:proofErr w:type="spellEnd"/>
      <w:r w:rsidRPr="00C051FD">
        <w:rPr>
          <w:sz w:val="16"/>
          <w:lang w:val="en-US"/>
        </w:rPr>
        <w:t xml:space="preserve">. </w:t>
      </w:r>
      <w:r>
        <w:rPr>
          <w:sz w:val="16"/>
        </w:rPr>
        <w:t>2006</w:t>
      </w:r>
      <w:r>
        <w:rPr>
          <w:spacing w:val="-25"/>
          <w:sz w:val="16"/>
        </w:rPr>
        <w:t xml:space="preserve"> </w:t>
      </w:r>
      <w:proofErr w:type="gramStart"/>
      <w:r>
        <w:rPr>
          <w:sz w:val="16"/>
        </w:rPr>
        <w:t>May;</w:t>
      </w:r>
      <w:proofErr w:type="gramEnd"/>
      <w:r>
        <w:rPr>
          <w:sz w:val="16"/>
        </w:rPr>
        <w:t>7(5):379-91.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97"/>
        </w:tabs>
        <w:ind w:right="125" w:firstLine="566"/>
        <w:rPr>
          <w:sz w:val="16"/>
        </w:rPr>
      </w:pPr>
      <w:r w:rsidRPr="00C051FD">
        <w:rPr>
          <w:sz w:val="16"/>
          <w:lang w:val="en-US"/>
        </w:rPr>
        <w:t xml:space="preserve">- </w:t>
      </w:r>
      <w:proofErr w:type="spellStart"/>
      <w:r w:rsidRPr="00C051FD">
        <w:rPr>
          <w:sz w:val="16"/>
          <w:lang w:val="en-US"/>
        </w:rPr>
        <w:t>Coiffier</w:t>
      </w:r>
      <w:proofErr w:type="spellEnd"/>
      <w:r w:rsidRPr="00C051FD">
        <w:rPr>
          <w:sz w:val="16"/>
          <w:lang w:val="en-US"/>
        </w:rPr>
        <w:t xml:space="preserve"> B, </w:t>
      </w:r>
      <w:proofErr w:type="spellStart"/>
      <w:r w:rsidRPr="00C051FD">
        <w:rPr>
          <w:sz w:val="16"/>
          <w:lang w:val="en-US"/>
        </w:rPr>
        <w:t>Lepage</w:t>
      </w:r>
      <w:proofErr w:type="spellEnd"/>
      <w:r w:rsidRPr="00C051FD">
        <w:rPr>
          <w:sz w:val="16"/>
          <w:lang w:val="en-US"/>
        </w:rPr>
        <w:t xml:space="preserve"> E, </w:t>
      </w:r>
      <w:proofErr w:type="spellStart"/>
      <w:r w:rsidRPr="00C051FD">
        <w:rPr>
          <w:sz w:val="16"/>
          <w:lang w:val="en-US"/>
        </w:rPr>
        <w:t>Briere</w:t>
      </w:r>
      <w:proofErr w:type="spellEnd"/>
      <w:r w:rsidRPr="00C051FD">
        <w:rPr>
          <w:sz w:val="16"/>
          <w:lang w:val="en-US"/>
        </w:rPr>
        <w:t xml:space="preserve"> J, </w:t>
      </w:r>
      <w:proofErr w:type="spellStart"/>
      <w:r w:rsidRPr="00C051FD">
        <w:rPr>
          <w:sz w:val="16"/>
          <w:lang w:val="en-US"/>
        </w:rPr>
        <w:t>Herbrecht</w:t>
      </w:r>
      <w:proofErr w:type="spellEnd"/>
      <w:r w:rsidRPr="00C051FD">
        <w:rPr>
          <w:sz w:val="16"/>
          <w:lang w:val="en-US"/>
        </w:rPr>
        <w:t xml:space="preserve"> R, Tilly H, </w:t>
      </w:r>
      <w:proofErr w:type="spellStart"/>
      <w:r w:rsidRPr="00C051FD">
        <w:rPr>
          <w:sz w:val="16"/>
          <w:lang w:val="en-US"/>
        </w:rPr>
        <w:t>Bouabdallah</w:t>
      </w:r>
      <w:proofErr w:type="spellEnd"/>
      <w:r w:rsidRPr="00C051FD">
        <w:rPr>
          <w:sz w:val="16"/>
          <w:lang w:val="en-US"/>
        </w:rPr>
        <w:t xml:space="preserve"> R, et al. CHOP chemotherapy plus rituximab compared</w:t>
      </w:r>
      <w:r w:rsidRPr="00C051FD">
        <w:rPr>
          <w:spacing w:val="-1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with</w:t>
      </w:r>
      <w:r w:rsidRPr="00C051FD">
        <w:rPr>
          <w:spacing w:val="-2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CHOP</w:t>
      </w:r>
      <w:r w:rsidRPr="00C051FD">
        <w:rPr>
          <w:spacing w:val="-2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alone</w:t>
      </w:r>
      <w:r w:rsidRPr="00C051FD">
        <w:rPr>
          <w:spacing w:val="-3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in</w:t>
      </w:r>
      <w:r w:rsidRPr="00C051FD">
        <w:rPr>
          <w:spacing w:val="-1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elderly</w:t>
      </w:r>
      <w:r w:rsidRPr="00C051FD">
        <w:rPr>
          <w:spacing w:val="-4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patients</w:t>
      </w:r>
      <w:r w:rsidRPr="00C051FD">
        <w:rPr>
          <w:spacing w:val="-1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with</w:t>
      </w:r>
      <w:r w:rsidRPr="00C051FD">
        <w:rPr>
          <w:spacing w:val="-3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diffuse</w:t>
      </w:r>
      <w:r w:rsidRPr="00C051FD">
        <w:rPr>
          <w:spacing w:val="-3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larg</w:t>
      </w:r>
      <w:r w:rsidRPr="00C051FD">
        <w:rPr>
          <w:sz w:val="16"/>
          <w:lang w:val="en-US"/>
        </w:rPr>
        <w:t>e-B-cell</w:t>
      </w:r>
      <w:r w:rsidRPr="00C051FD">
        <w:rPr>
          <w:spacing w:val="-1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 xml:space="preserve">lymphoma.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Engl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J</w:t>
      </w:r>
      <w:r>
        <w:rPr>
          <w:spacing w:val="-3"/>
          <w:sz w:val="16"/>
        </w:rPr>
        <w:t xml:space="preserve"> </w:t>
      </w:r>
      <w:r>
        <w:rPr>
          <w:sz w:val="16"/>
        </w:rPr>
        <w:t>Med.</w:t>
      </w:r>
      <w:r>
        <w:rPr>
          <w:spacing w:val="-4"/>
          <w:sz w:val="16"/>
        </w:rPr>
        <w:t xml:space="preserve"> </w:t>
      </w:r>
      <w:r>
        <w:rPr>
          <w:sz w:val="16"/>
        </w:rPr>
        <w:t>2002</w:t>
      </w:r>
      <w:r>
        <w:rPr>
          <w:spacing w:val="-2"/>
          <w:sz w:val="16"/>
        </w:rPr>
        <w:t xml:space="preserve"> </w:t>
      </w:r>
      <w:r>
        <w:rPr>
          <w:sz w:val="16"/>
        </w:rPr>
        <w:t>Jan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24;</w:t>
      </w:r>
      <w:proofErr w:type="gramEnd"/>
      <w:r>
        <w:rPr>
          <w:sz w:val="16"/>
        </w:rPr>
        <w:t>346(4):235-42.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906"/>
        </w:tabs>
        <w:spacing w:before="2" w:line="183" w:lineRule="exact"/>
        <w:ind w:left="906" w:hanging="238"/>
        <w:rPr>
          <w:sz w:val="16"/>
        </w:rPr>
      </w:pPr>
      <w:r w:rsidRPr="00C051FD">
        <w:rPr>
          <w:sz w:val="16"/>
          <w:lang w:val="en-US"/>
        </w:rPr>
        <w:t xml:space="preserve">- Molina A. A decade of rituximab: improving survival outcomes in non-Hodgkin's lymphoma. </w:t>
      </w:r>
      <w:proofErr w:type="spellStart"/>
      <w:r>
        <w:rPr>
          <w:sz w:val="16"/>
        </w:rPr>
        <w:t>Annu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Rev</w:t>
      </w:r>
      <w:proofErr w:type="spellEnd"/>
      <w:r>
        <w:rPr>
          <w:spacing w:val="9"/>
          <w:sz w:val="16"/>
        </w:rPr>
        <w:t xml:space="preserve"> </w:t>
      </w:r>
      <w:r>
        <w:rPr>
          <w:sz w:val="16"/>
        </w:rPr>
        <w:t>Med.</w:t>
      </w:r>
    </w:p>
    <w:p w:rsidR="00067738" w:rsidRDefault="00C051FD">
      <w:pPr>
        <w:pStyle w:val="Corpodetexto"/>
        <w:spacing w:line="183" w:lineRule="exact"/>
      </w:pPr>
      <w:proofErr w:type="gramStart"/>
      <w:r>
        <w:t>2008;</w:t>
      </w:r>
      <w:proofErr w:type="gramEnd"/>
      <w:r>
        <w:t>59:237-50.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70"/>
        </w:tabs>
        <w:spacing w:before="1"/>
        <w:ind w:left="870" w:hanging="202"/>
        <w:rPr>
          <w:sz w:val="16"/>
        </w:rPr>
      </w:pPr>
      <w:r w:rsidRPr="00C051FD">
        <w:rPr>
          <w:sz w:val="16"/>
          <w:lang w:val="en-US"/>
        </w:rPr>
        <w:t xml:space="preserve">- Hill M, Kyle F. NHL (diffuse large B-cell lymphoma). </w:t>
      </w:r>
      <w:proofErr w:type="spellStart"/>
      <w:r>
        <w:rPr>
          <w:sz w:val="16"/>
        </w:rPr>
        <w:t>Clin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Evid</w:t>
      </w:r>
      <w:proofErr w:type="spellEnd"/>
      <w:r>
        <w:rPr>
          <w:sz w:val="16"/>
        </w:rPr>
        <w:t xml:space="preserve"> (Online).</w:t>
      </w:r>
      <w:r>
        <w:rPr>
          <w:spacing w:val="-15"/>
          <w:sz w:val="16"/>
        </w:rPr>
        <w:t xml:space="preserve"> </w:t>
      </w:r>
      <w:proofErr w:type="gramStart"/>
      <w:r>
        <w:rPr>
          <w:sz w:val="16"/>
        </w:rPr>
        <w:t>2010;</w:t>
      </w:r>
      <w:proofErr w:type="gramEnd"/>
      <w:r>
        <w:rPr>
          <w:sz w:val="16"/>
        </w:rPr>
        <w:t>2010.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933"/>
        </w:tabs>
        <w:spacing w:before="1"/>
        <w:ind w:right="117" w:firstLine="566"/>
        <w:rPr>
          <w:sz w:val="16"/>
        </w:rPr>
      </w:pPr>
      <w:r>
        <w:rPr>
          <w:sz w:val="16"/>
        </w:rPr>
        <w:t xml:space="preserve">- Gao G, </w:t>
      </w:r>
      <w:proofErr w:type="spellStart"/>
      <w:r>
        <w:rPr>
          <w:sz w:val="16"/>
        </w:rPr>
        <w:t>Liang</w:t>
      </w:r>
      <w:proofErr w:type="spellEnd"/>
      <w:r>
        <w:rPr>
          <w:sz w:val="16"/>
        </w:rPr>
        <w:t xml:space="preserve"> X, Jiang J, </w:t>
      </w:r>
      <w:proofErr w:type="spellStart"/>
      <w:r>
        <w:rPr>
          <w:sz w:val="16"/>
        </w:rPr>
        <w:t>Zhou</w:t>
      </w:r>
      <w:proofErr w:type="spellEnd"/>
      <w:r>
        <w:rPr>
          <w:sz w:val="16"/>
        </w:rPr>
        <w:t xml:space="preserve"> X, Huang R, Chu Z,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C051FD">
        <w:rPr>
          <w:sz w:val="16"/>
          <w:lang w:val="en-US"/>
        </w:rPr>
        <w:t xml:space="preserve">A systematic review and meta-analysis of </w:t>
      </w:r>
      <w:proofErr w:type="spellStart"/>
      <w:r w:rsidRPr="00C051FD">
        <w:rPr>
          <w:sz w:val="16"/>
          <w:lang w:val="en-US"/>
        </w:rPr>
        <w:t>immunochemotherapy</w:t>
      </w:r>
      <w:proofErr w:type="spellEnd"/>
      <w:r w:rsidRPr="00C051FD">
        <w:rPr>
          <w:sz w:val="16"/>
          <w:lang w:val="en-US"/>
        </w:rPr>
        <w:t xml:space="preserve"> with rituximab for B-cell non-Hodgkin's lymphoma. </w:t>
      </w:r>
      <w:r>
        <w:rPr>
          <w:sz w:val="16"/>
        </w:rPr>
        <w:t xml:space="preserve">Acta </w:t>
      </w:r>
      <w:proofErr w:type="spellStart"/>
      <w:r>
        <w:rPr>
          <w:sz w:val="16"/>
        </w:rPr>
        <w:t>Oncol</w:t>
      </w:r>
      <w:proofErr w:type="spellEnd"/>
      <w:r>
        <w:rPr>
          <w:sz w:val="16"/>
        </w:rPr>
        <w:t>.</w:t>
      </w:r>
      <w:r>
        <w:rPr>
          <w:spacing w:val="-16"/>
          <w:sz w:val="16"/>
        </w:rPr>
        <w:t xml:space="preserve"> </w:t>
      </w:r>
      <w:proofErr w:type="gramStart"/>
      <w:r>
        <w:rPr>
          <w:sz w:val="16"/>
        </w:rPr>
        <w:t>2010;</w:t>
      </w:r>
      <w:proofErr w:type="gramEnd"/>
      <w:r>
        <w:rPr>
          <w:sz w:val="16"/>
        </w:rPr>
        <w:t>49(1):3-12.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78"/>
        </w:tabs>
        <w:ind w:right="114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Kaplan LD, Lee JY, </w:t>
      </w:r>
      <w:proofErr w:type="spellStart"/>
      <w:r w:rsidRPr="00C051FD">
        <w:rPr>
          <w:sz w:val="16"/>
          <w:lang w:val="en-US"/>
        </w:rPr>
        <w:t>Ambinder</w:t>
      </w:r>
      <w:proofErr w:type="spellEnd"/>
      <w:r w:rsidRPr="00C051FD">
        <w:rPr>
          <w:sz w:val="16"/>
          <w:lang w:val="en-US"/>
        </w:rPr>
        <w:t xml:space="preserve"> RF, </w:t>
      </w:r>
      <w:proofErr w:type="spellStart"/>
      <w:r w:rsidRPr="00C051FD">
        <w:rPr>
          <w:sz w:val="16"/>
          <w:lang w:val="en-US"/>
        </w:rPr>
        <w:t>Sparano</w:t>
      </w:r>
      <w:proofErr w:type="spellEnd"/>
      <w:r w:rsidRPr="00C051FD">
        <w:rPr>
          <w:sz w:val="16"/>
          <w:lang w:val="en-US"/>
        </w:rPr>
        <w:t xml:space="preserve"> JA, </w:t>
      </w:r>
      <w:proofErr w:type="spellStart"/>
      <w:r w:rsidRPr="00C051FD">
        <w:rPr>
          <w:sz w:val="16"/>
          <w:lang w:val="en-US"/>
        </w:rPr>
        <w:t>Ce</w:t>
      </w:r>
      <w:r w:rsidRPr="00C051FD">
        <w:rPr>
          <w:sz w:val="16"/>
          <w:lang w:val="en-US"/>
        </w:rPr>
        <w:t>sarman</w:t>
      </w:r>
      <w:proofErr w:type="spellEnd"/>
      <w:r w:rsidRPr="00C051FD">
        <w:rPr>
          <w:sz w:val="16"/>
          <w:lang w:val="en-US"/>
        </w:rPr>
        <w:t xml:space="preserve"> E, </w:t>
      </w:r>
      <w:proofErr w:type="spellStart"/>
      <w:r w:rsidRPr="00C051FD">
        <w:rPr>
          <w:sz w:val="16"/>
          <w:lang w:val="en-US"/>
        </w:rPr>
        <w:t>Chadburn</w:t>
      </w:r>
      <w:proofErr w:type="spellEnd"/>
      <w:r w:rsidRPr="00C051FD">
        <w:rPr>
          <w:sz w:val="16"/>
          <w:lang w:val="en-US"/>
        </w:rPr>
        <w:t xml:space="preserve"> A, et al. Rituximab does not improve clinical outcome in a randomized phase 3 trial of CHOP with or without rituximab in patients with HIV-associated non-Hodgkin lymphoma: AIDS-Malignancies Consortium Trial 010. </w:t>
      </w:r>
      <w:proofErr w:type="spellStart"/>
      <w:r>
        <w:rPr>
          <w:sz w:val="16"/>
        </w:rPr>
        <w:t>Blood</w:t>
      </w:r>
      <w:proofErr w:type="spellEnd"/>
      <w:r>
        <w:rPr>
          <w:sz w:val="16"/>
        </w:rPr>
        <w:t xml:space="preserve">. 2005 </w:t>
      </w:r>
      <w:proofErr w:type="spellStart"/>
      <w:r>
        <w:rPr>
          <w:sz w:val="16"/>
        </w:rPr>
        <w:t>Sep</w:t>
      </w:r>
      <w:proofErr w:type="spellEnd"/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1</w:t>
      </w:r>
      <w:proofErr w:type="gramEnd"/>
      <w:r>
        <w:rPr>
          <w:sz w:val="16"/>
        </w:rPr>
        <w:t>;106(5):</w:t>
      </w:r>
      <w:r>
        <w:rPr>
          <w:sz w:val="16"/>
        </w:rPr>
        <w:t>1538-43.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70"/>
        </w:tabs>
        <w:ind w:left="870" w:hanging="202"/>
        <w:rPr>
          <w:sz w:val="16"/>
        </w:rPr>
      </w:pPr>
      <w:r w:rsidRPr="00C051FD">
        <w:rPr>
          <w:sz w:val="16"/>
          <w:lang w:val="en-US"/>
        </w:rPr>
        <w:t xml:space="preserve">- Levine </w:t>
      </w:r>
      <w:proofErr w:type="gramStart"/>
      <w:r w:rsidRPr="00C051FD">
        <w:rPr>
          <w:sz w:val="16"/>
          <w:lang w:val="en-US"/>
        </w:rPr>
        <w:t>AM</w:t>
      </w:r>
      <w:proofErr w:type="gramEnd"/>
      <w:r w:rsidRPr="00C051FD">
        <w:rPr>
          <w:sz w:val="16"/>
          <w:lang w:val="en-US"/>
        </w:rPr>
        <w:t xml:space="preserve">. HIV-associated lymphoma. </w:t>
      </w:r>
      <w:proofErr w:type="spellStart"/>
      <w:r>
        <w:rPr>
          <w:sz w:val="16"/>
        </w:rPr>
        <w:t>Blood</w:t>
      </w:r>
      <w:proofErr w:type="spellEnd"/>
      <w:r>
        <w:rPr>
          <w:sz w:val="16"/>
        </w:rPr>
        <w:t xml:space="preserve">. 2010 </w:t>
      </w:r>
      <w:proofErr w:type="spellStart"/>
      <w:r>
        <w:rPr>
          <w:sz w:val="16"/>
        </w:rPr>
        <w:t>Apr</w:t>
      </w:r>
      <w:proofErr w:type="spellEnd"/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15;</w:t>
      </w:r>
      <w:proofErr w:type="gramEnd"/>
      <w:r>
        <w:rPr>
          <w:sz w:val="16"/>
        </w:rPr>
        <w:t>115(15):2986-7.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78"/>
        </w:tabs>
        <w:ind w:right="120" w:firstLine="566"/>
        <w:rPr>
          <w:sz w:val="16"/>
        </w:rPr>
      </w:pPr>
      <w:r>
        <w:rPr>
          <w:sz w:val="16"/>
        </w:rPr>
        <w:t xml:space="preserve">- Costa FPS, Pereira FG, Vassalo J, Freitas LLL, </w:t>
      </w:r>
      <w:proofErr w:type="spellStart"/>
      <w:r>
        <w:rPr>
          <w:sz w:val="16"/>
        </w:rPr>
        <w:t>Lorand-MetzeI</w:t>
      </w:r>
      <w:proofErr w:type="spellEnd"/>
      <w:r>
        <w:rPr>
          <w:sz w:val="16"/>
        </w:rPr>
        <w:t xml:space="preserve"> I. A utilidade da citologia por punção com agulha fina aliada a </w:t>
      </w:r>
      <w:proofErr w:type="spellStart"/>
      <w:r>
        <w:rPr>
          <w:sz w:val="16"/>
        </w:rPr>
        <w:t>imunofenotipagem</w:t>
      </w:r>
      <w:proofErr w:type="spellEnd"/>
      <w:r>
        <w:rPr>
          <w:sz w:val="16"/>
        </w:rPr>
        <w:t xml:space="preserve"> no diagnóstico dos linfomas nã</w:t>
      </w:r>
      <w:r>
        <w:rPr>
          <w:sz w:val="16"/>
        </w:rPr>
        <w:t xml:space="preserve">o-Hodgkin. </w:t>
      </w:r>
      <w:proofErr w:type="spellStart"/>
      <w:r>
        <w:rPr>
          <w:sz w:val="16"/>
        </w:rPr>
        <w:t>Rev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Hematol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Hemoter</w:t>
      </w:r>
      <w:proofErr w:type="spellEnd"/>
      <w:r>
        <w:rPr>
          <w:sz w:val="16"/>
        </w:rPr>
        <w:t>.</w:t>
      </w:r>
      <w:r>
        <w:rPr>
          <w:spacing w:val="-25"/>
          <w:sz w:val="16"/>
        </w:rPr>
        <w:t xml:space="preserve"> </w:t>
      </w:r>
      <w:proofErr w:type="gramStart"/>
      <w:r>
        <w:rPr>
          <w:sz w:val="16"/>
        </w:rPr>
        <w:t>2005;</w:t>
      </w:r>
      <w:proofErr w:type="gramEnd"/>
      <w:r>
        <w:rPr>
          <w:sz w:val="16"/>
        </w:rPr>
        <w:t>27(1):16-20.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87"/>
        </w:tabs>
        <w:spacing w:line="183" w:lineRule="exact"/>
        <w:ind w:left="886" w:hanging="218"/>
        <w:rPr>
          <w:sz w:val="16"/>
        </w:rPr>
      </w:pPr>
      <w:r>
        <w:rPr>
          <w:sz w:val="16"/>
        </w:rPr>
        <w:t>-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International</w:t>
      </w:r>
      <w:proofErr w:type="spellEnd"/>
      <w:r>
        <w:rPr>
          <w:spacing w:val="11"/>
          <w:sz w:val="16"/>
        </w:rPr>
        <w:t xml:space="preserve"> </w:t>
      </w:r>
      <w:r>
        <w:rPr>
          <w:sz w:val="16"/>
        </w:rPr>
        <w:t>Union</w:t>
      </w:r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Against</w:t>
      </w:r>
      <w:proofErr w:type="spellEnd"/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Cancer</w:t>
      </w:r>
      <w:proofErr w:type="spellEnd"/>
      <w:r>
        <w:rPr>
          <w:sz w:val="16"/>
        </w:rPr>
        <w:t>.</w:t>
      </w:r>
      <w:r>
        <w:rPr>
          <w:spacing w:val="13"/>
          <w:sz w:val="16"/>
        </w:rPr>
        <w:t xml:space="preserve"> </w:t>
      </w:r>
      <w:r>
        <w:rPr>
          <w:sz w:val="16"/>
        </w:rPr>
        <w:t>TNM:</w:t>
      </w:r>
      <w:r>
        <w:rPr>
          <w:spacing w:val="11"/>
          <w:sz w:val="16"/>
        </w:rPr>
        <w:t xml:space="preserve"> </w:t>
      </w:r>
      <w:r>
        <w:rPr>
          <w:sz w:val="16"/>
        </w:rPr>
        <w:t>classificação</w:t>
      </w:r>
      <w:r>
        <w:rPr>
          <w:spacing w:val="9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sz w:val="16"/>
        </w:rPr>
        <w:t>tumores</w:t>
      </w:r>
      <w:r>
        <w:rPr>
          <w:spacing w:val="12"/>
          <w:sz w:val="16"/>
        </w:rPr>
        <w:t xml:space="preserve"> </w:t>
      </w:r>
      <w:r>
        <w:rPr>
          <w:sz w:val="16"/>
        </w:rPr>
        <w:t>malignos,</w:t>
      </w:r>
      <w:r>
        <w:rPr>
          <w:spacing w:val="13"/>
          <w:sz w:val="16"/>
        </w:rPr>
        <w:t xml:space="preserve"> </w:t>
      </w:r>
      <w:proofErr w:type="gramStart"/>
      <w:r>
        <w:rPr>
          <w:sz w:val="16"/>
        </w:rPr>
        <w:t>6a.</w:t>
      </w:r>
      <w:proofErr w:type="gramEnd"/>
      <w:r>
        <w:rPr>
          <w:spacing w:val="13"/>
          <w:sz w:val="16"/>
        </w:rPr>
        <w:t xml:space="preserve"> </w:t>
      </w:r>
      <w:proofErr w:type="gramStart"/>
      <w:r>
        <w:rPr>
          <w:sz w:val="16"/>
        </w:rPr>
        <w:t>ed.</w:t>
      </w:r>
      <w:proofErr w:type="gramEnd"/>
      <w:r>
        <w:rPr>
          <w:spacing w:val="11"/>
          <w:sz w:val="16"/>
        </w:rPr>
        <w:t xml:space="preserve"> </w:t>
      </w:r>
      <w:r>
        <w:rPr>
          <w:sz w:val="16"/>
        </w:rPr>
        <w:t>Rio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sz w:val="16"/>
        </w:rPr>
        <w:t>Janeiro:</w:t>
      </w:r>
      <w:r>
        <w:rPr>
          <w:spacing w:val="13"/>
          <w:sz w:val="16"/>
        </w:rPr>
        <w:t xml:space="preserve"> </w:t>
      </w:r>
      <w:r>
        <w:rPr>
          <w:sz w:val="16"/>
        </w:rPr>
        <w:t>INCA,</w:t>
      </w:r>
      <w:r>
        <w:rPr>
          <w:spacing w:val="13"/>
          <w:sz w:val="16"/>
        </w:rPr>
        <w:t xml:space="preserve"> </w:t>
      </w:r>
      <w:r>
        <w:rPr>
          <w:sz w:val="16"/>
        </w:rPr>
        <w:t>2004.</w:t>
      </w:r>
    </w:p>
    <w:p w:rsidR="00067738" w:rsidRDefault="00C051FD">
      <w:pPr>
        <w:pStyle w:val="Corpodetexto"/>
        <w:spacing w:before="1" w:line="183" w:lineRule="exact"/>
      </w:pPr>
      <w:r>
        <w:t>254p.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80"/>
        </w:tabs>
        <w:spacing w:line="183" w:lineRule="exact"/>
        <w:ind w:left="879" w:hanging="211"/>
        <w:rPr>
          <w:sz w:val="16"/>
        </w:rPr>
      </w:pPr>
      <w:r w:rsidRPr="00C051FD">
        <w:rPr>
          <w:sz w:val="16"/>
          <w:lang w:val="en-US"/>
        </w:rPr>
        <w:t>-</w:t>
      </w:r>
      <w:r w:rsidRPr="00C051FD">
        <w:rPr>
          <w:spacing w:val="6"/>
          <w:sz w:val="16"/>
          <w:lang w:val="en-US"/>
        </w:rPr>
        <w:t xml:space="preserve"> </w:t>
      </w:r>
      <w:proofErr w:type="spellStart"/>
      <w:r w:rsidRPr="00C051FD">
        <w:rPr>
          <w:sz w:val="16"/>
          <w:lang w:val="en-US"/>
        </w:rPr>
        <w:t>Sehn</w:t>
      </w:r>
      <w:proofErr w:type="spellEnd"/>
      <w:r w:rsidRPr="00C051FD">
        <w:rPr>
          <w:spacing w:val="7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LH,</w:t>
      </w:r>
      <w:r w:rsidRPr="00C051FD">
        <w:rPr>
          <w:spacing w:val="8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Berry</w:t>
      </w:r>
      <w:r w:rsidRPr="00C051FD">
        <w:rPr>
          <w:spacing w:val="4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B,</w:t>
      </w:r>
      <w:r w:rsidRPr="00C051FD">
        <w:rPr>
          <w:spacing w:val="7"/>
          <w:sz w:val="16"/>
          <w:lang w:val="en-US"/>
        </w:rPr>
        <w:t xml:space="preserve"> </w:t>
      </w:r>
      <w:proofErr w:type="spellStart"/>
      <w:r w:rsidRPr="00C051FD">
        <w:rPr>
          <w:sz w:val="16"/>
          <w:lang w:val="en-US"/>
        </w:rPr>
        <w:t>Chhanabhai</w:t>
      </w:r>
      <w:proofErr w:type="spellEnd"/>
      <w:r w:rsidRPr="00C051FD">
        <w:rPr>
          <w:spacing w:val="6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M,</w:t>
      </w:r>
      <w:r w:rsidRPr="00C051FD">
        <w:rPr>
          <w:spacing w:val="8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Fitzgerald</w:t>
      </w:r>
      <w:r w:rsidRPr="00C051FD">
        <w:rPr>
          <w:spacing w:val="9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C,</w:t>
      </w:r>
      <w:r w:rsidRPr="00C051FD">
        <w:rPr>
          <w:spacing w:val="6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Gill</w:t>
      </w:r>
      <w:r w:rsidRPr="00C051FD">
        <w:rPr>
          <w:spacing w:val="8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K,</w:t>
      </w:r>
      <w:r w:rsidRPr="00C051FD">
        <w:rPr>
          <w:spacing w:val="8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Hoskins</w:t>
      </w:r>
      <w:r w:rsidRPr="00C051FD">
        <w:rPr>
          <w:spacing w:val="8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P,</w:t>
      </w:r>
      <w:r w:rsidRPr="00C051FD">
        <w:rPr>
          <w:spacing w:val="7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et</w:t>
      </w:r>
      <w:r w:rsidRPr="00C051FD">
        <w:rPr>
          <w:spacing w:val="8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al.</w:t>
      </w:r>
      <w:r w:rsidRPr="00C051FD">
        <w:rPr>
          <w:spacing w:val="8"/>
          <w:sz w:val="16"/>
          <w:lang w:val="en-US"/>
        </w:rPr>
        <w:t xml:space="preserve"> </w:t>
      </w:r>
      <w:r>
        <w:rPr>
          <w:sz w:val="16"/>
        </w:rPr>
        <w:t>The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revised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International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Prognostic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Index</w:t>
      </w:r>
    </w:p>
    <w:p w:rsidR="00067738" w:rsidRDefault="00C051FD">
      <w:pPr>
        <w:pStyle w:val="Corpodetexto"/>
        <w:spacing w:before="1"/>
      </w:pPr>
      <w:r w:rsidRPr="00C051FD">
        <w:rPr>
          <w:lang w:val="en-US"/>
        </w:rPr>
        <w:t xml:space="preserve">(R-IPI) is a better predictor of outcome than the standard IPI for patients with diffuse large B-cell lymphoma treated with R-CHOP. </w:t>
      </w:r>
      <w:proofErr w:type="spellStart"/>
      <w:r>
        <w:t>Blood</w:t>
      </w:r>
      <w:proofErr w:type="spellEnd"/>
      <w:r>
        <w:t xml:space="preserve">. 2007 Mar </w:t>
      </w:r>
      <w:proofErr w:type="gramStart"/>
      <w:r>
        <w:t>1</w:t>
      </w:r>
      <w:proofErr w:type="gramEnd"/>
      <w:r>
        <w:t>;109(5):1857-61.</w:t>
      </w:r>
    </w:p>
    <w:p w:rsidR="00067738" w:rsidRPr="00C051FD" w:rsidRDefault="00C051FD">
      <w:pPr>
        <w:pStyle w:val="PargrafodaLista"/>
        <w:numPr>
          <w:ilvl w:val="0"/>
          <w:numId w:val="1"/>
        </w:numPr>
        <w:tabs>
          <w:tab w:val="left" w:pos="878"/>
        </w:tabs>
        <w:spacing w:line="183" w:lineRule="exact"/>
        <w:ind w:left="877" w:hanging="209"/>
        <w:rPr>
          <w:sz w:val="16"/>
          <w:lang w:val="en-US"/>
        </w:rPr>
      </w:pPr>
      <w:r w:rsidRPr="00C051FD">
        <w:rPr>
          <w:sz w:val="16"/>
          <w:lang w:val="en-US"/>
        </w:rPr>
        <w:t xml:space="preserve">- </w:t>
      </w:r>
      <w:proofErr w:type="spellStart"/>
      <w:r w:rsidRPr="00C051FD">
        <w:rPr>
          <w:sz w:val="16"/>
          <w:lang w:val="en-US"/>
        </w:rPr>
        <w:t>Seshadri</w:t>
      </w:r>
      <w:proofErr w:type="spellEnd"/>
      <w:r w:rsidRPr="00C051FD">
        <w:rPr>
          <w:sz w:val="16"/>
          <w:lang w:val="en-US"/>
        </w:rPr>
        <w:t xml:space="preserve"> T, </w:t>
      </w:r>
      <w:proofErr w:type="spellStart"/>
      <w:r w:rsidRPr="00C051FD">
        <w:rPr>
          <w:sz w:val="16"/>
          <w:lang w:val="en-US"/>
        </w:rPr>
        <w:t>Kuruvilla</w:t>
      </w:r>
      <w:proofErr w:type="spellEnd"/>
      <w:r w:rsidRPr="00C051FD">
        <w:rPr>
          <w:sz w:val="16"/>
          <w:lang w:val="en-US"/>
        </w:rPr>
        <w:t xml:space="preserve"> J, Crump M, Keating A. Salv</w:t>
      </w:r>
      <w:r w:rsidRPr="00C051FD">
        <w:rPr>
          <w:sz w:val="16"/>
          <w:lang w:val="en-US"/>
        </w:rPr>
        <w:t>age therapy for relapsed/refractory diffuse large B cell</w:t>
      </w:r>
      <w:r w:rsidRPr="00C051FD">
        <w:rPr>
          <w:spacing w:val="6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lymphoma.</w:t>
      </w:r>
    </w:p>
    <w:p w:rsidR="00067738" w:rsidRDefault="00C051FD">
      <w:pPr>
        <w:pStyle w:val="Corpodetexto"/>
        <w:spacing w:before="1"/>
      </w:pPr>
      <w:proofErr w:type="spellStart"/>
      <w:r>
        <w:t>Biol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Marrow</w:t>
      </w:r>
      <w:proofErr w:type="spellEnd"/>
      <w:r>
        <w:t xml:space="preserve"> </w:t>
      </w:r>
      <w:proofErr w:type="spellStart"/>
      <w:r>
        <w:t>Transplant</w:t>
      </w:r>
      <w:proofErr w:type="spellEnd"/>
      <w:r>
        <w:t xml:space="preserve">. </w:t>
      </w:r>
      <w:proofErr w:type="gramStart"/>
      <w:r>
        <w:t>2008;</w:t>
      </w:r>
      <w:proofErr w:type="gramEnd"/>
      <w:r>
        <w:t>14(3):259-67.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94"/>
        </w:tabs>
        <w:spacing w:before="1" w:line="183" w:lineRule="exact"/>
        <w:ind w:left="894" w:hanging="226"/>
        <w:rPr>
          <w:sz w:val="16"/>
        </w:rPr>
      </w:pPr>
      <w:r w:rsidRPr="00C051FD">
        <w:rPr>
          <w:sz w:val="16"/>
          <w:lang w:val="en-US"/>
        </w:rPr>
        <w:t xml:space="preserve">- </w:t>
      </w:r>
      <w:proofErr w:type="spellStart"/>
      <w:r w:rsidRPr="00C051FD">
        <w:rPr>
          <w:sz w:val="16"/>
          <w:lang w:val="en-US"/>
        </w:rPr>
        <w:t>Gisselbrecht</w:t>
      </w:r>
      <w:proofErr w:type="spellEnd"/>
      <w:r w:rsidRPr="00C051FD">
        <w:rPr>
          <w:sz w:val="16"/>
          <w:lang w:val="en-US"/>
        </w:rPr>
        <w:t xml:space="preserve"> C, </w:t>
      </w:r>
      <w:proofErr w:type="spellStart"/>
      <w:r w:rsidRPr="00C051FD">
        <w:rPr>
          <w:sz w:val="16"/>
          <w:lang w:val="en-US"/>
        </w:rPr>
        <w:t>Mounier</w:t>
      </w:r>
      <w:proofErr w:type="spellEnd"/>
      <w:r w:rsidRPr="00C051FD">
        <w:rPr>
          <w:sz w:val="16"/>
          <w:lang w:val="en-US"/>
        </w:rPr>
        <w:t xml:space="preserve"> N. Improving second-line therapy in aggressive non-Hodgkin's lymphoma. </w:t>
      </w:r>
      <w:proofErr w:type="spellStart"/>
      <w:r>
        <w:rPr>
          <w:sz w:val="16"/>
        </w:rPr>
        <w:t>Semin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Oncol</w:t>
      </w:r>
      <w:proofErr w:type="spellEnd"/>
      <w:r>
        <w:rPr>
          <w:sz w:val="16"/>
        </w:rPr>
        <w:t>.</w:t>
      </w:r>
    </w:p>
    <w:p w:rsidR="00067738" w:rsidRDefault="00C051FD">
      <w:pPr>
        <w:pStyle w:val="Corpodetexto"/>
        <w:spacing w:line="183" w:lineRule="exact"/>
      </w:pPr>
      <w:r>
        <w:t xml:space="preserve">2004 </w:t>
      </w:r>
      <w:proofErr w:type="gramStart"/>
      <w:r>
        <w:t>Feb</w:t>
      </w:r>
      <w:proofErr w:type="gramEnd"/>
      <w:r>
        <w:t xml:space="preserve">;31(1 </w:t>
      </w:r>
      <w:proofErr w:type="spellStart"/>
      <w:r>
        <w:t>Suppl</w:t>
      </w:r>
      <w:proofErr w:type="spellEnd"/>
      <w:r>
        <w:t xml:space="preserve"> 2):12-6.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87"/>
        </w:tabs>
        <w:ind w:right="112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Prichard M, Harris T, Williams ME, </w:t>
      </w:r>
      <w:proofErr w:type="spellStart"/>
      <w:r w:rsidRPr="00C051FD">
        <w:rPr>
          <w:sz w:val="16"/>
          <w:lang w:val="en-US"/>
        </w:rPr>
        <w:t>Densmore</w:t>
      </w:r>
      <w:proofErr w:type="spellEnd"/>
      <w:r w:rsidRPr="00C051FD">
        <w:rPr>
          <w:sz w:val="16"/>
          <w:lang w:val="en-US"/>
        </w:rPr>
        <w:t xml:space="preserve"> JJ. Treatment strategies for relapsed and refractory aggressive non- Hodgkin's lymphoma. </w:t>
      </w:r>
      <w:r>
        <w:rPr>
          <w:sz w:val="16"/>
        </w:rPr>
        <w:t xml:space="preserve">Expert </w:t>
      </w:r>
      <w:proofErr w:type="spellStart"/>
      <w:r>
        <w:rPr>
          <w:sz w:val="16"/>
        </w:rPr>
        <w:t>Opin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Pharmacother</w:t>
      </w:r>
      <w:proofErr w:type="spellEnd"/>
      <w:r>
        <w:rPr>
          <w:sz w:val="16"/>
        </w:rPr>
        <w:t>. 2009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Apr;</w:t>
      </w:r>
      <w:proofErr w:type="gramEnd"/>
      <w:r>
        <w:rPr>
          <w:sz w:val="16"/>
        </w:rPr>
        <w:t>10(6):983-95.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85"/>
        </w:tabs>
        <w:ind w:right="114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</w:t>
      </w:r>
      <w:proofErr w:type="spellStart"/>
      <w:r w:rsidRPr="00C051FD">
        <w:rPr>
          <w:sz w:val="16"/>
          <w:lang w:val="en-US"/>
        </w:rPr>
        <w:t>Salminen</w:t>
      </w:r>
      <w:proofErr w:type="spellEnd"/>
      <w:r w:rsidRPr="00C051FD">
        <w:rPr>
          <w:sz w:val="16"/>
          <w:lang w:val="en-US"/>
        </w:rPr>
        <w:t xml:space="preserve"> E, </w:t>
      </w:r>
      <w:proofErr w:type="spellStart"/>
      <w:r w:rsidRPr="00C051FD">
        <w:rPr>
          <w:sz w:val="16"/>
          <w:lang w:val="en-US"/>
        </w:rPr>
        <w:t>Nikkanen</w:t>
      </w:r>
      <w:proofErr w:type="spellEnd"/>
      <w:r w:rsidRPr="00C051FD">
        <w:rPr>
          <w:sz w:val="16"/>
          <w:lang w:val="en-US"/>
        </w:rPr>
        <w:t xml:space="preserve"> V, </w:t>
      </w:r>
      <w:proofErr w:type="spellStart"/>
      <w:r w:rsidRPr="00C051FD">
        <w:rPr>
          <w:sz w:val="16"/>
          <w:lang w:val="en-US"/>
        </w:rPr>
        <w:t>Lindholm</w:t>
      </w:r>
      <w:proofErr w:type="spellEnd"/>
      <w:r w:rsidRPr="00C051FD">
        <w:rPr>
          <w:sz w:val="16"/>
          <w:lang w:val="en-US"/>
        </w:rPr>
        <w:t xml:space="preserve"> </w:t>
      </w:r>
      <w:r w:rsidRPr="00C051FD">
        <w:rPr>
          <w:spacing w:val="-3"/>
          <w:sz w:val="16"/>
          <w:lang w:val="en-US"/>
        </w:rPr>
        <w:t xml:space="preserve">L. </w:t>
      </w:r>
      <w:r w:rsidRPr="00C051FD">
        <w:rPr>
          <w:sz w:val="16"/>
          <w:lang w:val="en-US"/>
        </w:rPr>
        <w:t>Palliative chemotherapy in non-Hod</w:t>
      </w:r>
      <w:r w:rsidRPr="00C051FD">
        <w:rPr>
          <w:sz w:val="16"/>
          <w:lang w:val="en-US"/>
        </w:rPr>
        <w:t xml:space="preserve">gkin's lymphoma. </w:t>
      </w:r>
      <w:proofErr w:type="spellStart"/>
      <w:r>
        <w:rPr>
          <w:sz w:val="16"/>
        </w:rPr>
        <w:t>Oncology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1997 Mar</w:t>
      </w:r>
      <w:proofErr w:type="gramEnd"/>
      <w:r>
        <w:rPr>
          <w:sz w:val="16"/>
        </w:rPr>
        <w:t>- Apr;54(2):108-11.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87"/>
        </w:tabs>
        <w:spacing w:before="1"/>
        <w:ind w:right="128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Lyman GH. Guidelines of the National Comprehensive Cancer Network on the use of myeloid growth factors with cancer chemotherapy: a review of the evidence. </w:t>
      </w:r>
      <w:r>
        <w:rPr>
          <w:sz w:val="16"/>
        </w:rPr>
        <w:t xml:space="preserve">J </w:t>
      </w:r>
      <w:proofErr w:type="spellStart"/>
      <w:r>
        <w:rPr>
          <w:sz w:val="16"/>
        </w:rPr>
        <w:t>Natl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Canc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Netw</w:t>
      </w:r>
      <w:proofErr w:type="spellEnd"/>
      <w:r>
        <w:rPr>
          <w:sz w:val="16"/>
        </w:rPr>
        <w:t>. 2005</w:t>
      </w:r>
      <w:r>
        <w:rPr>
          <w:spacing w:val="-12"/>
          <w:sz w:val="16"/>
        </w:rPr>
        <w:t xml:space="preserve"> </w:t>
      </w:r>
      <w:proofErr w:type="gramStart"/>
      <w:r>
        <w:rPr>
          <w:sz w:val="16"/>
        </w:rPr>
        <w:t>Jul;</w:t>
      </w:r>
      <w:proofErr w:type="gramEnd"/>
      <w:r>
        <w:rPr>
          <w:sz w:val="16"/>
        </w:rPr>
        <w:t>3(4):557-71</w:t>
      </w:r>
      <w:r>
        <w:rPr>
          <w:sz w:val="16"/>
        </w:rPr>
        <w:t>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921"/>
        </w:tabs>
        <w:ind w:right="116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van </w:t>
      </w:r>
      <w:proofErr w:type="spellStart"/>
      <w:r w:rsidRPr="00C051FD">
        <w:rPr>
          <w:sz w:val="16"/>
          <w:lang w:val="en-US"/>
        </w:rPr>
        <w:t>Kampen</w:t>
      </w:r>
      <w:proofErr w:type="spellEnd"/>
      <w:r w:rsidRPr="00C051FD">
        <w:rPr>
          <w:sz w:val="16"/>
          <w:lang w:val="en-US"/>
        </w:rPr>
        <w:t xml:space="preserve"> RJ, Canals C, Schouten HC, </w:t>
      </w:r>
      <w:proofErr w:type="spellStart"/>
      <w:r w:rsidRPr="00C051FD">
        <w:rPr>
          <w:sz w:val="16"/>
          <w:lang w:val="en-US"/>
        </w:rPr>
        <w:t>Nagler</w:t>
      </w:r>
      <w:proofErr w:type="spellEnd"/>
      <w:r w:rsidRPr="00C051FD">
        <w:rPr>
          <w:sz w:val="16"/>
          <w:lang w:val="en-US"/>
        </w:rPr>
        <w:t xml:space="preserve"> A, Thomson KJ, </w:t>
      </w:r>
      <w:proofErr w:type="spellStart"/>
      <w:r w:rsidRPr="00C051FD">
        <w:rPr>
          <w:sz w:val="16"/>
          <w:lang w:val="en-US"/>
        </w:rPr>
        <w:t>Vernant</w:t>
      </w:r>
      <w:proofErr w:type="spellEnd"/>
      <w:r w:rsidRPr="00C051FD">
        <w:rPr>
          <w:sz w:val="16"/>
          <w:lang w:val="en-US"/>
        </w:rPr>
        <w:t xml:space="preserve"> JP, et al. Allogeneic stem-cell transplantation as salvage therapy for patients with diffuse large B-cell non-Hodgkin's lymphoma relapsing after an autologous stem-cell transplantation</w:t>
      </w:r>
      <w:r w:rsidRPr="00C051FD">
        <w:rPr>
          <w:sz w:val="16"/>
          <w:lang w:val="en-US"/>
        </w:rPr>
        <w:t xml:space="preserve">: an analysis of the European Group for Blood and Marrow Transplantation Registry. </w:t>
      </w:r>
      <w:r>
        <w:rPr>
          <w:sz w:val="16"/>
        </w:rPr>
        <w:t xml:space="preserve">J </w:t>
      </w:r>
      <w:proofErr w:type="spellStart"/>
      <w:r>
        <w:rPr>
          <w:sz w:val="16"/>
        </w:rPr>
        <w:t>Clin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Oncol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2011;</w:t>
      </w:r>
      <w:proofErr w:type="gramEnd"/>
      <w:r>
        <w:rPr>
          <w:sz w:val="16"/>
        </w:rPr>
        <w:t>29(10):1342-8.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911"/>
        </w:tabs>
        <w:ind w:right="112" w:firstLine="566"/>
        <w:jc w:val="both"/>
        <w:rPr>
          <w:sz w:val="16"/>
        </w:rPr>
      </w:pPr>
      <w:r>
        <w:rPr>
          <w:sz w:val="16"/>
        </w:rPr>
        <w:t xml:space="preserve">- </w:t>
      </w:r>
      <w:proofErr w:type="spellStart"/>
      <w:r>
        <w:rPr>
          <w:sz w:val="16"/>
        </w:rPr>
        <w:t>Baldissera</w:t>
      </w:r>
      <w:proofErr w:type="spellEnd"/>
      <w:r>
        <w:rPr>
          <w:sz w:val="16"/>
        </w:rPr>
        <w:t xml:space="preserve"> R, </w:t>
      </w:r>
      <w:proofErr w:type="spellStart"/>
      <w:r>
        <w:rPr>
          <w:sz w:val="16"/>
        </w:rPr>
        <w:t>Bigni</w:t>
      </w:r>
      <w:proofErr w:type="spellEnd"/>
      <w:r>
        <w:rPr>
          <w:sz w:val="16"/>
        </w:rPr>
        <w:t xml:space="preserve"> R, Neto AEH, Dias DF, Souza RA, </w:t>
      </w:r>
      <w:proofErr w:type="spellStart"/>
      <w:r>
        <w:rPr>
          <w:sz w:val="16"/>
        </w:rPr>
        <w:t>Chiattone</w:t>
      </w:r>
      <w:proofErr w:type="spellEnd"/>
      <w:r>
        <w:rPr>
          <w:sz w:val="16"/>
        </w:rPr>
        <w:t xml:space="preserve"> CS,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O transplante de células-tronco </w:t>
      </w:r>
      <w:proofErr w:type="spellStart"/>
      <w:r>
        <w:rPr>
          <w:sz w:val="16"/>
        </w:rPr>
        <w:t>hematopoéticas</w:t>
      </w:r>
      <w:proofErr w:type="spellEnd"/>
      <w:r>
        <w:rPr>
          <w:sz w:val="16"/>
        </w:rPr>
        <w:t xml:space="preserve"> no tratamento dos</w:t>
      </w:r>
      <w:r>
        <w:rPr>
          <w:sz w:val="16"/>
        </w:rPr>
        <w:t xml:space="preserve"> linfomas não Hodgkin. </w:t>
      </w:r>
      <w:proofErr w:type="spellStart"/>
      <w:r>
        <w:rPr>
          <w:sz w:val="16"/>
        </w:rPr>
        <w:t>Rev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Hematol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Hemoter</w:t>
      </w:r>
      <w:proofErr w:type="spellEnd"/>
      <w:r>
        <w:rPr>
          <w:sz w:val="16"/>
        </w:rPr>
        <w:t>.</w:t>
      </w:r>
      <w:r>
        <w:rPr>
          <w:spacing w:val="-19"/>
          <w:sz w:val="16"/>
        </w:rPr>
        <w:t xml:space="preserve"> </w:t>
      </w:r>
      <w:proofErr w:type="gramStart"/>
      <w:r>
        <w:rPr>
          <w:sz w:val="16"/>
        </w:rPr>
        <w:t>2010;</w:t>
      </w:r>
      <w:proofErr w:type="gramEnd"/>
      <w:r>
        <w:rPr>
          <w:sz w:val="16"/>
        </w:rPr>
        <w:t>32(Supl.1):106-14.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92"/>
        </w:tabs>
        <w:ind w:right="116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</w:t>
      </w:r>
      <w:proofErr w:type="spellStart"/>
      <w:r w:rsidRPr="00C051FD">
        <w:rPr>
          <w:sz w:val="16"/>
          <w:lang w:val="en-US"/>
        </w:rPr>
        <w:t>Oliansky</w:t>
      </w:r>
      <w:proofErr w:type="spellEnd"/>
      <w:r w:rsidRPr="00C051FD">
        <w:rPr>
          <w:sz w:val="16"/>
          <w:lang w:val="en-US"/>
        </w:rPr>
        <w:t xml:space="preserve"> DM, </w:t>
      </w:r>
      <w:proofErr w:type="spellStart"/>
      <w:r w:rsidRPr="00C051FD">
        <w:rPr>
          <w:sz w:val="16"/>
          <w:lang w:val="en-US"/>
        </w:rPr>
        <w:t>Czuczman</w:t>
      </w:r>
      <w:proofErr w:type="spellEnd"/>
      <w:r w:rsidRPr="00C051FD">
        <w:rPr>
          <w:sz w:val="16"/>
          <w:lang w:val="en-US"/>
        </w:rPr>
        <w:t xml:space="preserve"> M, Fisher RI, Irwin FD, Lazarus HM, </w:t>
      </w:r>
      <w:proofErr w:type="spellStart"/>
      <w:r w:rsidRPr="00C051FD">
        <w:rPr>
          <w:sz w:val="16"/>
          <w:lang w:val="en-US"/>
        </w:rPr>
        <w:t>Omel</w:t>
      </w:r>
      <w:proofErr w:type="spellEnd"/>
      <w:r w:rsidRPr="00C051FD">
        <w:rPr>
          <w:sz w:val="16"/>
          <w:lang w:val="en-US"/>
        </w:rPr>
        <w:t xml:space="preserve"> J, et al. The role of cytotoxic therapy with hematopoietic stem cell transplantation in the treatment of diffuse large</w:t>
      </w:r>
      <w:r w:rsidRPr="00C051FD">
        <w:rPr>
          <w:sz w:val="16"/>
          <w:lang w:val="en-US"/>
        </w:rPr>
        <w:t xml:space="preserve"> B cell lymphoma: update of the 2001 evidence-based review. </w:t>
      </w:r>
      <w:proofErr w:type="spellStart"/>
      <w:r>
        <w:rPr>
          <w:sz w:val="16"/>
        </w:rPr>
        <w:t>Biol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Blood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Marrow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Transplant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2011;</w:t>
      </w:r>
      <w:proofErr w:type="gramEnd"/>
      <w:r>
        <w:rPr>
          <w:sz w:val="16"/>
        </w:rPr>
        <w:t>17(1):20-47</w:t>
      </w:r>
      <w:r>
        <w:rPr>
          <w:spacing w:val="-7"/>
          <w:sz w:val="16"/>
        </w:rPr>
        <w:t xml:space="preserve"> </w:t>
      </w:r>
      <w:r>
        <w:rPr>
          <w:sz w:val="16"/>
        </w:rPr>
        <w:t>e30.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85"/>
        </w:tabs>
        <w:ind w:right="117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Smith SD, </w:t>
      </w:r>
      <w:proofErr w:type="spellStart"/>
      <w:r w:rsidRPr="00C051FD">
        <w:rPr>
          <w:sz w:val="16"/>
          <w:lang w:val="en-US"/>
        </w:rPr>
        <w:t>Bolwell</w:t>
      </w:r>
      <w:proofErr w:type="spellEnd"/>
      <w:r w:rsidRPr="00C051FD">
        <w:rPr>
          <w:sz w:val="16"/>
          <w:lang w:val="en-US"/>
        </w:rPr>
        <w:t xml:space="preserve"> BJ, </w:t>
      </w:r>
      <w:proofErr w:type="spellStart"/>
      <w:r w:rsidRPr="00C051FD">
        <w:rPr>
          <w:sz w:val="16"/>
          <w:lang w:val="en-US"/>
        </w:rPr>
        <w:t>Rybicki</w:t>
      </w:r>
      <w:proofErr w:type="spellEnd"/>
      <w:r w:rsidRPr="00C051FD">
        <w:rPr>
          <w:sz w:val="16"/>
          <w:lang w:val="en-US"/>
        </w:rPr>
        <w:t xml:space="preserve"> LA, Kang T, Dean R, </w:t>
      </w:r>
      <w:proofErr w:type="spellStart"/>
      <w:r w:rsidRPr="00C051FD">
        <w:rPr>
          <w:sz w:val="16"/>
          <w:lang w:val="en-US"/>
        </w:rPr>
        <w:t>Advani</w:t>
      </w:r>
      <w:proofErr w:type="spellEnd"/>
      <w:r w:rsidRPr="00C051FD">
        <w:rPr>
          <w:sz w:val="16"/>
          <w:lang w:val="en-US"/>
        </w:rPr>
        <w:t xml:space="preserve"> A, et al. Comparison of outcomes after auto-SCT for patients with relapsed diffuse large B-cell lymphoma according to previous therapy with rituximab. </w:t>
      </w:r>
      <w:proofErr w:type="spellStart"/>
      <w:r>
        <w:rPr>
          <w:sz w:val="16"/>
        </w:rPr>
        <w:t>Bone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Marrow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Transplant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2011;</w:t>
      </w:r>
      <w:proofErr w:type="gramEnd"/>
      <w:r>
        <w:rPr>
          <w:sz w:val="16"/>
        </w:rPr>
        <w:t>46(2):262-6.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80"/>
        </w:tabs>
        <w:ind w:right="112" w:firstLine="566"/>
        <w:jc w:val="both"/>
        <w:rPr>
          <w:sz w:val="16"/>
        </w:rPr>
      </w:pPr>
      <w:r w:rsidRPr="00C051FD">
        <w:rPr>
          <w:sz w:val="16"/>
          <w:lang w:val="en-US"/>
        </w:rPr>
        <w:t>- Lo</w:t>
      </w:r>
      <w:r w:rsidRPr="00C051FD">
        <w:rPr>
          <w:sz w:val="16"/>
          <w:lang w:val="en-US"/>
        </w:rPr>
        <w:t xml:space="preserve">wry L, Smith P, </w:t>
      </w:r>
      <w:proofErr w:type="spellStart"/>
      <w:r w:rsidRPr="00C051FD">
        <w:rPr>
          <w:sz w:val="16"/>
          <w:lang w:val="en-US"/>
        </w:rPr>
        <w:t>Qian</w:t>
      </w:r>
      <w:proofErr w:type="spellEnd"/>
      <w:r w:rsidRPr="00C051FD">
        <w:rPr>
          <w:sz w:val="16"/>
          <w:lang w:val="en-US"/>
        </w:rPr>
        <w:t xml:space="preserve"> W, Falk S, </w:t>
      </w:r>
      <w:proofErr w:type="spellStart"/>
      <w:r w:rsidRPr="00C051FD">
        <w:rPr>
          <w:sz w:val="16"/>
          <w:lang w:val="en-US"/>
        </w:rPr>
        <w:t>Benstead</w:t>
      </w:r>
      <w:proofErr w:type="spellEnd"/>
      <w:r w:rsidRPr="00C051FD">
        <w:rPr>
          <w:sz w:val="16"/>
          <w:lang w:val="en-US"/>
        </w:rPr>
        <w:t xml:space="preserve"> K, </w:t>
      </w:r>
      <w:proofErr w:type="spellStart"/>
      <w:r w:rsidRPr="00C051FD">
        <w:rPr>
          <w:sz w:val="16"/>
          <w:lang w:val="en-US"/>
        </w:rPr>
        <w:t>Illidge</w:t>
      </w:r>
      <w:proofErr w:type="spellEnd"/>
      <w:r w:rsidRPr="00C051FD">
        <w:rPr>
          <w:sz w:val="16"/>
          <w:lang w:val="en-US"/>
        </w:rPr>
        <w:t xml:space="preserve"> T, et al. Reduced dose radiotherapy for local control in </w:t>
      </w:r>
      <w:r w:rsidRPr="00C051FD">
        <w:rPr>
          <w:spacing w:val="2"/>
          <w:sz w:val="16"/>
          <w:lang w:val="en-US"/>
        </w:rPr>
        <w:t xml:space="preserve">non- </w:t>
      </w:r>
      <w:r w:rsidRPr="00C051FD">
        <w:rPr>
          <w:sz w:val="16"/>
          <w:lang w:val="en-US"/>
        </w:rPr>
        <w:t xml:space="preserve">Hodgkin lymphoma: a </w:t>
      </w:r>
      <w:proofErr w:type="spellStart"/>
      <w:r w:rsidRPr="00C051FD">
        <w:rPr>
          <w:sz w:val="16"/>
          <w:lang w:val="en-US"/>
        </w:rPr>
        <w:t>randomised</w:t>
      </w:r>
      <w:proofErr w:type="spellEnd"/>
      <w:r w:rsidRPr="00C051FD">
        <w:rPr>
          <w:sz w:val="16"/>
          <w:lang w:val="en-US"/>
        </w:rPr>
        <w:t xml:space="preserve"> phase III trial. </w:t>
      </w:r>
      <w:proofErr w:type="spellStart"/>
      <w:r>
        <w:rPr>
          <w:sz w:val="16"/>
        </w:rPr>
        <w:t>Radiother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Oncol</w:t>
      </w:r>
      <w:proofErr w:type="spellEnd"/>
      <w:r>
        <w:rPr>
          <w:sz w:val="16"/>
        </w:rPr>
        <w:t>. 2011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Jul;</w:t>
      </w:r>
      <w:proofErr w:type="gramEnd"/>
      <w:r>
        <w:rPr>
          <w:sz w:val="16"/>
        </w:rPr>
        <w:t>100(1):86-92.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902"/>
        </w:tabs>
        <w:ind w:right="113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</w:t>
      </w:r>
      <w:proofErr w:type="spellStart"/>
      <w:r w:rsidRPr="00C051FD">
        <w:rPr>
          <w:sz w:val="16"/>
          <w:lang w:val="en-US"/>
        </w:rPr>
        <w:t>Akoum</w:t>
      </w:r>
      <w:proofErr w:type="spellEnd"/>
      <w:r w:rsidRPr="00C051FD">
        <w:rPr>
          <w:sz w:val="16"/>
          <w:lang w:val="en-US"/>
        </w:rPr>
        <w:t xml:space="preserve"> R, </w:t>
      </w:r>
      <w:proofErr w:type="spellStart"/>
      <w:r w:rsidRPr="00C051FD">
        <w:rPr>
          <w:sz w:val="16"/>
          <w:lang w:val="en-US"/>
        </w:rPr>
        <w:t>Brihi</w:t>
      </w:r>
      <w:proofErr w:type="spellEnd"/>
      <w:r w:rsidRPr="00C051FD">
        <w:rPr>
          <w:sz w:val="16"/>
          <w:lang w:val="en-US"/>
        </w:rPr>
        <w:t xml:space="preserve"> E, </w:t>
      </w:r>
      <w:proofErr w:type="spellStart"/>
      <w:r w:rsidRPr="00C051FD">
        <w:rPr>
          <w:sz w:val="16"/>
          <w:lang w:val="en-US"/>
        </w:rPr>
        <w:t>Saade</w:t>
      </w:r>
      <w:proofErr w:type="spellEnd"/>
      <w:r w:rsidRPr="00C051FD">
        <w:rPr>
          <w:sz w:val="16"/>
          <w:lang w:val="en-US"/>
        </w:rPr>
        <w:t xml:space="preserve"> M, Hanna T, </w:t>
      </w:r>
      <w:proofErr w:type="spellStart"/>
      <w:r w:rsidRPr="00C051FD">
        <w:rPr>
          <w:sz w:val="16"/>
          <w:lang w:val="en-US"/>
        </w:rPr>
        <w:t>Chahine</w:t>
      </w:r>
      <w:proofErr w:type="spellEnd"/>
      <w:r w:rsidRPr="00C051FD">
        <w:rPr>
          <w:sz w:val="16"/>
          <w:lang w:val="en-US"/>
        </w:rPr>
        <w:t xml:space="preserve"> G. Salva</w:t>
      </w:r>
      <w:r w:rsidRPr="00C051FD">
        <w:rPr>
          <w:sz w:val="16"/>
          <w:lang w:val="en-US"/>
        </w:rPr>
        <w:t xml:space="preserve">ge abdominal irradiation for refractory non-Hodgkin's lymphoma. </w:t>
      </w:r>
      <w:r>
        <w:rPr>
          <w:sz w:val="16"/>
        </w:rPr>
        <w:t xml:space="preserve">J </w:t>
      </w:r>
      <w:proofErr w:type="spellStart"/>
      <w:r>
        <w:rPr>
          <w:sz w:val="16"/>
        </w:rPr>
        <w:t>Cancer</w:t>
      </w:r>
      <w:proofErr w:type="spellEnd"/>
      <w:r>
        <w:rPr>
          <w:sz w:val="16"/>
        </w:rPr>
        <w:t xml:space="preserve"> Res </w:t>
      </w:r>
      <w:proofErr w:type="spellStart"/>
      <w:r>
        <w:rPr>
          <w:sz w:val="16"/>
        </w:rPr>
        <w:t>Ther</w:t>
      </w:r>
      <w:proofErr w:type="spellEnd"/>
      <w:r>
        <w:rPr>
          <w:sz w:val="16"/>
        </w:rPr>
        <w:t>. 2007</w:t>
      </w:r>
      <w:r>
        <w:rPr>
          <w:spacing w:val="-4"/>
          <w:sz w:val="16"/>
        </w:rPr>
        <w:t xml:space="preserve"> </w:t>
      </w:r>
      <w:r>
        <w:rPr>
          <w:sz w:val="16"/>
        </w:rPr>
        <w:t>Jul-</w:t>
      </w:r>
      <w:proofErr w:type="gramStart"/>
      <w:r>
        <w:rPr>
          <w:sz w:val="16"/>
        </w:rPr>
        <w:t>Sep;</w:t>
      </w:r>
      <w:proofErr w:type="gramEnd"/>
      <w:r>
        <w:rPr>
          <w:sz w:val="16"/>
        </w:rPr>
        <w:t>3(3):143-9.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904"/>
        </w:tabs>
        <w:ind w:right="115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</w:t>
      </w:r>
      <w:proofErr w:type="spellStart"/>
      <w:r w:rsidRPr="00C051FD">
        <w:rPr>
          <w:sz w:val="16"/>
          <w:lang w:val="en-US"/>
        </w:rPr>
        <w:t>Terasawa</w:t>
      </w:r>
      <w:proofErr w:type="spellEnd"/>
      <w:r w:rsidRPr="00C051FD">
        <w:rPr>
          <w:sz w:val="16"/>
          <w:lang w:val="en-US"/>
        </w:rPr>
        <w:t xml:space="preserve"> T, </w:t>
      </w:r>
      <w:proofErr w:type="spellStart"/>
      <w:r w:rsidRPr="00C051FD">
        <w:rPr>
          <w:sz w:val="16"/>
          <w:lang w:val="en-US"/>
        </w:rPr>
        <w:t>Dahabreh</w:t>
      </w:r>
      <w:proofErr w:type="spellEnd"/>
      <w:r w:rsidRPr="00C051FD">
        <w:rPr>
          <w:sz w:val="16"/>
          <w:lang w:val="en-US"/>
        </w:rPr>
        <w:t xml:space="preserve"> IJ, </w:t>
      </w:r>
      <w:proofErr w:type="spellStart"/>
      <w:r w:rsidRPr="00C051FD">
        <w:rPr>
          <w:sz w:val="16"/>
          <w:lang w:val="en-US"/>
        </w:rPr>
        <w:t>Nihashi</w:t>
      </w:r>
      <w:proofErr w:type="spellEnd"/>
      <w:r w:rsidRPr="00C051FD">
        <w:rPr>
          <w:sz w:val="16"/>
          <w:lang w:val="en-US"/>
        </w:rPr>
        <w:t xml:space="preserve"> T. Fluorine-18-fluorodeoxyglucose positron emission tomography in response assessment</w:t>
      </w:r>
      <w:r w:rsidRPr="00C051FD">
        <w:rPr>
          <w:spacing w:val="-4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before</w:t>
      </w:r>
      <w:r w:rsidRPr="00C051FD">
        <w:rPr>
          <w:spacing w:val="-5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high-dose</w:t>
      </w:r>
      <w:r w:rsidRPr="00C051FD">
        <w:rPr>
          <w:spacing w:val="-4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chemothera</w:t>
      </w:r>
      <w:r w:rsidRPr="00C051FD">
        <w:rPr>
          <w:sz w:val="16"/>
          <w:lang w:val="en-US"/>
        </w:rPr>
        <w:t>py</w:t>
      </w:r>
      <w:r w:rsidRPr="00C051FD">
        <w:rPr>
          <w:spacing w:val="-6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for lymphoma:</w:t>
      </w:r>
      <w:r w:rsidRPr="00C051FD">
        <w:rPr>
          <w:spacing w:val="-4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a</w:t>
      </w:r>
      <w:r w:rsidRPr="00C051FD">
        <w:rPr>
          <w:spacing w:val="-2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systematic</w:t>
      </w:r>
      <w:r w:rsidRPr="00C051FD">
        <w:rPr>
          <w:spacing w:val="-1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review</w:t>
      </w:r>
      <w:r w:rsidRPr="00C051FD">
        <w:rPr>
          <w:spacing w:val="-6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and</w:t>
      </w:r>
      <w:r w:rsidRPr="00C051FD">
        <w:rPr>
          <w:spacing w:val="-1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meta-analysis.</w:t>
      </w:r>
      <w:r w:rsidRPr="00C051FD">
        <w:rPr>
          <w:spacing w:val="-2"/>
          <w:sz w:val="16"/>
          <w:lang w:val="en-US"/>
        </w:rPr>
        <w:t xml:space="preserve"> </w:t>
      </w:r>
      <w:proofErr w:type="spellStart"/>
      <w:r>
        <w:rPr>
          <w:sz w:val="16"/>
        </w:rPr>
        <w:t>Oncologist</w:t>
      </w:r>
      <w:proofErr w:type="spellEnd"/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2010;</w:t>
      </w:r>
      <w:proofErr w:type="gramEnd"/>
      <w:r>
        <w:rPr>
          <w:sz w:val="16"/>
        </w:rPr>
        <w:t>15(7):750-9.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94"/>
        </w:tabs>
        <w:ind w:right="113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</w:t>
      </w:r>
      <w:proofErr w:type="spellStart"/>
      <w:r w:rsidRPr="00C051FD">
        <w:rPr>
          <w:sz w:val="16"/>
          <w:lang w:val="en-US"/>
        </w:rPr>
        <w:t>Terasawa</w:t>
      </w:r>
      <w:proofErr w:type="spellEnd"/>
      <w:r w:rsidRPr="00C051FD">
        <w:rPr>
          <w:sz w:val="16"/>
          <w:lang w:val="en-US"/>
        </w:rPr>
        <w:t xml:space="preserve"> T, Lau J, </w:t>
      </w:r>
      <w:proofErr w:type="spellStart"/>
      <w:r w:rsidRPr="00C051FD">
        <w:rPr>
          <w:sz w:val="16"/>
          <w:lang w:val="en-US"/>
        </w:rPr>
        <w:t>Bardet</w:t>
      </w:r>
      <w:proofErr w:type="spellEnd"/>
      <w:r w:rsidRPr="00C051FD">
        <w:rPr>
          <w:sz w:val="16"/>
          <w:lang w:val="en-US"/>
        </w:rPr>
        <w:t xml:space="preserve"> S, Couturier O, </w:t>
      </w:r>
      <w:proofErr w:type="spellStart"/>
      <w:r w:rsidRPr="00C051FD">
        <w:rPr>
          <w:sz w:val="16"/>
          <w:lang w:val="en-US"/>
        </w:rPr>
        <w:t>Hotta</w:t>
      </w:r>
      <w:proofErr w:type="spellEnd"/>
      <w:r w:rsidRPr="00C051FD">
        <w:rPr>
          <w:sz w:val="16"/>
          <w:lang w:val="en-US"/>
        </w:rPr>
        <w:t xml:space="preserve"> T, Hutchings M, et al. Fluorine-18-fluorodeoxyglucose positron emission tomography for interim response assessment of ad</w:t>
      </w:r>
      <w:r w:rsidRPr="00C051FD">
        <w:rPr>
          <w:sz w:val="16"/>
          <w:lang w:val="en-US"/>
        </w:rPr>
        <w:t xml:space="preserve">vanced-stage Hodgkin's lymphoma and diffuse large B-cell lymphoma: a systematic review. </w:t>
      </w:r>
      <w:r>
        <w:rPr>
          <w:sz w:val="16"/>
        </w:rPr>
        <w:t xml:space="preserve">J </w:t>
      </w:r>
      <w:proofErr w:type="spellStart"/>
      <w:r>
        <w:rPr>
          <w:sz w:val="16"/>
        </w:rPr>
        <w:t>Clin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Oncol</w:t>
      </w:r>
      <w:proofErr w:type="spellEnd"/>
      <w:r>
        <w:rPr>
          <w:sz w:val="16"/>
        </w:rPr>
        <w:t>.</w:t>
      </w:r>
      <w:r>
        <w:rPr>
          <w:spacing w:val="2"/>
          <w:sz w:val="16"/>
        </w:rPr>
        <w:t xml:space="preserve"> </w:t>
      </w:r>
      <w:proofErr w:type="gramStart"/>
      <w:r>
        <w:rPr>
          <w:sz w:val="16"/>
        </w:rPr>
        <w:t>2009;</w:t>
      </w:r>
      <w:proofErr w:type="gramEnd"/>
      <w:r>
        <w:rPr>
          <w:sz w:val="16"/>
        </w:rPr>
        <w:t>27(11):1906-14.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911"/>
        </w:tabs>
        <w:ind w:right="117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</w:t>
      </w:r>
      <w:proofErr w:type="spellStart"/>
      <w:r w:rsidRPr="00C051FD">
        <w:rPr>
          <w:sz w:val="16"/>
          <w:lang w:val="en-US"/>
        </w:rPr>
        <w:t>Terasawa</w:t>
      </w:r>
      <w:proofErr w:type="spellEnd"/>
      <w:r w:rsidRPr="00C051FD">
        <w:rPr>
          <w:sz w:val="16"/>
          <w:lang w:val="en-US"/>
        </w:rPr>
        <w:t xml:space="preserve"> T, Nagai H. Current clinical evidence on interim fluorine-18 </w:t>
      </w:r>
      <w:proofErr w:type="spellStart"/>
      <w:r w:rsidRPr="00C051FD">
        <w:rPr>
          <w:sz w:val="16"/>
          <w:lang w:val="en-US"/>
        </w:rPr>
        <w:t>fluorodeoxy</w:t>
      </w:r>
      <w:proofErr w:type="spellEnd"/>
      <w:r w:rsidRPr="00C051FD">
        <w:rPr>
          <w:sz w:val="16"/>
          <w:lang w:val="en-US"/>
        </w:rPr>
        <w:t xml:space="preserve"> glucose positron emission tomography for advanced</w:t>
      </w:r>
      <w:r w:rsidRPr="00C051FD">
        <w:rPr>
          <w:sz w:val="16"/>
          <w:lang w:val="en-US"/>
        </w:rPr>
        <w:t xml:space="preserve">-stage Hodgkin lymphoma and diffuse large B-cell lymphoma to predict treatment outcomes. </w:t>
      </w:r>
      <w:proofErr w:type="spellStart"/>
      <w:r>
        <w:rPr>
          <w:sz w:val="16"/>
        </w:rPr>
        <w:t>Leuk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Lymphoma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2009;</w:t>
      </w:r>
      <w:proofErr w:type="gramEnd"/>
      <w:r>
        <w:rPr>
          <w:sz w:val="16"/>
        </w:rPr>
        <w:t>50(11):1750-2.</w:t>
      </w:r>
    </w:p>
    <w:p w:rsidR="00067738" w:rsidRPr="00C051FD" w:rsidRDefault="00C051FD">
      <w:pPr>
        <w:pStyle w:val="PargrafodaLista"/>
        <w:numPr>
          <w:ilvl w:val="0"/>
          <w:numId w:val="1"/>
        </w:numPr>
        <w:tabs>
          <w:tab w:val="left" w:pos="882"/>
        </w:tabs>
        <w:spacing w:before="1" w:line="183" w:lineRule="exact"/>
        <w:ind w:left="882" w:hanging="214"/>
        <w:rPr>
          <w:sz w:val="16"/>
          <w:lang w:val="en-US"/>
        </w:rPr>
      </w:pPr>
      <w:r w:rsidRPr="00C051FD">
        <w:rPr>
          <w:sz w:val="16"/>
          <w:lang w:val="en-US"/>
        </w:rPr>
        <w:t>-</w:t>
      </w:r>
      <w:r w:rsidRPr="00C051FD">
        <w:rPr>
          <w:spacing w:val="7"/>
          <w:sz w:val="16"/>
          <w:lang w:val="en-US"/>
        </w:rPr>
        <w:t xml:space="preserve"> </w:t>
      </w:r>
      <w:proofErr w:type="spellStart"/>
      <w:r w:rsidRPr="00C051FD">
        <w:rPr>
          <w:sz w:val="16"/>
          <w:lang w:val="en-US"/>
        </w:rPr>
        <w:t>Hosein</w:t>
      </w:r>
      <w:proofErr w:type="spellEnd"/>
      <w:r w:rsidRPr="00C051FD">
        <w:rPr>
          <w:spacing w:val="9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PJ,</w:t>
      </w:r>
      <w:r w:rsidRPr="00C051FD">
        <w:rPr>
          <w:spacing w:val="9"/>
          <w:sz w:val="16"/>
          <w:lang w:val="en-US"/>
        </w:rPr>
        <w:t xml:space="preserve"> </w:t>
      </w:r>
      <w:proofErr w:type="spellStart"/>
      <w:r w:rsidRPr="00C051FD">
        <w:rPr>
          <w:sz w:val="16"/>
          <w:lang w:val="en-US"/>
        </w:rPr>
        <w:t>Lossos</w:t>
      </w:r>
      <w:proofErr w:type="spellEnd"/>
      <w:r w:rsidRPr="00C051FD">
        <w:rPr>
          <w:spacing w:val="10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IS.</w:t>
      </w:r>
      <w:r w:rsidRPr="00C051FD">
        <w:rPr>
          <w:spacing w:val="11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The</w:t>
      </w:r>
      <w:r w:rsidRPr="00C051FD">
        <w:rPr>
          <w:spacing w:val="9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evolving</w:t>
      </w:r>
      <w:r w:rsidRPr="00C051FD">
        <w:rPr>
          <w:spacing w:val="7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role</w:t>
      </w:r>
      <w:r w:rsidRPr="00C051FD">
        <w:rPr>
          <w:spacing w:val="9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of</w:t>
      </w:r>
      <w:r w:rsidRPr="00C051FD">
        <w:rPr>
          <w:spacing w:val="9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F-FDG</w:t>
      </w:r>
      <w:r w:rsidRPr="00C051FD">
        <w:rPr>
          <w:spacing w:val="5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PET</w:t>
      </w:r>
      <w:r w:rsidRPr="00C051FD">
        <w:rPr>
          <w:spacing w:val="5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scans</w:t>
      </w:r>
      <w:r w:rsidRPr="00C051FD">
        <w:rPr>
          <w:spacing w:val="9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in</w:t>
      </w:r>
      <w:r w:rsidRPr="00C051FD">
        <w:rPr>
          <w:spacing w:val="9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patients</w:t>
      </w:r>
      <w:r w:rsidRPr="00C051FD">
        <w:rPr>
          <w:spacing w:val="8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with</w:t>
      </w:r>
      <w:r w:rsidRPr="00C051FD">
        <w:rPr>
          <w:spacing w:val="10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aggressive</w:t>
      </w:r>
      <w:r w:rsidRPr="00C051FD">
        <w:rPr>
          <w:spacing w:val="6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non-Hodgkin's</w:t>
      </w:r>
      <w:r w:rsidRPr="00C051FD">
        <w:rPr>
          <w:spacing w:val="9"/>
          <w:sz w:val="16"/>
          <w:lang w:val="en-US"/>
        </w:rPr>
        <w:t xml:space="preserve"> </w:t>
      </w:r>
      <w:r w:rsidRPr="00C051FD">
        <w:rPr>
          <w:sz w:val="16"/>
          <w:lang w:val="en-US"/>
        </w:rPr>
        <w:t>lymphoma.</w:t>
      </w:r>
    </w:p>
    <w:p w:rsidR="00067738" w:rsidRDefault="00C051FD">
      <w:pPr>
        <w:pStyle w:val="Corpodetexto"/>
        <w:spacing w:line="183" w:lineRule="exact"/>
      </w:pPr>
      <w:proofErr w:type="gramStart"/>
      <w:r w:rsidRPr="00C051FD">
        <w:rPr>
          <w:lang w:val="en-US"/>
        </w:rPr>
        <w:t xml:space="preserve">European J </w:t>
      </w:r>
      <w:proofErr w:type="spellStart"/>
      <w:r w:rsidRPr="00C051FD">
        <w:rPr>
          <w:lang w:val="en-US"/>
        </w:rPr>
        <w:t>Clin</w:t>
      </w:r>
      <w:proofErr w:type="spellEnd"/>
      <w:r w:rsidRPr="00C051FD">
        <w:rPr>
          <w:lang w:val="en-US"/>
        </w:rPr>
        <w:t xml:space="preserve"> Med </w:t>
      </w:r>
      <w:proofErr w:type="spellStart"/>
      <w:r w:rsidRPr="00C051FD">
        <w:rPr>
          <w:lang w:val="en-US"/>
        </w:rPr>
        <w:t>Oncol</w:t>
      </w:r>
      <w:proofErr w:type="spellEnd"/>
      <w:r w:rsidRPr="00C051FD">
        <w:rPr>
          <w:lang w:val="en-US"/>
        </w:rPr>
        <w:t>.</w:t>
      </w:r>
      <w:proofErr w:type="gramEnd"/>
      <w:r w:rsidRPr="00C051FD">
        <w:rPr>
          <w:lang w:val="en-US"/>
        </w:rPr>
        <w:t xml:space="preserve"> </w:t>
      </w:r>
      <w:r>
        <w:t xml:space="preserve">2010 </w:t>
      </w:r>
      <w:proofErr w:type="gramStart"/>
      <w:r>
        <w:t>Feb</w:t>
      </w:r>
      <w:proofErr w:type="gramEnd"/>
      <w:r>
        <w:t>;2(1):131-8.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73"/>
        </w:tabs>
        <w:spacing w:before="1"/>
        <w:ind w:right="115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Tilly H, </w:t>
      </w:r>
      <w:proofErr w:type="spellStart"/>
      <w:r w:rsidRPr="00C051FD">
        <w:rPr>
          <w:sz w:val="16"/>
          <w:lang w:val="en-US"/>
        </w:rPr>
        <w:t>Dreyling</w:t>
      </w:r>
      <w:proofErr w:type="spellEnd"/>
      <w:r w:rsidRPr="00C051FD">
        <w:rPr>
          <w:sz w:val="16"/>
          <w:lang w:val="en-US"/>
        </w:rPr>
        <w:t xml:space="preserve"> M. Diffuse large B-cell non-Hodgkin's lymphoma: ESMO Clinical Practice Guidelines for diagnosis, treatment and follow-up. </w:t>
      </w:r>
      <w:r>
        <w:rPr>
          <w:spacing w:val="-2"/>
          <w:sz w:val="16"/>
        </w:rPr>
        <w:t xml:space="preserve">Ann </w:t>
      </w:r>
      <w:proofErr w:type="spellStart"/>
      <w:r>
        <w:rPr>
          <w:sz w:val="16"/>
        </w:rPr>
        <w:t>Oncol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2010;</w:t>
      </w:r>
      <w:proofErr w:type="gramEnd"/>
      <w:r>
        <w:rPr>
          <w:sz w:val="16"/>
        </w:rPr>
        <w:t xml:space="preserve">21 </w:t>
      </w:r>
      <w:proofErr w:type="spellStart"/>
      <w:r>
        <w:rPr>
          <w:sz w:val="16"/>
        </w:rPr>
        <w:t>Suppl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5:v172-4.</w:t>
      </w:r>
    </w:p>
    <w:p w:rsidR="00067738" w:rsidRDefault="00C051FD">
      <w:pPr>
        <w:pStyle w:val="PargrafodaLista"/>
        <w:numPr>
          <w:ilvl w:val="0"/>
          <w:numId w:val="1"/>
        </w:numPr>
        <w:tabs>
          <w:tab w:val="left" w:pos="899"/>
        </w:tabs>
        <w:ind w:right="117" w:firstLine="566"/>
        <w:jc w:val="both"/>
        <w:rPr>
          <w:sz w:val="16"/>
        </w:rPr>
      </w:pPr>
      <w:r w:rsidRPr="00C051FD">
        <w:rPr>
          <w:sz w:val="16"/>
          <w:lang w:val="en-US"/>
        </w:rPr>
        <w:t xml:space="preserve">- </w:t>
      </w:r>
      <w:proofErr w:type="spellStart"/>
      <w:r w:rsidRPr="00C051FD">
        <w:rPr>
          <w:sz w:val="16"/>
          <w:lang w:val="en-US"/>
        </w:rPr>
        <w:t>Wolach</w:t>
      </w:r>
      <w:proofErr w:type="spellEnd"/>
      <w:r w:rsidRPr="00C051FD">
        <w:rPr>
          <w:sz w:val="16"/>
          <w:lang w:val="en-US"/>
        </w:rPr>
        <w:t xml:space="preserve"> O, </w:t>
      </w:r>
      <w:proofErr w:type="spellStart"/>
      <w:r w:rsidRPr="00C051FD">
        <w:rPr>
          <w:sz w:val="16"/>
          <w:lang w:val="en-US"/>
        </w:rPr>
        <w:t>Bairey</w:t>
      </w:r>
      <w:proofErr w:type="spellEnd"/>
      <w:r w:rsidRPr="00C051FD">
        <w:rPr>
          <w:sz w:val="16"/>
          <w:lang w:val="en-US"/>
        </w:rPr>
        <w:t xml:space="preserve"> O, </w:t>
      </w:r>
      <w:proofErr w:type="spellStart"/>
      <w:r w:rsidRPr="00C051FD">
        <w:rPr>
          <w:sz w:val="16"/>
          <w:lang w:val="en-US"/>
        </w:rPr>
        <w:t>Lahav</w:t>
      </w:r>
      <w:proofErr w:type="spellEnd"/>
      <w:r w:rsidRPr="00C051FD">
        <w:rPr>
          <w:sz w:val="16"/>
          <w:lang w:val="en-US"/>
        </w:rPr>
        <w:t xml:space="preserve"> M. Late-onset neutropenia after rituximab treatment: case series and comprehensive review of the literature. </w:t>
      </w:r>
      <w:r>
        <w:rPr>
          <w:sz w:val="16"/>
        </w:rPr>
        <w:t>Medicine (Baltimore).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2010;</w:t>
      </w:r>
      <w:proofErr w:type="gramEnd"/>
      <w:r>
        <w:rPr>
          <w:sz w:val="16"/>
        </w:rPr>
        <w:t>89(5):308-18.</w:t>
      </w:r>
    </w:p>
    <w:sectPr w:rsidR="00067738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693"/>
    <w:multiLevelType w:val="hybridMultilevel"/>
    <w:tmpl w:val="BB703BE2"/>
    <w:lvl w:ilvl="0" w:tplc="DDE2C584">
      <w:start w:val="3"/>
      <w:numFmt w:val="decimal"/>
      <w:lvlText w:val="%1"/>
      <w:lvlJc w:val="left"/>
      <w:pPr>
        <w:ind w:left="102" w:hanging="15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EFFC4E8A">
      <w:numFmt w:val="bullet"/>
      <w:lvlText w:val="•"/>
      <w:lvlJc w:val="left"/>
      <w:pPr>
        <w:ind w:left="962" w:hanging="156"/>
      </w:pPr>
      <w:rPr>
        <w:rFonts w:hint="default"/>
        <w:lang w:val="pt-BR" w:eastAsia="pt-BR" w:bidi="pt-BR"/>
      </w:rPr>
    </w:lvl>
    <w:lvl w:ilvl="2" w:tplc="61E4F9CC">
      <w:numFmt w:val="bullet"/>
      <w:lvlText w:val="•"/>
      <w:lvlJc w:val="left"/>
      <w:pPr>
        <w:ind w:left="1825" w:hanging="156"/>
      </w:pPr>
      <w:rPr>
        <w:rFonts w:hint="default"/>
        <w:lang w:val="pt-BR" w:eastAsia="pt-BR" w:bidi="pt-BR"/>
      </w:rPr>
    </w:lvl>
    <w:lvl w:ilvl="3" w:tplc="A826315E">
      <w:numFmt w:val="bullet"/>
      <w:lvlText w:val="•"/>
      <w:lvlJc w:val="left"/>
      <w:pPr>
        <w:ind w:left="2687" w:hanging="156"/>
      </w:pPr>
      <w:rPr>
        <w:rFonts w:hint="default"/>
        <w:lang w:val="pt-BR" w:eastAsia="pt-BR" w:bidi="pt-BR"/>
      </w:rPr>
    </w:lvl>
    <w:lvl w:ilvl="4" w:tplc="3D0C73C8">
      <w:numFmt w:val="bullet"/>
      <w:lvlText w:val="•"/>
      <w:lvlJc w:val="left"/>
      <w:pPr>
        <w:ind w:left="3550" w:hanging="156"/>
      </w:pPr>
      <w:rPr>
        <w:rFonts w:hint="default"/>
        <w:lang w:val="pt-BR" w:eastAsia="pt-BR" w:bidi="pt-BR"/>
      </w:rPr>
    </w:lvl>
    <w:lvl w:ilvl="5" w:tplc="5D5AB4DA">
      <w:numFmt w:val="bullet"/>
      <w:lvlText w:val="•"/>
      <w:lvlJc w:val="left"/>
      <w:pPr>
        <w:ind w:left="4413" w:hanging="156"/>
      </w:pPr>
      <w:rPr>
        <w:rFonts w:hint="default"/>
        <w:lang w:val="pt-BR" w:eastAsia="pt-BR" w:bidi="pt-BR"/>
      </w:rPr>
    </w:lvl>
    <w:lvl w:ilvl="6" w:tplc="A5AE9A44">
      <w:numFmt w:val="bullet"/>
      <w:lvlText w:val="•"/>
      <w:lvlJc w:val="left"/>
      <w:pPr>
        <w:ind w:left="5275" w:hanging="156"/>
      </w:pPr>
      <w:rPr>
        <w:rFonts w:hint="default"/>
        <w:lang w:val="pt-BR" w:eastAsia="pt-BR" w:bidi="pt-BR"/>
      </w:rPr>
    </w:lvl>
    <w:lvl w:ilvl="7" w:tplc="B6C8B258">
      <w:numFmt w:val="bullet"/>
      <w:lvlText w:val="•"/>
      <w:lvlJc w:val="left"/>
      <w:pPr>
        <w:ind w:left="6138" w:hanging="156"/>
      </w:pPr>
      <w:rPr>
        <w:rFonts w:hint="default"/>
        <w:lang w:val="pt-BR" w:eastAsia="pt-BR" w:bidi="pt-BR"/>
      </w:rPr>
    </w:lvl>
    <w:lvl w:ilvl="8" w:tplc="7FAECB0C">
      <w:numFmt w:val="bullet"/>
      <w:lvlText w:val="•"/>
      <w:lvlJc w:val="left"/>
      <w:pPr>
        <w:ind w:left="7001" w:hanging="156"/>
      </w:pPr>
      <w:rPr>
        <w:rFonts w:hint="default"/>
        <w:lang w:val="pt-BR" w:eastAsia="pt-BR" w:bidi="pt-BR"/>
      </w:rPr>
    </w:lvl>
  </w:abstractNum>
  <w:abstractNum w:abstractNumId="1">
    <w:nsid w:val="254C1A30"/>
    <w:multiLevelType w:val="hybridMultilevel"/>
    <w:tmpl w:val="C4380F98"/>
    <w:lvl w:ilvl="0" w:tplc="7D70A0C4">
      <w:numFmt w:val="bullet"/>
      <w:lvlText w:val="-"/>
      <w:lvlJc w:val="left"/>
      <w:pPr>
        <w:ind w:left="906" w:hanging="9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2924AC26">
      <w:numFmt w:val="bullet"/>
      <w:lvlText w:val="•"/>
      <w:lvlJc w:val="left"/>
      <w:pPr>
        <w:ind w:left="1682" w:hanging="96"/>
      </w:pPr>
      <w:rPr>
        <w:rFonts w:hint="default"/>
        <w:lang w:val="pt-BR" w:eastAsia="pt-BR" w:bidi="pt-BR"/>
      </w:rPr>
    </w:lvl>
    <w:lvl w:ilvl="2" w:tplc="BD5C2ADA">
      <w:numFmt w:val="bullet"/>
      <w:lvlText w:val="•"/>
      <w:lvlJc w:val="left"/>
      <w:pPr>
        <w:ind w:left="2465" w:hanging="96"/>
      </w:pPr>
      <w:rPr>
        <w:rFonts w:hint="default"/>
        <w:lang w:val="pt-BR" w:eastAsia="pt-BR" w:bidi="pt-BR"/>
      </w:rPr>
    </w:lvl>
    <w:lvl w:ilvl="3" w:tplc="55E6E874">
      <w:numFmt w:val="bullet"/>
      <w:lvlText w:val="•"/>
      <w:lvlJc w:val="left"/>
      <w:pPr>
        <w:ind w:left="3247" w:hanging="96"/>
      </w:pPr>
      <w:rPr>
        <w:rFonts w:hint="default"/>
        <w:lang w:val="pt-BR" w:eastAsia="pt-BR" w:bidi="pt-BR"/>
      </w:rPr>
    </w:lvl>
    <w:lvl w:ilvl="4" w:tplc="625CC736">
      <w:numFmt w:val="bullet"/>
      <w:lvlText w:val="•"/>
      <w:lvlJc w:val="left"/>
      <w:pPr>
        <w:ind w:left="4030" w:hanging="96"/>
      </w:pPr>
      <w:rPr>
        <w:rFonts w:hint="default"/>
        <w:lang w:val="pt-BR" w:eastAsia="pt-BR" w:bidi="pt-BR"/>
      </w:rPr>
    </w:lvl>
    <w:lvl w:ilvl="5" w:tplc="F93AAE58">
      <w:numFmt w:val="bullet"/>
      <w:lvlText w:val="•"/>
      <w:lvlJc w:val="left"/>
      <w:pPr>
        <w:ind w:left="4813" w:hanging="96"/>
      </w:pPr>
      <w:rPr>
        <w:rFonts w:hint="default"/>
        <w:lang w:val="pt-BR" w:eastAsia="pt-BR" w:bidi="pt-BR"/>
      </w:rPr>
    </w:lvl>
    <w:lvl w:ilvl="6" w:tplc="08F26D26">
      <w:numFmt w:val="bullet"/>
      <w:lvlText w:val="•"/>
      <w:lvlJc w:val="left"/>
      <w:pPr>
        <w:ind w:left="5595" w:hanging="96"/>
      </w:pPr>
      <w:rPr>
        <w:rFonts w:hint="default"/>
        <w:lang w:val="pt-BR" w:eastAsia="pt-BR" w:bidi="pt-BR"/>
      </w:rPr>
    </w:lvl>
    <w:lvl w:ilvl="7" w:tplc="EBA84BB0">
      <w:numFmt w:val="bullet"/>
      <w:lvlText w:val="•"/>
      <w:lvlJc w:val="left"/>
      <w:pPr>
        <w:ind w:left="6378" w:hanging="96"/>
      </w:pPr>
      <w:rPr>
        <w:rFonts w:hint="default"/>
        <w:lang w:val="pt-BR" w:eastAsia="pt-BR" w:bidi="pt-BR"/>
      </w:rPr>
    </w:lvl>
    <w:lvl w:ilvl="8" w:tplc="0FFEE47E">
      <w:numFmt w:val="bullet"/>
      <w:lvlText w:val="•"/>
      <w:lvlJc w:val="left"/>
      <w:pPr>
        <w:ind w:left="7161" w:hanging="96"/>
      </w:pPr>
      <w:rPr>
        <w:rFonts w:hint="default"/>
        <w:lang w:val="pt-BR" w:eastAsia="pt-BR" w:bidi="pt-BR"/>
      </w:rPr>
    </w:lvl>
  </w:abstractNum>
  <w:abstractNum w:abstractNumId="2">
    <w:nsid w:val="271E7529"/>
    <w:multiLevelType w:val="hybridMultilevel"/>
    <w:tmpl w:val="14A67382"/>
    <w:lvl w:ilvl="0" w:tplc="CCCC37CE">
      <w:numFmt w:val="bullet"/>
      <w:lvlText w:val="-"/>
      <w:lvlJc w:val="left"/>
      <w:pPr>
        <w:ind w:left="102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54ACB3BA">
      <w:numFmt w:val="bullet"/>
      <w:lvlText w:val="-"/>
      <w:lvlJc w:val="left"/>
      <w:pPr>
        <w:ind w:left="668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2" w:tplc="9216E0F2">
      <w:numFmt w:val="bullet"/>
      <w:lvlText w:val="•"/>
      <w:lvlJc w:val="left"/>
      <w:pPr>
        <w:ind w:left="1556" w:hanging="94"/>
      </w:pPr>
      <w:rPr>
        <w:rFonts w:hint="default"/>
        <w:lang w:val="pt-BR" w:eastAsia="pt-BR" w:bidi="pt-BR"/>
      </w:rPr>
    </w:lvl>
    <w:lvl w:ilvl="3" w:tplc="67964CEC">
      <w:numFmt w:val="bullet"/>
      <w:lvlText w:val="•"/>
      <w:lvlJc w:val="left"/>
      <w:pPr>
        <w:ind w:left="2452" w:hanging="94"/>
      </w:pPr>
      <w:rPr>
        <w:rFonts w:hint="default"/>
        <w:lang w:val="pt-BR" w:eastAsia="pt-BR" w:bidi="pt-BR"/>
      </w:rPr>
    </w:lvl>
    <w:lvl w:ilvl="4" w:tplc="5F2C8026">
      <w:numFmt w:val="bullet"/>
      <w:lvlText w:val="•"/>
      <w:lvlJc w:val="left"/>
      <w:pPr>
        <w:ind w:left="3348" w:hanging="94"/>
      </w:pPr>
      <w:rPr>
        <w:rFonts w:hint="default"/>
        <w:lang w:val="pt-BR" w:eastAsia="pt-BR" w:bidi="pt-BR"/>
      </w:rPr>
    </w:lvl>
    <w:lvl w:ilvl="5" w:tplc="D144CE4E">
      <w:numFmt w:val="bullet"/>
      <w:lvlText w:val="•"/>
      <w:lvlJc w:val="left"/>
      <w:pPr>
        <w:ind w:left="4245" w:hanging="94"/>
      </w:pPr>
      <w:rPr>
        <w:rFonts w:hint="default"/>
        <w:lang w:val="pt-BR" w:eastAsia="pt-BR" w:bidi="pt-BR"/>
      </w:rPr>
    </w:lvl>
    <w:lvl w:ilvl="6" w:tplc="2C622D80">
      <w:numFmt w:val="bullet"/>
      <w:lvlText w:val="•"/>
      <w:lvlJc w:val="left"/>
      <w:pPr>
        <w:ind w:left="5141" w:hanging="94"/>
      </w:pPr>
      <w:rPr>
        <w:rFonts w:hint="default"/>
        <w:lang w:val="pt-BR" w:eastAsia="pt-BR" w:bidi="pt-BR"/>
      </w:rPr>
    </w:lvl>
    <w:lvl w:ilvl="7" w:tplc="D076B4CA">
      <w:numFmt w:val="bullet"/>
      <w:lvlText w:val="•"/>
      <w:lvlJc w:val="left"/>
      <w:pPr>
        <w:ind w:left="6037" w:hanging="94"/>
      </w:pPr>
      <w:rPr>
        <w:rFonts w:hint="default"/>
        <w:lang w:val="pt-BR" w:eastAsia="pt-BR" w:bidi="pt-BR"/>
      </w:rPr>
    </w:lvl>
    <w:lvl w:ilvl="8" w:tplc="5284E464">
      <w:numFmt w:val="bullet"/>
      <w:lvlText w:val="•"/>
      <w:lvlJc w:val="left"/>
      <w:pPr>
        <w:ind w:left="6933" w:hanging="94"/>
      </w:pPr>
      <w:rPr>
        <w:rFonts w:hint="default"/>
        <w:lang w:val="pt-BR" w:eastAsia="pt-BR" w:bidi="pt-BR"/>
      </w:rPr>
    </w:lvl>
  </w:abstractNum>
  <w:abstractNum w:abstractNumId="3">
    <w:nsid w:val="2B504573"/>
    <w:multiLevelType w:val="multilevel"/>
    <w:tmpl w:val="FA6CA390"/>
    <w:lvl w:ilvl="0">
      <w:start w:val="1"/>
      <w:numFmt w:val="decimal"/>
      <w:lvlText w:val="%1."/>
      <w:lvlJc w:val="left"/>
      <w:pPr>
        <w:ind w:left="102" w:hanging="1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951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1822" w:hanging="2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48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1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74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7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00" w:hanging="284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67738"/>
    <w:rsid w:val="00067738"/>
    <w:rsid w:val="00C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51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1FD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gtap.datasus.gov.br/tabela-unificada/app/sec/inicio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4576</Words>
  <Characters>24715</Characters>
  <Application>Microsoft Office Word</Application>
  <DocSecurity>0</DocSecurity>
  <Lines>205</Lines>
  <Paragraphs>58</Paragraphs>
  <ScaleCrop>false</ScaleCrop>
  <Company/>
  <LinksUpToDate>false</LinksUpToDate>
  <CharactersWithSpaces>29233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</dc:creator>
  <cp:lastModifiedBy>VANESSA ALVES DE OLIVEIRA</cp:lastModifiedBy>
  <cp:revision>2</cp:revision>
  <dcterms:created xsi:type="dcterms:W3CDTF">2019-07-22T13:00:00Z</dcterms:created>
  <dcterms:modified xsi:type="dcterms:W3CDTF">2019-07-22T13:01:00Z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2019-07-22T00:00:00Z</vt:filetime>
  </property>
</Properties>
</file>