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9B" w:rsidRDefault="00A03D9B" w:rsidP="00A03D9B">
      <w:pPr>
        <w:pStyle w:val="Corpodetexto"/>
        <w:spacing w:before="76"/>
        <w:ind w:right="4513"/>
      </w:pPr>
      <w:bookmarkStart w:id="0" w:name="_GoBack"/>
      <w:bookmarkEnd w:id="0"/>
      <w:r>
        <w:rPr>
          <w:noProof/>
          <w:lang w:bidi="ar-SA"/>
        </w:rPr>
        <w:drawing>
          <wp:inline distT="0" distB="0" distL="0" distR="0" wp14:anchorId="0B0603CC" wp14:editId="00CC4D87">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41037F" w:rsidRDefault="00A03D9B">
      <w:pPr>
        <w:pStyle w:val="Corpodetexto"/>
        <w:spacing w:before="76"/>
        <w:ind w:left="4496" w:right="4513" w:firstLine="0"/>
        <w:jc w:val="center"/>
      </w:pPr>
      <w:r>
        <w:t>ANEXO</w:t>
      </w:r>
    </w:p>
    <w:p w:rsidR="0041037F" w:rsidRDefault="0041037F">
      <w:pPr>
        <w:pStyle w:val="Corpodetexto"/>
        <w:spacing w:before="10"/>
        <w:ind w:left="0" w:firstLine="0"/>
        <w:rPr>
          <w:sz w:val="15"/>
        </w:rPr>
      </w:pPr>
    </w:p>
    <w:p w:rsidR="0041037F" w:rsidRDefault="00A03D9B">
      <w:pPr>
        <w:pStyle w:val="Corpodetexto"/>
        <w:spacing w:before="1" w:line="482" w:lineRule="auto"/>
        <w:ind w:left="3050" w:right="3071" w:hanging="2"/>
        <w:jc w:val="center"/>
      </w:pPr>
      <w:r>
        <w:t>PROTOCOLO CLÍNICO E DIRETRIZES TERAPÊUTICAS INSUFICIÊNCIA ADRENAL PRIMÁRIA- DOENÇA DE ADDISON</w:t>
      </w:r>
    </w:p>
    <w:p w:rsidR="0041037F" w:rsidRDefault="00A03D9B">
      <w:pPr>
        <w:pStyle w:val="PargrafodaLista"/>
        <w:numPr>
          <w:ilvl w:val="0"/>
          <w:numId w:val="5"/>
        </w:numPr>
        <w:tabs>
          <w:tab w:val="left" w:pos="787"/>
        </w:tabs>
        <w:spacing w:line="182" w:lineRule="exact"/>
        <w:rPr>
          <w:sz w:val="16"/>
        </w:rPr>
      </w:pPr>
      <w:r>
        <w:rPr>
          <w:sz w:val="16"/>
        </w:rPr>
        <w:t>METODOLOGIA DE BUSCA E AVALIAÇÃO DA</w:t>
      </w:r>
      <w:r>
        <w:rPr>
          <w:spacing w:val="-9"/>
          <w:sz w:val="16"/>
        </w:rPr>
        <w:t xml:space="preserve"> </w:t>
      </w:r>
      <w:r>
        <w:rPr>
          <w:sz w:val="16"/>
        </w:rPr>
        <w:t>LITERATURA</w:t>
      </w:r>
    </w:p>
    <w:p w:rsidR="0041037F" w:rsidRDefault="00A03D9B">
      <w:pPr>
        <w:pStyle w:val="Corpodetexto"/>
        <w:spacing w:line="183" w:lineRule="exact"/>
        <w:ind w:left="666" w:firstLine="0"/>
      </w:pPr>
      <w:r>
        <w:t>Como fontes de busca de artigos foram consultadas as bases de dados MEDLINE/PubMed e Embase e livros-texto de medicina/endocrinologia.</w:t>
      </w:r>
    </w:p>
    <w:p w:rsidR="0041037F" w:rsidRDefault="00A03D9B">
      <w:pPr>
        <w:pStyle w:val="Corpodetexto"/>
        <w:ind w:right="113"/>
        <w:jc w:val="both"/>
      </w:pPr>
      <w:r>
        <w:t>Busca na base de dados MEDLINE/PubMed (acesso em 14/11/2009): utilizou-se como estratégia os termos "Addison Disease"</w:t>
      </w:r>
      <w:r>
        <w:t>[Mesh] e "Diagnosis"[Mesh] e "Therapeutics"[Mesh] e restringiu-se a pesquisa para artigos em humanos, o que resultou em 107 artigos. Busca adicional, utilizando-se a estratégia de busca "Addison Disease"[Mesh] e restringindo-se a pesquisa para artigos em h</w:t>
      </w:r>
      <w:r>
        <w:t>umanos, sob os tópicos "Clinical Trial", "Meta-Analysis", "Practice Guideline" e "Randomized Controlled Trial", resultou em 52 artigos.</w:t>
      </w:r>
    </w:p>
    <w:p w:rsidR="0041037F" w:rsidRDefault="00A03D9B">
      <w:pPr>
        <w:pStyle w:val="Corpodetexto"/>
        <w:spacing w:before="1"/>
        <w:ind w:right="117"/>
        <w:jc w:val="both"/>
      </w:pPr>
      <w:r>
        <w:t>Busca na base de dados Embase (acesso em 14/11/2009): utilizou-se como estratégia os termos 'Addison disease'/exp e 'dia</w:t>
      </w:r>
      <w:r>
        <w:t>gnosis'/exp e 'drug therapy'/exp, restringindo-se a pesquisa para artigos em humanos, o que resultou em 149 artigos. Busca adicional, utilizando-se a estratégia de busca 'Addison disease'/exp restringindo-se para artigos em humanos, sob os tópicos [control</w:t>
      </w:r>
      <w:r>
        <w:t>led clinical trial]/lim ou [meta analysis]/lim ou [randomized controlled trial]/lim ou [systematic review]/lim, resultou em 38</w:t>
      </w:r>
      <w:r>
        <w:rPr>
          <w:spacing w:val="-4"/>
        </w:rPr>
        <w:t xml:space="preserve"> </w:t>
      </w:r>
      <w:r>
        <w:t>artigos.</w:t>
      </w:r>
    </w:p>
    <w:p w:rsidR="0041037F" w:rsidRDefault="00A03D9B">
      <w:pPr>
        <w:pStyle w:val="Corpodetexto"/>
        <w:ind w:right="114"/>
        <w:jc w:val="both"/>
      </w:pPr>
      <w:r>
        <w:t>Todos os artigos foram revisados, e os identificados como sendo de relevância para a elaboração do protocolo, foram incl</w:t>
      </w:r>
      <w:r>
        <w:t>uídos no texto. Não foram encontrados ensaios clínicos randomizados testando mineralocorticoide ou glicorticoides contra placebo ou glicocorticoides contra outros glicocorticoides. Portanto, foram selecionados os primeiros estudos de séries de casos, coort</w:t>
      </w:r>
      <w:r>
        <w:t>es de pacientes com insuficiência adrenal primária e revisões não sistemáticas sobre o assunto.</w:t>
      </w:r>
    </w:p>
    <w:p w:rsidR="0041037F" w:rsidRDefault="00A03D9B">
      <w:pPr>
        <w:pStyle w:val="Corpodetexto"/>
        <w:spacing w:line="183" w:lineRule="exact"/>
        <w:ind w:left="666" w:firstLine="0"/>
      </w:pPr>
      <w:r>
        <w:t>Foram consultados também o UpToDate versão 17.2 e livros-textos de endocrinologia.</w:t>
      </w:r>
    </w:p>
    <w:p w:rsidR="0041037F" w:rsidRDefault="00A03D9B">
      <w:pPr>
        <w:pStyle w:val="Corpodetexto"/>
        <w:spacing w:before="1"/>
        <w:ind w:left="666" w:firstLine="0"/>
      </w:pPr>
      <w:r>
        <w:t xml:space="preserve">A fim da atualização do presente Protocolo, em 09/12/2014 foi realizada nova </w:t>
      </w:r>
      <w:r>
        <w:t>busca na literatura com os critérios de inclusão originalmente empregados.</w:t>
      </w:r>
    </w:p>
    <w:p w:rsidR="0041037F" w:rsidRDefault="00A03D9B">
      <w:pPr>
        <w:pStyle w:val="Corpodetexto"/>
        <w:spacing w:before="1"/>
        <w:ind w:right="116"/>
        <w:jc w:val="both"/>
      </w:pPr>
      <w:r>
        <w:t>Na base MEDLINE/PubMed foram realizadas duas buscas. A primeira utilizou a estratégia "Addison Disease"[Mesh] AND "Diagnosis"[Mesh] com os filtros ensaio clínico, ensaio clínico ran</w:t>
      </w:r>
      <w:r>
        <w:t>domizado, meta-análise, revisão sistemática, humanos. Nessa busca foram localizados seis estudos, dos quais três foram incluído neste Protocolo. A segunda busca foi realizada com os termos "Addison Disease"[Mesh] AND "Therapeutics"[Mesh] e com os mesmos li</w:t>
      </w:r>
      <w:r>
        <w:t>mites da busca anteriormente descrita. Nessa busca foram localizados 11 estudos, dois quais foram incluídos neste PCDT (três estudos já haviam sido incluídos em busca anterior).</w:t>
      </w:r>
    </w:p>
    <w:p w:rsidR="0041037F" w:rsidRDefault="00A03D9B">
      <w:pPr>
        <w:pStyle w:val="Corpodetexto"/>
        <w:ind w:right="112"/>
        <w:jc w:val="both"/>
      </w:pPr>
      <w:r>
        <w:t xml:space="preserve">Na base Embase também foram realizadas duas buscas. </w:t>
      </w:r>
      <w:r w:rsidRPr="00A03D9B">
        <w:rPr>
          <w:lang w:val="en-US"/>
        </w:rPr>
        <w:t>A primeira utilizou a estr</w:t>
      </w:r>
      <w:r w:rsidRPr="00A03D9B">
        <w:rPr>
          <w:lang w:val="en-US"/>
        </w:rPr>
        <w:t xml:space="preserve">atégia 'addison disease'/exp AND 'diagnosis'/exp AND ([cochrane review]/lim OR [systematic review]/lim OR [controlled clinical trial]/lim OR [randomized controlled trial]/lim OR [meta analysis]/lim) AND ([english]/lim OR [portuguese]/lim OR [spanish]/lim) </w:t>
      </w:r>
      <w:r w:rsidRPr="00A03D9B">
        <w:rPr>
          <w:lang w:val="en-US"/>
        </w:rPr>
        <w:t xml:space="preserve">AND [humans]/lim AND [2009-2014]/py. </w:t>
      </w:r>
      <w:r>
        <w:t xml:space="preserve">Nessa busca foram identificados três estudos; nenhum foi incluído neste Protocolo. </w:t>
      </w:r>
      <w:r w:rsidRPr="00A03D9B">
        <w:rPr>
          <w:lang w:val="en-US"/>
        </w:rPr>
        <w:t>A segunda busca utilizou a estratégia 'addison disease'/exp AND 'therapy'/exp AND ([cochrane review]/lim OR [systematic review]/lim OR [</w:t>
      </w:r>
      <w:r w:rsidRPr="00A03D9B">
        <w:rPr>
          <w:lang w:val="en-US"/>
        </w:rPr>
        <w:t xml:space="preserve">controlled clinical trial]/lim OR [randomized controlled trial]/lim OR [meta analysis]/lim) AND ([english]/lim OR [portuguese]/lim OR [spanish]/lim) AND [humans]/lim AND [2009-2014]/py. </w:t>
      </w:r>
      <w:r>
        <w:t>Essa busca identificou 11 estudos; nenhum foi incluído na revisão dest</w:t>
      </w:r>
      <w:r>
        <w:t>e Protocolo.</w:t>
      </w:r>
    </w:p>
    <w:p w:rsidR="0041037F" w:rsidRDefault="00A03D9B">
      <w:pPr>
        <w:pStyle w:val="Corpodetexto"/>
        <w:ind w:right="113"/>
        <w:jc w:val="both"/>
      </w:pPr>
      <w:r>
        <w:t>Também foi realizada uma busca por revisões sistemáticas da Cochrane com o termo “Addison Disease” no título, resumo ou palavras-chave, não havendo recuperação de nenhuma revisão</w:t>
      </w:r>
      <w:r>
        <w:rPr>
          <w:spacing w:val="-7"/>
        </w:rPr>
        <w:t xml:space="preserve"> </w:t>
      </w:r>
      <w:r>
        <w:t>completa.</w:t>
      </w:r>
    </w:p>
    <w:p w:rsidR="0041037F" w:rsidRDefault="00A03D9B">
      <w:pPr>
        <w:pStyle w:val="Corpodetexto"/>
        <w:ind w:right="116"/>
        <w:jc w:val="both"/>
      </w:pPr>
      <w:r>
        <w:t>Foram excluídos estudos com desfechos não clínicos, avaliando métodos de tratamento alternativos ou técnicas ou produtos não aprovados no Brasil, com graves problemas metodológicos ou resultados inconclusivos ou insuficientes para resultar em nova recomend</w:t>
      </w:r>
      <w:r>
        <w:t xml:space="preserve">ação. </w:t>
      </w:r>
      <w:r>
        <w:rPr>
          <w:spacing w:val="-2"/>
        </w:rPr>
        <w:t xml:space="preserve">Foi </w:t>
      </w:r>
      <w:r>
        <w:t>ainda consultada a base de dados UpToDate versão</w:t>
      </w:r>
      <w:r>
        <w:rPr>
          <w:spacing w:val="-4"/>
        </w:rPr>
        <w:t xml:space="preserve"> </w:t>
      </w:r>
      <w:r>
        <w:t>19.3.</w:t>
      </w:r>
    </w:p>
    <w:p w:rsidR="0041037F" w:rsidRDefault="00A03D9B">
      <w:pPr>
        <w:pStyle w:val="Corpodetexto"/>
        <w:ind w:left="666" w:firstLine="0"/>
      </w:pPr>
      <w:r>
        <w:t>Ao todo, incluem-se 30 referências neste Protocolo.</w:t>
      </w:r>
    </w:p>
    <w:p w:rsidR="0041037F" w:rsidRDefault="0041037F">
      <w:pPr>
        <w:pStyle w:val="Corpodetexto"/>
        <w:spacing w:before="10"/>
        <w:ind w:left="0" w:firstLine="0"/>
        <w:rPr>
          <w:sz w:val="15"/>
        </w:rPr>
      </w:pPr>
    </w:p>
    <w:p w:rsidR="0041037F" w:rsidRDefault="00A03D9B">
      <w:pPr>
        <w:pStyle w:val="PargrafodaLista"/>
        <w:numPr>
          <w:ilvl w:val="0"/>
          <w:numId w:val="5"/>
        </w:numPr>
        <w:tabs>
          <w:tab w:val="left" w:pos="789"/>
        </w:tabs>
        <w:ind w:left="788" w:hanging="122"/>
        <w:rPr>
          <w:sz w:val="16"/>
        </w:rPr>
      </w:pPr>
      <w:r>
        <w:rPr>
          <w:sz w:val="16"/>
        </w:rPr>
        <w:t>INTRODUÇÃO</w:t>
      </w:r>
    </w:p>
    <w:p w:rsidR="0041037F" w:rsidRDefault="00A03D9B">
      <w:pPr>
        <w:pStyle w:val="Corpodetexto"/>
        <w:spacing w:before="1"/>
        <w:ind w:right="113"/>
        <w:jc w:val="both"/>
      </w:pPr>
      <w:r>
        <w:t>A insuficiência adrenal primária (doença de Addison) corresponde à insuficiência do córtex da glândula adrenal em produzir os h</w:t>
      </w:r>
      <w:r>
        <w:t>ormônios cortisol (um glicocorticoide) e aldosterona (um mineralocorticoide). É considerada uma doença rara, com prevalência entre 0,45-11,7 casos por 100.000 habitantes(1-3). Após a introdução de terapia antituberculosa eficaz, a autoimunidade tornou-se a</w:t>
      </w:r>
      <w:r>
        <w:t xml:space="preserve"> principal causa de insuficiência adrenal primária em países desenvolvidos. Nos Estados Unidos e na Europa, a adrenalite autoimune é responsável por 68%-94% dos casos(4,5). No Brasil, estudo realizado em São Paulo demonstrou que a etiologia autoimune é a m</w:t>
      </w:r>
      <w:r>
        <w:t>ais prevalente (39%), seguida de paracoccidioidomicose (28%), tuberculose (11%) e adrenoleucodistrofia (7,3%)(6). Outras causas de insuficiência adrenal primária são infecções virais, histoplasmose, neoplasias malignas metastáticas, hemorragia adrenal, med</w:t>
      </w:r>
      <w:r>
        <w:t>icamentos e hiperplasia adrenal Primária (consultar o Protocolo Clínico e Diretrizes Terapêuticas da Hiperplasia Adrenal</w:t>
      </w:r>
      <w:r>
        <w:rPr>
          <w:spacing w:val="-6"/>
        </w:rPr>
        <w:t xml:space="preserve"> </w:t>
      </w:r>
      <w:r>
        <w:t>Primária)(4).</w:t>
      </w:r>
    </w:p>
    <w:p w:rsidR="0041037F" w:rsidRDefault="00A03D9B">
      <w:pPr>
        <w:pStyle w:val="Corpodetexto"/>
        <w:ind w:right="116"/>
        <w:jc w:val="both"/>
      </w:pPr>
      <w:r>
        <w:t>A manifestação da doença pode ocorrer de forma aguda ou crônica, dependendo da velocidade com que a perda de córtex adren</w:t>
      </w:r>
      <w:r>
        <w:t>al funcional ocorre. As manifestações da forma crônica podem ser inespecíficas, ocasionando o retardo no diagnóstico da doença. Frequentemente, o próprio diagnóstico da insuficiência adrenal é realizado durante uma crise de insuficiência adrenal aguda, cha</w:t>
      </w:r>
      <w:r>
        <w:t>mada crise addisoniana.</w:t>
      </w:r>
    </w:p>
    <w:p w:rsidR="0041037F" w:rsidRDefault="00A03D9B">
      <w:pPr>
        <w:pStyle w:val="Corpodetexto"/>
        <w:ind w:right="119" w:firstLine="607"/>
        <w:jc w:val="both"/>
      </w:pPr>
      <w:r>
        <w:t>A crise addisoniana é ocasionada pela repentina falha na produção de esteroides adrenais (cortisol e aldosterona), que pode ser decorrente de algum fator de estresse, como infecções, traumas, cirurgias ou outros fatores(6, 7). A cri</w:t>
      </w:r>
      <w:r>
        <w:t>se pode pôr a vida em risco, quando não tratada.</w:t>
      </w:r>
    </w:p>
    <w:p w:rsidR="0041037F" w:rsidRDefault="00A03D9B">
      <w:pPr>
        <w:pStyle w:val="Corpodetexto"/>
        <w:spacing w:line="183" w:lineRule="exact"/>
        <w:ind w:left="666" w:firstLine="0"/>
      </w:pPr>
      <w:r>
        <w:t>O diagnóstico precoce e o tratamento medicamentoso adequado são fundamentais para salvar a vida dos pacientes com insuficiência adrenal primária.</w:t>
      </w:r>
    </w:p>
    <w:p w:rsidR="0041037F" w:rsidRDefault="00A03D9B">
      <w:pPr>
        <w:pStyle w:val="Corpodetexto"/>
        <w:spacing w:before="1" w:line="183" w:lineRule="exact"/>
        <w:ind w:firstLine="0"/>
      </w:pPr>
      <w:r>
        <w:t>Além disso, o diagnóstico tardio parece ser o principal deter</w:t>
      </w:r>
      <w:r>
        <w:t>minante da qualidade de vida desses pacientes (8, 9).</w:t>
      </w:r>
    </w:p>
    <w:p w:rsidR="0041037F" w:rsidRDefault="00A03D9B">
      <w:pPr>
        <w:pStyle w:val="Corpodetexto"/>
        <w:ind w:right="115"/>
        <w:jc w:val="both"/>
      </w:pPr>
      <w:r>
        <w:t>A identificação de fatores de risco e da doença em seu estágio inicial e o encaminhamento ágil e adequado para o atendimento especializado dão à Atenção Básica um caráter essencial para um melhor result</w:t>
      </w:r>
      <w:r>
        <w:t>ado terapêutico e prognóstico dos</w:t>
      </w:r>
      <w:r>
        <w:rPr>
          <w:spacing w:val="-27"/>
        </w:rPr>
        <w:t xml:space="preserve"> </w:t>
      </w:r>
      <w:r>
        <w:t>casos.</w:t>
      </w:r>
    </w:p>
    <w:p w:rsidR="0041037F" w:rsidRDefault="0041037F">
      <w:pPr>
        <w:pStyle w:val="Corpodetexto"/>
        <w:ind w:left="0" w:firstLine="0"/>
      </w:pPr>
    </w:p>
    <w:p w:rsidR="0041037F" w:rsidRDefault="00A03D9B">
      <w:pPr>
        <w:pStyle w:val="PargrafodaLista"/>
        <w:numPr>
          <w:ilvl w:val="0"/>
          <w:numId w:val="5"/>
        </w:numPr>
        <w:tabs>
          <w:tab w:val="left" w:pos="787"/>
        </w:tabs>
        <w:rPr>
          <w:sz w:val="16"/>
        </w:rPr>
      </w:pPr>
      <w:r>
        <w:rPr>
          <w:sz w:val="16"/>
        </w:rPr>
        <w:t>CLASSIFICAÇÃO ESTATÍSTICA INTERNACIONAL DE DOENÇAS E PROBLEMAS RELACIONADOS À SAÚDE (CID</w:t>
      </w:r>
      <w:r>
        <w:rPr>
          <w:spacing w:val="-3"/>
          <w:sz w:val="16"/>
        </w:rPr>
        <w:t xml:space="preserve"> </w:t>
      </w:r>
      <w:r>
        <w:rPr>
          <w:sz w:val="16"/>
        </w:rPr>
        <w:t>10)</w:t>
      </w:r>
    </w:p>
    <w:p w:rsidR="0041037F" w:rsidRDefault="00A03D9B">
      <w:pPr>
        <w:pStyle w:val="Corpodetexto"/>
        <w:spacing w:before="1"/>
        <w:ind w:left="666" w:firstLine="0"/>
      </w:pPr>
      <w:r>
        <w:t>-E27.1 - Insuficiência adrenocortical primária</w:t>
      </w:r>
    </w:p>
    <w:p w:rsidR="0041037F" w:rsidRDefault="00A03D9B">
      <w:pPr>
        <w:pStyle w:val="Corpodetexto"/>
        <w:spacing w:before="1" w:line="480" w:lineRule="auto"/>
        <w:ind w:left="666" w:right="5628" w:firstLine="0"/>
      </w:pPr>
      <w:r>
        <w:t>-E27.4 - Outras insuficiências adrenocorticais e as não especificadas 4 DIAGNÓSTICO</w:t>
      </w:r>
    </w:p>
    <w:p w:rsidR="0041037F" w:rsidRDefault="00A03D9B">
      <w:pPr>
        <w:pStyle w:val="PargrafodaLista"/>
        <w:numPr>
          <w:ilvl w:val="1"/>
          <w:numId w:val="4"/>
        </w:numPr>
        <w:tabs>
          <w:tab w:val="left" w:pos="909"/>
        </w:tabs>
        <w:spacing w:line="182" w:lineRule="exact"/>
        <w:rPr>
          <w:sz w:val="16"/>
        </w:rPr>
      </w:pPr>
      <w:r>
        <w:rPr>
          <w:sz w:val="16"/>
        </w:rPr>
        <w:t>DIAGNÓSTICO</w:t>
      </w:r>
      <w:r>
        <w:rPr>
          <w:spacing w:val="-2"/>
          <w:sz w:val="16"/>
        </w:rPr>
        <w:t xml:space="preserve"> </w:t>
      </w:r>
      <w:r>
        <w:rPr>
          <w:sz w:val="16"/>
        </w:rPr>
        <w:t>CLÍNICO</w:t>
      </w:r>
    </w:p>
    <w:p w:rsidR="0041037F" w:rsidRDefault="00A03D9B">
      <w:pPr>
        <w:pStyle w:val="Corpodetexto"/>
        <w:spacing w:before="1"/>
        <w:ind w:right="120"/>
        <w:jc w:val="both"/>
      </w:pPr>
      <w:r>
        <w:t>Para que a insuficiência adrenal primária se manifeste, 90% do tecido funcional do córtex adrenal deve estar comprometido. Pacientes com a forma crônica</w:t>
      </w:r>
      <w:r>
        <w:t xml:space="preserve"> (com instalação insidiosa da perda de função adrenal) têm, inicialmente, manifestações mais sutis das deficiências hormonais.</w:t>
      </w:r>
    </w:p>
    <w:p w:rsidR="0041037F" w:rsidRDefault="00A03D9B">
      <w:pPr>
        <w:pStyle w:val="Corpodetexto"/>
        <w:ind w:right="114"/>
        <w:jc w:val="both"/>
      </w:pPr>
      <w:r>
        <w:t>A apresentação clínica da insuficiência adrenal aguda resulta principalmente do déficit mineralocorticoide, sendo dominada pela h</w:t>
      </w:r>
      <w:r>
        <w:t xml:space="preserve">ipotensão ou pelo choque hipotensivo. Esse choque é principalmente causado pela depleção de sódio e de volume plasmático, mas o excesso de prostaglandinas (prostaciclina) e a diminuição da resposta a norepinefrina e angiotensina II podem agravar o colapso </w:t>
      </w:r>
      <w:r>
        <w:t>circulatório(10).</w:t>
      </w:r>
    </w:p>
    <w:p w:rsidR="0041037F" w:rsidRDefault="00A03D9B">
      <w:pPr>
        <w:pStyle w:val="Corpodetexto"/>
        <w:ind w:left="666" w:firstLine="0"/>
      </w:pPr>
      <w:r>
        <w:t>Entretanto, tanto pacientes com apresentação aguda quanto aqueles com a forma crônica tendem a apresentar deficiência de corticoides adrenais.</w:t>
      </w:r>
    </w:p>
    <w:p w:rsidR="0041037F" w:rsidRDefault="00A03D9B">
      <w:pPr>
        <w:pStyle w:val="Corpodetexto"/>
        <w:ind w:right="115"/>
        <w:jc w:val="both"/>
      </w:pPr>
      <w:r>
        <w:t>As manifestações clínicas mais comuns são dor abdominal, fraqueza, emagrecimento, hiperpigmenta</w:t>
      </w:r>
      <w:r>
        <w:t>ção cutânea, hipotensão postural, hiperpotassemia, hiponatremia, acidose metabólica, anemia e eosinofilia(5,11). Todavia, tais manifestações podem ser inespecíficas, ocasionando retardo do diagnóstico(6,11).</w:t>
      </w:r>
    </w:p>
    <w:p w:rsidR="0041037F" w:rsidRDefault="00A03D9B">
      <w:pPr>
        <w:pStyle w:val="Corpodetexto"/>
        <w:ind w:right="119"/>
        <w:jc w:val="both"/>
      </w:pPr>
      <w:r>
        <w:t>As manifestações clínicas na forma aguda caracte</w:t>
      </w:r>
      <w:r>
        <w:t>rizam-se por hipoglicemia, respiração fraca e curta, febre, taquicardia, náusea, vômitos, cefaleia, dor abdominal inespecífica, diarreia, desidratação, hipovolemia, obnubilação (ofuscação da vista) e sonolência. Pode ocorrer hipotensão refratária a fluidot</w:t>
      </w:r>
      <w:r>
        <w:t>erapia e vasopressores, choque, inconsciência e coma (6).</w:t>
      </w:r>
    </w:p>
    <w:p w:rsidR="0041037F" w:rsidRDefault="0041037F">
      <w:pPr>
        <w:pStyle w:val="Corpodetexto"/>
        <w:ind w:left="0" w:firstLine="0"/>
      </w:pPr>
    </w:p>
    <w:p w:rsidR="0041037F" w:rsidRDefault="00A03D9B">
      <w:pPr>
        <w:pStyle w:val="PargrafodaLista"/>
        <w:numPr>
          <w:ilvl w:val="1"/>
          <w:numId w:val="4"/>
        </w:numPr>
        <w:tabs>
          <w:tab w:val="left" w:pos="910"/>
        </w:tabs>
        <w:spacing w:line="183" w:lineRule="exact"/>
        <w:ind w:left="909" w:hanging="243"/>
        <w:rPr>
          <w:sz w:val="16"/>
        </w:rPr>
      </w:pPr>
      <w:r>
        <w:rPr>
          <w:sz w:val="16"/>
        </w:rPr>
        <w:t>DIAGNÓSTICO</w:t>
      </w:r>
      <w:r>
        <w:rPr>
          <w:spacing w:val="1"/>
          <w:sz w:val="16"/>
        </w:rPr>
        <w:t xml:space="preserve"> </w:t>
      </w:r>
      <w:r>
        <w:rPr>
          <w:sz w:val="16"/>
        </w:rPr>
        <w:t>LABORATORIAL</w:t>
      </w:r>
    </w:p>
    <w:p w:rsidR="0041037F" w:rsidRDefault="00A03D9B">
      <w:pPr>
        <w:pStyle w:val="Corpodetexto"/>
        <w:ind w:right="115"/>
        <w:jc w:val="both"/>
      </w:pPr>
      <w:r>
        <w:t>O diagnóstico de insuficiência adrenal primária pode ser feito apenas com dosagens séricas basais de cortisol, que vai estar reduzido, e de hormônio adrenocorticotrófico (A</w:t>
      </w:r>
      <w:r>
        <w:t>CTH), que, compensatoriamente, aumenta(11-13). Na presença de ACTH elevado, níveis séricos basais de cortisol abaixo de 3 mcg/dL já indicam a presença de insuficiência adrenal, enquanto níveis acima de 16 mcg/dL excluem esse diagnóstico.</w:t>
      </w:r>
    </w:p>
    <w:p w:rsidR="0041037F" w:rsidRDefault="00A03D9B">
      <w:pPr>
        <w:pStyle w:val="Corpodetexto"/>
        <w:ind w:right="112"/>
        <w:jc w:val="both"/>
      </w:pPr>
      <w:r>
        <w:lastRenderedPageBreak/>
        <w:t>Se houver dificuld</w:t>
      </w:r>
      <w:r>
        <w:t>ade na interpretação ou realização do ACTH sérico, pode ser realizado teste de estímulo com 250 mcg de ACTH por via endovenosa (EV) ou intramuscular (IM), com dosagens de cortisol sérico aos 30 e 60 minutos após a injeção. No teste de estímulo com ACTH, um</w:t>
      </w:r>
      <w:r>
        <w:t xml:space="preserve"> valor de cortisol sérico</w:t>
      </w:r>
    </w:p>
    <w:p w:rsidR="0041037F" w:rsidRDefault="0041037F">
      <w:pPr>
        <w:jc w:val="both"/>
        <w:sectPr w:rsidR="0041037F">
          <w:pgSz w:w="11910" w:h="16840"/>
          <w:pgMar w:top="620" w:right="600" w:bottom="280" w:left="620" w:header="720" w:footer="720" w:gutter="0"/>
          <w:cols w:space="720"/>
        </w:sectPr>
      </w:pPr>
    </w:p>
    <w:p w:rsidR="0041037F" w:rsidRDefault="00A03D9B">
      <w:pPr>
        <w:pStyle w:val="Corpodetexto"/>
        <w:spacing w:before="76"/>
        <w:ind w:right="111" w:firstLine="0"/>
      </w:pPr>
      <w:r>
        <w:lastRenderedPageBreak/>
        <w:t>acima de 18 mcg/dL afasta o diagnóstico. Alternativamente, o diagnóstico pode ser feito por meio de dosagens da atividade da renina (aumentada) e da aldosterona (baixa)(12).</w:t>
      </w:r>
    </w:p>
    <w:p w:rsidR="0041037F" w:rsidRDefault="00A03D9B">
      <w:pPr>
        <w:pStyle w:val="Corpodetexto"/>
        <w:ind w:right="112"/>
        <w:jc w:val="both"/>
      </w:pPr>
      <w:r>
        <w:t>Outros exames que podem estar alterados nos pacientes com insuficiência adrenal primária são os níveis séricos de eletrólitos. O sódio em geral encontra- se baixo (hiponatremia) e o potássio pode estar elevado (hiperpotassemia), porém a presença das duas a</w:t>
      </w:r>
      <w:r>
        <w:t>lterações nem sempre é observada. Além disso, cerca de 10%-20% dos pacientes apresentam hipercalcemia no momento do diagnóstico(13).</w:t>
      </w:r>
    </w:p>
    <w:p w:rsidR="0041037F" w:rsidRDefault="0041037F">
      <w:pPr>
        <w:pStyle w:val="Corpodetexto"/>
        <w:ind w:left="0" w:firstLine="0"/>
      </w:pPr>
    </w:p>
    <w:p w:rsidR="0041037F" w:rsidRDefault="00A03D9B">
      <w:pPr>
        <w:pStyle w:val="PargrafodaLista"/>
        <w:numPr>
          <w:ilvl w:val="0"/>
          <w:numId w:val="4"/>
        </w:numPr>
        <w:tabs>
          <w:tab w:val="left" w:pos="787"/>
        </w:tabs>
        <w:ind w:left="786" w:hanging="120"/>
        <w:rPr>
          <w:sz w:val="16"/>
        </w:rPr>
      </w:pPr>
      <w:r>
        <w:rPr>
          <w:sz w:val="16"/>
        </w:rPr>
        <w:t>CRITÉRIOS DE</w:t>
      </w:r>
      <w:r>
        <w:rPr>
          <w:spacing w:val="2"/>
          <w:sz w:val="16"/>
        </w:rPr>
        <w:t xml:space="preserve"> </w:t>
      </w:r>
      <w:r>
        <w:rPr>
          <w:sz w:val="16"/>
        </w:rPr>
        <w:t>INCLUSÃO</w:t>
      </w:r>
    </w:p>
    <w:p w:rsidR="0041037F" w:rsidRDefault="00A03D9B">
      <w:pPr>
        <w:pStyle w:val="Corpodetexto"/>
        <w:spacing w:before="1"/>
        <w:ind w:right="142"/>
      </w:pPr>
      <w:r>
        <w:t>Serão incluídos neste Protocolo os pacientes com quadro clínico sugestivo e que apresentarem diagnós</w:t>
      </w:r>
      <w:r>
        <w:t>tico laboratorial de insuficiência adrenal, segundo um dos critérios abaixo:</w:t>
      </w:r>
    </w:p>
    <w:p w:rsidR="0041037F" w:rsidRDefault="00A03D9B">
      <w:pPr>
        <w:pStyle w:val="PargrafodaLista"/>
        <w:numPr>
          <w:ilvl w:val="0"/>
          <w:numId w:val="3"/>
        </w:numPr>
        <w:tabs>
          <w:tab w:val="left" w:pos="761"/>
        </w:tabs>
        <w:spacing w:line="183" w:lineRule="exact"/>
        <w:ind w:firstLine="566"/>
        <w:rPr>
          <w:sz w:val="16"/>
        </w:rPr>
      </w:pPr>
      <w:r>
        <w:rPr>
          <w:sz w:val="16"/>
        </w:rPr>
        <w:t>dosagem de cortisol abaixo de 3 mcg/dL e de ACTH acima 45 pg/mL;</w:t>
      </w:r>
      <w:r>
        <w:rPr>
          <w:spacing w:val="-11"/>
          <w:sz w:val="16"/>
        </w:rPr>
        <w:t xml:space="preserve"> </w:t>
      </w:r>
      <w:r>
        <w:rPr>
          <w:sz w:val="16"/>
        </w:rPr>
        <w:t>ou</w:t>
      </w:r>
    </w:p>
    <w:p w:rsidR="0041037F" w:rsidRDefault="00A03D9B">
      <w:pPr>
        <w:pStyle w:val="PargrafodaLista"/>
        <w:numPr>
          <w:ilvl w:val="0"/>
          <w:numId w:val="3"/>
        </w:numPr>
        <w:tabs>
          <w:tab w:val="left" w:pos="761"/>
        </w:tabs>
        <w:spacing w:before="1" w:line="183" w:lineRule="exact"/>
        <w:ind w:firstLine="566"/>
        <w:rPr>
          <w:sz w:val="16"/>
        </w:rPr>
      </w:pPr>
      <w:r>
        <w:rPr>
          <w:sz w:val="16"/>
        </w:rPr>
        <w:t>dosagem de cortisol abaixo de 18 mcg/dL após teste de estímulo com 250 mcg de ACTH (por via EV ou IM);</w:t>
      </w:r>
      <w:r>
        <w:rPr>
          <w:spacing w:val="-25"/>
          <w:sz w:val="16"/>
        </w:rPr>
        <w:t xml:space="preserve"> </w:t>
      </w:r>
      <w:r>
        <w:rPr>
          <w:sz w:val="16"/>
        </w:rPr>
        <w:t>ou</w:t>
      </w:r>
    </w:p>
    <w:p w:rsidR="0041037F" w:rsidRDefault="00A03D9B">
      <w:pPr>
        <w:pStyle w:val="PargrafodaLista"/>
        <w:numPr>
          <w:ilvl w:val="0"/>
          <w:numId w:val="3"/>
        </w:numPr>
        <w:tabs>
          <w:tab w:val="left" w:pos="761"/>
        </w:tabs>
        <w:spacing w:line="183" w:lineRule="exact"/>
        <w:ind w:firstLine="566"/>
        <w:rPr>
          <w:sz w:val="16"/>
        </w:rPr>
      </w:pPr>
      <w:r>
        <w:rPr>
          <w:sz w:val="16"/>
        </w:rPr>
        <w:t>dosag</w:t>
      </w:r>
      <w:r>
        <w:rPr>
          <w:sz w:val="16"/>
        </w:rPr>
        <w:t>em de renina plasmática acima do valor de referência e aldosterona no limite inferior ou abaixo do valor de</w:t>
      </w:r>
      <w:r>
        <w:rPr>
          <w:spacing w:val="-30"/>
          <w:sz w:val="16"/>
        </w:rPr>
        <w:t xml:space="preserve"> </w:t>
      </w:r>
      <w:r>
        <w:rPr>
          <w:sz w:val="16"/>
        </w:rPr>
        <w:t>referência.</w:t>
      </w:r>
    </w:p>
    <w:p w:rsidR="0041037F" w:rsidRDefault="0041037F">
      <w:pPr>
        <w:pStyle w:val="Corpodetexto"/>
        <w:spacing w:before="1"/>
        <w:ind w:left="0" w:firstLine="0"/>
      </w:pPr>
    </w:p>
    <w:p w:rsidR="0041037F" w:rsidRDefault="00A03D9B">
      <w:pPr>
        <w:pStyle w:val="PargrafodaLista"/>
        <w:numPr>
          <w:ilvl w:val="0"/>
          <w:numId w:val="4"/>
        </w:numPr>
        <w:tabs>
          <w:tab w:val="left" w:pos="787"/>
        </w:tabs>
        <w:spacing w:before="1" w:line="183" w:lineRule="exact"/>
        <w:ind w:left="786" w:hanging="120"/>
        <w:rPr>
          <w:sz w:val="16"/>
        </w:rPr>
      </w:pPr>
      <w:r>
        <w:rPr>
          <w:sz w:val="16"/>
        </w:rPr>
        <w:t>CRITÉRIOS DE</w:t>
      </w:r>
      <w:r>
        <w:rPr>
          <w:spacing w:val="-1"/>
          <w:sz w:val="16"/>
        </w:rPr>
        <w:t xml:space="preserve"> </w:t>
      </w:r>
      <w:r>
        <w:rPr>
          <w:sz w:val="16"/>
        </w:rPr>
        <w:t>EXCLUSÃO</w:t>
      </w:r>
    </w:p>
    <w:p w:rsidR="0041037F" w:rsidRDefault="00A03D9B">
      <w:pPr>
        <w:pStyle w:val="Corpodetexto"/>
        <w:spacing w:line="183" w:lineRule="exact"/>
        <w:ind w:left="666" w:firstLine="0"/>
      </w:pPr>
      <w:r>
        <w:t>Serão excluídos deste Protocolo os pacientes que apresentarem:</w:t>
      </w:r>
    </w:p>
    <w:p w:rsidR="0041037F" w:rsidRDefault="00A03D9B">
      <w:pPr>
        <w:pStyle w:val="PargrafodaLista"/>
        <w:numPr>
          <w:ilvl w:val="0"/>
          <w:numId w:val="3"/>
        </w:numPr>
        <w:tabs>
          <w:tab w:val="left" w:pos="761"/>
        </w:tabs>
        <w:ind w:firstLine="566"/>
        <w:rPr>
          <w:sz w:val="16"/>
        </w:rPr>
      </w:pPr>
      <w:r>
        <w:rPr>
          <w:sz w:val="16"/>
        </w:rPr>
        <w:t>dosagem de cortisol abaixo de 3 mcg/dL, com ACTH a</w:t>
      </w:r>
      <w:r>
        <w:rPr>
          <w:sz w:val="16"/>
        </w:rPr>
        <w:t>baixo de 45 pg/mL ou sem dosagem de ACTH concomitante;</w:t>
      </w:r>
      <w:r>
        <w:rPr>
          <w:spacing w:val="-18"/>
          <w:sz w:val="16"/>
        </w:rPr>
        <w:t xml:space="preserve"> </w:t>
      </w:r>
      <w:r>
        <w:rPr>
          <w:sz w:val="16"/>
        </w:rPr>
        <w:t>ou</w:t>
      </w:r>
    </w:p>
    <w:p w:rsidR="0041037F" w:rsidRDefault="00A03D9B">
      <w:pPr>
        <w:pStyle w:val="PargrafodaLista"/>
        <w:numPr>
          <w:ilvl w:val="0"/>
          <w:numId w:val="3"/>
        </w:numPr>
        <w:tabs>
          <w:tab w:val="left" w:pos="761"/>
        </w:tabs>
        <w:spacing w:before="1"/>
        <w:ind w:firstLine="566"/>
        <w:rPr>
          <w:sz w:val="16"/>
        </w:rPr>
      </w:pPr>
      <w:r>
        <w:rPr>
          <w:sz w:val="16"/>
        </w:rPr>
        <w:t>contraindicação ou intolerância aos medicamentos</w:t>
      </w:r>
      <w:r>
        <w:rPr>
          <w:spacing w:val="-7"/>
          <w:sz w:val="16"/>
        </w:rPr>
        <w:t xml:space="preserve"> </w:t>
      </w:r>
      <w:r>
        <w:rPr>
          <w:sz w:val="16"/>
        </w:rPr>
        <w:t>especificados.</w:t>
      </w:r>
    </w:p>
    <w:p w:rsidR="0041037F" w:rsidRDefault="0041037F">
      <w:pPr>
        <w:pStyle w:val="Corpodetexto"/>
        <w:spacing w:before="11"/>
        <w:ind w:left="0" w:firstLine="0"/>
        <w:rPr>
          <w:sz w:val="15"/>
        </w:rPr>
      </w:pPr>
    </w:p>
    <w:p w:rsidR="0041037F" w:rsidRDefault="00A03D9B">
      <w:pPr>
        <w:pStyle w:val="PargrafodaLista"/>
        <w:numPr>
          <w:ilvl w:val="0"/>
          <w:numId w:val="4"/>
        </w:numPr>
        <w:tabs>
          <w:tab w:val="left" w:pos="787"/>
        </w:tabs>
        <w:ind w:left="786" w:hanging="120"/>
        <w:rPr>
          <w:sz w:val="16"/>
        </w:rPr>
      </w:pPr>
      <w:r>
        <w:rPr>
          <w:sz w:val="16"/>
        </w:rPr>
        <w:t>CASOS</w:t>
      </w:r>
      <w:r>
        <w:rPr>
          <w:spacing w:val="-1"/>
          <w:sz w:val="16"/>
        </w:rPr>
        <w:t xml:space="preserve"> </w:t>
      </w:r>
      <w:r>
        <w:rPr>
          <w:sz w:val="16"/>
        </w:rPr>
        <w:t>ESPECIAIS</w:t>
      </w:r>
    </w:p>
    <w:p w:rsidR="0041037F" w:rsidRDefault="00A03D9B">
      <w:pPr>
        <w:pStyle w:val="Corpodetexto"/>
        <w:spacing w:before="1"/>
        <w:ind w:right="115"/>
        <w:jc w:val="both"/>
      </w:pPr>
      <w:r>
        <w:t>Em gestantes, para evitar a exposição fetal excessiva aos glicocorticoides, o tratamento é realizado preferencialmente com medicamento metabolizável pela placenta (p. ex.: prednisona, prednisolona ou hidrocortisona). Devido ao aumento da necessidade de cor</w:t>
      </w:r>
      <w:r>
        <w:t>ticoide na gravidez, sugere-se que nesse período sejam utilizadas doses um pouco mais elevadas de glicocorticoide (cerca de 7,50 mg/dia de prednisona ou prednisolona)(14). A utilização de hidrocortisona como tratamento de manutenção é uma exceção, sendo us</w:t>
      </w:r>
      <w:r>
        <w:t>ada apenas para pacientes sem condições de via oral. A dose EV/IM de manutenção é de aproximadamente 20 mg/dia.</w:t>
      </w:r>
    </w:p>
    <w:p w:rsidR="0041037F" w:rsidRDefault="00A03D9B">
      <w:pPr>
        <w:pStyle w:val="Corpodetexto"/>
        <w:ind w:left="666" w:firstLine="0"/>
      </w:pPr>
      <w:r>
        <w:t>Na indução do parto, o uso de hidrocortisona em dose de estresse deve ser considerado (200-300 mg/dia em duas a quatro aplicações ao dia).</w:t>
      </w:r>
    </w:p>
    <w:p w:rsidR="0041037F" w:rsidRDefault="0041037F">
      <w:pPr>
        <w:pStyle w:val="Corpodetexto"/>
        <w:spacing w:before="10"/>
        <w:ind w:left="0" w:firstLine="0"/>
        <w:rPr>
          <w:sz w:val="15"/>
        </w:rPr>
      </w:pPr>
    </w:p>
    <w:p w:rsidR="0041037F" w:rsidRDefault="00A03D9B">
      <w:pPr>
        <w:pStyle w:val="PargrafodaLista"/>
        <w:numPr>
          <w:ilvl w:val="0"/>
          <w:numId w:val="4"/>
        </w:numPr>
        <w:tabs>
          <w:tab w:val="left" w:pos="789"/>
        </w:tabs>
        <w:ind w:left="788" w:hanging="122"/>
        <w:rPr>
          <w:sz w:val="16"/>
        </w:rPr>
      </w:pPr>
      <w:r>
        <w:rPr>
          <w:sz w:val="16"/>
        </w:rPr>
        <w:t>TRAT</w:t>
      </w:r>
      <w:r>
        <w:rPr>
          <w:sz w:val="16"/>
        </w:rPr>
        <w:t>AMENTO</w:t>
      </w:r>
    </w:p>
    <w:p w:rsidR="0041037F" w:rsidRDefault="00A03D9B">
      <w:pPr>
        <w:pStyle w:val="Corpodetexto"/>
        <w:spacing w:before="1"/>
        <w:ind w:right="116"/>
        <w:jc w:val="both"/>
      </w:pPr>
      <w:r>
        <w:t>O tratamento de pacientes com insuficiência adrenal primária tem por objetivo suprir a deficiência de glicocorticoides e mineralocorticoides. Devido à falta de ensaios clínicos randomizados com desfechos clínicos, a prescrição de glicocorticoide e f</w:t>
      </w:r>
      <w:r>
        <w:t>ludrocortisona é baseada em séries de casos de pacientes com a doença(6, 15). O tratamento de reposição de glicocorticoide deve ter posologia prática, mimetizando o ritmo circadiano de secreção do cortisol e minimizando assim os efeitos adversos.</w:t>
      </w:r>
    </w:p>
    <w:p w:rsidR="0041037F" w:rsidRDefault="00A03D9B">
      <w:pPr>
        <w:pStyle w:val="Corpodetexto"/>
        <w:ind w:right="115"/>
        <w:jc w:val="both"/>
      </w:pPr>
      <w:r>
        <w:t>As buscas</w:t>
      </w:r>
      <w:r>
        <w:t xml:space="preserve"> realizadas nas bases de dados MEDLINE e Embase não identificaram comparações diretas entre os diferentes esquemas de reposição de glicocorticoide no tratamento da insuficiência adrenal primária.</w:t>
      </w:r>
    </w:p>
    <w:p w:rsidR="0041037F" w:rsidRDefault="00A03D9B">
      <w:pPr>
        <w:pStyle w:val="Corpodetexto"/>
        <w:ind w:right="113"/>
        <w:jc w:val="both"/>
      </w:pPr>
      <w:r>
        <w:t>No tratamento crônico, a preferência é pelo uso de prednison</w:t>
      </w:r>
      <w:r>
        <w:t>a ou prednisolona, glicocorticoides com pequeno efeito mineralocorticoide e menor incidência de miopatia do que os glicocorticoides fluorados (como a</w:t>
      </w:r>
      <w:r>
        <w:rPr>
          <w:spacing w:val="-9"/>
        </w:rPr>
        <w:t xml:space="preserve"> </w:t>
      </w:r>
      <w:r>
        <w:t>dexametasona)(16).</w:t>
      </w:r>
    </w:p>
    <w:p w:rsidR="0041037F" w:rsidRDefault="00A03D9B">
      <w:pPr>
        <w:pStyle w:val="Corpodetexto"/>
        <w:ind w:right="123"/>
        <w:jc w:val="both"/>
      </w:pPr>
      <w:r>
        <w:t>O tratamento com glicocorticoide deve ser feito com a menor dose possível para manter o</w:t>
      </w:r>
      <w:r>
        <w:t xml:space="preserve"> controle de sintomas. Muitos pacientes conseguem controle satisfatório dos sintomas com doses de 2,5 a 3,75 mg/dia de prednisona ou</w:t>
      </w:r>
      <w:r>
        <w:rPr>
          <w:spacing w:val="-13"/>
        </w:rPr>
        <w:t xml:space="preserve"> </w:t>
      </w:r>
      <w:r>
        <w:t>prednisolona.</w:t>
      </w:r>
    </w:p>
    <w:p w:rsidR="0041037F" w:rsidRDefault="00A03D9B">
      <w:pPr>
        <w:pStyle w:val="Corpodetexto"/>
        <w:ind w:right="115"/>
        <w:jc w:val="both"/>
      </w:pPr>
      <w:r>
        <w:t>O ajuste da dose dos glicocorticoides deve considerar situações de estresse, nas quais a dose deve ser duplic</w:t>
      </w:r>
      <w:r>
        <w:t>ada ou triplicada. Essas situações ocorrem nos casos de doença febril (temperatura igual ou acima de 38,5 °C), gastroenterite com desidratação, parto normal ou operação cesariana, cirurgia acompanhada de anestesia geral e grandes traumas. Não é recomendado</w:t>
      </w:r>
      <w:r>
        <w:t xml:space="preserve"> o uso de doses maiores de glicocorticoide em estresse emocional e antes de exercício físico. Os pacientes devem evitar jejum durante doenças agudas; suplementação de glicose e eletrólitos deve ser indicada devido ao risco de hipoglicemia e de desequilíbri</w:t>
      </w:r>
      <w:r>
        <w:t>o hidroeletrolítico.</w:t>
      </w:r>
    </w:p>
    <w:p w:rsidR="0041037F" w:rsidRDefault="00A03D9B">
      <w:pPr>
        <w:pStyle w:val="Corpodetexto"/>
        <w:spacing w:before="1"/>
        <w:ind w:right="115"/>
        <w:jc w:val="both"/>
      </w:pPr>
      <w:r>
        <w:t>O uso da fludrocortisona como medicamento mineralocorticoide em associação aos glicocorticoide é baseado em relatos de casos que demonstraram a efetividade daquele medicamento em salvar a vida dos pacientes com insuficiência adrenal pr</w:t>
      </w:r>
      <w:r>
        <w:t>imária(15). O papel da fludrocortisona como tratamento padrão de insuficiência adrenal primária data do primeiro relato do uso desse medicamento, publicada em 1955 por Dr. Hamwi et al.(17). Em outro estudo, o uso da então recém sintetizada fludrocortisona(</w:t>
      </w:r>
      <w:r>
        <w:t>18) em uma série de 10 pacientes mostrou claramente o benefício e a efetividade clínica e laboratorial do uso do medicamento para a insuficiência adrenal primária.</w:t>
      </w:r>
    </w:p>
    <w:p w:rsidR="0041037F" w:rsidRDefault="00A03D9B">
      <w:pPr>
        <w:pStyle w:val="Corpodetexto"/>
        <w:ind w:right="117"/>
        <w:jc w:val="both"/>
      </w:pPr>
      <w:r>
        <w:t>Os pacientes que apresentarem manifestação aguda devem receber tratamento intra-hospitalar objetivando corrigir os distúrbios hidroeletrolíticos, metabólicos e hormonais(13). A infusão de solução salina deve ser tão rápida quanto o estado cardiovascular pe</w:t>
      </w:r>
      <w:r>
        <w:t>rmita(7).</w:t>
      </w:r>
    </w:p>
    <w:p w:rsidR="0041037F" w:rsidRDefault="00A03D9B">
      <w:pPr>
        <w:pStyle w:val="Corpodetexto"/>
        <w:spacing w:line="183" w:lineRule="exact"/>
        <w:ind w:left="666" w:firstLine="0"/>
      </w:pPr>
      <w:r>
        <w:t>Nestes casos, a reposição hormonal deve ser feita com hidrocortisona EV nas seguintes doses:</w:t>
      </w:r>
    </w:p>
    <w:p w:rsidR="0041037F" w:rsidRDefault="00A03D9B">
      <w:pPr>
        <w:pStyle w:val="PargrafodaLista"/>
        <w:numPr>
          <w:ilvl w:val="0"/>
          <w:numId w:val="3"/>
        </w:numPr>
        <w:tabs>
          <w:tab w:val="left" w:pos="761"/>
        </w:tabs>
        <w:ind w:firstLine="566"/>
        <w:rPr>
          <w:sz w:val="16"/>
        </w:rPr>
      </w:pPr>
      <w:r>
        <w:rPr>
          <w:sz w:val="16"/>
        </w:rPr>
        <w:t>Dose</w:t>
      </w:r>
      <w:r>
        <w:rPr>
          <w:spacing w:val="-3"/>
          <w:sz w:val="16"/>
        </w:rPr>
        <w:t xml:space="preserve"> </w:t>
      </w:r>
      <w:r>
        <w:rPr>
          <w:sz w:val="16"/>
        </w:rPr>
        <w:t>de</w:t>
      </w:r>
      <w:r>
        <w:rPr>
          <w:spacing w:val="-3"/>
          <w:sz w:val="16"/>
        </w:rPr>
        <w:t xml:space="preserve"> </w:t>
      </w:r>
      <w:r>
        <w:rPr>
          <w:sz w:val="16"/>
        </w:rPr>
        <w:t>ataque:</w:t>
      </w:r>
      <w:r>
        <w:rPr>
          <w:spacing w:val="-2"/>
          <w:sz w:val="16"/>
        </w:rPr>
        <w:t xml:space="preserve"> </w:t>
      </w:r>
      <w:r>
        <w:rPr>
          <w:sz w:val="16"/>
        </w:rPr>
        <w:t>para recém-nascidos</w:t>
      </w:r>
      <w:r>
        <w:rPr>
          <w:spacing w:val="-1"/>
          <w:sz w:val="16"/>
        </w:rPr>
        <w:t xml:space="preserve"> </w:t>
      </w:r>
      <w:r>
        <w:rPr>
          <w:sz w:val="16"/>
        </w:rPr>
        <w:t>20 mg</w:t>
      </w:r>
      <w:r>
        <w:rPr>
          <w:spacing w:val="-2"/>
          <w:sz w:val="16"/>
        </w:rPr>
        <w:t xml:space="preserve"> </w:t>
      </w:r>
      <w:r>
        <w:rPr>
          <w:sz w:val="16"/>
        </w:rPr>
        <w:t>EV;</w:t>
      </w:r>
      <w:r>
        <w:rPr>
          <w:spacing w:val="-2"/>
          <w:sz w:val="16"/>
        </w:rPr>
        <w:t xml:space="preserve"> </w:t>
      </w:r>
      <w:r>
        <w:rPr>
          <w:sz w:val="16"/>
        </w:rPr>
        <w:t>para</w:t>
      </w:r>
      <w:r>
        <w:rPr>
          <w:spacing w:val="-3"/>
          <w:sz w:val="16"/>
        </w:rPr>
        <w:t xml:space="preserve"> </w:t>
      </w:r>
      <w:r>
        <w:rPr>
          <w:sz w:val="16"/>
        </w:rPr>
        <w:t>lactentes</w:t>
      </w:r>
      <w:r>
        <w:rPr>
          <w:spacing w:val="-1"/>
          <w:sz w:val="16"/>
        </w:rPr>
        <w:t xml:space="preserve"> </w:t>
      </w:r>
      <w:r>
        <w:rPr>
          <w:sz w:val="16"/>
        </w:rPr>
        <w:t>e</w:t>
      </w:r>
      <w:r>
        <w:rPr>
          <w:spacing w:val="-2"/>
          <w:sz w:val="16"/>
        </w:rPr>
        <w:t xml:space="preserve"> </w:t>
      </w:r>
      <w:r>
        <w:rPr>
          <w:sz w:val="16"/>
        </w:rPr>
        <w:t>pré-escolares, 50</w:t>
      </w:r>
      <w:r>
        <w:rPr>
          <w:spacing w:val="-2"/>
          <w:sz w:val="16"/>
        </w:rPr>
        <w:t xml:space="preserve"> </w:t>
      </w:r>
      <w:r>
        <w:rPr>
          <w:sz w:val="16"/>
        </w:rPr>
        <w:t>mg</w:t>
      </w:r>
      <w:r>
        <w:rPr>
          <w:spacing w:val="-2"/>
          <w:sz w:val="16"/>
        </w:rPr>
        <w:t xml:space="preserve"> </w:t>
      </w:r>
      <w:r>
        <w:rPr>
          <w:sz w:val="16"/>
        </w:rPr>
        <w:t>EV;</w:t>
      </w:r>
      <w:r>
        <w:rPr>
          <w:spacing w:val="-2"/>
          <w:sz w:val="16"/>
        </w:rPr>
        <w:t xml:space="preserve"> </w:t>
      </w:r>
      <w:r>
        <w:rPr>
          <w:sz w:val="16"/>
        </w:rPr>
        <w:t>para escolares, adolescentes</w:t>
      </w:r>
      <w:r>
        <w:rPr>
          <w:spacing w:val="-1"/>
          <w:sz w:val="16"/>
        </w:rPr>
        <w:t xml:space="preserve"> </w:t>
      </w:r>
      <w:r>
        <w:rPr>
          <w:sz w:val="16"/>
        </w:rPr>
        <w:t>e</w:t>
      </w:r>
      <w:r>
        <w:rPr>
          <w:spacing w:val="-2"/>
          <w:sz w:val="16"/>
        </w:rPr>
        <w:t xml:space="preserve"> </w:t>
      </w:r>
      <w:r>
        <w:rPr>
          <w:sz w:val="16"/>
        </w:rPr>
        <w:t>adultos,</w:t>
      </w:r>
      <w:r>
        <w:rPr>
          <w:spacing w:val="-3"/>
          <w:sz w:val="16"/>
        </w:rPr>
        <w:t xml:space="preserve"> </w:t>
      </w:r>
      <w:r>
        <w:rPr>
          <w:sz w:val="16"/>
        </w:rPr>
        <w:t>100 mg</w:t>
      </w:r>
      <w:r>
        <w:rPr>
          <w:spacing w:val="-2"/>
          <w:sz w:val="16"/>
        </w:rPr>
        <w:t xml:space="preserve"> </w:t>
      </w:r>
      <w:r>
        <w:rPr>
          <w:sz w:val="16"/>
        </w:rPr>
        <w:t>EV.</w:t>
      </w:r>
    </w:p>
    <w:p w:rsidR="0041037F" w:rsidRDefault="00A03D9B">
      <w:pPr>
        <w:pStyle w:val="PargrafodaLista"/>
        <w:numPr>
          <w:ilvl w:val="0"/>
          <w:numId w:val="3"/>
        </w:numPr>
        <w:tabs>
          <w:tab w:val="left" w:pos="792"/>
        </w:tabs>
        <w:spacing w:before="1"/>
        <w:ind w:right="115" w:firstLine="566"/>
        <w:jc w:val="both"/>
        <w:rPr>
          <w:sz w:val="16"/>
        </w:rPr>
      </w:pPr>
      <w:r>
        <w:rPr>
          <w:sz w:val="16"/>
        </w:rPr>
        <w:t>Dose de manutenção: após a dose de ataque, a hidrocortisona deverá ser mantida na dose de 50-100 mg/m2 de superfície corporal/dia EV, em administração</w:t>
      </w:r>
      <w:r>
        <w:rPr>
          <w:spacing w:val="-3"/>
          <w:sz w:val="16"/>
        </w:rPr>
        <w:t xml:space="preserve"> </w:t>
      </w:r>
      <w:r>
        <w:rPr>
          <w:sz w:val="16"/>
        </w:rPr>
        <w:t>contínua.</w:t>
      </w:r>
    </w:p>
    <w:p w:rsidR="0041037F" w:rsidRDefault="00A03D9B">
      <w:pPr>
        <w:pStyle w:val="Corpodetexto"/>
        <w:ind w:right="111"/>
        <w:jc w:val="both"/>
      </w:pPr>
      <w:r>
        <w:t>Após melhora clínica, com adequada hidratação e boa perfusão periférica, a reposição de glicoco</w:t>
      </w:r>
      <w:r>
        <w:t>rticoide deverá ser administrada por via oral e deve-se iniciar a reposição de mineralocorticoide. Como a hidrocortisona apresenta atividade glico e mineralocorticoide na dose preconizada para situações de crise adrenal, não é necessária a manutenção do us</w:t>
      </w:r>
      <w:r>
        <w:t>o de fludrocortisona concomitante à hidrocortisona</w:t>
      </w:r>
      <w:r>
        <w:rPr>
          <w:spacing w:val="-25"/>
        </w:rPr>
        <w:t xml:space="preserve"> </w:t>
      </w:r>
      <w:r>
        <w:t>EV/IM.</w:t>
      </w:r>
    </w:p>
    <w:p w:rsidR="0041037F" w:rsidRDefault="00A03D9B">
      <w:pPr>
        <w:pStyle w:val="Corpodetexto"/>
        <w:ind w:right="114"/>
        <w:jc w:val="both"/>
      </w:pPr>
      <w:r>
        <w:t>Além do cortisol e da aldosterona, a glândula adrenal normalmente funcionante também produz andrógenos. O principal andrógeno sintetizado pela adrenal é a dehidrohepiandrosterona (DHEA). A base teór</w:t>
      </w:r>
      <w:r>
        <w:t xml:space="preserve">ica dá suporte à proposição de tratamento com DHEA para pacientes com doença de Addison. Apesar de resultados promissores em dois ensaios clínicos randomizados de curta duração com poucos pacientes, que mostraram melhora na qualidade de vida dos pacientes </w:t>
      </w:r>
      <w:r>
        <w:t>com insuficiência adrenal tratados com DHEA(19, 20), estudos com maior número de pacientes e com seguimento de mais longa duração (um ano de seguimento) mostraram que os benefícios da suplementação de DHEA em pacientes com insuficiência adrenal são limítro</w:t>
      </w:r>
      <w:r>
        <w:t>fes(21), necessitando ainda estudos para justificar sua recomendação.</w:t>
      </w:r>
    </w:p>
    <w:p w:rsidR="0041037F" w:rsidRDefault="00A03D9B">
      <w:pPr>
        <w:pStyle w:val="Corpodetexto"/>
        <w:ind w:right="113"/>
        <w:jc w:val="both"/>
      </w:pPr>
      <w:r>
        <w:t>Recentemente têm sido estudados diferentes esquemas de administração de glicocorticoides, em especial de hidrocortisona. Em um primeiro ensaio clínico, 15 pacientes foram randomizadas pa</w:t>
      </w:r>
      <w:r>
        <w:t>ra uso de hidrocortisona duas vezes por dia ou quatro vezes por dia. O desfecho de interesse foi o controle da doença (medido pelo nível sérico de ACTH). O grupo que utilizou o medicamento quatro vezes por dia apresentou melhor controle e uma tendência a m</w:t>
      </w:r>
      <w:r>
        <w:t>elhores resultados em questionários de qualidade de vida(22).</w:t>
      </w:r>
    </w:p>
    <w:p w:rsidR="0041037F" w:rsidRDefault="00A03D9B">
      <w:pPr>
        <w:pStyle w:val="Corpodetexto"/>
        <w:spacing w:before="1"/>
        <w:ind w:right="110"/>
        <w:jc w:val="both"/>
      </w:pPr>
      <w:r>
        <w:t>Um segundo ensaio clínico randomizado testou se a administração contínua de hidrocortisona através de bomba de infusão atingia melhor controle (medido pelo nível sérico de ACTH) quando comparada</w:t>
      </w:r>
      <w:r>
        <w:t xml:space="preserve"> com o uso de hidrocortisona por via oral três vezes por dia. Os pacientes que utilizaram a bomba de infusão apresentaram melhor controle da insuficiência adrenal primária, avaliado por meio de medidas de ACTH e de outros diversos marcadores. Apesar disso,</w:t>
      </w:r>
      <w:r>
        <w:t xml:space="preserve"> o significado clínico dessa intervenção ainda permanece incerto, apesar de o estudo ter demonstrado também melhora em questionário de qualidade de vida(23). A indicação rotineira dessa tecnologia necessita de estudos maiores e com maior tempo de seguiment</w:t>
      </w:r>
      <w:r>
        <w:t>o, que possibilitem a avaliação do seu real impacto sobre desfechos clínicos.</w:t>
      </w:r>
    </w:p>
    <w:p w:rsidR="0041037F" w:rsidRDefault="00A03D9B">
      <w:pPr>
        <w:pStyle w:val="Corpodetexto"/>
        <w:spacing w:before="36" w:line="370" w:lineRule="exact"/>
        <w:ind w:left="666" w:right="8843" w:firstLine="0"/>
      </w:pPr>
      <w:r>
        <w:t>8.1. FÁRMACOS Glicocorticoides</w:t>
      </w:r>
    </w:p>
    <w:p w:rsidR="0041037F" w:rsidRDefault="00A03D9B">
      <w:pPr>
        <w:pStyle w:val="PargrafodaLista"/>
        <w:numPr>
          <w:ilvl w:val="0"/>
          <w:numId w:val="3"/>
        </w:numPr>
        <w:tabs>
          <w:tab w:val="left" w:pos="761"/>
        </w:tabs>
        <w:spacing w:line="143" w:lineRule="exact"/>
        <w:ind w:firstLine="566"/>
        <w:rPr>
          <w:sz w:val="16"/>
        </w:rPr>
      </w:pPr>
      <w:r>
        <w:rPr>
          <w:sz w:val="16"/>
        </w:rPr>
        <w:t>Dexametasona: elixir de 0,1 mg/mL; comprimido de 4 mg; solução injetável de 4</w:t>
      </w:r>
      <w:r>
        <w:rPr>
          <w:spacing w:val="-17"/>
          <w:sz w:val="16"/>
        </w:rPr>
        <w:t xml:space="preserve"> </w:t>
      </w:r>
      <w:r>
        <w:rPr>
          <w:sz w:val="16"/>
        </w:rPr>
        <w:t>mg/ml.</w:t>
      </w:r>
    </w:p>
    <w:p w:rsidR="0041037F" w:rsidRDefault="00A03D9B">
      <w:pPr>
        <w:pStyle w:val="PargrafodaLista"/>
        <w:numPr>
          <w:ilvl w:val="0"/>
          <w:numId w:val="3"/>
        </w:numPr>
        <w:tabs>
          <w:tab w:val="left" w:pos="761"/>
        </w:tabs>
        <w:spacing w:line="183" w:lineRule="exact"/>
        <w:ind w:firstLine="566"/>
        <w:rPr>
          <w:sz w:val="16"/>
        </w:rPr>
      </w:pPr>
      <w:r>
        <w:rPr>
          <w:sz w:val="16"/>
        </w:rPr>
        <w:t>Prednisona: comprimidos de 5 mg e 20</w:t>
      </w:r>
      <w:r>
        <w:rPr>
          <w:spacing w:val="-9"/>
          <w:sz w:val="16"/>
        </w:rPr>
        <w:t xml:space="preserve"> </w:t>
      </w:r>
      <w:r>
        <w:rPr>
          <w:sz w:val="16"/>
        </w:rPr>
        <w:t>mg.</w:t>
      </w:r>
    </w:p>
    <w:p w:rsidR="0041037F" w:rsidRDefault="00A03D9B">
      <w:pPr>
        <w:pStyle w:val="PargrafodaLista"/>
        <w:numPr>
          <w:ilvl w:val="0"/>
          <w:numId w:val="3"/>
        </w:numPr>
        <w:tabs>
          <w:tab w:val="left" w:pos="763"/>
        </w:tabs>
        <w:ind w:right="119" w:firstLine="566"/>
        <w:jc w:val="both"/>
        <w:rPr>
          <w:sz w:val="16"/>
        </w:rPr>
      </w:pPr>
      <w:r>
        <w:rPr>
          <w:sz w:val="16"/>
        </w:rPr>
        <w:t>Prednisolona: solução oral de 1,34 mg/mL de fosfato sódico de prednisolona (equivalente a 1 mg de prednisolona base) e 4,02 mg/mL de fosfato sódico de prednisolona (equivalente a 3 mg de prednisolona</w:t>
      </w:r>
      <w:r>
        <w:rPr>
          <w:spacing w:val="-13"/>
          <w:sz w:val="16"/>
        </w:rPr>
        <w:t xml:space="preserve"> </w:t>
      </w:r>
      <w:r>
        <w:rPr>
          <w:sz w:val="16"/>
        </w:rPr>
        <w:t>base).</w:t>
      </w:r>
    </w:p>
    <w:p w:rsidR="0041037F" w:rsidRDefault="00A03D9B">
      <w:pPr>
        <w:pStyle w:val="PargrafodaLista"/>
        <w:numPr>
          <w:ilvl w:val="0"/>
          <w:numId w:val="3"/>
        </w:numPr>
        <w:tabs>
          <w:tab w:val="left" w:pos="761"/>
        </w:tabs>
        <w:spacing w:before="1" w:line="480" w:lineRule="auto"/>
        <w:ind w:left="666" w:right="6652" w:firstLine="0"/>
        <w:rPr>
          <w:sz w:val="16"/>
        </w:rPr>
      </w:pPr>
      <w:r>
        <w:rPr>
          <w:sz w:val="16"/>
        </w:rPr>
        <w:t>Hidrocortisona: solução injetável de 100 e 500 mg</w:t>
      </w:r>
      <w:r>
        <w:rPr>
          <w:sz w:val="16"/>
        </w:rPr>
        <w:t>. Mineralocorticoide</w:t>
      </w:r>
    </w:p>
    <w:p w:rsidR="0041037F" w:rsidRDefault="0041037F">
      <w:pPr>
        <w:spacing w:line="480" w:lineRule="auto"/>
        <w:rPr>
          <w:sz w:val="16"/>
        </w:rPr>
        <w:sectPr w:rsidR="0041037F">
          <w:pgSz w:w="11910" w:h="16840"/>
          <w:pgMar w:top="620" w:right="600" w:bottom="280" w:left="620" w:header="720" w:footer="720" w:gutter="0"/>
          <w:cols w:space="720"/>
        </w:sectPr>
      </w:pPr>
    </w:p>
    <w:p w:rsidR="0041037F" w:rsidRDefault="00A03D9B">
      <w:pPr>
        <w:pStyle w:val="PargrafodaLista"/>
        <w:numPr>
          <w:ilvl w:val="0"/>
          <w:numId w:val="3"/>
        </w:numPr>
        <w:tabs>
          <w:tab w:val="left" w:pos="761"/>
        </w:tabs>
        <w:spacing w:before="76"/>
        <w:ind w:firstLine="566"/>
        <w:rPr>
          <w:sz w:val="16"/>
        </w:rPr>
      </w:pPr>
      <w:r>
        <w:rPr>
          <w:sz w:val="16"/>
        </w:rPr>
        <w:lastRenderedPageBreak/>
        <w:t>Fludrocortisona: comprimido de 0,1</w:t>
      </w:r>
      <w:r>
        <w:rPr>
          <w:spacing w:val="-10"/>
          <w:sz w:val="16"/>
        </w:rPr>
        <w:t xml:space="preserve"> </w:t>
      </w:r>
      <w:r>
        <w:rPr>
          <w:sz w:val="16"/>
        </w:rPr>
        <w:t>mg.</w:t>
      </w:r>
    </w:p>
    <w:p w:rsidR="0041037F" w:rsidRDefault="0041037F">
      <w:pPr>
        <w:pStyle w:val="Corpodetexto"/>
        <w:spacing w:before="10"/>
        <w:ind w:left="0" w:firstLine="0"/>
        <w:rPr>
          <w:sz w:val="15"/>
        </w:rPr>
      </w:pPr>
    </w:p>
    <w:p w:rsidR="0041037F" w:rsidRDefault="00A03D9B">
      <w:pPr>
        <w:pStyle w:val="Corpodetexto"/>
        <w:spacing w:before="1" w:line="482" w:lineRule="auto"/>
        <w:ind w:left="666" w:right="4152" w:firstLine="0"/>
      </w:pPr>
      <w:r>
        <w:pict>
          <v:shapetype id="_x0000_t202" coordsize="21600,21600" o:spt="202" path="m,l,21600r21600,l21600,xe">
            <v:stroke joinstyle="miter"/>
            <v:path gradientshapeok="t" o:connecttype="rect"/>
          </v:shapetype>
          <v:shape id="_x0000_s1026" type="#_x0000_t202" style="position:absolute;left:0;text-align:left;margin-left:184pt;margin-top:27.95pt;width:227.6pt;height:104.8pt;z-index:102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1109"/>
                    <w:gridCol w:w="706"/>
                    <w:gridCol w:w="1536"/>
                  </w:tblGrid>
                  <w:tr w:rsidR="0041037F">
                    <w:trPr>
                      <w:trHeight w:val="736"/>
                    </w:trPr>
                    <w:tc>
                      <w:tcPr>
                        <w:tcW w:w="1186" w:type="dxa"/>
                      </w:tcPr>
                      <w:p w:rsidR="0041037F" w:rsidRDefault="0041037F">
                        <w:pPr>
                          <w:pStyle w:val="TableParagraph"/>
                          <w:spacing w:before="5"/>
                          <w:jc w:val="left"/>
                          <w:rPr>
                            <w:sz w:val="23"/>
                          </w:rPr>
                        </w:pPr>
                      </w:p>
                      <w:p w:rsidR="0041037F" w:rsidRDefault="00A03D9B">
                        <w:pPr>
                          <w:pStyle w:val="TableParagraph"/>
                          <w:spacing w:before="1"/>
                          <w:ind w:left="100" w:right="92"/>
                          <w:rPr>
                            <w:sz w:val="16"/>
                          </w:rPr>
                        </w:pPr>
                        <w:r>
                          <w:rPr>
                            <w:sz w:val="16"/>
                          </w:rPr>
                          <w:t>Esteroide</w:t>
                        </w:r>
                      </w:p>
                    </w:tc>
                    <w:tc>
                      <w:tcPr>
                        <w:tcW w:w="1109" w:type="dxa"/>
                      </w:tcPr>
                      <w:p w:rsidR="0041037F" w:rsidRDefault="00A03D9B">
                        <w:pPr>
                          <w:pStyle w:val="TableParagraph"/>
                          <w:ind w:left="163" w:right="150" w:hanging="3"/>
                          <w:rPr>
                            <w:sz w:val="16"/>
                          </w:rPr>
                        </w:pPr>
                        <w:r>
                          <w:rPr>
                            <w:sz w:val="16"/>
                          </w:rPr>
                          <w:t>Atividade anti-</w:t>
                        </w:r>
                      </w:p>
                      <w:p w:rsidR="0041037F" w:rsidRDefault="00A03D9B">
                        <w:pPr>
                          <w:pStyle w:val="TableParagraph"/>
                          <w:spacing w:line="182" w:lineRule="exact"/>
                          <w:ind w:left="163" w:right="150"/>
                          <w:rPr>
                            <w:sz w:val="16"/>
                          </w:rPr>
                        </w:pPr>
                        <w:r>
                          <w:rPr>
                            <w:spacing w:val="-1"/>
                            <w:sz w:val="16"/>
                          </w:rPr>
                          <w:t xml:space="preserve">inflamatória </w:t>
                        </w:r>
                        <w:r>
                          <w:rPr>
                            <w:sz w:val="16"/>
                          </w:rPr>
                          <w:t>(16)</w:t>
                        </w:r>
                      </w:p>
                    </w:tc>
                    <w:tc>
                      <w:tcPr>
                        <w:tcW w:w="706" w:type="dxa"/>
                      </w:tcPr>
                      <w:p w:rsidR="0041037F" w:rsidRDefault="00A03D9B">
                        <w:pPr>
                          <w:pStyle w:val="TableParagraph"/>
                          <w:ind w:left="131" w:right="116"/>
                          <w:rPr>
                            <w:sz w:val="16"/>
                          </w:rPr>
                        </w:pPr>
                        <w:r>
                          <w:rPr>
                            <w:spacing w:val="-1"/>
                            <w:sz w:val="16"/>
                          </w:rPr>
                          <w:t xml:space="preserve">Retenç </w:t>
                        </w:r>
                        <w:r>
                          <w:rPr>
                            <w:sz w:val="16"/>
                          </w:rPr>
                          <w:t>ão</w:t>
                        </w:r>
                      </w:p>
                      <w:p w:rsidR="0041037F" w:rsidRDefault="00A03D9B">
                        <w:pPr>
                          <w:pStyle w:val="TableParagraph"/>
                          <w:spacing w:line="182" w:lineRule="exact"/>
                          <w:ind w:left="131" w:right="116"/>
                          <w:rPr>
                            <w:sz w:val="16"/>
                          </w:rPr>
                        </w:pPr>
                        <w:r>
                          <w:rPr>
                            <w:sz w:val="16"/>
                          </w:rPr>
                          <w:t>salina( 8)</w:t>
                        </w:r>
                      </w:p>
                    </w:tc>
                    <w:tc>
                      <w:tcPr>
                        <w:tcW w:w="1536" w:type="dxa"/>
                      </w:tcPr>
                      <w:p w:rsidR="0041037F" w:rsidRDefault="00A03D9B">
                        <w:pPr>
                          <w:pStyle w:val="TableParagraph"/>
                          <w:spacing w:before="88"/>
                          <w:ind w:left="376" w:right="175" w:hanging="192"/>
                          <w:jc w:val="left"/>
                          <w:rPr>
                            <w:sz w:val="16"/>
                          </w:rPr>
                        </w:pPr>
                        <w:r>
                          <w:rPr>
                            <w:sz w:val="16"/>
                          </w:rPr>
                          <w:t>Supressão do eixo hipotálamo- hipófise(16)</w:t>
                        </w:r>
                      </w:p>
                    </w:tc>
                  </w:tr>
                  <w:tr w:rsidR="0041037F">
                    <w:trPr>
                      <w:trHeight w:val="369"/>
                    </w:trPr>
                    <w:tc>
                      <w:tcPr>
                        <w:tcW w:w="1186" w:type="dxa"/>
                      </w:tcPr>
                      <w:p w:rsidR="0041037F" w:rsidRDefault="00A03D9B">
                        <w:pPr>
                          <w:pStyle w:val="TableParagraph"/>
                          <w:spacing w:line="178" w:lineRule="exact"/>
                          <w:ind w:left="100" w:right="92"/>
                          <w:rPr>
                            <w:sz w:val="16"/>
                          </w:rPr>
                        </w:pPr>
                        <w:r>
                          <w:rPr>
                            <w:sz w:val="16"/>
                          </w:rPr>
                          <w:t>Cortisol/hidro</w:t>
                        </w:r>
                      </w:p>
                      <w:p w:rsidR="0041037F" w:rsidRDefault="00A03D9B">
                        <w:pPr>
                          <w:pStyle w:val="TableParagraph"/>
                          <w:spacing w:before="1" w:line="170" w:lineRule="exact"/>
                          <w:ind w:left="99" w:right="92"/>
                          <w:rPr>
                            <w:sz w:val="16"/>
                          </w:rPr>
                        </w:pPr>
                        <w:r>
                          <w:rPr>
                            <w:sz w:val="16"/>
                          </w:rPr>
                          <w:t>cortisona</w:t>
                        </w:r>
                      </w:p>
                    </w:tc>
                    <w:tc>
                      <w:tcPr>
                        <w:tcW w:w="1109" w:type="dxa"/>
                      </w:tcPr>
                      <w:p w:rsidR="0041037F" w:rsidRDefault="00A03D9B">
                        <w:pPr>
                          <w:pStyle w:val="TableParagraph"/>
                          <w:spacing w:before="88"/>
                          <w:ind w:left="513"/>
                          <w:jc w:val="left"/>
                          <w:rPr>
                            <w:sz w:val="16"/>
                          </w:rPr>
                        </w:pPr>
                        <w:r>
                          <w:rPr>
                            <w:sz w:val="16"/>
                          </w:rPr>
                          <w:t>1</w:t>
                        </w:r>
                      </w:p>
                    </w:tc>
                    <w:tc>
                      <w:tcPr>
                        <w:tcW w:w="706" w:type="dxa"/>
                      </w:tcPr>
                      <w:p w:rsidR="0041037F" w:rsidRDefault="00A03D9B">
                        <w:pPr>
                          <w:pStyle w:val="TableParagraph"/>
                          <w:spacing w:before="88"/>
                          <w:ind w:right="300"/>
                          <w:jc w:val="right"/>
                          <w:rPr>
                            <w:sz w:val="16"/>
                          </w:rPr>
                        </w:pPr>
                        <w:r>
                          <w:rPr>
                            <w:sz w:val="16"/>
                          </w:rPr>
                          <w:t>1</w:t>
                        </w:r>
                      </w:p>
                    </w:tc>
                    <w:tc>
                      <w:tcPr>
                        <w:tcW w:w="1536" w:type="dxa"/>
                      </w:tcPr>
                      <w:p w:rsidR="0041037F" w:rsidRDefault="00A03D9B">
                        <w:pPr>
                          <w:pStyle w:val="TableParagraph"/>
                          <w:spacing w:before="88"/>
                          <w:ind w:left="727"/>
                          <w:jc w:val="left"/>
                          <w:rPr>
                            <w:sz w:val="16"/>
                          </w:rPr>
                        </w:pPr>
                        <w:r>
                          <w:rPr>
                            <w:sz w:val="16"/>
                          </w:rPr>
                          <w:t>1</w:t>
                        </w:r>
                      </w:p>
                    </w:tc>
                  </w:tr>
                  <w:tr w:rsidR="0041037F">
                    <w:trPr>
                      <w:trHeight w:val="366"/>
                    </w:trPr>
                    <w:tc>
                      <w:tcPr>
                        <w:tcW w:w="1186" w:type="dxa"/>
                      </w:tcPr>
                      <w:p w:rsidR="0041037F" w:rsidRDefault="00A03D9B">
                        <w:pPr>
                          <w:pStyle w:val="TableParagraph"/>
                          <w:spacing w:line="178" w:lineRule="exact"/>
                          <w:ind w:left="100" w:right="92"/>
                          <w:rPr>
                            <w:sz w:val="16"/>
                          </w:rPr>
                        </w:pPr>
                        <w:r>
                          <w:rPr>
                            <w:sz w:val="16"/>
                          </w:rPr>
                          <w:t>Fludrocortison</w:t>
                        </w:r>
                      </w:p>
                      <w:p w:rsidR="0041037F" w:rsidRDefault="00A03D9B">
                        <w:pPr>
                          <w:pStyle w:val="TableParagraph"/>
                          <w:spacing w:line="169" w:lineRule="exact"/>
                          <w:ind w:left="4"/>
                          <w:rPr>
                            <w:sz w:val="16"/>
                          </w:rPr>
                        </w:pPr>
                        <w:r>
                          <w:rPr>
                            <w:sz w:val="16"/>
                          </w:rPr>
                          <w:t>a</w:t>
                        </w:r>
                      </w:p>
                    </w:tc>
                    <w:tc>
                      <w:tcPr>
                        <w:tcW w:w="1109" w:type="dxa"/>
                      </w:tcPr>
                      <w:p w:rsidR="0041037F" w:rsidRDefault="00A03D9B">
                        <w:pPr>
                          <w:pStyle w:val="TableParagraph"/>
                          <w:spacing w:before="85"/>
                          <w:ind w:left="472"/>
                          <w:jc w:val="left"/>
                          <w:rPr>
                            <w:sz w:val="16"/>
                          </w:rPr>
                        </w:pPr>
                        <w:r>
                          <w:rPr>
                            <w:sz w:val="16"/>
                          </w:rPr>
                          <w:t>12</w:t>
                        </w:r>
                      </w:p>
                    </w:tc>
                    <w:tc>
                      <w:tcPr>
                        <w:tcW w:w="706" w:type="dxa"/>
                      </w:tcPr>
                      <w:p w:rsidR="0041037F" w:rsidRDefault="00A03D9B">
                        <w:pPr>
                          <w:pStyle w:val="TableParagraph"/>
                          <w:spacing w:before="85"/>
                          <w:ind w:right="220"/>
                          <w:jc w:val="right"/>
                          <w:rPr>
                            <w:sz w:val="16"/>
                          </w:rPr>
                        </w:pPr>
                        <w:r>
                          <w:rPr>
                            <w:sz w:val="16"/>
                          </w:rPr>
                          <w:t>125</w:t>
                        </w:r>
                      </w:p>
                    </w:tc>
                    <w:tc>
                      <w:tcPr>
                        <w:tcW w:w="1536" w:type="dxa"/>
                      </w:tcPr>
                      <w:p w:rsidR="0041037F" w:rsidRDefault="00A03D9B">
                        <w:pPr>
                          <w:pStyle w:val="TableParagraph"/>
                          <w:spacing w:before="85"/>
                          <w:ind w:left="686"/>
                          <w:jc w:val="left"/>
                          <w:rPr>
                            <w:sz w:val="16"/>
                          </w:rPr>
                        </w:pPr>
                        <w:r>
                          <w:rPr>
                            <w:sz w:val="16"/>
                          </w:rPr>
                          <w:t>12</w:t>
                        </w:r>
                      </w:p>
                    </w:tc>
                  </w:tr>
                  <w:tr w:rsidR="0041037F">
                    <w:trPr>
                      <w:trHeight w:val="184"/>
                    </w:trPr>
                    <w:tc>
                      <w:tcPr>
                        <w:tcW w:w="1186" w:type="dxa"/>
                      </w:tcPr>
                      <w:p w:rsidR="0041037F" w:rsidRDefault="00A03D9B">
                        <w:pPr>
                          <w:pStyle w:val="TableParagraph"/>
                          <w:spacing w:line="164" w:lineRule="exact"/>
                          <w:ind w:left="98" w:right="92"/>
                          <w:rPr>
                            <w:sz w:val="16"/>
                          </w:rPr>
                        </w:pPr>
                        <w:r>
                          <w:rPr>
                            <w:sz w:val="16"/>
                          </w:rPr>
                          <w:t>Prednisona</w:t>
                        </w:r>
                      </w:p>
                    </w:tc>
                    <w:tc>
                      <w:tcPr>
                        <w:tcW w:w="1109" w:type="dxa"/>
                      </w:tcPr>
                      <w:p w:rsidR="0041037F" w:rsidRDefault="00A03D9B">
                        <w:pPr>
                          <w:pStyle w:val="TableParagraph"/>
                          <w:spacing w:line="164" w:lineRule="exact"/>
                          <w:ind w:left="513"/>
                          <w:jc w:val="left"/>
                          <w:rPr>
                            <w:sz w:val="16"/>
                          </w:rPr>
                        </w:pPr>
                        <w:r>
                          <w:rPr>
                            <w:sz w:val="16"/>
                          </w:rPr>
                          <w:t>3</w:t>
                        </w:r>
                      </w:p>
                    </w:tc>
                    <w:tc>
                      <w:tcPr>
                        <w:tcW w:w="706" w:type="dxa"/>
                      </w:tcPr>
                      <w:p w:rsidR="0041037F" w:rsidRDefault="00A03D9B">
                        <w:pPr>
                          <w:pStyle w:val="TableParagraph"/>
                          <w:spacing w:line="164" w:lineRule="exact"/>
                          <w:ind w:right="239"/>
                          <w:jc w:val="right"/>
                          <w:rPr>
                            <w:sz w:val="16"/>
                          </w:rPr>
                        </w:pPr>
                        <w:r>
                          <w:rPr>
                            <w:sz w:val="16"/>
                          </w:rPr>
                          <w:t>0,8</w:t>
                        </w:r>
                      </w:p>
                    </w:tc>
                    <w:tc>
                      <w:tcPr>
                        <w:tcW w:w="1536" w:type="dxa"/>
                      </w:tcPr>
                      <w:p w:rsidR="0041037F" w:rsidRDefault="00A03D9B">
                        <w:pPr>
                          <w:pStyle w:val="TableParagraph"/>
                          <w:spacing w:line="164" w:lineRule="exact"/>
                          <w:ind w:left="727"/>
                          <w:jc w:val="left"/>
                          <w:rPr>
                            <w:sz w:val="16"/>
                          </w:rPr>
                        </w:pPr>
                        <w:r>
                          <w:rPr>
                            <w:sz w:val="16"/>
                          </w:rPr>
                          <w:t>4</w:t>
                        </w:r>
                      </w:p>
                    </w:tc>
                  </w:tr>
                  <w:tr w:rsidR="0041037F">
                    <w:trPr>
                      <w:trHeight w:val="184"/>
                    </w:trPr>
                    <w:tc>
                      <w:tcPr>
                        <w:tcW w:w="1186" w:type="dxa"/>
                      </w:tcPr>
                      <w:p w:rsidR="0041037F" w:rsidRDefault="00A03D9B">
                        <w:pPr>
                          <w:pStyle w:val="TableParagraph"/>
                          <w:spacing w:line="164" w:lineRule="exact"/>
                          <w:ind w:left="98" w:right="92"/>
                          <w:rPr>
                            <w:sz w:val="16"/>
                          </w:rPr>
                        </w:pPr>
                        <w:r>
                          <w:rPr>
                            <w:sz w:val="16"/>
                          </w:rPr>
                          <w:t>Prednisolona</w:t>
                        </w:r>
                      </w:p>
                    </w:tc>
                    <w:tc>
                      <w:tcPr>
                        <w:tcW w:w="1109" w:type="dxa"/>
                      </w:tcPr>
                      <w:p w:rsidR="0041037F" w:rsidRDefault="00A03D9B">
                        <w:pPr>
                          <w:pStyle w:val="TableParagraph"/>
                          <w:spacing w:line="164" w:lineRule="exact"/>
                          <w:ind w:left="513"/>
                          <w:jc w:val="left"/>
                          <w:rPr>
                            <w:sz w:val="16"/>
                          </w:rPr>
                        </w:pPr>
                        <w:r>
                          <w:rPr>
                            <w:sz w:val="16"/>
                          </w:rPr>
                          <w:t>3</w:t>
                        </w:r>
                      </w:p>
                    </w:tc>
                    <w:tc>
                      <w:tcPr>
                        <w:tcW w:w="706" w:type="dxa"/>
                      </w:tcPr>
                      <w:p w:rsidR="0041037F" w:rsidRDefault="00A03D9B">
                        <w:pPr>
                          <w:pStyle w:val="TableParagraph"/>
                          <w:spacing w:line="164" w:lineRule="exact"/>
                          <w:ind w:right="239"/>
                          <w:jc w:val="right"/>
                          <w:rPr>
                            <w:sz w:val="16"/>
                          </w:rPr>
                        </w:pPr>
                        <w:r>
                          <w:rPr>
                            <w:sz w:val="16"/>
                          </w:rPr>
                          <w:t>0,8</w:t>
                        </w:r>
                      </w:p>
                    </w:tc>
                    <w:tc>
                      <w:tcPr>
                        <w:tcW w:w="1536" w:type="dxa"/>
                      </w:tcPr>
                      <w:p w:rsidR="0041037F" w:rsidRDefault="00A03D9B">
                        <w:pPr>
                          <w:pStyle w:val="TableParagraph"/>
                          <w:spacing w:line="164" w:lineRule="exact"/>
                          <w:ind w:left="727"/>
                          <w:jc w:val="left"/>
                          <w:rPr>
                            <w:sz w:val="16"/>
                          </w:rPr>
                        </w:pPr>
                        <w:r>
                          <w:rPr>
                            <w:sz w:val="16"/>
                          </w:rPr>
                          <w:t>4</w:t>
                        </w:r>
                      </w:p>
                    </w:tc>
                  </w:tr>
                  <w:tr w:rsidR="0041037F">
                    <w:trPr>
                      <w:trHeight w:val="184"/>
                    </w:trPr>
                    <w:tc>
                      <w:tcPr>
                        <w:tcW w:w="1186" w:type="dxa"/>
                      </w:tcPr>
                      <w:p w:rsidR="0041037F" w:rsidRDefault="00A03D9B">
                        <w:pPr>
                          <w:pStyle w:val="TableParagraph"/>
                          <w:spacing w:line="164" w:lineRule="exact"/>
                          <w:ind w:left="98" w:right="92"/>
                          <w:rPr>
                            <w:sz w:val="16"/>
                          </w:rPr>
                        </w:pPr>
                        <w:r>
                          <w:rPr>
                            <w:sz w:val="16"/>
                          </w:rPr>
                          <w:t>Dexametasona</w:t>
                        </w:r>
                      </w:p>
                    </w:tc>
                    <w:tc>
                      <w:tcPr>
                        <w:tcW w:w="1109" w:type="dxa"/>
                      </w:tcPr>
                      <w:p w:rsidR="0041037F" w:rsidRDefault="00A03D9B">
                        <w:pPr>
                          <w:pStyle w:val="TableParagraph"/>
                          <w:spacing w:line="164" w:lineRule="exact"/>
                          <w:ind w:left="472"/>
                          <w:jc w:val="left"/>
                          <w:rPr>
                            <w:sz w:val="16"/>
                          </w:rPr>
                        </w:pPr>
                        <w:r>
                          <w:rPr>
                            <w:sz w:val="16"/>
                          </w:rPr>
                          <w:t>26</w:t>
                        </w:r>
                      </w:p>
                    </w:tc>
                    <w:tc>
                      <w:tcPr>
                        <w:tcW w:w="706" w:type="dxa"/>
                      </w:tcPr>
                      <w:p w:rsidR="0041037F" w:rsidRDefault="00A03D9B">
                        <w:pPr>
                          <w:pStyle w:val="TableParagraph"/>
                          <w:spacing w:line="164" w:lineRule="exact"/>
                          <w:ind w:right="300"/>
                          <w:jc w:val="right"/>
                          <w:rPr>
                            <w:sz w:val="16"/>
                          </w:rPr>
                        </w:pPr>
                        <w:r>
                          <w:rPr>
                            <w:sz w:val="16"/>
                          </w:rPr>
                          <w:t>0</w:t>
                        </w:r>
                      </w:p>
                    </w:tc>
                    <w:tc>
                      <w:tcPr>
                        <w:tcW w:w="1536" w:type="dxa"/>
                      </w:tcPr>
                      <w:p w:rsidR="0041037F" w:rsidRDefault="00A03D9B">
                        <w:pPr>
                          <w:pStyle w:val="TableParagraph"/>
                          <w:spacing w:line="164" w:lineRule="exact"/>
                          <w:ind w:left="686"/>
                          <w:jc w:val="left"/>
                          <w:rPr>
                            <w:sz w:val="16"/>
                          </w:rPr>
                        </w:pPr>
                        <w:r>
                          <w:rPr>
                            <w:sz w:val="16"/>
                          </w:rPr>
                          <w:t>17</w:t>
                        </w:r>
                      </w:p>
                    </w:tc>
                  </w:tr>
                </w:tbl>
                <w:p w:rsidR="0041037F" w:rsidRDefault="0041037F">
                  <w:pPr>
                    <w:pStyle w:val="Corpodetexto"/>
                    <w:ind w:left="0" w:firstLine="0"/>
                  </w:pPr>
                </w:p>
              </w:txbxContent>
            </v:textbox>
            <w10:wrap anchorx="page"/>
          </v:shape>
        </w:pict>
      </w:r>
      <w:r>
        <w:t>A Tabela 1 indica as potências biológicas dos esteroides sintéticos em relação ao cortisol. TABELA 1 - Potências biológicas relativas dos esteroides sintéticos em relação ao cortisol.</w:t>
      </w:r>
    </w:p>
    <w:p w:rsidR="0041037F" w:rsidRDefault="0041037F">
      <w:pPr>
        <w:pStyle w:val="Corpodetexto"/>
        <w:ind w:left="0" w:firstLine="0"/>
        <w:rPr>
          <w:sz w:val="18"/>
        </w:rPr>
      </w:pPr>
    </w:p>
    <w:p w:rsidR="0041037F" w:rsidRDefault="0041037F">
      <w:pPr>
        <w:pStyle w:val="Corpodetexto"/>
        <w:ind w:left="0" w:firstLine="0"/>
        <w:rPr>
          <w:sz w:val="18"/>
        </w:rPr>
      </w:pPr>
    </w:p>
    <w:p w:rsidR="0041037F" w:rsidRDefault="0041037F">
      <w:pPr>
        <w:pStyle w:val="Corpodetexto"/>
        <w:ind w:left="0" w:firstLine="0"/>
        <w:rPr>
          <w:sz w:val="18"/>
        </w:rPr>
      </w:pPr>
    </w:p>
    <w:p w:rsidR="0041037F" w:rsidRDefault="0041037F">
      <w:pPr>
        <w:pStyle w:val="Corpodetexto"/>
        <w:ind w:left="0" w:firstLine="0"/>
        <w:rPr>
          <w:sz w:val="18"/>
        </w:rPr>
      </w:pPr>
    </w:p>
    <w:p w:rsidR="0041037F" w:rsidRDefault="0041037F">
      <w:pPr>
        <w:pStyle w:val="Corpodetexto"/>
        <w:ind w:left="0" w:firstLine="0"/>
        <w:rPr>
          <w:sz w:val="18"/>
        </w:rPr>
      </w:pPr>
    </w:p>
    <w:p w:rsidR="0041037F" w:rsidRDefault="0041037F">
      <w:pPr>
        <w:pStyle w:val="Corpodetexto"/>
        <w:ind w:left="0" w:firstLine="0"/>
        <w:rPr>
          <w:sz w:val="18"/>
        </w:rPr>
      </w:pPr>
    </w:p>
    <w:p w:rsidR="0041037F" w:rsidRDefault="0041037F">
      <w:pPr>
        <w:pStyle w:val="Corpodetexto"/>
        <w:ind w:left="0" w:firstLine="0"/>
        <w:rPr>
          <w:sz w:val="18"/>
        </w:rPr>
      </w:pPr>
    </w:p>
    <w:p w:rsidR="0041037F" w:rsidRDefault="0041037F">
      <w:pPr>
        <w:pStyle w:val="Corpodetexto"/>
        <w:ind w:left="0" w:firstLine="0"/>
        <w:rPr>
          <w:sz w:val="18"/>
        </w:rPr>
      </w:pPr>
    </w:p>
    <w:p w:rsidR="0041037F" w:rsidRDefault="0041037F">
      <w:pPr>
        <w:pStyle w:val="Corpodetexto"/>
        <w:spacing w:before="10"/>
        <w:ind w:left="0" w:firstLine="0"/>
        <w:rPr>
          <w:sz w:val="21"/>
        </w:rPr>
      </w:pPr>
    </w:p>
    <w:p w:rsidR="0041037F" w:rsidRDefault="00A03D9B">
      <w:pPr>
        <w:pStyle w:val="Corpodetexto"/>
        <w:ind w:left="666" w:firstLine="0"/>
      </w:pPr>
      <w:r>
        <w:t>Nota: A produção diária de cortisol é estimada em 7-9 mg/m2 em neonatos(24), 6-7 mg/m2 em crianças e adolescentes(25) e 10-15 mg em adultos(26).</w:t>
      </w:r>
    </w:p>
    <w:p w:rsidR="0041037F" w:rsidRDefault="0041037F">
      <w:pPr>
        <w:pStyle w:val="Corpodetexto"/>
        <w:spacing w:before="11"/>
        <w:ind w:left="0" w:firstLine="0"/>
        <w:rPr>
          <w:sz w:val="15"/>
        </w:rPr>
      </w:pPr>
    </w:p>
    <w:p w:rsidR="0041037F" w:rsidRDefault="00A03D9B">
      <w:pPr>
        <w:pStyle w:val="PargrafodaLista"/>
        <w:numPr>
          <w:ilvl w:val="1"/>
          <w:numId w:val="2"/>
        </w:numPr>
        <w:tabs>
          <w:tab w:val="left" w:pos="910"/>
        </w:tabs>
        <w:rPr>
          <w:sz w:val="16"/>
        </w:rPr>
      </w:pPr>
      <w:r>
        <w:rPr>
          <w:sz w:val="16"/>
        </w:rPr>
        <w:t>ESQUEMAS DE</w:t>
      </w:r>
      <w:r>
        <w:rPr>
          <w:spacing w:val="-1"/>
          <w:sz w:val="16"/>
        </w:rPr>
        <w:t xml:space="preserve"> </w:t>
      </w:r>
      <w:r>
        <w:rPr>
          <w:sz w:val="16"/>
        </w:rPr>
        <w:t>ADMINISTRAÇÃO</w:t>
      </w:r>
    </w:p>
    <w:p w:rsidR="0041037F" w:rsidRDefault="0041037F">
      <w:pPr>
        <w:pStyle w:val="Corpodetexto"/>
        <w:spacing w:before="11"/>
        <w:ind w:left="0" w:firstLine="0"/>
        <w:rPr>
          <w:sz w:val="15"/>
        </w:rPr>
      </w:pPr>
    </w:p>
    <w:p w:rsidR="0041037F" w:rsidRDefault="00A03D9B">
      <w:pPr>
        <w:pStyle w:val="Corpodetexto"/>
        <w:ind w:left="666" w:right="5201" w:firstLine="0"/>
      </w:pPr>
      <w:r>
        <w:t>Dexametasona: administrada por via oral, IM ou EV, em dose única diária: Dose ini</w:t>
      </w:r>
      <w:r>
        <w:t>cial em crianças: 0,27 mg/m2/dia(27).</w:t>
      </w:r>
    </w:p>
    <w:p w:rsidR="0041037F" w:rsidRDefault="00A03D9B">
      <w:pPr>
        <w:pStyle w:val="Corpodetexto"/>
        <w:spacing w:before="2" w:line="183" w:lineRule="exact"/>
        <w:ind w:left="666" w:firstLine="0"/>
      </w:pPr>
      <w:r>
        <w:t>Dose inicial em adultos: 0,25-0,75 mg/dia.</w:t>
      </w:r>
    </w:p>
    <w:p w:rsidR="0041037F" w:rsidRDefault="00A03D9B">
      <w:pPr>
        <w:pStyle w:val="Corpodetexto"/>
        <w:ind w:left="666" w:right="6160" w:firstLine="0"/>
      </w:pPr>
      <w:r>
        <w:t>Prednisona: administrada por via oral, em dose única diária: Dose inicial em crianças: 2,5-4 mg/m2/dia(28).</w:t>
      </w:r>
    </w:p>
    <w:p w:rsidR="0041037F" w:rsidRDefault="00A03D9B">
      <w:pPr>
        <w:pStyle w:val="Corpodetexto"/>
        <w:spacing w:before="1" w:line="183" w:lineRule="exact"/>
        <w:ind w:left="666" w:firstLine="0"/>
      </w:pPr>
      <w:r>
        <w:t>Dose inicial em adultos: 2,5-7,5 mg/dia.</w:t>
      </w:r>
    </w:p>
    <w:p w:rsidR="0041037F" w:rsidRDefault="00A03D9B">
      <w:pPr>
        <w:pStyle w:val="Corpodetexto"/>
        <w:ind w:left="666" w:right="6036" w:firstLine="0"/>
      </w:pPr>
      <w:r>
        <w:t>Prednisolona: administrada por via oral, em dose única diária: Dose inicial em crianças: 2-3</w:t>
      </w:r>
      <w:r>
        <w:rPr>
          <w:spacing w:val="-7"/>
        </w:rPr>
        <w:t xml:space="preserve"> </w:t>
      </w:r>
      <w:r>
        <w:t>mg/m2/dia(28,29).</w:t>
      </w:r>
    </w:p>
    <w:p w:rsidR="0041037F" w:rsidRDefault="00A03D9B">
      <w:pPr>
        <w:pStyle w:val="Corpodetexto"/>
        <w:spacing w:before="1"/>
        <w:ind w:left="666" w:right="6471" w:firstLine="0"/>
      </w:pPr>
      <w:r>
        <w:t>Dose inicial em adultos: 2,5-7,5 mg/dia. Hidrocortisona: administrada por via IM ou</w:t>
      </w:r>
      <w:r>
        <w:rPr>
          <w:spacing w:val="-22"/>
        </w:rPr>
        <w:t xml:space="preserve"> </w:t>
      </w:r>
      <w:r>
        <w:t>EV:</w:t>
      </w:r>
    </w:p>
    <w:p w:rsidR="0041037F" w:rsidRDefault="00A03D9B">
      <w:pPr>
        <w:pStyle w:val="Corpodetexto"/>
        <w:ind w:left="666" w:right="1739" w:firstLine="0"/>
      </w:pPr>
      <w:r>
        <w:t>Dose inicial em crianças: 12-18 mg/m2/dia divididas em duas a quatro aplicações (em estresse/crise adrenal 60-100 mg/m2 /dia). Dose inicial em adultos: 20 mg/dia divididas em duas a quatro aplicações (em estresse/crise adrenal 200-300 mg/dia).</w:t>
      </w:r>
    </w:p>
    <w:p w:rsidR="0041037F" w:rsidRDefault="00A03D9B">
      <w:pPr>
        <w:pStyle w:val="Corpodetexto"/>
        <w:ind w:left="666" w:right="5858" w:firstLine="0"/>
      </w:pPr>
      <w:r>
        <w:t>Fludrocortis</w:t>
      </w:r>
      <w:r>
        <w:t>ona: administrada por via oral, em dose única diária: Crianças: 0,1 mg/dia (podendo variar de 0,05-0,3 mg/dia).</w:t>
      </w:r>
    </w:p>
    <w:p w:rsidR="0041037F" w:rsidRDefault="00A03D9B">
      <w:pPr>
        <w:pStyle w:val="Corpodetexto"/>
        <w:ind w:left="666" w:right="6329" w:firstLine="0"/>
      </w:pPr>
      <w:r>
        <w:t>Adultos: 0,1 mg/dia (podendo variar de 0,05-0,4 mg/dia). A dose de manutenção é normalmente de 0,1 mg/dia.</w:t>
      </w:r>
    </w:p>
    <w:p w:rsidR="0041037F" w:rsidRDefault="0041037F">
      <w:pPr>
        <w:pStyle w:val="Corpodetexto"/>
        <w:ind w:left="0" w:firstLine="0"/>
      </w:pPr>
    </w:p>
    <w:p w:rsidR="0041037F" w:rsidRDefault="00A03D9B">
      <w:pPr>
        <w:pStyle w:val="Corpodetexto"/>
        <w:spacing w:after="4" w:line="480" w:lineRule="auto"/>
        <w:ind w:left="666" w:right="2606" w:firstLine="0"/>
      </w:pPr>
      <w:r>
        <w:t>A Tabela 2 mostra a equivalência e o</w:t>
      </w:r>
      <w:r>
        <w:t xml:space="preserve"> número de doses, a meia-vida e as vias de administração dos glicocorticóides. TABELA 2 - Glicocorticoides usados no tratamento da insuficiência adrenal primária.</w:t>
      </w: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797"/>
        <w:gridCol w:w="833"/>
        <w:gridCol w:w="517"/>
        <w:gridCol w:w="560"/>
        <w:gridCol w:w="894"/>
      </w:tblGrid>
      <w:tr w:rsidR="0041037F">
        <w:trPr>
          <w:trHeight w:val="1103"/>
        </w:trPr>
        <w:tc>
          <w:tcPr>
            <w:tcW w:w="939" w:type="dxa"/>
          </w:tcPr>
          <w:p w:rsidR="0041037F" w:rsidRDefault="0041037F">
            <w:pPr>
              <w:pStyle w:val="TableParagraph"/>
              <w:jc w:val="left"/>
              <w:rPr>
                <w:sz w:val="18"/>
              </w:rPr>
            </w:pPr>
          </w:p>
          <w:p w:rsidR="0041037F" w:rsidRDefault="0041037F">
            <w:pPr>
              <w:pStyle w:val="TableParagraph"/>
              <w:spacing w:before="6"/>
              <w:jc w:val="left"/>
              <w:rPr>
                <w:sz w:val="21"/>
              </w:rPr>
            </w:pPr>
          </w:p>
          <w:p w:rsidR="0041037F" w:rsidRDefault="00A03D9B">
            <w:pPr>
              <w:pStyle w:val="TableParagraph"/>
              <w:ind w:right="154"/>
              <w:jc w:val="right"/>
              <w:rPr>
                <w:sz w:val="16"/>
              </w:rPr>
            </w:pPr>
            <w:r>
              <w:rPr>
                <w:sz w:val="16"/>
              </w:rPr>
              <w:t>Esteroide</w:t>
            </w:r>
          </w:p>
        </w:tc>
        <w:tc>
          <w:tcPr>
            <w:tcW w:w="797" w:type="dxa"/>
          </w:tcPr>
          <w:p w:rsidR="0041037F" w:rsidRDefault="00A03D9B">
            <w:pPr>
              <w:pStyle w:val="TableParagraph"/>
              <w:ind w:left="122" w:right="109" w:hanging="6"/>
              <w:rPr>
                <w:sz w:val="16"/>
              </w:rPr>
            </w:pPr>
            <w:r>
              <w:rPr>
                <w:sz w:val="16"/>
              </w:rPr>
              <w:t xml:space="preserve">Dose- </w:t>
            </w:r>
            <w:r>
              <w:rPr>
                <w:spacing w:val="-1"/>
                <w:sz w:val="16"/>
              </w:rPr>
              <w:t xml:space="preserve">equivale </w:t>
            </w:r>
            <w:r>
              <w:rPr>
                <w:sz w:val="16"/>
              </w:rPr>
              <w:t xml:space="preserve">nte em crianças </w:t>
            </w:r>
            <w:r>
              <w:rPr>
                <w:spacing w:val="-1"/>
                <w:sz w:val="16"/>
              </w:rPr>
              <w:t>(mg/m2/</w:t>
            </w:r>
          </w:p>
          <w:p w:rsidR="0041037F" w:rsidRDefault="00A03D9B">
            <w:pPr>
              <w:pStyle w:val="TableParagraph"/>
              <w:spacing w:line="168" w:lineRule="exact"/>
              <w:ind w:left="101" w:right="92"/>
              <w:rPr>
                <w:sz w:val="16"/>
              </w:rPr>
            </w:pPr>
            <w:r>
              <w:rPr>
                <w:sz w:val="16"/>
              </w:rPr>
              <w:t>dia)</w:t>
            </w:r>
            <w:r>
              <w:rPr>
                <w:spacing w:val="-3"/>
                <w:sz w:val="16"/>
              </w:rPr>
              <w:t xml:space="preserve"> </w:t>
            </w:r>
            <w:r>
              <w:rPr>
                <w:sz w:val="16"/>
              </w:rPr>
              <w:t>(28)</w:t>
            </w:r>
          </w:p>
        </w:tc>
        <w:tc>
          <w:tcPr>
            <w:tcW w:w="833" w:type="dxa"/>
          </w:tcPr>
          <w:p w:rsidR="0041037F" w:rsidRDefault="00A03D9B">
            <w:pPr>
              <w:pStyle w:val="TableParagraph"/>
              <w:ind w:left="88" w:right="79"/>
              <w:rPr>
                <w:sz w:val="16"/>
              </w:rPr>
            </w:pPr>
            <w:r>
              <w:rPr>
                <w:sz w:val="16"/>
              </w:rPr>
              <w:t>Dose- equivale nte em adultos (mg/dia)(</w:t>
            </w:r>
          </w:p>
          <w:p w:rsidR="0041037F" w:rsidRDefault="00A03D9B">
            <w:pPr>
              <w:pStyle w:val="TableParagraph"/>
              <w:spacing w:line="168" w:lineRule="exact"/>
              <w:ind w:left="88" w:right="75"/>
              <w:rPr>
                <w:sz w:val="16"/>
              </w:rPr>
            </w:pPr>
            <w:r>
              <w:rPr>
                <w:sz w:val="16"/>
              </w:rPr>
              <w:t>16)</w:t>
            </w:r>
          </w:p>
        </w:tc>
        <w:tc>
          <w:tcPr>
            <w:tcW w:w="517" w:type="dxa"/>
          </w:tcPr>
          <w:p w:rsidR="0041037F" w:rsidRDefault="00A03D9B">
            <w:pPr>
              <w:pStyle w:val="TableParagraph"/>
              <w:ind w:left="127" w:right="121"/>
              <w:rPr>
                <w:sz w:val="16"/>
              </w:rPr>
            </w:pPr>
            <w:r>
              <w:rPr>
                <w:sz w:val="16"/>
              </w:rPr>
              <w:t>Dos es ao dia</w:t>
            </w:r>
          </w:p>
        </w:tc>
        <w:tc>
          <w:tcPr>
            <w:tcW w:w="560" w:type="dxa"/>
          </w:tcPr>
          <w:p w:rsidR="0041037F" w:rsidRDefault="00A03D9B">
            <w:pPr>
              <w:pStyle w:val="TableParagraph"/>
              <w:spacing w:line="178" w:lineRule="exact"/>
              <w:ind w:left="114"/>
              <w:jc w:val="left"/>
              <w:rPr>
                <w:sz w:val="16"/>
              </w:rPr>
            </w:pPr>
            <w:r>
              <w:rPr>
                <w:sz w:val="16"/>
              </w:rPr>
              <w:t>Meia</w:t>
            </w:r>
          </w:p>
          <w:p w:rsidR="0041037F" w:rsidRDefault="00A03D9B">
            <w:pPr>
              <w:pStyle w:val="TableParagraph"/>
              <w:spacing w:before="1"/>
              <w:ind w:left="109" w:right="101" w:firstLine="2"/>
              <w:rPr>
                <w:sz w:val="16"/>
              </w:rPr>
            </w:pPr>
            <w:r>
              <w:rPr>
                <w:sz w:val="16"/>
              </w:rPr>
              <w:t xml:space="preserve">-vida </w:t>
            </w:r>
            <w:r>
              <w:rPr>
                <w:spacing w:val="-1"/>
                <w:sz w:val="16"/>
              </w:rPr>
              <w:t xml:space="preserve">(hora </w:t>
            </w:r>
            <w:r>
              <w:rPr>
                <w:sz w:val="16"/>
              </w:rPr>
              <w:t>s) (16)</w:t>
            </w:r>
          </w:p>
        </w:tc>
        <w:tc>
          <w:tcPr>
            <w:tcW w:w="894" w:type="dxa"/>
          </w:tcPr>
          <w:p w:rsidR="0041037F" w:rsidRDefault="00A03D9B">
            <w:pPr>
              <w:pStyle w:val="TableParagraph"/>
              <w:ind w:left="106" w:right="100" w:firstLine="2"/>
              <w:rPr>
                <w:sz w:val="16"/>
              </w:rPr>
            </w:pPr>
            <w:r>
              <w:rPr>
                <w:sz w:val="16"/>
              </w:rPr>
              <w:t>Vias de administra ção</w:t>
            </w:r>
          </w:p>
        </w:tc>
      </w:tr>
      <w:tr w:rsidR="0041037F">
        <w:trPr>
          <w:trHeight w:val="369"/>
        </w:trPr>
        <w:tc>
          <w:tcPr>
            <w:tcW w:w="939" w:type="dxa"/>
          </w:tcPr>
          <w:p w:rsidR="0041037F" w:rsidRDefault="00A03D9B">
            <w:pPr>
              <w:pStyle w:val="TableParagraph"/>
              <w:spacing w:line="182" w:lineRule="exact"/>
              <w:ind w:left="322" w:right="108" w:hanging="188"/>
              <w:jc w:val="left"/>
              <w:rPr>
                <w:sz w:val="16"/>
              </w:rPr>
            </w:pPr>
            <w:r>
              <w:rPr>
                <w:sz w:val="16"/>
              </w:rPr>
              <w:t>Hidrocorti sona</w:t>
            </w:r>
          </w:p>
        </w:tc>
        <w:tc>
          <w:tcPr>
            <w:tcW w:w="797" w:type="dxa"/>
          </w:tcPr>
          <w:p w:rsidR="0041037F" w:rsidRDefault="00A03D9B">
            <w:pPr>
              <w:pStyle w:val="TableParagraph"/>
              <w:spacing w:line="181" w:lineRule="exact"/>
              <w:ind w:right="197"/>
              <w:jc w:val="right"/>
              <w:rPr>
                <w:sz w:val="16"/>
              </w:rPr>
            </w:pPr>
            <w:r>
              <w:rPr>
                <w:sz w:val="16"/>
              </w:rPr>
              <w:t>12-18</w:t>
            </w:r>
          </w:p>
        </w:tc>
        <w:tc>
          <w:tcPr>
            <w:tcW w:w="833" w:type="dxa"/>
          </w:tcPr>
          <w:p w:rsidR="0041037F" w:rsidRDefault="00A03D9B">
            <w:pPr>
              <w:pStyle w:val="TableParagraph"/>
              <w:spacing w:line="181" w:lineRule="exact"/>
              <w:ind w:left="88" w:right="77"/>
              <w:rPr>
                <w:sz w:val="16"/>
              </w:rPr>
            </w:pPr>
            <w:r>
              <w:rPr>
                <w:sz w:val="16"/>
              </w:rPr>
              <w:t>20</w:t>
            </w:r>
          </w:p>
        </w:tc>
        <w:tc>
          <w:tcPr>
            <w:tcW w:w="517" w:type="dxa"/>
          </w:tcPr>
          <w:p w:rsidR="0041037F" w:rsidRDefault="00A03D9B">
            <w:pPr>
              <w:pStyle w:val="TableParagraph"/>
              <w:spacing w:line="181" w:lineRule="exact"/>
              <w:ind w:left="126" w:right="121"/>
              <w:rPr>
                <w:sz w:val="16"/>
              </w:rPr>
            </w:pPr>
            <w:r>
              <w:rPr>
                <w:sz w:val="16"/>
              </w:rPr>
              <w:t>2-4</w:t>
            </w:r>
          </w:p>
        </w:tc>
        <w:tc>
          <w:tcPr>
            <w:tcW w:w="560" w:type="dxa"/>
          </w:tcPr>
          <w:p w:rsidR="0041037F" w:rsidRDefault="00A03D9B">
            <w:pPr>
              <w:pStyle w:val="TableParagraph"/>
              <w:spacing w:line="181" w:lineRule="exact"/>
              <w:ind w:left="198"/>
              <w:jc w:val="left"/>
              <w:rPr>
                <w:sz w:val="16"/>
              </w:rPr>
            </w:pPr>
            <w:r>
              <w:rPr>
                <w:sz w:val="16"/>
              </w:rPr>
              <w:t>12</w:t>
            </w:r>
          </w:p>
        </w:tc>
        <w:tc>
          <w:tcPr>
            <w:tcW w:w="894" w:type="dxa"/>
          </w:tcPr>
          <w:p w:rsidR="0041037F" w:rsidRDefault="00A03D9B">
            <w:pPr>
              <w:pStyle w:val="TableParagraph"/>
              <w:spacing w:line="181" w:lineRule="exact"/>
              <w:ind w:left="159" w:right="155"/>
              <w:rPr>
                <w:sz w:val="16"/>
              </w:rPr>
            </w:pPr>
            <w:r>
              <w:rPr>
                <w:sz w:val="16"/>
              </w:rPr>
              <w:t>EV, IM.</w:t>
            </w:r>
          </w:p>
        </w:tc>
      </w:tr>
      <w:tr w:rsidR="0041037F">
        <w:trPr>
          <w:trHeight w:val="366"/>
        </w:trPr>
        <w:tc>
          <w:tcPr>
            <w:tcW w:w="939" w:type="dxa"/>
          </w:tcPr>
          <w:p w:rsidR="0041037F" w:rsidRDefault="00A03D9B">
            <w:pPr>
              <w:pStyle w:val="TableParagraph"/>
              <w:spacing w:line="178" w:lineRule="exact"/>
              <w:ind w:right="102"/>
              <w:jc w:val="right"/>
              <w:rPr>
                <w:sz w:val="16"/>
              </w:rPr>
            </w:pPr>
            <w:r>
              <w:rPr>
                <w:sz w:val="16"/>
              </w:rPr>
              <w:t>Prednisona</w:t>
            </w:r>
          </w:p>
        </w:tc>
        <w:tc>
          <w:tcPr>
            <w:tcW w:w="797" w:type="dxa"/>
          </w:tcPr>
          <w:p w:rsidR="0041037F" w:rsidRDefault="00A03D9B">
            <w:pPr>
              <w:pStyle w:val="TableParagraph"/>
              <w:spacing w:line="178" w:lineRule="exact"/>
              <w:ind w:right="221"/>
              <w:jc w:val="right"/>
              <w:rPr>
                <w:sz w:val="16"/>
              </w:rPr>
            </w:pPr>
            <w:r>
              <w:rPr>
                <w:sz w:val="16"/>
              </w:rPr>
              <w:t>2,5-4</w:t>
            </w:r>
          </w:p>
        </w:tc>
        <w:tc>
          <w:tcPr>
            <w:tcW w:w="833" w:type="dxa"/>
          </w:tcPr>
          <w:p w:rsidR="0041037F" w:rsidRDefault="00A03D9B">
            <w:pPr>
              <w:pStyle w:val="TableParagraph"/>
              <w:spacing w:line="178" w:lineRule="exact"/>
              <w:ind w:left="88" w:right="79"/>
              <w:rPr>
                <w:sz w:val="16"/>
              </w:rPr>
            </w:pPr>
            <w:r>
              <w:rPr>
                <w:sz w:val="16"/>
              </w:rPr>
              <w:t>2,5-7,5</w:t>
            </w:r>
          </w:p>
        </w:tc>
        <w:tc>
          <w:tcPr>
            <w:tcW w:w="517" w:type="dxa"/>
          </w:tcPr>
          <w:p w:rsidR="0041037F" w:rsidRDefault="00A03D9B">
            <w:pPr>
              <w:pStyle w:val="TableParagraph"/>
              <w:spacing w:line="178" w:lineRule="exact"/>
              <w:ind w:left="5"/>
              <w:rPr>
                <w:sz w:val="16"/>
              </w:rPr>
            </w:pPr>
            <w:r>
              <w:rPr>
                <w:sz w:val="16"/>
              </w:rPr>
              <w:t>1</w:t>
            </w:r>
          </w:p>
        </w:tc>
        <w:tc>
          <w:tcPr>
            <w:tcW w:w="560" w:type="dxa"/>
          </w:tcPr>
          <w:p w:rsidR="0041037F" w:rsidRDefault="00A03D9B">
            <w:pPr>
              <w:pStyle w:val="TableParagraph"/>
              <w:spacing w:line="178" w:lineRule="exact"/>
              <w:ind w:left="152" w:right="143"/>
              <w:rPr>
                <w:sz w:val="16"/>
              </w:rPr>
            </w:pPr>
            <w:r>
              <w:rPr>
                <w:sz w:val="16"/>
              </w:rPr>
              <w:t>12-</w:t>
            </w:r>
          </w:p>
          <w:p w:rsidR="0041037F" w:rsidRDefault="00A03D9B">
            <w:pPr>
              <w:pStyle w:val="TableParagraph"/>
              <w:spacing w:before="1" w:line="168" w:lineRule="exact"/>
              <w:ind w:left="152" w:right="143"/>
              <w:rPr>
                <w:sz w:val="16"/>
              </w:rPr>
            </w:pPr>
            <w:r>
              <w:rPr>
                <w:sz w:val="16"/>
              </w:rPr>
              <w:t>36</w:t>
            </w:r>
          </w:p>
        </w:tc>
        <w:tc>
          <w:tcPr>
            <w:tcW w:w="894" w:type="dxa"/>
          </w:tcPr>
          <w:p w:rsidR="0041037F" w:rsidRDefault="00A03D9B">
            <w:pPr>
              <w:pStyle w:val="TableParagraph"/>
              <w:spacing w:line="178" w:lineRule="exact"/>
              <w:ind w:left="159" w:right="155"/>
              <w:rPr>
                <w:sz w:val="16"/>
              </w:rPr>
            </w:pPr>
            <w:r>
              <w:rPr>
                <w:sz w:val="16"/>
              </w:rPr>
              <w:t>VO</w:t>
            </w:r>
          </w:p>
        </w:tc>
      </w:tr>
      <w:tr w:rsidR="0041037F">
        <w:trPr>
          <w:trHeight w:val="369"/>
        </w:trPr>
        <w:tc>
          <w:tcPr>
            <w:tcW w:w="939" w:type="dxa"/>
          </w:tcPr>
          <w:p w:rsidR="0041037F" w:rsidRDefault="00A03D9B">
            <w:pPr>
              <w:pStyle w:val="TableParagraph"/>
              <w:spacing w:line="182" w:lineRule="exact"/>
              <w:ind w:left="394" w:right="97" w:hanging="267"/>
              <w:jc w:val="left"/>
              <w:rPr>
                <w:sz w:val="16"/>
              </w:rPr>
            </w:pPr>
            <w:r>
              <w:rPr>
                <w:sz w:val="16"/>
              </w:rPr>
              <w:t>Prednisolo na</w:t>
            </w:r>
          </w:p>
        </w:tc>
        <w:tc>
          <w:tcPr>
            <w:tcW w:w="797" w:type="dxa"/>
          </w:tcPr>
          <w:p w:rsidR="0041037F" w:rsidRDefault="00A03D9B">
            <w:pPr>
              <w:pStyle w:val="TableParagraph"/>
              <w:spacing w:line="181" w:lineRule="exact"/>
              <w:ind w:left="100" w:right="92"/>
              <w:rPr>
                <w:sz w:val="16"/>
              </w:rPr>
            </w:pPr>
            <w:r>
              <w:rPr>
                <w:sz w:val="16"/>
              </w:rPr>
              <w:t>2-3</w:t>
            </w:r>
          </w:p>
        </w:tc>
        <w:tc>
          <w:tcPr>
            <w:tcW w:w="833" w:type="dxa"/>
          </w:tcPr>
          <w:p w:rsidR="0041037F" w:rsidRDefault="00A03D9B">
            <w:pPr>
              <w:pStyle w:val="TableParagraph"/>
              <w:spacing w:line="181" w:lineRule="exact"/>
              <w:ind w:left="88" w:right="79"/>
              <w:rPr>
                <w:sz w:val="16"/>
              </w:rPr>
            </w:pPr>
            <w:r>
              <w:rPr>
                <w:sz w:val="16"/>
              </w:rPr>
              <w:t>2,5-7,5</w:t>
            </w:r>
          </w:p>
        </w:tc>
        <w:tc>
          <w:tcPr>
            <w:tcW w:w="517" w:type="dxa"/>
          </w:tcPr>
          <w:p w:rsidR="0041037F" w:rsidRDefault="00A03D9B">
            <w:pPr>
              <w:pStyle w:val="TableParagraph"/>
              <w:spacing w:line="181" w:lineRule="exact"/>
              <w:ind w:left="5"/>
              <w:rPr>
                <w:sz w:val="16"/>
              </w:rPr>
            </w:pPr>
            <w:r>
              <w:rPr>
                <w:sz w:val="16"/>
              </w:rPr>
              <w:t>1</w:t>
            </w:r>
          </w:p>
        </w:tc>
        <w:tc>
          <w:tcPr>
            <w:tcW w:w="560" w:type="dxa"/>
          </w:tcPr>
          <w:p w:rsidR="0041037F" w:rsidRDefault="00A03D9B">
            <w:pPr>
              <w:pStyle w:val="TableParagraph"/>
              <w:spacing w:line="180" w:lineRule="exact"/>
              <w:ind w:left="152" w:right="143"/>
              <w:rPr>
                <w:sz w:val="16"/>
              </w:rPr>
            </w:pPr>
            <w:r>
              <w:rPr>
                <w:sz w:val="16"/>
              </w:rPr>
              <w:t>12-</w:t>
            </w:r>
          </w:p>
          <w:p w:rsidR="0041037F" w:rsidRDefault="00A03D9B">
            <w:pPr>
              <w:pStyle w:val="TableParagraph"/>
              <w:spacing w:line="169" w:lineRule="exact"/>
              <w:ind w:left="152" w:right="143"/>
              <w:rPr>
                <w:sz w:val="16"/>
              </w:rPr>
            </w:pPr>
            <w:r>
              <w:rPr>
                <w:sz w:val="16"/>
              </w:rPr>
              <w:t>36</w:t>
            </w:r>
          </w:p>
        </w:tc>
        <w:tc>
          <w:tcPr>
            <w:tcW w:w="894" w:type="dxa"/>
          </w:tcPr>
          <w:p w:rsidR="0041037F" w:rsidRDefault="00A03D9B">
            <w:pPr>
              <w:pStyle w:val="TableParagraph"/>
              <w:spacing w:line="181" w:lineRule="exact"/>
              <w:ind w:left="159" w:right="155"/>
              <w:rPr>
                <w:sz w:val="16"/>
              </w:rPr>
            </w:pPr>
            <w:r>
              <w:rPr>
                <w:sz w:val="16"/>
              </w:rPr>
              <w:t>VO</w:t>
            </w:r>
          </w:p>
        </w:tc>
      </w:tr>
      <w:tr w:rsidR="0041037F">
        <w:trPr>
          <w:trHeight w:val="366"/>
        </w:trPr>
        <w:tc>
          <w:tcPr>
            <w:tcW w:w="939" w:type="dxa"/>
          </w:tcPr>
          <w:p w:rsidR="0041037F" w:rsidRDefault="00A03D9B">
            <w:pPr>
              <w:pStyle w:val="TableParagraph"/>
              <w:spacing w:line="178" w:lineRule="exact"/>
              <w:ind w:left="92" w:right="85"/>
              <w:rPr>
                <w:sz w:val="16"/>
              </w:rPr>
            </w:pPr>
            <w:r>
              <w:rPr>
                <w:sz w:val="16"/>
              </w:rPr>
              <w:t>Dexametas</w:t>
            </w:r>
          </w:p>
          <w:p w:rsidR="0041037F" w:rsidRDefault="00A03D9B">
            <w:pPr>
              <w:pStyle w:val="TableParagraph"/>
              <w:spacing w:before="1" w:line="168" w:lineRule="exact"/>
              <w:ind w:left="92" w:right="83"/>
              <w:rPr>
                <w:sz w:val="16"/>
              </w:rPr>
            </w:pPr>
            <w:r>
              <w:rPr>
                <w:sz w:val="16"/>
              </w:rPr>
              <w:t>ona</w:t>
            </w:r>
          </w:p>
        </w:tc>
        <w:tc>
          <w:tcPr>
            <w:tcW w:w="797" w:type="dxa"/>
          </w:tcPr>
          <w:p w:rsidR="0041037F" w:rsidRDefault="00A03D9B">
            <w:pPr>
              <w:pStyle w:val="TableParagraph"/>
              <w:spacing w:line="178" w:lineRule="exact"/>
              <w:ind w:right="246"/>
              <w:jc w:val="right"/>
              <w:rPr>
                <w:sz w:val="16"/>
              </w:rPr>
            </w:pPr>
            <w:r>
              <w:rPr>
                <w:sz w:val="16"/>
              </w:rPr>
              <w:t>0,27</w:t>
            </w:r>
          </w:p>
        </w:tc>
        <w:tc>
          <w:tcPr>
            <w:tcW w:w="833" w:type="dxa"/>
          </w:tcPr>
          <w:p w:rsidR="0041037F" w:rsidRDefault="00A03D9B">
            <w:pPr>
              <w:pStyle w:val="TableParagraph"/>
              <w:spacing w:line="178" w:lineRule="exact"/>
              <w:ind w:left="88" w:right="81"/>
              <w:rPr>
                <w:sz w:val="16"/>
              </w:rPr>
            </w:pPr>
            <w:r>
              <w:rPr>
                <w:sz w:val="16"/>
              </w:rPr>
              <w:t>0,25-0,75</w:t>
            </w:r>
          </w:p>
        </w:tc>
        <w:tc>
          <w:tcPr>
            <w:tcW w:w="517" w:type="dxa"/>
          </w:tcPr>
          <w:p w:rsidR="0041037F" w:rsidRDefault="00A03D9B">
            <w:pPr>
              <w:pStyle w:val="TableParagraph"/>
              <w:spacing w:line="178" w:lineRule="exact"/>
              <w:ind w:left="5"/>
              <w:rPr>
                <w:sz w:val="16"/>
              </w:rPr>
            </w:pPr>
            <w:r>
              <w:rPr>
                <w:sz w:val="16"/>
              </w:rPr>
              <w:t>1</w:t>
            </w:r>
          </w:p>
        </w:tc>
        <w:tc>
          <w:tcPr>
            <w:tcW w:w="560" w:type="dxa"/>
          </w:tcPr>
          <w:p w:rsidR="0041037F" w:rsidRDefault="00A03D9B">
            <w:pPr>
              <w:pStyle w:val="TableParagraph"/>
              <w:spacing w:line="178" w:lineRule="exact"/>
              <w:ind w:left="154"/>
              <w:jc w:val="left"/>
              <w:rPr>
                <w:sz w:val="16"/>
              </w:rPr>
            </w:pPr>
            <w:r>
              <w:rPr>
                <w:sz w:val="16"/>
              </w:rPr>
              <w:t>&gt;48</w:t>
            </w:r>
          </w:p>
        </w:tc>
        <w:tc>
          <w:tcPr>
            <w:tcW w:w="894" w:type="dxa"/>
          </w:tcPr>
          <w:p w:rsidR="0041037F" w:rsidRDefault="00A03D9B">
            <w:pPr>
              <w:pStyle w:val="TableParagraph"/>
              <w:spacing w:line="178" w:lineRule="exact"/>
              <w:ind w:left="158" w:right="155"/>
              <w:rPr>
                <w:sz w:val="16"/>
              </w:rPr>
            </w:pPr>
            <w:r>
              <w:rPr>
                <w:sz w:val="16"/>
              </w:rPr>
              <w:t>EV, IM,</w:t>
            </w:r>
          </w:p>
          <w:p w:rsidR="0041037F" w:rsidRDefault="00A03D9B">
            <w:pPr>
              <w:pStyle w:val="TableParagraph"/>
              <w:spacing w:before="1" w:line="168" w:lineRule="exact"/>
              <w:ind w:left="156" w:right="155"/>
              <w:rPr>
                <w:sz w:val="16"/>
              </w:rPr>
            </w:pPr>
            <w:r>
              <w:rPr>
                <w:sz w:val="16"/>
              </w:rPr>
              <w:t>VO.</w:t>
            </w:r>
          </w:p>
        </w:tc>
      </w:tr>
    </w:tbl>
    <w:p w:rsidR="0041037F" w:rsidRDefault="00A03D9B">
      <w:pPr>
        <w:pStyle w:val="Corpodetexto"/>
        <w:ind w:left="666" w:firstLine="0"/>
      </w:pPr>
      <w:r>
        <w:t>EV = endovenoso; IM = intramuscular; VO = via oral.</w:t>
      </w:r>
    </w:p>
    <w:p w:rsidR="0041037F" w:rsidRDefault="0041037F">
      <w:pPr>
        <w:pStyle w:val="Corpodetexto"/>
        <w:spacing w:before="2"/>
        <w:ind w:left="0" w:firstLine="0"/>
      </w:pPr>
    </w:p>
    <w:p w:rsidR="0041037F" w:rsidRDefault="00A03D9B">
      <w:pPr>
        <w:pStyle w:val="PargrafodaLista"/>
        <w:numPr>
          <w:ilvl w:val="1"/>
          <w:numId w:val="2"/>
        </w:numPr>
        <w:tabs>
          <w:tab w:val="left" w:pos="910"/>
        </w:tabs>
        <w:spacing w:line="183" w:lineRule="exact"/>
        <w:rPr>
          <w:sz w:val="16"/>
        </w:rPr>
      </w:pPr>
      <w:r>
        <w:rPr>
          <w:sz w:val="16"/>
        </w:rPr>
        <w:t>TEMPO DE</w:t>
      </w:r>
      <w:r>
        <w:rPr>
          <w:spacing w:val="-4"/>
          <w:sz w:val="16"/>
        </w:rPr>
        <w:t xml:space="preserve"> </w:t>
      </w:r>
      <w:r>
        <w:rPr>
          <w:sz w:val="16"/>
        </w:rPr>
        <w:t>TRATAMENTO</w:t>
      </w:r>
    </w:p>
    <w:p w:rsidR="0041037F" w:rsidRDefault="00A03D9B">
      <w:pPr>
        <w:pStyle w:val="Corpodetexto"/>
        <w:spacing w:line="183" w:lineRule="exact"/>
        <w:ind w:left="666" w:firstLine="0"/>
      </w:pPr>
      <w:r>
        <w:t>O tratamento com glicocorticoide e mineralocorticoide deve ser feito por toda a vida.</w:t>
      </w:r>
    </w:p>
    <w:p w:rsidR="0041037F" w:rsidRDefault="0041037F">
      <w:pPr>
        <w:pStyle w:val="Corpodetexto"/>
        <w:spacing w:before="1"/>
        <w:ind w:left="0" w:firstLine="0"/>
      </w:pPr>
    </w:p>
    <w:p w:rsidR="0041037F" w:rsidRDefault="00A03D9B">
      <w:pPr>
        <w:pStyle w:val="PargrafodaLista"/>
        <w:numPr>
          <w:ilvl w:val="1"/>
          <w:numId w:val="2"/>
        </w:numPr>
        <w:tabs>
          <w:tab w:val="left" w:pos="907"/>
        </w:tabs>
        <w:spacing w:before="1" w:line="183" w:lineRule="exact"/>
        <w:ind w:left="906" w:hanging="240"/>
        <w:rPr>
          <w:sz w:val="16"/>
        </w:rPr>
      </w:pPr>
      <w:r>
        <w:rPr>
          <w:sz w:val="16"/>
        </w:rPr>
        <w:t>BENEFÍCIOS</w:t>
      </w:r>
      <w:r>
        <w:rPr>
          <w:spacing w:val="-1"/>
          <w:sz w:val="16"/>
        </w:rPr>
        <w:t xml:space="preserve"> </w:t>
      </w:r>
      <w:r>
        <w:rPr>
          <w:sz w:val="16"/>
        </w:rPr>
        <w:t>ESPERADOS</w:t>
      </w:r>
    </w:p>
    <w:p w:rsidR="0041037F" w:rsidRDefault="00A03D9B">
      <w:pPr>
        <w:pStyle w:val="Corpodetexto"/>
        <w:ind w:right="425"/>
      </w:pPr>
      <w:r>
        <w:t>O tratamento melhora os sintomas de deficiência glicocorticoide e mineralocorticoide, melhora a qualidade de vida dos doentes e reduz complicações relacionadas à insuficiência adrenal. O tratamento da insuficiência adrenal primária é considerado life-savin</w:t>
      </w:r>
      <w:r>
        <w:t>g para a condição.</w:t>
      </w:r>
    </w:p>
    <w:p w:rsidR="0041037F" w:rsidRDefault="0041037F">
      <w:pPr>
        <w:pStyle w:val="Corpodetexto"/>
        <w:spacing w:before="10"/>
        <w:ind w:left="0" w:firstLine="0"/>
        <w:rPr>
          <w:sz w:val="15"/>
        </w:rPr>
      </w:pPr>
    </w:p>
    <w:p w:rsidR="0041037F" w:rsidRDefault="00A03D9B">
      <w:pPr>
        <w:pStyle w:val="PargrafodaLista"/>
        <w:numPr>
          <w:ilvl w:val="0"/>
          <w:numId w:val="2"/>
        </w:numPr>
        <w:tabs>
          <w:tab w:val="left" w:pos="787"/>
        </w:tabs>
        <w:ind w:left="786" w:hanging="120"/>
        <w:rPr>
          <w:sz w:val="16"/>
        </w:rPr>
      </w:pPr>
      <w:r>
        <w:rPr>
          <w:sz w:val="16"/>
        </w:rPr>
        <w:t>MONITORIZAÇÃO</w:t>
      </w:r>
    </w:p>
    <w:p w:rsidR="0041037F" w:rsidRDefault="00A03D9B">
      <w:pPr>
        <w:pStyle w:val="Corpodetexto"/>
        <w:spacing w:before="1"/>
        <w:ind w:right="114"/>
        <w:jc w:val="both"/>
      </w:pPr>
      <w:r>
        <w:t>O acompanhamento dos pacientes com insuficiência adrenal primária (doença de Addison) deve ser feito preferencialmente por endocrinologista, com intervalo entre consultas de 2 a 6 meses. Em todas as consultas, deve-se leva</w:t>
      </w:r>
      <w:r>
        <w:t>r em consideração os dados clínicos e de exames laboratoriais. Para acompanhamento da reposição de mineralocorticoide, devem ser dosados renina plasmática, sódio e potássio. O objetivo do tratamento é normalizar os níveis de sódio (135-145 mEq/L) e potássi</w:t>
      </w:r>
      <w:r>
        <w:t>o (3,5-5,5 mEq/L) e não suprimir a renina, mantendo a pressão arterial normal. Supressão de renina ou presença de hipertensão podem indicar excesso de mineralocorticoide, sendo necessária revisão da dose de fludrocortisona.</w:t>
      </w:r>
    </w:p>
    <w:p w:rsidR="0041037F" w:rsidRDefault="00A03D9B">
      <w:pPr>
        <w:pStyle w:val="Corpodetexto"/>
        <w:ind w:right="112"/>
        <w:jc w:val="both"/>
      </w:pPr>
      <w:r>
        <w:t xml:space="preserve">A reposição com glicocorticoide </w:t>
      </w:r>
      <w:r>
        <w:t>não deve ser monitorada por meio de exames complementares (dosagem de ACTH e cortisol), sendo feita por avaliação clínica(13). É importante que em todas as consultas sejam avaliados sinais clínicos de excesso de glicocorticoide, como fragilidade capilar, p</w:t>
      </w:r>
      <w:r>
        <w:t>resença de giba, estrias violáceas, fácies de lua cheia, fraqueza muscular proximal e hipertensão. O excesso de glicocorticoide (supertratamento) tem impacto negativo, podendo levar a osteoporose, miopatia, hipertensão arterial, dislipidemia, diabete mélit</w:t>
      </w:r>
      <w:r>
        <w:t>o, esteato-hepatite, infecções oportunistas, catarata e prejuízo ao crescimento de crianças(16).</w:t>
      </w:r>
      <w:r>
        <w:rPr>
          <w:spacing w:val="-1"/>
        </w:rPr>
        <w:t xml:space="preserve"> </w:t>
      </w:r>
      <w:r>
        <w:t>O</w:t>
      </w:r>
      <w:r>
        <w:rPr>
          <w:spacing w:val="-4"/>
        </w:rPr>
        <w:t xml:space="preserve"> </w:t>
      </w:r>
      <w:r>
        <w:t>impacto</w:t>
      </w:r>
      <w:r>
        <w:rPr>
          <w:spacing w:val="-4"/>
        </w:rPr>
        <w:t xml:space="preserve"> </w:t>
      </w:r>
      <w:r>
        <w:t>do</w:t>
      </w:r>
      <w:r>
        <w:rPr>
          <w:spacing w:val="-2"/>
        </w:rPr>
        <w:t xml:space="preserve"> </w:t>
      </w:r>
      <w:r>
        <w:t>tratamento</w:t>
      </w:r>
      <w:r>
        <w:rPr>
          <w:spacing w:val="-2"/>
        </w:rPr>
        <w:t xml:space="preserve"> </w:t>
      </w:r>
      <w:r>
        <w:t>com</w:t>
      </w:r>
      <w:r>
        <w:rPr>
          <w:spacing w:val="-1"/>
        </w:rPr>
        <w:t xml:space="preserve"> </w:t>
      </w:r>
      <w:r>
        <w:t>doses</w:t>
      </w:r>
      <w:r>
        <w:rPr>
          <w:spacing w:val="-1"/>
        </w:rPr>
        <w:t xml:space="preserve"> </w:t>
      </w:r>
      <w:r>
        <w:t>de</w:t>
      </w:r>
      <w:r>
        <w:rPr>
          <w:spacing w:val="-3"/>
        </w:rPr>
        <w:t xml:space="preserve"> </w:t>
      </w:r>
      <w:r>
        <w:t>reposição</w:t>
      </w:r>
      <w:r>
        <w:rPr>
          <w:spacing w:val="-2"/>
        </w:rPr>
        <w:t xml:space="preserve"> </w:t>
      </w:r>
      <w:r>
        <w:t>adequadas</w:t>
      </w:r>
      <w:r>
        <w:rPr>
          <w:spacing w:val="-6"/>
        </w:rPr>
        <w:t xml:space="preserve"> </w:t>
      </w:r>
      <w:r>
        <w:t>de</w:t>
      </w:r>
      <w:r>
        <w:rPr>
          <w:spacing w:val="-3"/>
        </w:rPr>
        <w:t xml:space="preserve"> </w:t>
      </w:r>
      <w:r>
        <w:t>glicocorticoide</w:t>
      </w:r>
      <w:r>
        <w:rPr>
          <w:spacing w:val="-5"/>
        </w:rPr>
        <w:t xml:space="preserve"> </w:t>
      </w:r>
      <w:r>
        <w:t>não</w:t>
      </w:r>
      <w:r>
        <w:rPr>
          <w:spacing w:val="-4"/>
        </w:rPr>
        <w:t xml:space="preserve"> </w:t>
      </w:r>
      <w:r>
        <w:t>parece</w:t>
      </w:r>
      <w:r>
        <w:rPr>
          <w:spacing w:val="-3"/>
        </w:rPr>
        <w:t xml:space="preserve"> </w:t>
      </w:r>
      <w:r>
        <w:t>afetar</w:t>
      </w:r>
      <w:r>
        <w:rPr>
          <w:spacing w:val="-2"/>
        </w:rPr>
        <w:t xml:space="preserve"> </w:t>
      </w:r>
      <w:r>
        <w:t>a</w:t>
      </w:r>
      <w:r>
        <w:rPr>
          <w:spacing w:val="-5"/>
        </w:rPr>
        <w:t xml:space="preserve"> </w:t>
      </w:r>
      <w:r>
        <w:t>densidade</w:t>
      </w:r>
      <w:r>
        <w:rPr>
          <w:spacing w:val="-4"/>
        </w:rPr>
        <w:t xml:space="preserve"> </w:t>
      </w:r>
      <w:r>
        <w:t>mineral</w:t>
      </w:r>
      <w:r>
        <w:rPr>
          <w:spacing w:val="-2"/>
        </w:rPr>
        <w:t xml:space="preserve"> </w:t>
      </w:r>
      <w:r>
        <w:t>óssea a longo</w:t>
      </w:r>
      <w:r>
        <w:rPr>
          <w:spacing w:val="-2"/>
        </w:rPr>
        <w:t xml:space="preserve"> </w:t>
      </w:r>
      <w:r>
        <w:t>prazo(30).</w:t>
      </w:r>
    </w:p>
    <w:p w:rsidR="0041037F" w:rsidRDefault="00A03D9B">
      <w:pPr>
        <w:pStyle w:val="Corpodetexto"/>
        <w:spacing w:before="1"/>
        <w:ind w:right="142"/>
      </w:pPr>
      <w:r>
        <w:t>É fundamental, para o caso de necessidade de atendimento médico emergencial nas crises agudas, que todo paciente com insuficiência adrenal porte consigo identificação (pulseira, corrente ou cartão) que informe a sua condição e que contenha contatos de emer</w:t>
      </w:r>
      <w:r>
        <w:t>gência.</w:t>
      </w:r>
    </w:p>
    <w:p w:rsidR="0041037F" w:rsidRDefault="0041037F">
      <w:pPr>
        <w:pStyle w:val="Corpodetexto"/>
        <w:ind w:left="0" w:firstLine="0"/>
        <w:rPr>
          <w:sz w:val="18"/>
        </w:rPr>
      </w:pPr>
    </w:p>
    <w:p w:rsidR="0041037F" w:rsidRDefault="00A03D9B">
      <w:pPr>
        <w:pStyle w:val="PargrafodaLista"/>
        <w:numPr>
          <w:ilvl w:val="0"/>
          <w:numId w:val="2"/>
        </w:numPr>
        <w:tabs>
          <w:tab w:val="left" w:pos="869"/>
        </w:tabs>
        <w:spacing w:before="160"/>
        <w:ind w:left="868" w:hanging="202"/>
        <w:rPr>
          <w:sz w:val="16"/>
        </w:rPr>
      </w:pPr>
      <w:r>
        <w:rPr>
          <w:sz w:val="16"/>
        </w:rPr>
        <w:t>REGULAÇÃO, CONTROLE E AVALIAÇÃO PELO</w:t>
      </w:r>
      <w:r>
        <w:rPr>
          <w:spacing w:val="4"/>
          <w:sz w:val="16"/>
        </w:rPr>
        <w:t xml:space="preserve"> </w:t>
      </w:r>
      <w:r>
        <w:rPr>
          <w:sz w:val="16"/>
        </w:rPr>
        <w:t>GESTOR</w:t>
      </w:r>
    </w:p>
    <w:p w:rsidR="0041037F" w:rsidRDefault="00A03D9B">
      <w:pPr>
        <w:pStyle w:val="Corpodetexto"/>
        <w:spacing w:before="1"/>
        <w:ind w:right="142"/>
      </w:pPr>
      <w:r>
        <w:t>Devem ser observados os critérios de inclusão e exclusão de pacientes deste Protocolo, a duração e a monitorização do tratamento, bem como a verificação periódica das doses prescritas e dispensadas e a a</w:t>
      </w:r>
      <w:r>
        <w:t>dequação de uso dos</w:t>
      </w:r>
      <w:r>
        <w:rPr>
          <w:spacing w:val="-20"/>
        </w:rPr>
        <w:t xml:space="preserve"> </w:t>
      </w:r>
      <w:r>
        <w:t>medicamentos.</w:t>
      </w:r>
    </w:p>
    <w:p w:rsidR="0041037F" w:rsidRDefault="0041037F">
      <w:pPr>
        <w:sectPr w:rsidR="0041037F">
          <w:pgSz w:w="11910" w:h="16840"/>
          <w:pgMar w:top="620" w:right="600" w:bottom="280" w:left="620" w:header="720" w:footer="720" w:gutter="0"/>
          <w:cols w:space="720"/>
        </w:sectPr>
      </w:pPr>
    </w:p>
    <w:p w:rsidR="0041037F" w:rsidRDefault="00A03D9B">
      <w:pPr>
        <w:pStyle w:val="Corpodetexto"/>
        <w:spacing w:before="76"/>
      </w:pPr>
      <w:r>
        <w:lastRenderedPageBreak/>
        <w:t>Verificar na Relação Nacional de Medicamentos Essenciais (RENAME) vigente em qual componente da Assistência Farmacêutica se encontram os medicamentos preconizados neste Protocolo.</w:t>
      </w:r>
    </w:p>
    <w:p w:rsidR="0041037F" w:rsidRDefault="0041037F">
      <w:pPr>
        <w:pStyle w:val="Corpodetexto"/>
        <w:ind w:left="0" w:firstLine="0"/>
      </w:pPr>
    </w:p>
    <w:p w:rsidR="0041037F" w:rsidRDefault="00A03D9B">
      <w:pPr>
        <w:pStyle w:val="PargrafodaLista"/>
        <w:numPr>
          <w:ilvl w:val="0"/>
          <w:numId w:val="2"/>
        </w:numPr>
        <w:tabs>
          <w:tab w:val="left" w:pos="869"/>
        </w:tabs>
        <w:ind w:left="868" w:hanging="202"/>
        <w:rPr>
          <w:sz w:val="16"/>
        </w:rPr>
      </w:pPr>
      <w:r>
        <w:rPr>
          <w:sz w:val="16"/>
        </w:rPr>
        <w:t>TERMO DE ESCLARECIMENTO E RESPONSABILIDADE –</w:t>
      </w:r>
      <w:r>
        <w:rPr>
          <w:spacing w:val="-15"/>
          <w:sz w:val="16"/>
        </w:rPr>
        <w:t xml:space="preserve"> </w:t>
      </w:r>
      <w:r>
        <w:rPr>
          <w:sz w:val="16"/>
        </w:rPr>
        <w:t>TER</w:t>
      </w:r>
    </w:p>
    <w:p w:rsidR="0041037F" w:rsidRDefault="00A03D9B">
      <w:pPr>
        <w:pStyle w:val="Corpodetexto"/>
        <w:spacing w:before="1"/>
      </w:pPr>
      <w:r>
        <w:t>É obrigatória a informação ao paciente ou ao seu responsável legal, dos potenciais riscos, benefícios e eventos adversos relacionados ao uso dos medicamentos preconizados neste Protocolo.</w:t>
      </w:r>
    </w:p>
    <w:p w:rsidR="0041037F" w:rsidRDefault="00A03D9B">
      <w:pPr>
        <w:pStyle w:val="Corpodetexto"/>
        <w:spacing w:line="183" w:lineRule="exact"/>
        <w:ind w:left="666" w:firstLine="0"/>
      </w:pPr>
      <w:r>
        <w:t>O TER é obrigatório</w:t>
      </w:r>
      <w:r>
        <w:t xml:space="preserve"> ao se solicitar o fornecimento de medicamento do Componente Especializado de Assistência Farmacêutica (CEAF).</w:t>
      </w:r>
    </w:p>
    <w:p w:rsidR="0041037F" w:rsidRDefault="0041037F">
      <w:pPr>
        <w:pStyle w:val="Corpodetexto"/>
        <w:ind w:left="0" w:firstLine="0"/>
        <w:rPr>
          <w:sz w:val="18"/>
        </w:rPr>
      </w:pPr>
    </w:p>
    <w:p w:rsidR="0041037F" w:rsidRDefault="00A03D9B">
      <w:pPr>
        <w:pStyle w:val="PargrafodaLista"/>
        <w:numPr>
          <w:ilvl w:val="0"/>
          <w:numId w:val="2"/>
        </w:numPr>
        <w:tabs>
          <w:tab w:val="left" w:pos="907"/>
        </w:tabs>
        <w:spacing w:before="161"/>
        <w:ind w:left="906" w:hanging="240"/>
        <w:rPr>
          <w:sz w:val="16"/>
        </w:rPr>
      </w:pPr>
      <w:r>
        <w:rPr>
          <w:sz w:val="16"/>
        </w:rPr>
        <w:t>REFERÊNCIAS</w:t>
      </w:r>
      <w:r>
        <w:rPr>
          <w:spacing w:val="-1"/>
          <w:sz w:val="16"/>
        </w:rPr>
        <w:t xml:space="preserve"> </w:t>
      </w:r>
      <w:r>
        <w:rPr>
          <w:sz w:val="16"/>
        </w:rPr>
        <w:t>BIBLIOGRÁFICAS</w:t>
      </w:r>
    </w:p>
    <w:p w:rsidR="0041037F" w:rsidRDefault="00A03D9B">
      <w:pPr>
        <w:pStyle w:val="PargrafodaLista"/>
        <w:numPr>
          <w:ilvl w:val="0"/>
          <w:numId w:val="1"/>
        </w:numPr>
        <w:tabs>
          <w:tab w:val="left" w:pos="831"/>
        </w:tabs>
        <w:spacing w:before="1" w:line="183" w:lineRule="exact"/>
        <w:ind w:firstLine="566"/>
        <w:rPr>
          <w:sz w:val="16"/>
        </w:rPr>
      </w:pPr>
      <w:r w:rsidRPr="00A03D9B">
        <w:rPr>
          <w:sz w:val="16"/>
          <w:lang w:val="en-US"/>
        </w:rPr>
        <w:t xml:space="preserve">Kong MF, Jeffcoate W. Eighty-six cases of Addison's disease. </w:t>
      </w:r>
      <w:r>
        <w:rPr>
          <w:sz w:val="16"/>
        </w:rPr>
        <w:t>Clin Endocrinol (Oxf).</w:t>
      </w:r>
      <w:r>
        <w:rPr>
          <w:spacing w:val="-11"/>
          <w:sz w:val="16"/>
        </w:rPr>
        <w:t xml:space="preserve"> </w:t>
      </w:r>
      <w:r>
        <w:rPr>
          <w:sz w:val="16"/>
        </w:rPr>
        <w:t>1994;41(6):757-61.</w:t>
      </w:r>
    </w:p>
    <w:p w:rsidR="0041037F" w:rsidRDefault="00A03D9B">
      <w:pPr>
        <w:pStyle w:val="PargrafodaLista"/>
        <w:numPr>
          <w:ilvl w:val="0"/>
          <w:numId w:val="1"/>
        </w:numPr>
        <w:tabs>
          <w:tab w:val="left" w:pos="831"/>
        </w:tabs>
        <w:spacing w:line="183" w:lineRule="exact"/>
        <w:ind w:firstLine="566"/>
        <w:rPr>
          <w:sz w:val="16"/>
        </w:rPr>
      </w:pPr>
      <w:r w:rsidRPr="00A03D9B">
        <w:rPr>
          <w:sz w:val="16"/>
          <w:lang w:val="en-US"/>
        </w:rPr>
        <w:t>Willis AC, Vin</w:t>
      </w:r>
      <w:r w:rsidRPr="00A03D9B">
        <w:rPr>
          <w:sz w:val="16"/>
          <w:lang w:val="en-US"/>
        </w:rPr>
        <w:t xml:space="preserve">ce FP. The prevalence of Addison's disease in Coventry, UK. </w:t>
      </w:r>
      <w:r>
        <w:rPr>
          <w:sz w:val="16"/>
        </w:rPr>
        <w:t>Postgrad Med J.</w:t>
      </w:r>
      <w:r>
        <w:rPr>
          <w:spacing w:val="-14"/>
          <w:sz w:val="16"/>
        </w:rPr>
        <w:t xml:space="preserve"> </w:t>
      </w:r>
      <w:r>
        <w:rPr>
          <w:sz w:val="16"/>
        </w:rPr>
        <w:t>1997;73(859):286-8.</w:t>
      </w:r>
    </w:p>
    <w:p w:rsidR="0041037F" w:rsidRDefault="00A03D9B">
      <w:pPr>
        <w:pStyle w:val="PargrafodaLista"/>
        <w:numPr>
          <w:ilvl w:val="0"/>
          <w:numId w:val="1"/>
        </w:numPr>
        <w:tabs>
          <w:tab w:val="left" w:pos="831"/>
        </w:tabs>
        <w:spacing w:before="1"/>
        <w:ind w:firstLine="566"/>
        <w:rPr>
          <w:sz w:val="16"/>
        </w:rPr>
      </w:pPr>
      <w:r w:rsidRPr="00A03D9B">
        <w:rPr>
          <w:sz w:val="16"/>
          <w:lang w:val="en-US"/>
        </w:rPr>
        <w:t>Laureti</w:t>
      </w:r>
      <w:r w:rsidRPr="00A03D9B">
        <w:rPr>
          <w:spacing w:val="-1"/>
          <w:sz w:val="16"/>
          <w:lang w:val="en-US"/>
        </w:rPr>
        <w:t xml:space="preserve"> </w:t>
      </w:r>
      <w:r w:rsidRPr="00A03D9B">
        <w:rPr>
          <w:sz w:val="16"/>
          <w:lang w:val="en-US"/>
        </w:rPr>
        <w:t>S,</w:t>
      </w:r>
      <w:r w:rsidRPr="00A03D9B">
        <w:rPr>
          <w:spacing w:val="-4"/>
          <w:sz w:val="16"/>
          <w:lang w:val="en-US"/>
        </w:rPr>
        <w:t xml:space="preserve"> </w:t>
      </w:r>
      <w:r w:rsidRPr="00A03D9B">
        <w:rPr>
          <w:sz w:val="16"/>
          <w:lang w:val="en-US"/>
        </w:rPr>
        <w:t>Vecchi</w:t>
      </w:r>
      <w:r w:rsidRPr="00A03D9B">
        <w:rPr>
          <w:spacing w:val="-1"/>
          <w:sz w:val="16"/>
          <w:lang w:val="en-US"/>
        </w:rPr>
        <w:t xml:space="preserve"> </w:t>
      </w:r>
      <w:r w:rsidRPr="00A03D9B">
        <w:rPr>
          <w:spacing w:val="-3"/>
          <w:sz w:val="16"/>
          <w:lang w:val="en-US"/>
        </w:rPr>
        <w:t>L,</w:t>
      </w:r>
      <w:r w:rsidRPr="00A03D9B">
        <w:rPr>
          <w:spacing w:val="-1"/>
          <w:sz w:val="16"/>
          <w:lang w:val="en-US"/>
        </w:rPr>
        <w:t xml:space="preserve"> </w:t>
      </w:r>
      <w:r w:rsidRPr="00A03D9B">
        <w:rPr>
          <w:sz w:val="16"/>
          <w:lang w:val="en-US"/>
        </w:rPr>
        <w:t>Santeusanio</w:t>
      </w:r>
      <w:r w:rsidRPr="00A03D9B">
        <w:rPr>
          <w:spacing w:val="-3"/>
          <w:sz w:val="16"/>
          <w:lang w:val="en-US"/>
        </w:rPr>
        <w:t xml:space="preserve"> </w:t>
      </w:r>
      <w:r w:rsidRPr="00A03D9B">
        <w:rPr>
          <w:sz w:val="16"/>
          <w:lang w:val="en-US"/>
        </w:rPr>
        <w:t>F,</w:t>
      </w:r>
      <w:r w:rsidRPr="00A03D9B">
        <w:rPr>
          <w:spacing w:val="-4"/>
          <w:sz w:val="16"/>
          <w:lang w:val="en-US"/>
        </w:rPr>
        <w:t xml:space="preserve"> </w:t>
      </w:r>
      <w:r w:rsidRPr="00A03D9B">
        <w:rPr>
          <w:sz w:val="16"/>
          <w:lang w:val="en-US"/>
        </w:rPr>
        <w:t>Falorni</w:t>
      </w:r>
      <w:r w:rsidRPr="00A03D9B">
        <w:rPr>
          <w:spacing w:val="-1"/>
          <w:sz w:val="16"/>
          <w:lang w:val="en-US"/>
        </w:rPr>
        <w:t xml:space="preserve"> </w:t>
      </w:r>
      <w:r w:rsidRPr="00A03D9B">
        <w:rPr>
          <w:sz w:val="16"/>
          <w:lang w:val="en-US"/>
        </w:rPr>
        <w:t>A.</w:t>
      </w:r>
      <w:r w:rsidRPr="00A03D9B">
        <w:rPr>
          <w:spacing w:val="1"/>
          <w:sz w:val="16"/>
          <w:lang w:val="en-US"/>
        </w:rPr>
        <w:t xml:space="preserve"> </w:t>
      </w:r>
      <w:r w:rsidRPr="00A03D9B">
        <w:rPr>
          <w:sz w:val="16"/>
          <w:lang w:val="en-US"/>
        </w:rPr>
        <w:t>Is</w:t>
      </w:r>
      <w:r w:rsidRPr="00A03D9B">
        <w:rPr>
          <w:spacing w:val="-1"/>
          <w:sz w:val="16"/>
          <w:lang w:val="en-US"/>
        </w:rPr>
        <w:t xml:space="preserve"> </w:t>
      </w:r>
      <w:r w:rsidRPr="00A03D9B">
        <w:rPr>
          <w:sz w:val="16"/>
          <w:lang w:val="en-US"/>
        </w:rPr>
        <w:t>the</w:t>
      </w:r>
      <w:r w:rsidRPr="00A03D9B">
        <w:rPr>
          <w:spacing w:val="-4"/>
          <w:sz w:val="16"/>
          <w:lang w:val="en-US"/>
        </w:rPr>
        <w:t xml:space="preserve"> </w:t>
      </w:r>
      <w:r w:rsidRPr="00A03D9B">
        <w:rPr>
          <w:sz w:val="16"/>
          <w:lang w:val="en-US"/>
        </w:rPr>
        <w:t>prevalence</w:t>
      </w:r>
      <w:r w:rsidRPr="00A03D9B">
        <w:rPr>
          <w:spacing w:val="-4"/>
          <w:sz w:val="16"/>
          <w:lang w:val="en-US"/>
        </w:rPr>
        <w:t xml:space="preserve"> </w:t>
      </w:r>
      <w:r w:rsidRPr="00A03D9B">
        <w:rPr>
          <w:sz w:val="16"/>
          <w:lang w:val="en-US"/>
        </w:rPr>
        <w:t>of</w:t>
      </w:r>
      <w:r w:rsidRPr="00A03D9B">
        <w:rPr>
          <w:spacing w:val="-3"/>
          <w:sz w:val="16"/>
          <w:lang w:val="en-US"/>
        </w:rPr>
        <w:t xml:space="preserve"> </w:t>
      </w:r>
      <w:r w:rsidRPr="00A03D9B">
        <w:rPr>
          <w:sz w:val="16"/>
          <w:lang w:val="en-US"/>
        </w:rPr>
        <w:t>Addison's</w:t>
      </w:r>
      <w:r w:rsidRPr="00A03D9B">
        <w:rPr>
          <w:spacing w:val="-2"/>
          <w:sz w:val="16"/>
          <w:lang w:val="en-US"/>
        </w:rPr>
        <w:t xml:space="preserve"> </w:t>
      </w:r>
      <w:r w:rsidRPr="00A03D9B">
        <w:rPr>
          <w:sz w:val="16"/>
          <w:lang w:val="en-US"/>
        </w:rPr>
        <w:t>disease</w:t>
      </w:r>
      <w:r w:rsidRPr="00A03D9B">
        <w:rPr>
          <w:spacing w:val="-3"/>
          <w:sz w:val="16"/>
          <w:lang w:val="en-US"/>
        </w:rPr>
        <w:t xml:space="preserve"> </w:t>
      </w:r>
      <w:r w:rsidRPr="00A03D9B">
        <w:rPr>
          <w:sz w:val="16"/>
          <w:lang w:val="en-US"/>
        </w:rPr>
        <w:t>underestimated?</w:t>
      </w:r>
      <w:r w:rsidRPr="00A03D9B">
        <w:rPr>
          <w:spacing w:val="4"/>
          <w:sz w:val="16"/>
          <w:lang w:val="en-US"/>
        </w:rPr>
        <w:t xml:space="preserve"> </w:t>
      </w:r>
      <w:r>
        <w:rPr>
          <w:sz w:val="16"/>
        </w:rPr>
        <w:t>J</w:t>
      </w:r>
      <w:r>
        <w:rPr>
          <w:spacing w:val="-3"/>
          <w:sz w:val="16"/>
        </w:rPr>
        <w:t xml:space="preserve"> </w:t>
      </w:r>
      <w:r>
        <w:rPr>
          <w:sz w:val="16"/>
        </w:rPr>
        <w:t>Clin</w:t>
      </w:r>
      <w:r>
        <w:rPr>
          <w:spacing w:val="-3"/>
          <w:sz w:val="16"/>
        </w:rPr>
        <w:t xml:space="preserve"> </w:t>
      </w:r>
      <w:r>
        <w:rPr>
          <w:sz w:val="16"/>
        </w:rPr>
        <w:t>Endocrinol</w:t>
      </w:r>
      <w:r>
        <w:rPr>
          <w:spacing w:val="-5"/>
          <w:sz w:val="16"/>
        </w:rPr>
        <w:t xml:space="preserve"> </w:t>
      </w:r>
      <w:r>
        <w:rPr>
          <w:sz w:val="16"/>
        </w:rPr>
        <w:t>Metab.</w:t>
      </w:r>
      <w:r>
        <w:rPr>
          <w:spacing w:val="-4"/>
          <w:sz w:val="16"/>
        </w:rPr>
        <w:t xml:space="preserve"> </w:t>
      </w:r>
      <w:r>
        <w:rPr>
          <w:sz w:val="16"/>
        </w:rPr>
        <w:t>1999;84(5):1762.</w:t>
      </w:r>
    </w:p>
    <w:p w:rsidR="0041037F" w:rsidRDefault="00A03D9B">
      <w:pPr>
        <w:pStyle w:val="PargrafodaLista"/>
        <w:numPr>
          <w:ilvl w:val="0"/>
          <w:numId w:val="1"/>
        </w:numPr>
        <w:tabs>
          <w:tab w:val="left" w:pos="857"/>
        </w:tabs>
        <w:spacing w:before="1"/>
        <w:ind w:right="119" w:firstLine="566"/>
        <w:rPr>
          <w:sz w:val="16"/>
        </w:rPr>
      </w:pPr>
      <w:r>
        <w:rPr>
          <w:sz w:val="16"/>
        </w:rPr>
        <w:t xml:space="preserve">Falorni A, Laureti S, De Bellis A, Zanchetta R, Tiberti C, Arnaldi G, et al. </w:t>
      </w:r>
      <w:r w:rsidRPr="00A03D9B">
        <w:rPr>
          <w:sz w:val="16"/>
          <w:lang w:val="en-US"/>
        </w:rPr>
        <w:t xml:space="preserve">Italian addison network study: update of diagnostic criteria for the etiological classification of primary adrenal insufficiency. </w:t>
      </w:r>
      <w:r>
        <w:rPr>
          <w:sz w:val="16"/>
        </w:rPr>
        <w:t>J Clin Endocrinol Metab.</w:t>
      </w:r>
      <w:r>
        <w:rPr>
          <w:spacing w:val="-15"/>
          <w:sz w:val="16"/>
        </w:rPr>
        <w:t xml:space="preserve"> </w:t>
      </w:r>
      <w:r>
        <w:rPr>
          <w:sz w:val="16"/>
        </w:rPr>
        <w:t>2004;89(4):1598-604.</w:t>
      </w:r>
    </w:p>
    <w:p w:rsidR="0041037F" w:rsidRDefault="00A03D9B">
      <w:pPr>
        <w:pStyle w:val="PargrafodaLista"/>
        <w:numPr>
          <w:ilvl w:val="0"/>
          <w:numId w:val="1"/>
        </w:numPr>
        <w:tabs>
          <w:tab w:val="left" w:pos="831"/>
        </w:tabs>
        <w:spacing w:line="183" w:lineRule="exact"/>
        <w:ind w:firstLine="566"/>
        <w:rPr>
          <w:sz w:val="16"/>
        </w:rPr>
      </w:pPr>
      <w:r w:rsidRPr="00A03D9B">
        <w:rPr>
          <w:sz w:val="16"/>
          <w:lang w:val="en-US"/>
        </w:rPr>
        <w:t>Ner</w:t>
      </w:r>
      <w:r w:rsidRPr="00A03D9B">
        <w:rPr>
          <w:sz w:val="16"/>
          <w:lang w:val="en-US"/>
        </w:rPr>
        <w:t xml:space="preserve">up J. Addison's disease--clinical studies. </w:t>
      </w:r>
      <w:r>
        <w:rPr>
          <w:sz w:val="16"/>
        </w:rPr>
        <w:t>A report fo 108 cases. Acta Endocrinol (Copenh).</w:t>
      </w:r>
      <w:r>
        <w:rPr>
          <w:spacing w:val="-16"/>
          <w:sz w:val="16"/>
        </w:rPr>
        <w:t xml:space="preserve"> </w:t>
      </w:r>
      <w:r>
        <w:rPr>
          <w:sz w:val="16"/>
        </w:rPr>
        <w:t>1974;76(1):127-41.</w:t>
      </w:r>
    </w:p>
    <w:p w:rsidR="0041037F" w:rsidRDefault="00A03D9B">
      <w:pPr>
        <w:pStyle w:val="PargrafodaLista"/>
        <w:numPr>
          <w:ilvl w:val="0"/>
          <w:numId w:val="1"/>
        </w:numPr>
        <w:tabs>
          <w:tab w:val="left" w:pos="833"/>
        </w:tabs>
        <w:ind w:right="115" w:firstLine="566"/>
        <w:rPr>
          <w:sz w:val="16"/>
        </w:rPr>
      </w:pPr>
      <w:r>
        <w:rPr>
          <w:sz w:val="16"/>
        </w:rPr>
        <w:t xml:space="preserve">Silva RC, de Castro M, Kater CE, Cunha AA, Moraes AM, de Alvarenga DB, et al. </w:t>
      </w:r>
      <w:r w:rsidRPr="00A03D9B">
        <w:rPr>
          <w:sz w:val="16"/>
          <w:lang w:val="en-US"/>
        </w:rPr>
        <w:t>[Primary adrenal insufficiency in adults: 150 years after Addison]. Arq Bras Endocrinol Metabo.</w:t>
      </w:r>
      <w:r w:rsidRPr="00A03D9B">
        <w:rPr>
          <w:spacing w:val="-2"/>
          <w:sz w:val="16"/>
          <w:lang w:val="en-US"/>
        </w:rPr>
        <w:t xml:space="preserve"> </w:t>
      </w:r>
      <w:r>
        <w:rPr>
          <w:sz w:val="16"/>
        </w:rPr>
        <w:t>2004;48(5):724-38.</w:t>
      </w:r>
    </w:p>
    <w:p w:rsidR="0041037F" w:rsidRDefault="00A03D9B">
      <w:pPr>
        <w:pStyle w:val="PargrafodaLista"/>
        <w:numPr>
          <w:ilvl w:val="0"/>
          <w:numId w:val="1"/>
        </w:numPr>
        <w:tabs>
          <w:tab w:val="left" w:pos="828"/>
        </w:tabs>
        <w:spacing w:line="183" w:lineRule="exact"/>
        <w:ind w:left="827" w:hanging="161"/>
        <w:rPr>
          <w:sz w:val="16"/>
        </w:rPr>
      </w:pPr>
      <w:r>
        <w:rPr>
          <w:sz w:val="16"/>
        </w:rPr>
        <w:t xml:space="preserve">de Castro M, Elias </w:t>
      </w:r>
      <w:r>
        <w:rPr>
          <w:spacing w:val="-3"/>
          <w:sz w:val="16"/>
        </w:rPr>
        <w:t xml:space="preserve">LL. </w:t>
      </w:r>
      <w:r>
        <w:rPr>
          <w:sz w:val="16"/>
        </w:rPr>
        <w:t>Insuficiência Adrenal Crônica e Aguda. M</w:t>
      </w:r>
      <w:r>
        <w:rPr>
          <w:sz w:val="16"/>
        </w:rPr>
        <w:t>edicina (Ribeirão Preto).</w:t>
      </w:r>
      <w:r>
        <w:rPr>
          <w:spacing w:val="-8"/>
          <w:sz w:val="16"/>
        </w:rPr>
        <w:t xml:space="preserve"> </w:t>
      </w:r>
      <w:r>
        <w:rPr>
          <w:sz w:val="16"/>
        </w:rPr>
        <w:t>2003;36:375-9.</w:t>
      </w:r>
    </w:p>
    <w:p w:rsidR="0041037F" w:rsidRPr="00A03D9B" w:rsidRDefault="00A03D9B">
      <w:pPr>
        <w:pStyle w:val="PargrafodaLista"/>
        <w:numPr>
          <w:ilvl w:val="0"/>
          <w:numId w:val="1"/>
        </w:numPr>
        <w:tabs>
          <w:tab w:val="left" w:pos="843"/>
        </w:tabs>
        <w:spacing w:before="1"/>
        <w:ind w:right="122" w:firstLine="566"/>
        <w:rPr>
          <w:sz w:val="16"/>
          <w:lang w:val="en-US"/>
        </w:rPr>
      </w:pPr>
      <w:r w:rsidRPr="00A03D9B">
        <w:rPr>
          <w:sz w:val="16"/>
          <w:lang w:val="en-US"/>
        </w:rPr>
        <w:t>Stewart PM. The Adrenal Cortex. In: Kronenberg HM, Melmed S, Polonsky KS, Larsen PR, editors. Williams Textbook of Endocrinology. 11th ed. Philadelphia: Saunders Elsevier; 2008. p.</w:t>
      </w:r>
      <w:r w:rsidRPr="00A03D9B">
        <w:rPr>
          <w:spacing w:val="-2"/>
          <w:sz w:val="16"/>
          <w:lang w:val="en-US"/>
        </w:rPr>
        <w:t xml:space="preserve"> </w:t>
      </w:r>
      <w:r w:rsidRPr="00A03D9B">
        <w:rPr>
          <w:sz w:val="16"/>
          <w:lang w:val="en-US"/>
        </w:rPr>
        <w:t>491-551.</w:t>
      </w:r>
    </w:p>
    <w:p w:rsidR="0041037F" w:rsidRDefault="00A03D9B">
      <w:pPr>
        <w:pStyle w:val="PargrafodaLista"/>
        <w:numPr>
          <w:ilvl w:val="0"/>
          <w:numId w:val="1"/>
        </w:numPr>
        <w:tabs>
          <w:tab w:val="left" w:pos="850"/>
        </w:tabs>
        <w:ind w:right="114" w:firstLine="566"/>
        <w:rPr>
          <w:sz w:val="16"/>
        </w:rPr>
      </w:pPr>
      <w:r w:rsidRPr="00A03D9B">
        <w:rPr>
          <w:sz w:val="16"/>
          <w:lang w:val="en-US"/>
        </w:rPr>
        <w:t>Meyer G, Hackemann A, Pen</w:t>
      </w:r>
      <w:r w:rsidRPr="00A03D9B">
        <w:rPr>
          <w:sz w:val="16"/>
          <w:lang w:val="en-US"/>
        </w:rPr>
        <w:t xml:space="preserve">na-Martinez M, Badenhoop K. What affects the quality of life in autoimmune Addison's disease? </w:t>
      </w:r>
      <w:r>
        <w:rPr>
          <w:sz w:val="16"/>
        </w:rPr>
        <w:t>Horm Metab Res. 2013;45(2):92-5. Epub 2013 Jan</w:t>
      </w:r>
      <w:r>
        <w:rPr>
          <w:spacing w:val="-3"/>
          <w:sz w:val="16"/>
        </w:rPr>
        <w:t xml:space="preserve"> </w:t>
      </w:r>
      <w:r>
        <w:rPr>
          <w:sz w:val="16"/>
        </w:rPr>
        <w:t>15.</w:t>
      </w:r>
    </w:p>
    <w:p w:rsidR="0041037F" w:rsidRDefault="00A03D9B">
      <w:pPr>
        <w:pStyle w:val="PargrafodaLista"/>
        <w:numPr>
          <w:ilvl w:val="0"/>
          <w:numId w:val="1"/>
        </w:numPr>
        <w:tabs>
          <w:tab w:val="left" w:pos="927"/>
        </w:tabs>
        <w:ind w:right="114" w:firstLine="566"/>
        <w:rPr>
          <w:sz w:val="16"/>
        </w:rPr>
      </w:pPr>
      <w:r>
        <w:rPr>
          <w:sz w:val="16"/>
        </w:rPr>
        <w:t>Alves M, Souto SB, Neves C, Carvalho Braga D, Medina JL. Protocolo de diagnóstico e tratamento de insuficiência</w:t>
      </w:r>
      <w:r>
        <w:rPr>
          <w:sz w:val="16"/>
        </w:rPr>
        <w:t xml:space="preserve"> supra-renal aguda. Rev Port Endocrinol Diabetes Metab.</w:t>
      </w:r>
      <w:r>
        <w:rPr>
          <w:spacing w:val="-6"/>
          <w:sz w:val="16"/>
        </w:rPr>
        <w:t xml:space="preserve"> </w:t>
      </w:r>
      <w:r>
        <w:rPr>
          <w:sz w:val="16"/>
        </w:rPr>
        <w:t>2008;1:23-9.</w:t>
      </w:r>
    </w:p>
    <w:p w:rsidR="0041037F" w:rsidRDefault="00A03D9B">
      <w:pPr>
        <w:pStyle w:val="PargrafodaLista"/>
        <w:numPr>
          <w:ilvl w:val="0"/>
          <w:numId w:val="1"/>
        </w:numPr>
        <w:tabs>
          <w:tab w:val="left" w:pos="907"/>
        </w:tabs>
        <w:spacing w:before="1" w:line="183" w:lineRule="exact"/>
        <w:ind w:left="906" w:hanging="240"/>
        <w:rPr>
          <w:sz w:val="16"/>
        </w:rPr>
      </w:pPr>
      <w:r w:rsidRPr="00A03D9B">
        <w:rPr>
          <w:sz w:val="16"/>
          <w:lang w:val="en-US"/>
        </w:rPr>
        <w:t>Burke CW. Adrenocortical insufficiency. Clin Endocrinol Metab.</w:t>
      </w:r>
      <w:r w:rsidRPr="00A03D9B">
        <w:rPr>
          <w:spacing w:val="-8"/>
          <w:sz w:val="16"/>
          <w:lang w:val="en-US"/>
        </w:rPr>
        <w:t xml:space="preserve"> </w:t>
      </w:r>
      <w:r>
        <w:rPr>
          <w:sz w:val="16"/>
        </w:rPr>
        <w:t>1985;14(4):947-76.</w:t>
      </w:r>
    </w:p>
    <w:p w:rsidR="0041037F" w:rsidRDefault="00A03D9B">
      <w:pPr>
        <w:pStyle w:val="PargrafodaLista"/>
        <w:numPr>
          <w:ilvl w:val="0"/>
          <w:numId w:val="1"/>
        </w:numPr>
        <w:tabs>
          <w:tab w:val="left" w:pos="910"/>
        </w:tabs>
        <w:ind w:right="115" w:firstLine="566"/>
        <w:rPr>
          <w:sz w:val="16"/>
        </w:rPr>
      </w:pPr>
      <w:r w:rsidRPr="00A03D9B">
        <w:rPr>
          <w:sz w:val="16"/>
          <w:lang w:val="en-US"/>
        </w:rPr>
        <w:t>Oelkers W, Diederich S, Bähr V. Diagnosis and therapy surveillance in Addison's disease: rapid adrenocort</w:t>
      </w:r>
      <w:r w:rsidRPr="00A03D9B">
        <w:rPr>
          <w:sz w:val="16"/>
          <w:lang w:val="en-US"/>
        </w:rPr>
        <w:t xml:space="preserve">icotropin (ACTH) test and measurement of plasma ACTH, renin activity, and aldosterone. </w:t>
      </w:r>
      <w:r>
        <w:rPr>
          <w:sz w:val="16"/>
        </w:rPr>
        <w:t>J Clin Endocrinol Metab.</w:t>
      </w:r>
      <w:r>
        <w:rPr>
          <w:spacing w:val="-5"/>
          <w:sz w:val="16"/>
        </w:rPr>
        <w:t xml:space="preserve"> </w:t>
      </w:r>
      <w:r>
        <w:rPr>
          <w:sz w:val="16"/>
        </w:rPr>
        <w:t>1992;75(1):259-64.</w:t>
      </w:r>
    </w:p>
    <w:p w:rsidR="0041037F" w:rsidRDefault="00A03D9B">
      <w:pPr>
        <w:pStyle w:val="PargrafodaLista"/>
        <w:numPr>
          <w:ilvl w:val="0"/>
          <w:numId w:val="1"/>
        </w:numPr>
        <w:tabs>
          <w:tab w:val="left" w:pos="912"/>
        </w:tabs>
        <w:ind w:right="114" w:firstLine="566"/>
        <w:rPr>
          <w:sz w:val="16"/>
        </w:rPr>
      </w:pPr>
      <w:r w:rsidRPr="00A03D9B">
        <w:rPr>
          <w:sz w:val="16"/>
          <w:lang w:val="en-US"/>
        </w:rPr>
        <w:t>Husebye ES, Allolio B, Arlt W, Badenhoop K, Bensing S, Betterle C, et al. Consensus statement on the diagnosis, treatment and</w:t>
      </w:r>
      <w:r w:rsidRPr="00A03D9B">
        <w:rPr>
          <w:sz w:val="16"/>
          <w:lang w:val="en-US"/>
        </w:rPr>
        <w:t xml:space="preserve"> follow-up of patients with primary adrenal insufficiency. </w:t>
      </w:r>
      <w:r>
        <w:rPr>
          <w:sz w:val="16"/>
        </w:rPr>
        <w:t>J Intern Med. 2014;275(2):104-15. Epub 2013 Dec</w:t>
      </w:r>
      <w:r>
        <w:rPr>
          <w:spacing w:val="-12"/>
          <w:sz w:val="16"/>
        </w:rPr>
        <w:t xml:space="preserve"> </w:t>
      </w:r>
      <w:r>
        <w:rPr>
          <w:sz w:val="16"/>
        </w:rPr>
        <w:t>16.</w:t>
      </w:r>
    </w:p>
    <w:p w:rsidR="0041037F" w:rsidRDefault="00A03D9B">
      <w:pPr>
        <w:pStyle w:val="PargrafodaLista"/>
        <w:numPr>
          <w:ilvl w:val="0"/>
          <w:numId w:val="1"/>
        </w:numPr>
        <w:tabs>
          <w:tab w:val="left" w:pos="910"/>
        </w:tabs>
        <w:spacing w:line="183" w:lineRule="exact"/>
        <w:ind w:left="909" w:hanging="243"/>
        <w:rPr>
          <w:sz w:val="16"/>
        </w:rPr>
      </w:pPr>
      <w:r w:rsidRPr="00A03D9B">
        <w:rPr>
          <w:sz w:val="16"/>
          <w:lang w:val="en-US"/>
        </w:rPr>
        <w:t>Ambrosi</w:t>
      </w:r>
      <w:r w:rsidRPr="00A03D9B">
        <w:rPr>
          <w:spacing w:val="-3"/>
          <w:sz w:val="16"/>
          <w:lang w:val="en-US"/>
        </w:rPr>
        <w:t xml:space="preserve"> </w:t>
      </w:r>
      <w:r w:rsidRPr="00A03D9B">
        <w:rPr>
          <w:sz w:val="16"/>
          <w:lang w:val="en-US"/>
        </w:rPr>
        <w:t>B,</w:t>
      </w:r>
      <w:r w:rsidRPr="00A03D9B">
        <w:rPr>
          <w:spacing w:val="-4"/>
          <w:sz w:val="16"/>
          <w:lang w:val="en-US"/>
        </w:rPr>
        <w:t xml:space="preserve"> </w:t>
      </w:r>
      <w:r w:rsidRPr="00A03D9B">
        <w:rPr>
          <w:sz w:val="16"/>
          <w:lang w:val="en-US"/>
        </w:rPr>
        <w:t>Barbetta</w:t>
      </w:r>
      <w:r w:rsidRPr="00A03D9B">
        <w:rPr>
          <w:spacing w:val="-4"/>
          <w:sz w:val="16"/>
          <w:lang w:val="en-US"/>
        </w:rPr>
        <w:t xml:space="preserve"> </w:t>
      </w:r>
      <w:r w:rsidRPr="00A03D9B">
        <w:rPr>
          <w:spacing w:val="-3"/>
          <w:sz w:val="16"/>
          <w:lang w:val="en-US"/>
        </w:rPr>
        <w:t>L,</w:t>
      </w:r>
      <w:r w:rsidRPr="00A03D9B">
        <w:rPr>
          <w:spacing w:val="-1"/>
          <w:sz w:val="16"/>
          <w:lang w:val="en-US"/>
        </w:rPr>
        <w:t xml:space="preserve"> </w:t>
      </w:r>
      <w:r w:rsidRPr="00A03D9B">
        <w:rPr>
          <w:sz w:val="16"/>
          <w:lang w:val="en-US"/>
        </w:rPr>
        <w:t>Morricone</w:t>
      </w:r>
      <w:r w:rsidRPr="00A03D9B">
        <w:rPr>
          <w:spacing w:val="-1"/>
          <w:sz w:val="16"/>
          <w:lang w:val="en-US"/>
        </w:rPr>
        <w:t xml:space="preserve"> </w:t>
      </w:r>
      <w:r w:rsidRPr="00A03D9B">
        <w:rPr>
          <w:spacing w:val="-3"/>
          <w:sz w:val="16"/>
          <w:lang w:val="en-US"/>
        </w:rPr>
        <w:t>L.</w:t>
      </w:r>
      <w:r w:rsidRPr="00A03D9B">
        <w:rPr>
          <w:spacing w:val="-1"/>
          <w:sz w:val="16"/>
          <w:lang w:val="en-US"/>
        </w:rPr>
        <w:t xml:space="preserve"> </w:t>
      </w:r>
      <w:r w:rsidRPr="00A03D9B">
        <w:rPr>
          <w:sz w:val="16"/>
          <w:lang w:val="en-US"/>
        </w:rPr>
        <w:t>Diagnosis</w:t>
      </w:r>
      <w:r w:rsidRPr="00A03D9B">
        <w:rPr>
          <w:spacing w:val="-4"/>
          <w:sz w:val="16"/>
          <w:lang w:val="en-US"/>
        </w:rPr>
        <w:t xml:space="preserve"> </w:t>
      </w:r>
      <w:r w:rsidRPr="00A03D9B">
        <w:rPr>
          <w:sz w:val="16"/>
          <w:lang w:val="en-US"/>
        </w:rPr>
        <w:t>and</w:t>
      </w:r>
      <w:r w:rsidRPr="00A03D9B">
        <w:rPr>
          <w:spacing w:val="-3"/>
          <w:sz w:val="16"/>
          <w:lang w:val="en-US"/>
        </w:rPr>
        <w:t xml:space="preserve"> </w:t>
      </w:r>
      <w:r w:rsidRPr="00A03D9B">
        <w:rPr>
          <w:sz w:val="16"/>
          <w:lang w:val="en-US"/>
        </w:rPr>
        <w:t>management</w:t>
      </w:r>
      <w:r w:rsidRPr="00A03D9B">
        <w:rPr>
          <w:spacing w:val="-1"/>
          <w:sz w:val="16"/>
          <w:lang w:val="en-US"/>
        </w:rPr>
        <w:t xml:space="preserve"> </w:t>
      </w:r>
      <w:r w:rsidRPr="00A03D9B">
        <w:rPr>
          <w:sz w:val="16"/>
          <w:lang w:val="en-US"/>
        </w:rPr>
        <w:t>of</w:t>
      </w:r>
      <w:r w:rsidRPr="00A03D9B">
        <w:rPr>
          <w:spacing w:val="-2"/>
          <w:sz w:val="16"/>
          <w:lang w:val="en-US"/>
        </w:rPr>
        <w:t xml:space="preserve"> </w:t>
      </w:r>
      <w:r w:rsidRPr="00A03D9B">
        <w:rPr>
          <w:sz w:val="16"/>
          <w:lang w:val="en-US"/>
        </w:rPr>
        <w:t>Addison's</w:t>
      </w:r>
      <w:r w:rsidRPr="00A03D9B">
        <w:rPr>
          <w:spacing w:val="-5"/>
          <w:sz w:val="16"/>
          <w:lang w:val="en-US"/>
        </w:rPr>
        <w:t xml:space="preserve"> </w:t>
      </w:r>
      <w:r w:rsidRPr="00A03D9B">
        <w:rPr>
          <w:sz w:val="16"/>
          <w:lang w:val="en-US"/>
        </w:rPr>
        <w:t>disease</w:t>
      </w:r>
      <w:r w:rsidRPr="00A03D9B">
        <w:rPr>
          <w:spacing w:val="-4"/>
          <w:sz w:val="16"/>
          <w:lang w:val="en-US"/>
        </w:rPr>
        <w:t xml:space="preserve"> </w:t>
      </w:r>
      <w:r w:rsidRPr="00A03D9B">
        <w:rPr>
          <w:sz w:val="16"/>
          <w:lang w:val="en-US"/>
        </w:rPr>
        <w:t>during</w:t>
      </w:r>
      <w:r w:rsidRPr="00A03D9B">
        <w:rPr>
          <w:spacing w:val="-3"/>
          <w:sz w:val="16"/>
          <w:lang w:val="en-US"/>
        </w:rPr>
        <w:t xml:space="preserve"> </w:t>
      </w:r>
      <w:r w:rsidRPr="00A03D9B">
        <w:rPr>
          <w:sz w:val="16"/>
          <w:lang w:val="en-US"/>
        </w:rPr>
        <w:t>pregnancy.</w:t>
      </w:r>
      <w:r w:rsidRPr="00A03D9B">
        <w:rPr>
          <w:spacing w:val="-1"/>
          <w:sz w:val="16"/>
          <w:lang w:val="en-US"/>
        </w:rPr>
        <w:t xml:space="preserve"> </w:t>
      </w:r>
      <w:r>
        <w:rPr>
          <w:sz w:val="16"/>
        </w:rPr>
        <w:t>J</w:t>
      </w:r>
      <w:r>
        <w:rPr>
          <w:spacing w:val="-4"/>
          <w:sz w:val="16"/>
        </w:rPr>
        <w:t xml:space="preserve"> </w:t>
      </w:r>
      <w:r>
        <w:rPr>
          <w:sz w:val="16"/>
        </w:rPr>
        <w:t>Endocrinol</w:t>
      </w:r>
      <w:r>
        <w:rPr>
          <w:spacing w:val="-1"/>
          <w:sz w:val="16"/>
        </w:rPr>
        <w:t xml:space="preserve"> </w:t>
      </w:r>
      <w:r>
        <w:rPr>
          <w:sz w:val="16"/>
        </w:rPr>
        <w:t>Invest.</w:t>
      </w:r>
      <w:r>
        <w:rPr>
          <w:spacing w:val="-1"/>
          <w:sz w:val="16"/>
        </w:rPr>
        <w:t xml:space="preserve"> </w:t>
      </w:r>
      <w:r>
        <w:rPr>
          <w:sz w:val="16"/>
        </w:rPr>
        <w:t>2003;26(7):698-702.</w:t>
      </w:r>
    </w:p>
    <w:p w:rsidR="0041037F" w:rsidRDefault="00A03D9B">
      <w:pPr>
        <w:pStyle w:val="PargrafodaLista"/>
        <w:numPr>
          <w:ilvl w:val="0"/>
          <w:numId w:val="1"/>
        </w:numPr>
        <w:tabs>
          <w:tab w:val="left" w:pos="910"/>
        </w:tabs>
        <w:spacing w:line="183" w:lineRule="exact"/>
        <w:ind w:left="909" w:hanging="243"/>
        <w:rPr>
          <w:sz w:val="16"/>
        </w:rPr>
      </w:pPr>
      <w:r w:rsidRPr="00A03D9B">
        <w:rPr>
          <w:sz w:val="16"/>
          <w:lang w:val="en-US"/>
        </w:rPr>
        <w:t xml:space="preserve">Oki K, Yamane K. Therapies for adrenal insufficiency. </w:t>
      </w:r>
      <w:r>
        <w:rPr>
          <w:sz w:val="16"/>
        </w:rPr>
        <w:t>Expert Opin Pharmacother.</w:t>
      </w:r>
      <w:r>
        <w:rPr>
          <w:spacing w:val="-4"/>
          <w:sz w:val="16"/>
        </w:rPr>
        <w:t xml:space="preserve"> </w:t>
      </w:r>
      <w:r>
        <w:rPr>
          <w:sz w:val="16"/>
        </w:rPr>
        <w:t>2007;8(9):1283-91.</w:t>
      </w:r>
    </w:p>
    <w:p w:rsidR="0041037F" w:rsidRDefault="00A03D9B">
      <w:pPr>
        <w:pStyle w:val="PargrafodaLista"/>
        <w:numPr>
          <w:ilvl w:val="0"/>
          <w:numId w:val="1"/>
        </w:numPr>
        <w:tabs>
          <w:tab w:val="left" w:pos="912"/>
        </w:tabs>
        <w:spacing w:before="1"/>
        <w:ind w:right="114" w:firstLine="566"/>
        <w:rPr>
          <w:sz w:val="16"/>
        </w:rPr>
      </w:pPr>
      <w:r w:rsidRPr="00A03D9B">
        <w:rPr>
          <w:sz w:val="16"/>
          <w:lang w:val="en-US"/>
        </w:rPr>
        <w:t xml:space="preserve">Trikudanathan S, McMahon GT. Optimum management of glucocorticoid-treated patients. </w:t>
      </w:r>
      <w:r>
        <w:rPr>
          <w:sz w:val="16"/>
        </w:rPr>
        <w:t>Nat Clin Pract Endocrinol Metab. 2008;4(5):262-71. Epub 2008 Mar</w:t>
      </w:r>
      <w:r>
        <w:rPr>
          <w:spacing w:val="-5"/>
          <w:sz w:val="16"/>
        </w:rPr>
        <w:t xml:space="preserve"> </w:t>
      </w:r>
      <w:r>
        <w:rPr>
          <w:sz w:val="16"/>
        </w:rPr>
        <w:t>18.</w:t>
      </w:r>
    </w:p>
    <w:p w:rsidR="0041037F" w:rsidRDefault="00A03D9B">
      <w:pPr>
        <w:pStyle w:val="PargrafodaLista"/>
        <w:numPr>
          <w:ilvl w:val="0"/>
          <w:numId w:val="1"/>
        </w:numPr>
        <w:tabs>
          <w:tab w:val="left" w:pos="910"/>
        </w:tabs>
        <w:spacing w:line="183" w:lineRule="exact"/>
        <w:ind w:left="909" w:hanging="243"/>
        <w:rPr>
          <w:sz w:val="16"/>
        </w:rPr>
      </w:pPr>
      <w:r w:rsidRPr="00A03D9B">
        <w:rPr>
          <w:sz w:val="16"/>
          <w:lang w:val="en-US"/>
        </w:rPr>
        <w:t xml:space="preserve">Hamwi GJ, Goldberg RF. Clinical use of fludrocortisone acetate; preliminary report. </w:t>
      </w:r>
      <w:r>
        <w:rPr>
          <w:sz w:val="16"/>
        </w:rPr>
        <w:t>J Am Med Assoc.</w:t>
      </w:r>
      <w:r>
        <w:rPr>
          <w:spacing w:val="-18"/>
          <w:sz w:val="16"/>
        </w:rPr>
        <w:t xml:space="preserve"> </w:t>
      </w:r>
      <w:r>
        <w:rPr>
          <w:sz w:val="16"/>
        </w:rPr>
        <w:t>1955;159(17):1598-601.</w:t>
      </w:r>
    </w:p>
    <w:p w:rsidR="0041037F" w:rsidRDefault="00A03D9B">
      <w:pPr>
        <w:pStyle w:val="PargrafodaLista"/>
        <w:numPr>
          <w:ilvl w:val="0"/>
          <w:numId w:val="1"/>
        </w:numPr>
        <w:tabs>
          <w:tab w:val="left" w:pos="927"/>
        </w:tabs>
        <w:spacing w:before="1"/>
        <w:ind w:right="114" w:firstLine="566"/>
        <w:rPr>
          <w:sz w:val="16"/>
        </w:rPr>
      </w:pPr>
      <w:r w:rsidRPr="00A03D9B">
        <w:rPr>
          <w:sz w:val="16"/>
          <w:lang w:val="en-US"/>
        </w:rPr>
        <w:t>Liddle GW, Pechet MM, Bartter FC. Enhancement of biological activities of corticosteroids by substitution of halogen atoms in 9 alpha</w:t>
      </w:r>
      <w:r w:rsidRPr="00A03D9B">
        <w:rPr>
          <w:sz w:val="16"/>
          <w:lang w:val="en-US"/>
        </w:rPr>
        <w:t xml:space="preserve"> position. </w:t>
      </w:r>
      <w:r>
        <w:rPr>
          <w:sz w:val="16"/>
        </w:rPr>
        <w:t>Science.</w:t>
      </w:r>
      <w:r>
        <w:rPr>
          <w:spacing w:val="-1"/>
          <w:sz w:val="16"/>
        </w:rPr>
        <w:t xml:space="preserve"> </w:t>
      </w:r>
      <w:r>
        <w:rPr>
          <w:sz w:val="16"/>
        </w:rPr>
        <w:t>1954;120(3117):496-7.</w:t>
      </w:r>
    </w:p>
    <w:p w:rsidR="0041037F" w:rsidRPr="00A03D9B" w:rsidRDefault="00A03D9B">
      <w:pPr>
        <w:pStyle w:val="PargrafodaLista"/>
        <w:numPr>
          <w:ilvl w:val="0"/>
          <w:numId w:val="1"/>
        </w:numPr>
        <w:tabs>
          <w:tab w:val="left" w:pos="936"/>
        </w:tabs>
        <w:ind w:right="115" w:firstLine="566"/>
        <w:rPr>
          <w:sz w:val="16"/>
          <w:lang w:val="en-US"/>
        </w:rPr>
      </w:pPr>
      <w:r w:rsidRPr="00A03D9B">
        <w:rPr>
          <w:sz w:val="16"/>
          <w:lang w:val="en-US"/>
        </w:rPr>
        <w:t>Arlt W, Callies F, van Vlijmen JC, Koehler I, Reincke M, Bidlingmaier M, et al. Dehydroepiandrosterone replacement in women with adrenal insufficiency. N Engl J Med.</w:t>
      </w:r>
      <w:r w:rsidRPr="00A03D9B">
        <w:rPr>
          <w:spacing w:val="-4"/>
          <w:sz w:val="16"/>
          <w:lang w:val="en-US"/>
        </w:rPr>
        <w:t xml:space="preserve"> </w:t>
      </w:r>
      <w:r w:rsidRPr="00A03D9B">
        <w:rPr>
          <w:sz w:val="16"/>
          <w:lang w:val="en-US"/>
        </w:rPr>
        <w:t>1999;341(14):1013-20.</w:t>
      </w:r>
    </w:p>
    <w:p w:rsidR="0041037F" w:rsidRDefault="00A03D9B">
      <w:pPr>
        <w:pStyle w:val="PargrafodaLista"/>
        <w:numPr>
          <w:ilvl w:val="0"/>
          <w:numId w:val="1"/>
        </w:numPr>
        <w:tabs>
          <w:tab w:val="left" w:pos="941"/>
        </w:tabs>
        <w:spacing w:before="1"/>
        <w:ind w:right="114" w:firstLine="566"/>
        <w:rPr>
          <w:sz w:val="16"/>
        </w:rPr>
      </w:pPr>
      <w:r w:rsidRPr="00A03D9B">
        <w:rPr>
          <w:sz w:val="16"/>
          <w:lang w:val="en-US"/>
        </w:rPr>
        <w:t>Hunt PJ, Gurnell EM, Huppe</w:t>
      </w:r>
      <w:r w:rsidRPr="00A03D9B">
        <w:rPr>
          <w:sz w:val="16"/>
          <w:lang w:val="en-US"/>
        </w:rPr>
        <w:t xml:space="preserve">rt FA, Richards C, Prevost AT, Wass JA, et al. Improvement in mood and fatigue after dehydroepiandrosterone replacement in Addison's disease in a randomized, double blind trial. </w:t>
      </w:r>
      <w:r>
        <w:rPr>
          <w:sz w:val="16"/>
        </w:rPr>
        <w:t>J Clin Endocrinol Metab.</w:t>
      </w:r>
      <w:r>
        <w:rPr>
          <w:spacing w:val="-21"/>
          <w:sz w:val="16"/>
        </w:rPr>
        <w:t xml:space="preserve"> </w:t>
      </w:r>
      <w:r>
        <w:rPr>
          <w:sz w:val="16"/>
        </w:rPr>
        <w:t>2000;85(12):4650-6.</w:t>
      </w:r>
    </w:p>
    <w:p w:rsidR="0041037F" w:rsidRDefault="00A03D9B">
      <w:pPr>
        <w:pStyle w:val="PargrafodaLista"/>
        <w:numPr>
          <w:ilvl w:val="0"/>
          <w:numId w:val="1"/>
        </w:numPr>
        <w:tabs>
          <w:tab w:val="left" w:pos="910"/>
        </w:tabs>
        <w:ind w:right="118" w:firstLine="566"/>
        <w:rPr>
          <w:sz w:val="16"/>
        </w:rPr>
      </w:pPr>
      <w:r w:rsidRPr="00A03D9B">
        <w:rPr>
          <w:sz w:val="16"/>
          <w:lang w:val="en-US"/>
        </w:rPr>
        <w:t>Gurnell EM, Hunt PJ, Curran SE, C</w:t>
      </w:r>
      <w:r w:rsidRPr="00A03D9B">
        <w:rPr>
          <w:sz w:val="16"/>
          <w:lang w:val="en-US"/>
        </w:rPr>
        <w:t xml:space="preserve">onway CL, Pullenayegum EM, Huppert FA, et al. Long-term DHEA replacement in primary adrenal insufficiency: a randomized, controlled trial. </w:t>
      </w:r>
      <w:r>
        <w:rPr>
          <w:sz w:val="16"/>
        </w:rPr>
        <w:t>J Clin Endocrinol Metab. 2008;93(2):400-9. Epub 2007 Nov</w:t>
      </w:r>
      <w:r>
        <w:rPr>
          <w:spacing w:val="-13"/>
          <w:sz w:val="16"/>
        </w:rPr>
        <w:t xml:space="preserve"> </w:t>
      </w:r>
      <w:r>
        <w:rPr>
          <w:sz w:val="16"/>
        </w:rPr>
        <w:t>13.</w:t>
      </w:r>
    </w:p>
    <w:p w:rsidR="0041037F" w:rsidRDefault="00A03D9B">
      <w:pPr>
        <w:pStyle w:val="PargrafodaLista"/>
        <w:numPr>
          <w:ilvl w:val="0"/>
          <w:numId w:val="1"/>
        </w:numPr>
        <w:tabs>
          <w:tab w:val="left" w:pos="912"/>
        </w:tabs>
        <w:ind w:right="117" w:firstLine="566"/>
        <w:jc w:val="both"/>
        <w:rPr>
          <w:sz w:val="16"/>
        </w:rPr>
      </w:pPr>
      <w:r>
        <w:rPr>
          <w:sz w:val="16"/>
        </w:rPr>
        <w:t xml:space="preserve">Ekman B, Bachrach-Lindström M, Lindström T, Wahlberg J, </w:t>
      </w:r>
      <w:r>
        <w:rPr>
          <w:sz w:val="16"/>
        </w:rPr>
        <w:t xml:space="preserve">Blomgren J, Arnqvist HJ. </w:t>
      </w:r>
      <w:r w:rsidRPr="00A03D9B">
        <w:rPr>
          <w:sz w:val="16"/>
          <w:lang w:val="en-US"/>
        </w:rPr>
        <w:t xml:space="preserve">A randomized, double-blind, crossover study comparing two- and four-dose hydrocortisone regimen with regard to quality of life, cortisol and ACTH profiles in patients with primary adrenal insufficiency. </w:t>
      </w:r>
      <w:r>
        <w:rPr>
          <w:sz w:val="16"/>
        </w:rPr>
        <w:t>Clin Endocrinol (Oxf). 2012;</w:t>
      </w:r>
      <w:r>
        <w:rPr>
          <w:sz w:val="16"/>
        </w:rPr>
        <w:t>77(1):18-25.</w:t>
      </w:r>
    </w:p>
    <w:p w:rsidR="0041037F" w:rsidRDefault="00A03D9B">
      <w:pPr>
        <w:pStyle w:val="PargrafodaLista"/>
        <w:numPr>
          <w:ilvl w:val="0"/>
          <w:numId w:val="1"/>
        </w:numPr>
        <w:tabs>
          <w:tab w:val="left" w:pos="941"/>
        </w:tabs>
        <w:ind w:right="118" w:firstLine="566"/>
        <w:rPr>
          <w:sz w:val="16"/>
        </w:rPr>
      </w:pPr>
      <w:r w:rsidRPr="00A03D9B">
        <w:rPr>
          <w:sz w:val="16"/>
          <w:lang w:val="en-US"/>
        </w:rPr>
        <w:t>Oksnes M, Björnsdottir S, Isaksson M, Methlie P, Carlsen S, Nilsen RM, et al. Continuous subcutaneous hydrocortisone infusion versus oral hydrocortisone</w:t>
      </w:r>
      <w:r w:rsidRPr="00A03D9B">
        <w:rPr>
          <w:spacing w:val="-5"/>
          <w:sz w:val="16"/>
          <w:lang w:val="en-US"/>
        </w:rPr>
        <w:t xml:space="preserve"> </w:t>
      </w:r>
      <w:r w:rsidRPr="00A03D9B">
        <w:rPr>
          <w:sz w:val="16"/>
          <w:lang w:val="en-US"/>
        </w:rPr>
        <w:t>replacement</w:t>
      </w:r>
      <w:r w:rsidRPr="00A03D9B">
        <w:rPr>
          <w:spacing w:val="-1"/>
          <w:sz w:val="16"/>
          <w:lang w:val="en-US"/>
        </w:rPr>
        <w:t xml:space="preserve"> </w:t>
      </w:r>
      <w:r w:rsidRPr="00A03D9B">
        <w:rPr>
          <w:sz w:val="16"/>
          <w:lang w:val="en-US"/>
        </w:rPr>
        <w:t>for</w:t>
      </w:r>
      <w:r w:rsidRPr="00A03D9B">
        <w:rPr>
          <w:spacing w:val="-3"/>
          <w:sz w:val="16"/>
          <w:lang w:val="en-US"/>
        </w:rPr>
        <w:t xml:space="preserve"> </w:t>
      </w:r>
      <w:r w:rsidRPr="00A03D9B">
        <w:rPr>
          <w:sz w:val="16"/>
          <w:lang w:val="en-US"/>
        </w:rPr>
        <w:t>treatment</w:t>
      </w:r>
      <w:r w:rsidRPr="00A03D9B">
        <w:rPr>
          <w:spacing w:val="-1"/>
          <w:sz w:val="16"/>
          <w:lang w:val="en-US"/>
        </w:rPr>
        <w:t xml:space="preserve"> </w:t>
      </w:r>
      <w:r w:rsidRPr="00A03D9B">
        <w:rPr>
          <w:sz w:val="16"/>
          <w:lang w:val="en-US"/>
        </w:rPr>
        <w:t>of</w:t>
      </w:r>
      <w:r w:rsidRPr="00A03D9B">
        <w:rPr>
          <w:spacing w:val="-3"/>
          <w:sz w:val="16"/>
          <w:lang w:val="en-US"/>
        </w:rPr>
        <w:t xml:space="preserve"> </w:t>
      </w:r>
      <w:r w:rsidRPr="00A03D9B">
        <w:rPr>
          <w:sz w:val="16"/>
          <w:lang w:val="en-US"/>
        </w:rPr>
        <w:t>addison's</w:t>
      </w:r>
      <w:r w:rsidRPr="00A03D9B">
        <w:rPr>
          <w:spacing w:val="-5"/>
          <w:sz w:val="16"/>
          <w:lang w:val="en-US"/>
        </w:rPr>
        <w:t xml:space="preserve"> </w:t>
      </w:r>
      <w:r w:rsidRPr="00A03D9B">
        <w:rPr>
          <w:sz w:val="16"/>
          <w:lang w:val="en-US"/>
        </w:rPr>
        <w:t>disease:</w:t>
      </w:r>
      <w:r w:rsidRPr="00A03D9B">
        <w:rPr>
          <w:spacing w:val="-3"/>
          <w:sz w:val="16"/>
          <w:lang w:val="en-US"/>
        </w:rPr>
        <w:t xml:space="preserve"> </w:t>
      </w:r>
      <w:r w:rsidRPr="00A03D9B">
        <w:rPr>
          <w:sz w:val="16"/>
          <w:lang w:val="en-US"/>
        </w:rPr>
        <w:t>a</w:t>
      </w:r>
      <w:r w:rsidRPr="00A03D9B">
        <w:rPr>
          <w:spacing w:val="-1"/>
          <w:sz w:val="16"/>
          <w:lang w:val="en-US"/>
        </w:rPr>
        <w:t xml:space="preserve"> </w:t>
      </w:r>
      <w:r w:rsidRPr="00A03D9B">
        <w:rPr>
          <w:sz w:val="16"/>
          <w:lang w:val="en-US"/>
        </w:rPr>
        <w:t>randomized</w:t>
      </w:r>
      <w:r w:rsidRPr="00A03D9B">
        <w:rPr>
          <w:spacing w:val="-2"/>
          <w:sz w:val="16"/>
          <w:lang w:val="en-US"/>
        </w:rPr>
        <w:t xml:space="preserve"> </w:t>
      </w:r>
      <w:r w:rsidRPr="00A03D9B">
        <w:rPr>
          <w:sz w:val="16"/>
          <w:lang w:val="en-US"/>
        </w:rPr>
        <w:t>clinical</w:t>
      </w:r>
      <w:r w:rsidRPr="00A03D9B">
        <w:rPr>
          <w:spacing w:val="-3"/>
          <w:sz w:val="16"/>
          <w:lang w:val="en-US"/>
        </w:rPr>
        <w:t xml:space="preserve"> </w:t>
      </w:r>
      <w:r w:rsidRPr="00A03D9B">
        <w:rPr>
          <w:sz w:val="16"/>
          <w:lang w:val="en-US"/>
        </w:rPr>
        <w:t>trial.</w:t>
      </w:r>
      <w:r w:rsidRPr="00A03D9B">
        <w:rPr>
          <w:spacing w:val="-1"/>
          <w:sz w:val="16"/>
          <w:lang w:val="en-US"/>
        </w:rPr>
        <w:t xml:space="preserve"> </w:t>
      </w:r>
      <w:r>
        <w:rPr>
          <w:sz w:val="16"/>
        </w:rPr>
        <w:t>J</w:t>
      </w:r>
      <w:r>
        <w:rPr>
          <w:spacing w:val="-4"/>
          <w:sz w:val="16"/>
        </w:rPr>
        <w:t xml:space="preserve"> </w:t>
      </w:r>
      <w:r>
        <w:rPr>
          <w:sz w:val="16"/>
        </w:rPr>
        <w:t>Clin</w:t>
      </w:r>
      <w:r>
        <w:rPr>
          <w:spacing w:val="-3"/>
          <w:sz w:val="16"/>
        </w:rPr>
        <w:t xml:space="preserve"> </w:t>
      </w:r>
      <w:r>
        <w:rPr>
          <w:sz w:val="16"/>
        </w:rPr>
        <w:t>Endocr</w:t>
      </w:r>
      <w:r>
        <w:rPr>
          <w:sz w:val="16"/>
        </w:rPr>
        <w:t>inol</w:t>
      </w:r>
      <w:r>
        <w:rPr>
          <w:spacing w:val="-3"/>
          <w:sz w:val="16"/>
        </w:rPr>
        <w:t xml:space="preserve"> </w:t>
      </w:r>
      <w:r>
        <w:rPr>
          <w:sz w:val="16"/>
        </w:rPr>
        <w:t>Metab.</w:t>
      </w:r>
      <w:r>
        <w:rPr>
          <w:spacing w:val="-4"/>
          <w:sz w:val="16"/>
        </w:rPr>
        <w:t xml:space="preserve"> </w:t>
      </w:r>
      <w:r>
        <w:rPr>
          <w:sz w:val="16"/>
        </w:rPr>
        <w:t>2014;99(5):1665-74.</w:t>
      </w:r>
      <w:r>
        <w:rPr>
          <w:spacing w:val="-1"/>
          <w:sz w:val="16"/>
        </w:rPr>
        <w:t xml:space="preserve"> </w:t>
      </w:r>
      <w:r>
        <w:rPr>
          <w:sz w:val="16"/>
        </w:rPr>
        <w:t>Epub</w:t>
      </w:r>
      <w:r>
        <w:rPr>
          <w:spacing w:val="-4"/>
          <w:sz w:val="16"/>
        </w:rPr>
        <w:t xml:space="preserve"> </w:t>
      </w:r>
      <w:r>
        <w:rPr>
          <w:sz w:val="16"/>
        </w:rPr>
        <w:t>2014</w:t>
      </w:r>
      <w:r>
        <w:rPr>
          <w:spacing w:val="-3"/>
          <w:sz w:val="16"/>
        </w:rPr>
        <w:t xml:space="preserve"> </w:t>
      </w:r>
      <w:r>
        <w:rPr>
          <w:sz w:val="16"/>
        </w:rPr>
        <w:t>Feb</w:t>
      </w:r>
      <w:r>
        <w:rPr>
          <w:spacing w:val="-1"/>
          <w:sz w:val="16"/>
        </w:rPr>
        <w:t xml:space="preserve"> </w:t>
      </w:r>
      <w:r>
        <w:rPr>
          <w:sz w:val="16"/>
        </w:rPr>
        <w:t>11.</w:t>
      </w:r>
    </w:p>
    <w:p w:rsidR="0041037F" w:rsidRDefault="00A03D9B">
      <w:pPr>
        <w:pStyle w:val="PargrafodaLista"/>
        <w:numPr>
          <w:ilvl w:val="0"/>
          <w:numId w:val="1"/>
        </w:numPr>
        <w:tabs>
          <w:tab w:val="left" w:pos="912"/>
        </w:tabs>
        <w:ind w:right="119" w:firstLine="566"/>
        <w:rPr>
          <w:sz w:val="16"/>
        </w:rPr>
      </w:pPr>
      <w:r w:rsidRPr="00A03D9B">
        <w:rPr>
          <w:sz w:val="16"/>
          <w:lang w:val="en-US"/>
        </w:rPr>
        <w:t xml:space="preserve">Metzger DL, Wright NM, Veldhuis JD, Rogol AD, Kerrigan JR. Characterization of pulsatile secretion and clearance of plasma cortisol in premature and term neonates using deconvolution analysis. </w:t>
      </w:r>
      <w:r>
        <w:rPr>
          <w:sz w:val="16"/>
        </w:rPr>
        <w:t>J Clin Endocr</w:t>
      </w:r>
      <w:r>
        <w:rPr>
          <w:sz w:val="16"/>
        </w:rPr>
        <w:t>inol Metab.</w:t>
      </w:r>
      <w:r>
        <w:rPr>
          <w:spacing w:val="-13"/>
          <w:sz w:val="16"/>
        </w:rPr>
        <w:t xml:space="preserve"> </w:t>
      </w:r>
      <w:r>
        <w:rPr>
          <w:sz w:val="16"/>
        </w:rPr>
        <w:t>1993;77(2):458-63.</w:t>
      </w:r>
    </w:p>
    <w:p w:rsidR="0041037F" w:rsidRDefault="00A03D9B">
      <w:pPr>
        <w:pStyle w:val="PargrafodaLista"/>
        <w:numPr>
          <w:ilvl w:val="0"/>
          <w:numId w:val="1"/>
        </w:numPr>
        <w:tabs>
          <w:tab w:val="left" w:pos="941"/>
        </w:tabs>
        <w:ind w:right="123" w:firstLine="566"/>
        <w:rPr>
          <w:sz w:val="16"/>
        </w:rPr>
      </w:pPr>
      <w:r w:rsidRPr="00A03D9B">
        <w:rPr>
          <w:sz w:val="16"/>
          <w:lang w:val="en-US"/>
        </w:rPr>
        <w:t xml:space="preserve">Linder BL, Esteban NV, Yergey AL, Winterer JC, Loriaux DL, Cassorla F. Cortisol production rate in childhood and adolescence. </w:t>
      </w:r>
      <w:r>
        <w:rPr>
          <w:sz w:val="16"/>
        </w:rPr>
        <w:t>J Pediatr. 1990;117(6):892-6.</w:t>
      </w:r>
    </w:p>
    <w:p w:rsidR="0041037F" w:rsidRDefault="00A03D9B">
      <w:pPr>
        <w:pStyle w:val="PargrafodaLista"/>
        <w:numPr>
          <w:ilvl w:val="0"/>
          <w:numId w:val="1"/>
        </w:numPr>
        <w:tabs>
          <w:tab w:val="left" w:pos="915"/>
        </w:tabs>
        <w:ind w:right="119" w:firstLine="566"/>
        <w:rPr>
          <w:sz w:val="16"/>
        </w:rPr>
      </w:pPr>
      <w:r w:rsidRPr="00A03D9B">
        <w:rPr>
          <w:sz w:val="16"/>
          <w:lang w:val="en-US"/>
        </w:rPr>
        <w:t xml:space="preserve">Esteban NV, Loughlin T, Yergey AL, Zawadzki JK, Booth JD, Winterer JC, et al. Daily cortisol production rate in man determined by stable isotope dilution/mass spectrometry. </w:t>
      </w:r>
      <w:r>
        <w:rPr>
          <w:sz w:val="16"/>
        </w:rPr>
        <w:t>J Clin Endocrinol Metab.</w:t>
      </w:r>
      <w:r>
        <w:rPr>
          <w:spacing w:val="-5"/>
          <w:sz w:val="16"/>
        </w:rPr>
        <w:t xml:space="preserve"> </w:t>
      </w:r>
      <w:r>
        <w:rPr>
          <w:sz w:val="16"/>
        </w:rPr>
        <w:t>1991;72(1):39-45.</w:t>
      </w:r>
    </w:p>
    <w:p w:rsidR="0041037F" w:rsidRDefault="00A03D9B">
      <w:pPr>
        <w:pStyle w:val="PargrafodaLista"/>
        <w:numPr>
          <w:ilvl w:val="0"/>
          <w:numId w:val="1"/>
        </w:numPr>
        <w:tabs>
          <w:tab w:val="left" w:pos="924"/>
        </w:tabs>
        <w:ind w:right="114" w:firstLine="566"/>
        <w:rPr>
          <w:sz w:val="16"/>
        </w:rPr>
      </w:pPr>
      <w:r w:rsidRPr="00A03D9B">
        <w:rPr>
          <w:sz w:val="16"/>
          <w:lang w:val="en-US"/>
        </w:rPr>
        <w:t xml:space="preserve">Rivkees SA, Crawford JD. Dexamethasone treatment of virilizing congenital adrenal hyperplasia: the ability to achieve normal growth. </w:t>
      </w:r>
      <w:r>
        <w:rPr>
          <w:sz w:val="16"/>
        </w:rPr>
        <w:t>Pediatrics. 2000;106(4):767-73.</w:t>
      </w:r>
    </w:p>
    <w:p w:rsidR="0041037F" w:rsidRDefault="00A03D9B">
      <w:pPr>
        <w:pStyle w:val="PargrafodaLista"/>
        <w:numPr>
          <w:ilvl w:val="0"/>
          <w:numId w:val="1"/>
        </w:numPr>
        <w:tabs>
          <w:tab w:val="left" w:pos="915"/>
        </w:tabs>
        <w:ind w:right="116" w:firstLine="566"/>
        <w:rPr>
          <w:sz w:val="16"/>
        </w:rPr>
      </w:pPr>
      <w:r>
        <w:rPr>
          <w:sz w:val="16"/>
        </w:rPr>
        <w:t xml:space="preserve">Kater CE. Hiperplasia adrenal Primária: como diagnosticar e tratar. In: Vilar </w:t>
      </w:r>
      <w:r>
        <w:rPr>
          <w:spacing w:val="-3"/>
          <w:sz w:val="16"/>
        </w:rPr>
        <w:t xml:space="preserve">L, </w:t>
      </w:r>
      <w:r>
        <w:rPr>
          <w:sz w:val="16"/>
        </w:rPr>
        <w:t xml:space="preserve">Kater CE, </w:t>
      </w:r>
      <w:r>
        <w:rPr>
          <w:sz w:val="16"/>
        </w:rPr>
        <w:t xml:space="preserve">Naves </w:t>
      </w:r>
      <w:r>
        <w:rPr>
          <w:spacing w:val="-3"/>
          <w:sz w:val="16"/>
        </w:rPr>
        <w:t xml:space="preserve">LA, </w:t>
      </w:r>
      <w:r>
        <w:rPr>
          <w:sz w:val="16"/>
        </w:rPr>
        <w:t>Cavalcanti N, Lyra R, Moura E, et al., editores Endocrinologia Clínica. 3a ed. Rio de Janeiro: Guanabara Koogan; 2006. p.</w:t>
      </w:r>
      <w:r>
        <w:rPr>
          <w:spacing w:val="-9"/>
          <w:sz w:val="16"/>
        </w:rPr>
        <w:t xml:space="preserve"> </w:t>
      </w:r>
      <w:r>
        <w:rPr>
          <w:sz w:val="16"/>
        </w:rPr>
        <w:t>451-8.</w:t>
      </w:r>
    </w:p>
    <w:p w:rsidR="0041037F" w:rsidRDefault="00A03D9B">
      <w:pPr>
        <w:pStyle w:val="PargrafodaLista"/>
        <w:numPr>
          <w:ilvl w:val="0"/>
          <w:numId w:val="1"/>
        </w:numPr>
        <w:tabs>
          <w:tab w:val="left" w:pos="934"/>
        </w:tabs>
        <w:ind w:right="115" w:firstLine="566"/>
        <w:rPr>
          <w:sz w:val="16"/>
        </w:rPr>
      </w:pPr>
      <w:r w:rsidRPr="00A03D9B">
        <w:rPr>
          <w:sz w:val="16"/>
          <w:lang w:val="en-US"/>
        </w:rPr>
        <w:t xml:space="preserve">Punthakee Z, Legault </w:t>
      </w:r>
      <w:r w:rsidRPr="00A03D9B">
        <w:rPr>
          <w:spacing w:val="-3"/>
          <w:sz w:val="16"/>
          <w:lang w:val="en-US"/>
        </w:rPr>
        <w:t xml:space="preserve">L, </w:t>
      </w:r>
      <w:r w:rsidRPr="00A03D9B">
        <w:rPr>
          <w:sz w:val="16"/>
          <w:lang w:val="en-US"/>
        </w:rPr>
        <w:t>Polychronakos C. Prednisolone in the treatment of adrenal insufficiency: a re-evaluation of r</w:t>
      </w:r>
      <w:r w:rsidRPr="00A03D9B">
        <w:rPr>
          <w:sz w:val="16"/>
          <w:lang w:val="en-US"/>
        </w:rPr>
        <w:t xml:space="preserve">elative potency. </w:t>
      </w:r>
      <w:r>
        <w:rPr>
          <w:sz w:val="16"/>
        </w:rPr>
        <w:t>J Pediatr. 2003;143(3):402-5.</w:t>
      </w:r>
    </w:p>
    <w:p w:rsidR="0041037F" w:rsidRDefault="00A03D9B">
      <w:pPr>
        <w:pStyle w:val="PargrafodaLista"/>
        <w:numPr>
          <w:ilvl w:val="0"/>
          <w:numId w:val="1"/>
        </w:numPr>
        <w:tabs>
          <w:tab w:val="left" w:pos="938"/>
        </w:tabs>
        <w:spacing w:before="1"/>
        <w:ind w:right="115" w:firstLine="566"/>
        <w:rPr>
          <w:sz w:val="16"/>
        </w:rPr>
      </w:pPr>
      <w:r w:rsidRPr="00A03D9B">
        <w:rPr>
          <w:sz w:val="16"/>
          <w:lang w:val="en-US"/>
        </w:rPr>
        <w:t xml:space="preserve">Koetz KR, Ventz M, Diederich S, Quinkler M. Bone mineral density is not significantly reduced in adult patients on low-dose glucocorticoid replacement therapy. </w:t>
      </w:r>
      <w:r>
        <w:rPr>
          <w:sz w:val="16"/>
        </w:rPr>
        <w:t>J Clin Endocrinol Metab. 2012;97(1):85-92. Epub 2</w:t>
      </w:r>
      <w:r>
        <w:rPr>
          <w:sz w:val="16"/>
        </w:rPr>
        <w:t>011 Oct</w:t>
      </w:r>
      <w:r>
        <w:rPr>
          <w:spacing w:val="-5"/>
          <w:sz w:val="16"/>
        </w:rPr>
        <w:t xml:space="preserve"> </w:t>
      </w:r>
      <w:r>
        <w:rPr>
          <w:sz w:val="16"/>
        </w:rPr>
        <w:t>12.</w:t>
      </w:r>
    </w:p>
    <w:sectPr w:rsidR="0041037F">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583"/>
    <w:multiLevelType w:val="multilevel"/>
    <w:tmpl w:val="09B0266C"/>
    <w:lvl w:ilvl="0">
      <w:start w:val="4"/>
      <w:numFmt w:val="decimal"/>
      <w:lvlText w:val="%1"/>
      <w:lvlJc w:val="left"/>
      <w:pPr>
        <w:ind w:left="908" w:hanging="242"/>
        <w:jc w:val="left"/>
      </w:pPr>
      <w:rPr>
        <w:rFonts w:hint="default"/>
        <w:lang w:val="pt-BR" w:eastAsia="pt-BR" w:bidi="pt-BR"/>
      </w:rPr>
    </w:lvl>
    <w:lvl w:ilvl="1">
      <w:start w:val="1"/>
      <w:numFmt w:val="decimal"/>
      <w:lvlText w:val="%1.%2"/>
      <w:lvlJc w:val="left"/>
      <w:pPr>
        <w:ind w:left="908" w:hanging="242"/>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857" w:hanging="242"/>
      </w:pPr>
      <w:rPr>
        <w:rFonts w:hint="default"/>
        <w:lang w:val="pt-BR" w:eastAsia="pt-BR" w:bidi="pt-BR"/>
      </w:rPr>
    </w:lvl>
    <w:lvl w:ilvl="3">
      <w:numFmt w:val="bullet"/>
      <w:lvlText w:val="•"/>
      <w:lvlJc w:val="left"/>
      <w:pPr>
        <w:ind w:left="3835" w:hanging="242"/>
      </w:pPr>
      <w:rPr>
        <w:rFonts w:hint="default"/>
        <w:lang w:val="pt-BR" w:eastAsia="pt-BR" w:bidi="pt-BR"/>
      </w:rPr>
    </w:lvl>
    <w:lvl w:ilvl="4">
      <w:numFmt w:val="bullet"/>
      <w:lvlText w:val="•"/>
      <w:lvlJc w:val="left"/>
      <w:pPr>
        <w:ind w:left="4814" w:hanging="242"/>
      </w:pPr>
      <w:rPr>
        <w:rFonts w:hint="default"/>
        <w:lang w:val="pt-BR" w:eastAsia="pt-BR" w:bidi="pt-BR"/>
      </w:rPr>
    </w:lvl>
    <w:lvl w:ilvl="5">
      <w:numFmt w:val="bullet"/>
      <w:lvlText w:val="•"/>
      <w:lvlJc w:val="left"/>
      <w:pPr>
        <w:ind w:left="5793" w:hanging="242"/>
      </w:pPr>
      <w:rPr>
        <w:rFonts w:hint="default"/>
        <w:lang w:val="pt-BR" w:eastAsia="pt-BR" w:bidi="pt-BR"/>
      </w:rPr>
    </w:lvl>
    <w:lvl w:ilvl="6">
      <w:numFmt w:val="bullet"/>
      <w:lvlText w:val="•"/>
      <w:lvlJc w:val="left"/>
      <w:pPr>
        <w:ind w:left="6771" w:hanging="242"/>
      </w:pPr>
      <w:rPr>
        <w:rFonts w:hint="default"/>
        <w:lang w:val="pt-BR" w:eastAsia="pt-BR" w:bidi="pt-BR"/>
      </w:rPr>
    </w:lvl>
    <w:lvl w:ilvl="7">
      <w:numFmt w:val="bullet"/>
      <w:lvlText w:val="•"/>
      <w:lvlJc w:val="left"/>
      <w:pPr>
        <w:ind w:left="7750" w:hanging="242"/>
      </w:pPr>
      <w:rPr>
        <w:rFonts w:hint="default"/>
        <w:lang w:val="pt-BR" w:eastAsia="pt-BR" w:bidi="pt-BR"/>
      </w:rPr>
    </w:lvl>
    <w:lvl w:ilvl="8">
      <w:numFmt w:val="bullet"/>
      <w:lvlText w:val="•"/>
      <w:lvlJc w:val="left"/>
      <w:pPr>
        <w:ind w:left="8729" w:hanging="242"/>
      </w:pPr>
      <w:rPr>
        <w:rFonts w:hint="default"/>
        <w:lang w:val="pt-BR" w:eastAsia="pt-BR" w:bidi="pt-BR"/>
      </w:rPr>
    </w:lvl>
  </w:abstractNum>
  <w:abstractNum w:abstractNumId="1">
    <w:nsid w:val="18A52694"/>
    <w:multiLevelType w:val="multilevel"/>
    <w:tmpl w:val="5ABE8560"/>
    <w:lvl w:ilvl="0">
      <w:start w:val="8"/>
      <w:numFmt w:val="decimal"/>
      <w:lvlText w:val="%1"/>
      <w:lvlJc w:val="left"/>
      <w:pPr>
        <w:ind w:left="909" w:hanging="243"/>
        <w:jc w:val="left"/>
      </w:pPr>
      <w:rPr>
        <w:rFonts w:hint="default"/>
        <w:lang w:val="pt-BR" w:eastAsia="pt-BR" w:bidi="pt-BR"/>
      </w:rPr>
    </w:lvl>
    <w:lvl w:ilvl="1">
      <w:start w:val="2"/>
      <w:numFmt w:val="decimal"/>
      <w:lvlText w:val="%1.%2"/>
      <w:lvlJc w:val="left"/>
      <w:pPr>
        <w:ind w:left="909" w:hanging="243"/>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857" w:hanging="243"/>
      </w:pPr>
      <w:rPr>
        <w:rFonts w:hint="default"/>
        <w:lang w:val="pt-BR" w:eastAsia="pt-BR" w:bidi="pt-BR"/>
      </w:rPr>
    </w:lvl>
    <w:lvl w:ilvl="3">
      <w:numFmt w:val="bullet"/>
      <w:lvlText w:val="•"/>
      <w:lvlJc w:val="left"/>
      <w:pPr>
        <w:ind w:left="3835" w:hanging="243"/>
      </w:pPr>
      <w:rPr>
        <w:rFonts w:hint="default"/>
        <w:lang w:val="pt-BR" w:eastAsia="pt-BR" w:bidi="pt-BR"/>
      </w:rPr>
    </w:lvl>
    <w:lvl w:ilvl="4">
      <w:numFmt w:val="bullet"/>
      <w:lvlText w:val="•"/>
      <w:lvlJc w:val="left"/>
      <w:pPr>
        <w:ind w:left="4814" w:hanging="243"/>
      </w:pPr>
      <w:rPr>
        <w:rFonts w:hint="default"/>
        <w:lang w:val="pt-BR" w:eastAsia="pt-BR" w:bidi="pt-BR"/>
      </w:rPr>
    </w:lvl>
    <w:lvl w:ilvl="5">
      <w:numFmt w:val="bullet"/>
      <w:lvlText w:val="•"/>
      <w:lvlJc w:val="left"/>
      <w:pPr>
        <w:ind w:left="5793" w:hanging="243"/>
      </w:pPr>
      <w:rPr>
        <w:rFonts w:hint="default"/>
        <w:lang w:val="pt-BR" w:eastAsia="pt-BR" w:bidi="pt-BR"/>
      </w:rPr>
    </w:lvl>
    <w:lvl w:ilvl="6">
      <w:numFmt w:val="bullet"/>
      <w:lvlText w:val="•"/>
      <w:lvlJc w:val="left"/>
      <w:pPr>
        <w:ind w:left="6771" w:hanging="243"/>
      </w:pPr>
      <w:rPr>
        <w:rFonts w:hint="default"/>
        <w:lang w:val="pt-BR" w:eastAsia="pt-BR" w:bidi="pt-BR"/>
      </w:rPr>
    </w:lvl>
    <w:lvl w:ilvl="7">
      <w:numFmt w:val="bullet"/>
      <w:lvlText w:val="•"/>
      <w:lvlJc w:val="left"/>
      <w:pPr>
        <w:ind w:left="7750" w:hanging="243"/>
      </w:pPr>
      <w:rPr>
        <w:rFonts w:hint="default"/>
        <w:lang w:val="pt-BR" w:eastAsia="pt-BR" w:bidi="pt-BR"/>
      </w:rPr>
    </w:lvl>
    <w:lvl w:ilvl="8">
      <w:numFmt w:val="bullet"/>
      <w:lvlText w:val="•"/>
      <w:lvlJc w:val="left"/>
      <w:pPr>
        <w:ind w:left="8729" w:hanging="243"/>
      </w:pPr>
      <w:rPr>
        <w:rFonts w:hint="default"/>
        <w:lang w:val="pt-BR" w:eastAsia="pt-BR" w:bidi="pt-BR"/>
      </w:rPr>
    </w:lvl>
  </w:abstractNum>
  <w:abstractNum w:abstractNumId="2">
    <w:nsid w:val="21AC084B"/>
    <w:multiLevelType w:val="hybridMultilevel"/>
    <w:tmpl w:val="B23C45F0"/>
    <w:lvl w:ilvl="0" w:tplc="71EE306C">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1" w:tplc="F462DDD0">
      <w:numFmt w:val="bullet"/>
      <w:lvlText w:val="•"/>
      <w:lvlJc w:val="left"/>
      <w:pPr>
        <w:ind w:left="1158" w:hanging="94"/>
      </w:pPr>
      <w:rPr>
        <w:rFonts w:hint="default"/>
        <w:lang w:val="pt-BR" w:eastAsia="pt-BR" w:bidi="pt-BR"/>
      </w:rPr>
    </w:lvl>
    <w:lvl w:ilvl="2" w:tplc="1CFEBD38">
      <w:numFmt w:val="bullet"/>
      <w:lvlText w:val="•"/>
      <w:lvlJc w:val="left"/>
      <w:pPr>
        <w:ind w:left="2217" w:hanging="94"/>
      </w:pPr>
      <w:rPr>
        <w:rFonts w:hint="default"/>
        <w:lang w:val="pt-BR" w:eastAsia="pt-BR" w:bidi="pt-BR"/>
      </w:rPr>
    </w:lvl>
    <w:lvl w:ilvl="3" w:tplc="A092A8E4">
      <w:numFmt w:val="bullet"/>
      <w:lvlText w:val="•"/>
      <w:lvlJc w:val="left"/>
      <w:pPr>
        <w:ind w:left="3275" w:hanging="94"/>
      </w:pPr>
      <w:rPr>
        <w:rFonts w:hint="default"/>
        <w:lang w:val="pt-BR" w:eastAsia="pt-BR" w:bidi="pt-BR"/>
      </w:rPr>
    </w:lvl>
    <w:lvl w:ilvl="4" w:tplc="A76ECD72">
      <w:numFmt w:val="bullet"/>
      <w:lvlText w:val="•"/>
      <w:lvlJc w:val="left"/>
      <w:pPr>
        <w:ind w:left="4334" w:hanging="94"/>
      </w:pPr>
      <w:rPr>
        <w:rFonts w:hint="default"/>
        <w:lang w:val="pt-BR" w:eastAsia="pt-BR" w:bidi="pt-BR"/>
      </w:rPr>
    </w:lvl>
    <w:lvl w:ilvl="5" w:tplc="375E9A9A">
      <w:numFmt w:val="bullet"/>
      <w:lvlText w:val="•"/>
      <w:lvlJc w:val="left"/>
      <w:pPr>
        <w:ind w:left="5393" w:hanging="94"/>
      </w:pPr>
      <w:rPr>
        <w:rFonts w:hint="default"/>
        <w:lang w:val="pt-BR" w:eastAsia="pt-BR" w:bidi="pt-BR"/>
      </w:rPr>
    </w:lvl>
    <w:lvl w:ilvl="6" w:tplc="89309E56">
      <w:numFmt w:val="bullet"/>
      <w:lvlText w:val="•"/>
      <w:lvlJc w:val="left"/>
      <w:pPr>
        <w:ind w:left="6451" w:hanging="94"/>
      </w:pPr>
      <w:rPr>
        <w:rFonts w:hint="default"/>
        <w:lang w:val="pt-BR" w:eastAsia="pt-BR" w:bidi="pt-BR"/>
      </w:rPr>
    </w:lvl>
    <w:lvl w:ilvl="7" w:tplc="EE968774">
      <w:numFmt w:val="bullet"/>
      <w:lvlText w:val="•"/>
      <w:lvlJc w:val="left"/>
      <w:pPr>
        <w:ind w:left="7510" w:hanging="94"/>
      </w:pPr>
      <w:rPr>
        <w:rFonts w:hint="default"/>
        <w:lang w:val="pt-BR" w:eastAsia="pt-BR" w:bidi="pt-BR"/>
      </w:rPr>
    </w:lvl>
    <w:lvl w:ilvl="8" w:tplc="D228EB64">
      <w:numFmt w:val="bullet"/>
      <w:lvlText w:val="•"/>
      <w:lvlJc w:val="left"/>
      <w:pPr>
        <w:ind w:left="8569" w:hanging="94"/>
      </w:pPr>
      <w:rPr>
        <w:rFonts w:hint="default"/>
        <w:lang w:val="pt-BR" w:eastAsia="pt-BR" w:bidi="pt-BR"/>
      </w:rPr>
    </w:lvl>
  </w:abstractNum>
  <w:abstractNum w:abstractNumId="3">
    <w:nsid w:val="28C95349"/>
    <w:multiLevelType w:val="hybridMultilevel"/>
    <w:tmpl w:val="BC72D5D8"/>
    <w:lvl w:ilvl="0" w:tplc="3F7494F4">
      <w:start w:val="1"/>
      <w:numFmt w:val="decimal"/>
      <w:lvlText w:val="%1."/>
      <w:lvlJc w:val="left"/>
      <w:pPr>
        <w:ind w:left="100" w:hanging="164"/>
        <w:jc w:val="left"/>
      </w:pPr>
      <w:rPr>
        <w:rFonts w:ascii="Times New Roman" w:eastAsia="Times New Roman" w:hAnsi="Times New Roman" w:cs="Times New Roman" w:hint="default"/>
        <w:spacing w:val="0"/>
        <w:w w:val="100"/>
        <w:sz w:val="16"/>
        <w:szCs w:val="16"/>
        <w:lang w:val="pt-BR" w:eastAsia="pt-BR" w:bidi="pt-BR"/>
      </w:rPr>
    </w:lvl>
    <w:lvl w:ilvl="1" w:tplc="C7E2AAE8">
      <w:numFmt w:val="bullet"/>
      <w:lvlText w:val="•"/>
      <w:lvlJc w:val="left"/>
      <w:pPr>
        <w:ind w:left="1158" w:hanging="164"/>
      </w:pPr>
      <w:rPr>
        <w:rFonts w:hint="default"/>
        <w:lang w:val="pt-BR" w:eastAsia="pt-BR" w:bidi="pt-BR"/>
      </w:rPr>
    </w:lvl>
    <w:lvl w:ilvl="2" w:tplc="0114D928">
      <w:numFmt w:val="bullet"/>
      <w:lvlText w:val="•"/>
      <w:lvlJc w:val="left"/>
      <w:pPr>
        <w:ind w:left="2217" w:hanging="164"/>
      </w:pPr>
      <w:rPr>
        <w:rFonts w:hint="default"/>
        <w:lang w:val="pt-BR" w:eastAsia="pt-BR" w:bidi="pt-BR"/>
      </w:rPr>
    </w:lvl>
    <w:lvl w:ilvl="3" w:tplc="8D78B002">
      <w:numFmt w:val="bullet"/>
      <w:lvlText w:val="•"/>
      <w:lvlJc w:val="left"/>
      <w:pPr>
        <w:ind w:left="3275" w:hanging="164"/>
      </w:pPr>
      <w:rPr>
        <w:rFonts w:hint="default"/>
        <w:lang w:val="pt-BR" w:eastAsia="pt-BR" w:bidi="pt-BR"/>
      </w:rPr>
    </w:lvl>
    <w:lvl w:ilvl="4" w:tplc="C396C254">
      <w:numFmt w:val="bullet"/>
      <w:lvlText w:val="•"/>
      <w:lvlJc w:val="left"/>
      <w:pPr>
        <w:ind w:left="4334" w:hanging="164"/>
      </w:pPr>
      <w:rPr>
        <w:rFonts w:hint="default"/>
        <w:lang w:val="pt-BR" w:eastAsia="pt-BR" w:bidi="pt-BR"/>
      </w:rPr>
    </w:lvl>
    <w:lvl w:ilvl="5" w:tplc="AA922C1C">
      <w:numFmt w:val="bullet"/>
      <w:lvlText w:val="•"/>
      <w:lvlJc w:val="left"/>
      <w:pPr>
        <w:ind w:left="5393" w:hanging="164"/>
      </w:pPr>
      <w:rPr>
        <w:rFonts w:hint="default"/>
        <w:lang w:val="pt-BR" w:eastAsia="pt-BR" w:bidi="pt-BR"/>
      </w:rPr>
    </w:lvl>
    <w:lvl w:ilvl="6" w:tplc="9CD62EEE">
      <w:numFmt w:val="bullet"/>
      <w:lvlText w:val="•"/>
      <w:lvlJc w:val="left"/>
      <w:pPr>
        <w:ind w:left="6451" w:hanging="164"/>
      </w:pPr>
      <w:rPr>
        <w:rFonts w:hint="default"/>
        <w:lang w:val="pt-BR" w:eastAsia="pt-BR" w:bidi="pt-BR"/>
      </w:rPr>
    </w:lvl>
    <w:lvl w:ilvl="7" w:tplc="A61AA7BC">
      <w:numFmt w:val="bullet"/>
      <w:lvlText w:val="•"/>
      <w:lvlJc w:val="left"/>
      <w:pPr>
        <w:ind w:left="7510" w:hanging="164"/>
      </w:pPr>
      <w:rPr>
        <w:rFonts w:hint="default"/>
        <w:lang w:val="pt-BR" w:eastAsia="pt-BR" w:bidi="pt-BR"/>
      </w:rPr>
    </w:lvl>
    <w:lvl w:ilvl="8" w:tplc="609235FA">
      <w:numFmt w:val="bullet"/>
      <w:lvlText w:val="•"/>
      <w:lvlJc w:val="left"/>
      <w:pPr>
        <w:ind w:left="8569" w:hanging="164"/>
      </w:pPr>
      <w:rPr>
        <w:rFonts w:hint="default"/>
        <w:lang w:val="pt-BR" w:eastAsia="pt-BR" w:bidi="pt-BR"/>
      </w:rPr>
    </w:lvl>
  </w:abstractNum>
  <w:abstractNum w:abstractNumId="4">
    <w:nsid w:val="761E1E1C"/>
    <w:multiLevelType w:val="hybridMultilevel"/>
    <w:tmpl w:val="A16E7514"/>
    <w:lvl w:ilvl="0" w:tplc="F1ACFF3C">
      <w:start w:val="1"/>
      <w:numFmt w:val="decimal"/>
      <w:lvlText w:val="%1"/>
      <w:lvlJc w:val="left"/>
      <w:pPr>
        <w:ind w:left="786" w:hanging="120"/>
        <w:jc w:val="left"/>
      </w:pPr>
      <w:rPr>
        <w:rFonts w:ascii="Times New Roman" w:eastAsia="Times New Roman" w:hAnsi="Times New Roman" w:cs="Times New Roman" w:hint="default"/>
        <w:w w:val="100"/>
        <w:sz w:val="16"/>
        <w:szCs w:val="16"/>
        <w:lang w:val="pt-BR" w:eastAsia="pt-BR" w:bidi="pt-BR"/>
      </w:rPr>
    </w:lvl>
    <w:lvl w:ilvl="1" w:tplc="5838F756">
      <w:numFmt w:val="bullet"/>
      <w:lvlText w:val="•"/>
      <w:lvlJc w:val="left"/>
      <w:pPr>
        <w:ind w:left="1770" w:hanging="120"/>
      </w:pPr>
      <w:rPr>
        <w:rFonts w:hint="default"/>
        <w:lang w:val="pt-BR" w:eastAsia="pt-BR" w:bidi="pt-BR"/>
      </w:rPr>
    </w:lvl>
    <w:lvl w:ilvl="2" w:tplc="430C88F2">
      <w:numFmt w:val="bullet"/>
      <w:lvlText w:val="•"/>
      <w:lvlJc w:val="left"/>
      <w:pPr>
        <w:ind w:left="2761" w:hanging="120"/>
      </w:pPr>
      <w:rPr>
        <w:rFonts w:hint="default"/>
        <w:lang w:val="pt-BR" w:eastAsia="pt-BR" w:bidi="pt-BR"/>
      </w:rPr>
    </w:lvl>
    <w:lvl w:ilvl="3" w:tplc="20A857D6">
      <w:numFmt w:val="bullet"/>
      <w:lvlText w:val="•"/>
      <w:lvlJc w:val="left"/>
      <w:pPr>
        <w:ind w:left="3751" w:hanging="120"/>
      </w:pPr>
      <w:rPr>
        <w:rFonts w:hint="default"/>
        <w:lang w:val="pt-BR" w:eastAsia="pt-BR" w:bidi="pt-BR"/>
      </w:rPr>
    </w:lvl>
    <w:lvl w:ilvl="4" w:tplc="205EFE78">
      <w:numFmt w:val="bullet"/>
      <w:lvlText w:val="•"/>
      <w:lvlJc w:val="left"/>
      <w:pPr>
        <w:ind w:left="4742" w:hanging="120"/>
      </w:pPr>
      <w:rPr>
        <w:rFonts w:hint="default"/>
        <w:lang w:val="pt-BR" w:eastAsia="pt-BR" w:bidi="pt-BR"/>
      </w:rPr>
    </w:lvl>
    <w:lvl w:ilvl="5" w:tplc="06C2933A">
      <w:numFmt w:val="bullet"/>
      <w:lvlText w:val="•"/>
      <w:lvlJc w:val="left"/>
      <w:pPr>
        <w:ind w:left="5733" w:hanging="120"/>
      </w:pPr>
      <w:rPr>
        <w:rFonts w:hint="default"/>
        <w:lang w:val="pt-BR" w:eastAsia="pt-BR" w:bidi="pt-BR"/>
      </w:rPr>
    </w:lvl>
    <w:lvl w:ilvl="6" w:tplc="A7C0E9D0">
      <w:numFmt w:val="bullet"/>
      <w:lvlText w:val="•"/>
      <w:lvlJc w:val="left"/>
      <w:pPr>
        <w:ind w:left="6723" w:hanging="120"/>
      </w:pPr>
      <w:rPr>
        <w:rFonts w:hint="default"/>
        <w:lang w:val="pt-BR" w:eastAsia="pt-BR" w:bidi="pt-BR"/>
      </w:rPr>
    </w:lvl>
    <w:lvl w:ilvl="7" w:tplc="5104710E">
      <w:numFmt w:val="bullet"/>
      <w:lvlText w:val="•"/>
      <w:lvlJc w:val="left"/>
      <w:pPr>
        <w:ind w:left="7714" w:hanging="120"/>
      </w:pPr>
      <w:rPr>
        <w:rFonts w:hint="default"/>
        <w:lang w:val="pt-BR" w:eastAsia="pt-BR" w:bidi="pt-BR"/>
      </w:rPr>
    </w:lvl>
    <w:lvl w:ilvl="8" w:tplc="A99EA336">
      <w:numFmt w:val="bullet"/>
      <w:lvlText w:val="•"/>
      <w:lvlJc w:val="left"/>
      <w:pPr>
        <w:ind w:left="8705" w:hanging="120"/>
      </w:pPr>
      <w:rPr>
        <w:rFonts w:hint="default"/>
        <w:lang w:val="pt-BR" w:eastAsia="pt-BR" w:bidi="pt-BR"/>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41037F"/>
    <w:rsid w:val="0041037F"/>
    <w:rsid w:val="00A03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firstLine="566"/>
    </w:pPr>
    <w:rPr>
      <w:sz w:val="16"/>
      <w:szCs w:val="16"/>
    </w:rPr>
  </w:style>
  <w:style w:type="paragraph" w:styleId="PargrafodaLista">
    <w:name w:val="List Paragraph"/>
    <w:basedOn w:val="Normal"/>
    <w:uiPriority w:val="1"/>
    <w:qFormat/>
    <w:pPr>
      <w:ind w:left="100" w:firstLine="566"/>
    </w:pPr>
  </w:style>
  <w:style w:type="paragraph" w:customStyle="1" w:styleId="TableParagraph">
    <w:name w:val="Table Paragraph"/>
    <w:basedOn w:val="Normal"/>
    <w:uiPriority w:val="1"/>
    <w:qFormat/>
    <w:pPr>
      <w:jc w:val="center"/>
    </w:pPr>
  </w:style>
  <w:style w:type="paragraph" w:styleId="Textodebalo">
    <w:name w:val="Balloon Text"/>
    <w:basedOn w:val="Normal"/>
    <w:link w:val="TextodebaloChar"/>
    <w:uiPriority w:val="99"/>
    <w:semiHidden/>
    <w:unhideWhenUsed/>
    <w:rsid w:val="00A03D9B"/>
    <w:rPr>
      <w:rFonts w:ascii="Tahoma" w:hAnsi="Tahoma" w:cs="Tahoma"/>
      <w:sz w:val="16"/>
      <w:szCs w:val="16"/>
    </w:rPr>
  </w:style>
  <w:style w:type="character" w:customStyle="1" w:styleId="TextodebaloChar">
    <w:name w:val="Texto de balão Char"/>
    <w:basedOn w:val="Fontepargpadro"/>
    <w:link w:val="Textodebalo"/>
    <w:uiPriority w:val="99"/>
    <w:semiHidden/>
    <w:rsid w:val="00A03D9B"/>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4277</Words>
  <Characters>23101</Characters>
  <Application>Microsoft Office Word</Application>
  <DocSecurity>0</DocSecurity>
  <Lines>192</Lines>
  <Paragraphs>54</Paragraphs>
  <ScaleCrop>false</ScaleCrop>
  <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PCDT</dc:title>
  <dc:creator>JMSD</dc:creator>
  <cp:lastModifiedBy>VANESSA ALVES DE OLIVEIRA</cp:lastModifiedBy>
  <cp:revision>2</cp:revision>
  <dcterms:created xsi:type="dcterms:W3CDTF">2019-07-22T12:52:00Z</dcterms:created>
  <dcterms:modified xsi:type="dcterms:W3CDTF">2019-07-22T12:53:00Z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2010</vt:lpwstr>
  </property>
  <property fmtid="{D5CDD505-2E9C-101B-9397-08002B2CF9AE}" pid="4" name="LastSaved">
    <vt:filetime>2019-07-22T00:00:00Z</vt:filetime>
  </property>
</Properties>
</file>