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6B" w:rsidRDefault="00CA19E4" w:rsidP="00BA286B">
      <w:pPr>
        <w:pStyle w:val="Corpodetexto"/>
        <w:spacing w:before="66"/>
        <w:ind w:right="3539"/>
      </w:pPr>
      <w:r>
        <w:rPr>
          <w:noProof/>
          <w:lang w:bidi="ar-SA"/>
        </w:rPr>
        <w:t>c</w:t>
      </w:r>
      <w:bookmarkStart w:id="0" w:name="_GoBack"/>
      <w:r w:rsidR="00BA286B">
        <w:rPr>
          <w:noProof/>
          <w:lang w:bidi="ar-SA"/>
        </w:rPr>
        <w:drawing>
          <wp:inline distT="0" distB="0" distL="0" distR="0" wp14:anchorId="202A815F" wp14:editId="19B1EEB5">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End w:id="0"/>
    </w:p>
    <w:p w:rsidR="008777CB" w:rsidRDefault="00BA286B">
      <w:pPr>
        <w:pStyle w:val="Corpodetexto"/>
        <w:spacing w:before="66"/>
        <w:ind w:left="3377" w:right="3539"/>
        <w:jc w:val="center"/>
      </w:pPr>
      <w:r>
        <w:t>ANEXO</w:t>
      </w:r>
    </w:p>
    <w:p w:rsidR="008777CB" w:rsidRDefault="008777CB">
      <w:pPr>
        <w:pStyle w:val="Corpodetexto"/>
        <w:spacing w:before="2"/>
        <w:ind w:left="0"/>
      </w:pPr>
    </w:p>
    <w:p w:rsidR="008777CB" w:rsidRDefault="00BA286B">
      <w:pPr>
        <w:pStyle w:val="Corpodetexto"/>
        <w:spacing w:line="480" w:lineRule="auto"/>
        <w:ind w:left="2950" w:right="3113"/>
        <w:jc w:val="center"/>
      </w:pPr>
      <w:proofErr w:type="gramStart"/>
      <w:r>
        <w:t>PROTOCOLO CLÍNICO E DIRETRIZES TERAPÊUTICAS</w:t>
      </w:r>
      <w:proofErr w:type="gramEnd"/>
      <w:r>
        <w:t xml:space="preserve"> HIPOPARATIREOIDISMO</w:t>
      </w:r>
    </w:p>
    <w:p w:rsidR="008777CB" w:rsidRDefault="008777CB">
      <w:pPr>
        <w:pStyle w:val="Corpodetexto"/>
        <w:spacing w:before="11"/>
        <w:ind w:left="0"/>
        <w:rPr>
          <w:sz w:val="15"/>
        </w:rPr>
      </w:pPr>
    </w:p>
    <w:p w:rsidR="008777CB" w:rsidRDefault="00BA286B">
      <w:pPr>
        <w:pStyle w:val="PargrafodaLista"/>
        <w:numPr>
          <w:ilvl w:val="0"/>
          <w:numId w:val="5"/>
        </w:numPr>
        <w:tabs>
          <w:tab w:val="left" w:pos="275"/>
        </w:tabs>
        <w:rPr>
          <w:sz w:val="16"/>
        </w:rPr>
      </w:pPr>
      <w:r>
        <w:rPr>
          <w:sz w:val="16"/>
        </w:rPr>
        <w:t>METODOLOGIA DE BUSCA E AVALIAÇÃO DA</w:t>
      </w:r>
      <w:r>
        <w:rPr>
          <w:spacing w:val="-4"/>
          <w:sz w:val="16"/>
        </w:rPr>
        <w:t xml:space="preserve"> </w:t>
      </w:r>
      <w:r>
        <w:rPr>
          <w:sz w:val="16"/>
        </w:rPr>
        <w:t>LITERATURA</w:t>
      </w:r>
    </w:p>
    <w:p w:rsidR="008777CB" w:rsidRDefault="00BA286B">
      <w:pPr>
        <w:pStyle w:val="Corpodetexto"/>
        <w:spacing w:before="1"/>
        <w:ind w:right="269" w:firstLine="566"/>
        <w:jc w:val="both"/>
      </w:pPr>
      <w:r>
        <w:t>A busca realizada na base de dados MEDLINE/</w:t>
      </w:r>
      <w:proofErr w:type="spellStart"/>
      <w:proofErr w:type="gramStart"/>
      <w:r>
        <w:t>PubMed</w:t>
      </w:r>
      <w:proofErr w:type="spellEnd"/>
      <w:proofErr w:type="gramEnd"/>
      <w:r>
        <w:t xml:space="preserve"> utilizando os termos "</w:t>
      </w:r>
      <w:proofErr w:type="spellStart"/>
      <w:r>
        <w:t>Hypoparathyroidism</w:t>
      </w:r>
      <w:proofErr w:type="spellEnd"/>
      <w:r>
        <w:t>"(</w:t>
      </w:r>
      <w:proofErr w:type="spellStart"/>
      <w:r>
        <w:t>Mesh</w:t>
      </w:r>
      <w:proofErr w:type="spellEnd"/>
      <w:r>
        <w:t>) e "</w:t>
      </w:r>
      <w:proofErr w:type="spellStart"/>
      <w:r>
        <w:t>Diagnosis</w:t>
      </w:r>
      <w:proofErr w:type="spellEnd"/>
      <w:r>
        <w:t>"(</w:t>
      </w:r>
      <w:proofErr w:type="spellStart"/>
      <w:r>
        <w:t>Mesh</w:t>
      </w:r>
      <w:proofErr w:type="spellEnd"/>
      <w:r>
        <w:t>) e "</w:t>
      </w:r>
      <w:proofErr w:type="spellStart"/>
      <w:r>
        <w:t>Therapeutics</w:t>
      </w:r>
      <w:proofErr w:type="spellEnd"/>
      <w:r>
        <w:t>"(</w:t>
      </w:r>
      <w:proofErr w:type="spellStart"/>
      <w:r>
        <w:t>Mesh</w:t>
      </w:r>
      <w:proofErr w:type="spellEnd"/>
      <w:r>
        <w:t>) e restringindo a pesquisa para artigos em humanos, resultou em 120 artigos. Da pesquisa na mesma base de dados utilizando a estratégia de busca "</w:t>
      </w:r>
      <w:proofErr w:type="spellStart"/>
      <w:r>
        <w:t>Hypoparathyroidism</w:t>
      </w:r>
      <w:proofErr w:type="spellEnd"/>
      <w:proofErr w:type="gramStart"/>
      <w:r>
        <w:t>"(</w:t>
      </w:r>
      <w:proofErr w:type="spellStart"/>
      <w:proofErr w:type="gramEnd"/>
      <w:r>
        <w:t>Mesh</w:t>
      </w:r>
      <w:proofErr w:type="spellEnd"/>
      <w:r>
        <w:t>) e restringindo a busca para meta-análises e ensaios clínicos randomizados, resultaram outros 15. Todos os artigos foram revisados, e os identificados como sendo de interesse para a elaboração deste Protocolo foram incluídos no texto. A busca foi feita na data de 23/09/2009, sem limite de data estabelecido.</w:t>
      </w:r>
    </w:p>
    <w:p w:rsidR="008777CB" w:rsidRDefault="00BA286B">
      <w:pPr>
        <w:pStyle w:val="Corpodetexto"/>
        <w:spacing w:line="183" w:lineRule="exact"/>
        <w:ind w:left="679"/>
      </w:pPr>
      <w:r>
        <w:t>Em 05/12/2014, foi realizada atualização da busca na literatura com os critérios de inclusão originalmente empregados.</w:t>
      </w:r>
    </w:p>
    <w:p w:rsidR="008777CB" w:rsidRDefault="00BA286B">
      <w:pPr>
        <w:pStyle w:val="Corpodetexto"/>
        <w:spacing w:before="1"/>
        <w:ind w:right="268" w:firstLine="566"/>
        <w:jc w:val="both"/>
      </w:pPr>
      <w:r>
        <w:t>Na base MEDLINE/</w:t>
      </w:r>
      <w:proofErr w:type="spellStart"/>
      <w:proofErr w:type="gramStart"/>
      <w:r>
        <w:t>PubMed</w:t>
      </w:r>
      <w:proofErr w:type="spellEnd"/>
      <w:proofErr w:type="gramEnd"/>
      <w:r>
        <w:t xml:space="preserve">, foram realizadas duas buscas. A primeira utilizou a estratégia </w:t>
      </w:r>
      <w:proofErr w:type="spellStart"/>
      <w:proofErr w:type="gramStart"/>
      <w:r>
        <w:t>Hypoparathyroidism</w:t>
      </w:r>
      <w:proofErr w:type="spellEnd"/>
      <w:r>
        <w:t>"</w:t>
      </w:r>
      <w:proofErr w:type="gramEnd"/>
      <w:r>
        <w:t>[</w:t>
      </w:r>
      <w:proofErr w:type="spellStart"/>
      <w:r>
        <w:t>Mesh</w:t>
      </w:r>
      <w:proofErr w:type="spellEnd"/>
      <w:r>
        <w:t>]) AND "</w:t>
      </w:r>
      <w:proofErr w:type="spellStart"/>
      <w:r>
        <w:t>Diagnosis</w:t>
      </w:r>
      <w:proofErr w:type="spellEnd"/>
      <w:r>
        <w:t>"[</w:t>
      </w:r>
      <w:proofErr w:type="spellStart"/>
      <w:r>
        <w:t>Mesh</w:t>
      </w:r>
      <w:proofErr w:type="spellEnd"/>
      <w:r>
        <w:t>]) com os filtros ensaio clínico, ensaio clínico randomizado, meta-análise, revisão sistemática, humanos. Nessa busca foram localizados 24 estudos; desses, quatro foram incluídos neste PCDT. A segunda busca foi realizada com os termos ("</w:t>
      </w:r>
      <w:proofErr w:type="spellStart"/>
      <w:r>
        <w:t>Hypoparathyroidism</w:t>
      </w:r>
      <w:proofErr w:type="spellEnd"/>
      <w:r>
        <w:t>"[</w:t>
      </w:r>
      <w:proofErr w:type="spellStart"/>
      <w:r>
        <w:t>Mesh</w:t>
      </w:r>
      <w:proofErr w:type="spellEnd"/>
      <w:r>
        <w:t>]) AND "</w:t>
      </w:r>
      <w:proofErr w:type="spellStart"/>
      <w:r>
        <w:t>Therapeutics</w:t>
      </w:r>
      <w:proofErr w:type="spellEnd"/>
      <w:r>
        <w:t>"[</w:t>
      </w:r>
      <w:proofErr w:type="spellStart"/>
      <w:r>
        <w:t>Mesh</w:t>
      </w:r>
      <w:proofErr w:type="spellEnd"/>
      <w:r>
        <w:t>] e com os mesmos limites da busca anteriormente descrita. Nessa busca foram localizados 38 estudos, e um foi incluído neste Protocolo Clínico e Diretrizes Terapêuticas (PCDT).</w:t>
      </w:r>
    </w:p>
    <w:p w:rsidR="008777CB" w:rsidRDefault="00BA286B">
      <w:pPr>
        <w:pStyle w:val="Corpodetexto"/>
        <w:ind w:right="268" w:firstLine="708"/>
        <w:jc w:val="both"/>
      </w:pPr>
      <w:r>
        <w:t xml:space="preserve">Na base Embase também foram realizadas duas buscas. </w:t>
      </w:r>
      <w:r w:rsidRPr="00BA286B">
        <w:rPr>
          <w:lang w:val="en-US"/>
        </w:rPr>
        <w:t xml:space="preserve">A </w:t>
      </w:r>
      <w:proofErr w:type="spellStart"/>
      <w:r w:rsidRPr="00BA286B">
        <w:rPr>
          <w:lang w:val="en-US"/>
        </w:rPr>
        <w:t>primeira</w:t>
      </w:r>
      <w:proofErr w:type="spellEnd"/>
      <w:r w:rsidRPr="00BA286B">
        <w:rPr>
          <w:lang w:val="en-US"/>
        </w:rPr>
        <w:t xml:space="preserve"> </w:t>
      </w:r>
      <w:proofErr w:type="spellStart"/>
      <w:r w:rsidRPr="00BA286B">
        <w:rPr>
          <w:lang w:val="en-US"/>
        </w:rPr>
        <w:t>utilizou</w:t>
      </w:r>
      <w:proofErr w:type="spellEnd"/>
      <w:r w:rsidRPr="00BA286B">
        <w:rPr>
          <w:lang w:val="en-US"/>
        </w:rPr>
        <w:t xml:space="preserve"> </w:t>
      </w:r>
      <w:proofErr w:type="gramStart"/>
      <w:r w:rsidRPr="00BA286B">
        <w:rPr>
          <w:lang w:val="en-US"/>
        </w:rPr>
        <w:t>a</w:t>
      </w:r>
      <w:proofErr w:type="gramEnd"/>
      <w:r w:rsidRPr="00BA286B">
        <w:rPr>
          <w:lang w:val="en-US"/>
        </w:rPr>
        <w:t xml:space="preserve"> </w:t>
      </w:r>
      <w:proofErr w:type="spellStart"/>
      <w:r w:rsidRPr="00BA286B">
        <w:rPr>
          <w:lang w:val="en-US"/>
        </w:rPr>
        <w:t>estratégia</w:t>
      </w:r>
      <w:proofErr w:type="spellEnd"/>
      <w:r w:rsidRPr="00BA286B">
        <w:rPr>
          <w:lang w:val="en-US"/>
        </w:rPr>
        <w:t xml:space="preserve"> '</w:t>
      </w:r>
      <w:proofErr w:type="spellStart"/>
      <w:r w:rsidRPr="00BA286B">
        <w:rPr>
          <w:lang w:val="en-US"/>
        </w:rPr>
        <w:t>hypoparathyroidism</w:t>
      </w:r>
      <w:proofErr w:type="spellEnd"/>
      <w:r w:rsidRPr="00BA286B">
        <w:rPr>
          <w:lang w:val="en-US"/>
        </w:rPr>
        <w:t>'/</w:t>
      </w:r>
      <w:proofErr w:type="spellStart"/>
      <w:r w:rsidRPr="00BA286B">
        <w:rPr>
          <w:lang w:val="en-US"/>
        </w:rPr>
        <w:t>exp</w:t>
      </w:r>
      <w:proofErr w:type="spellEnd"/>
      <w:r w:rsidRPr="00BA286B">
        <w:rPr>
          <w:lang w:val="en-US"/>
        </w:rPr>
        <w:t xml:space="preserve"> AND 'diagnosis'/</w:t>
      </w:r>
      <w:proofErr w:type="spellStart"/>
      <w:r w:rsidRPr="00BA286B">
        <w:rPr>
          <w:lang w:val="en-US"/>
        </w:rPr>
        <w:t>exp</w:t>
      </w:r>
      <w:proofErr w:type="spellEnd"/>
      <w:r w:rsidRPr="00BA286B">
        <w:rPr>
          <w:lang w:val="en-US"/>
        </w:rPr>
        <w:t xml:space="preserve"> AND ([</w:t>
      </w:r>
      <w:proofErr w:type="spellStart"/>
      <w:r w:rsidRPr="00BA286B">
        <w:rPr>
          <w:lang w:val="en-US"/>
        </w:rPr>
        <w:t>cochrane</w:t>
      </w:r>
      <w:proofErr w:type="spellEnd"/>
      <w:r w:rsidRPr="00BA286B">
        <w:rPr>
          <w:lang w:val="en-US"/>
        </w:rPr>
        <w:t xml:space="preserve"> review]/</w:t>
      </w:r>
      <w:proofErr w:type="spellStart"/>
      <w:r w:rsidRPr="00BA286B">
        <w:rPr>
          <w:lang w:val="en-US"/>
        </w:rPr>
        <w:t>lim</w:t>
      </w:r>
      <w:proofErr w:type="spellEnd"/>
      <w:r w:rsidRPr="00BA286B">
        <w:rPr>
          <w:lang w:val="en-US"/>
        </w:rPr>
        <w:t xml:space="preserve"> OR [systematic review]/</w:t>
      </w:r>
      <w:proofErr w:type="spellStart"/>
      <w:r w:rsidRPr="00BA286B">
        <w:rPr>
          <w:lang w:val="en-US"/>
        </w:rPr>
        <w:t>lim</w:t>
      </w:r>
      <w:proofErr w:type="spellEnd"/>
      <w:r w:rsidRPr="00BA286B">
        <w:rPr>
          <w:lang w:val="en-US"/>
        </w:rPr>
        <w:t xml:space="preserve"> OR [controlled clinical trial]/</w:t>
      </w:r>
      <w:proofErr w:type="spellStart"/>
      <w:r w:rsidRPr="00BA286B">
        <w:rPr>
          <w:lang w:val="en-US"/>
        </w:rPr>
        <w:t>lim</w:t>
      </w:r>
      <w:proofErr w:type="spellEnd"/>
      <w:r w:rsidRPr="00BA286B">
        <w:rPr>
          <w:lang w:val="en-US"/>
        </w:rPr>
        <w:t xml:space="preserve"> OR [randomized controlled trial]/</w:t>
      </w:r>
      <w:proofErr w:type="spellStart"/>
      <w:r w:rsidRPr="00BA286B">
        <w:rPr>
          <w:lang w:val="en-US"/>
        </w:rPr>
        <w:t>lim</w:t>
      </w:r>
      <w:proofErr w:type="spellEnd"/>
      <w:r w:rsidRPr="00BA286B">
        <w:rPr>
          <w:lang w:val="en-US"/>
        </w:rPr>
        <w:t xml:space="preserve"> OR [</w:t>
      </w:r>
      <w:proofErr w:type="spellStart"/>
      <w:r w:rsidRPr="00BA286B">
        <w:rPr>
          <w:lang w:val="en-US"/>
        </w:rPr>
        <w:t>meta analysis</w:t>
      </w:r>
      <w:proofErr w:type="spellEnd"/>
      <w:r w:rsidRPr="00BA286B">
        <w:rPr>
          <w:lang w:val="en-US"/>
        </w:rPr>
        <w:t>]/lim) AND ([</w:t>
      </w:r>
      <w:proofErr w:type="spellStart"/>
      <w:r w:rsidRPr="00BA286B">
        <w:rPr>
          <w:lang w:val="en-US"/>
        </w:rPr>
        <w:t>english</w:t>
      </w:r>
      <w:proofErr w:type="spellEnd"/>
      <w:r w:rsidRPr="00BA286B">
        <w:rPr>
          <w:lang w:val="en-US"/>
        </w:rPr>
        <w:t>]/</w:t>
      </w:r>
      <w:proofErr w:type="spellStart"/>
      <w:r w:rsidRPr="00BA286B">
        <w:rPr>
          <w:lang w:val="en-US"/>
        </w:rPr>
        <w:t>lim</w:t>
      </w:r>
      <w:proofErr w:type="spellEnd"/>
      <w:r w:rsidRPr="00BA286B">
        <w:rPr>
          <w:lang w:val="en-US"/>
        </w:rPr>
        <w:t xml:space="preserve"> OR [</w:t>
      </w:r>
      <w:proofErr w:type="spellStart"/>
      <w:r w:rsidRPr="00BA286B">
        <w:rPr>
          <w:lang w:val="en-US"/>
        </w:rPr>
        <w:t>portuguese</w:t>
      </w:r>
      <w:proofErr w:type="spellEnd"/>
      <w:r w:rsidRPr="00BA286B">
        <w:rPr>
          <w:lang w:val="en-US"/>
        </w:rPr>
        <w:t>]/</w:t>
      </w:r>
      <w:proofErr w:type="spellStart"/>
      <w:r w:rsidRPr="00BA286B">
        <w:rPr>
          <w:lang w:val="en-US"/>
        </w:rPr>
        <w:t>lim</w:t>
      </w:r>
      <w:proofErr w:type="spellEnd"/>
      <w:r w:rsidRPr="00BA286B">
        <w:rPr>
          <w:lang w:val="en-US"/>
        </w:rPr>
        <w:t xml:space="preserve"> OR [</w:t>
      </w:r>
      <w:proofErr w:type="spellStart"/>
      <w:r w:rsidRPr="00BA286B">
        <w:rPr>
          <w:lang w:val="en-US"/>
        </w:rPr>
        <w:t>spanish</w:t>
      </w:r>
      <w:proofErr w:type="spellEnd"/>
      <w:r w:rsidRPr="00BA286B">
        <w:rPr>
          <w:lang w:val="en-US"/>
        </w:rPr>
        <w:t>]/</w:t>
      </w:r>
      <w:proofErr w:type="spellStart"/>
      <w:r w:rsidRPr="00BA286B">
        <w:rPr>
          <w:lang w:val="en-US"/>
        </w:rPr>
        <w:t>lim</w:t>
      </w:r>
      <w:proofErr w:type="spellEnd"/>
      <w:r w:rsidRPr="00BA286B">
        <w:rPr>
          <w:lang w:val="en-US"/>
        </w:rPr>
        <w:t>) AND [humans]/</w:t>
      </w:r>
      <w:proofErr w:type="spellStart"/>
      <w:r w:rsidRPr="00BA286B">
        <w:rPr>
          <w:lang w:val="en-US"/>
        </w:rPr>
        <w:t>lim</w:t>
      </w:r>
      <w:proofErr w:type="spellEnd"/>
      <w:r w:rsidRPr="00BA286B">
        <w:rPr>
          <w:lang w:val="en-US"/>
        </w:rPr>
        <w:t xml:space="preserve"> AND [2009-2014]/</w:t>
      </w:r>
      <w:proofErr w:type="spellStart"/>
      <w:r w:rsidRPr="00BA286B">
        <w:rPr>
          <w:lang w:val="en-US"/>
        </w:rPr>
        <w:t>py</w:t>
      </w:r>
      <w:proofErr w:type="spellEnd"/>
      <w:r w:rsidRPr="00BA286B">
        <w:rPr>
          <w:lang w:val="en-US"/>
        </w:rPr>
        <w:t xml:space="preserve">. </w:t>
      </w:r>
      <w:r>
        <w:t xml:space="preserve">Nesta busca foram identificados 17 estudos, e nenhum foi incluído no PCDT. </w:t>
      </w:r>
      <w:r w:rsidRPr="00BA286B">
        <w:rPr>
          <w:lang w:val="en-US"/>
        </w:rPr>
        <w:t xml:space="preserve">A </w:t>
      </w:r>
      <w:proofErr w:type="spellStart"/>
      <w:r w:rsidRPr="00BA286B">
        <w:rPr>
          <w:lang w:val="en-US"/>
        </w:rPr>
        <w:t>segunda</w:t>
      </w:r>
      <w:proofErr w:type="spellEnd"/>
      <w:r w:rsidRPr="00BA286B">
        <w:rPr>
          <w:lang w:val="en-US"/>
        </w:rPr>
        <w:t xml:space="preserve"> </w:t>
      </w:r>
      <w:proofErr w:type="spellStart"/>
      <w:r w:rsidRPr="00BA286B">
        <w:rPr>
          <w:lang w:val="en-US"/>
        </w:rPr>
        <w:t>busca</w:t>
      </w:r>
      <w:proofErr w:type="spellEnd"/>
      <w:r w:rsidRPr="00BA286B">
        <w:rPr>
          <w:lang w:val="en-US"/>
        </w:rPr>
        <w:t xml:space="preserve"> </w:t>
      </w:r>
      <w:proofErr w:type="spellStart"/>
      <w:r w:rsidRPr="00BA286B">
        <w:rPr>
          <w:lang w:val="en-US"/>
        </w:rPr>
        <w:t>utilizou</w:t>
      </w:r>
      <w:proofErr w:type="spellEnd"/>
      <w:r w:rsidRPr="00BA286B">
        <w:rPr>
          <w:lang w:val="en-US"/>
        </w:rPr>
        <w:t xml:space="preserve"> </w:t>
      </w:r>
      <w:proofErr w:type="gramStart"/>
      <w:r w:rsidRPr="00BA286B">
        <w:rPr>
          <w:lang w:val="en-US"/>
        </w:rPr>
        <w:t>a</w:t>
      </w:r>
      <w:proofErr w:type="gramEnd"/>
      <w:r w:rsidRPr="00BA286B">
        <w:rPr>
          <w:lang w:val="en-US"/>
        </w:rPr>
        <w:t xml:space="preserve"> </w:t>
      </w:r>
      <w:proofErr w:type="spellStart"/>
      <w:r w:rsidRPr="00BA286B">
        <w:rPr>
          <w:lang w:val="en-US"/>
        </w:rPr>
        <w:t>estratégia</w:t>
      </w:r>
      <w:proofErr w:type="spellEnd"/>
      <w:r w:rsidRPr="00BA286B">
        <w:rPr>
          <w:lang w:val="en-US"/>
        </w:rPr>
        <w:t xml:space="preserve"> '</w:t>
      </w:r>
      <w:proofErr w:type="spellStart"/>
      <w:r w:rsidRPr="00BA286B">
        <w:rPr>
          <w:lang w:val="en-US"/>
        </w:rPr>
        <w:t>hypoparathyroidism</w:t>
      </w:r>
      <w:proofErr w:type="spellEnd"/>
      <w:r w:rsidRPr="00BA286B">
        <w:rPr>
          <w:lang w:val="en-US"/>
        </w:rPr>
        <w:t>'/</w:t>
      </w:r>
      <w:proofErr w:type="spellStart"/>
      <w:r w:rsidRPr="00BA286B">
        <w:rPr>
          <w:lang w:val="en-US"/>
        </w:rPr>
        <w:t>exp</w:t>
      </w:r>
      <w:proofErr w:type="spellEnd"/>
      <w:r w:rsidRPr="00BA286B">
        <w:rPr>
          <w:lang w:val="en-US"/>
        </w:rPr>
        <w:t xml:space="preserve"> AND 'therapy'/</w:t>
      </w:r>
      <w:proofErr w:type="spellStart"/>
      <w:r w:rsidRPr="00BA286B">
        <w:rPr>
          <w:lang w:val="en-US"/>
        </w:rPr>
        <w:t>exp</w:t>
      </w:r>
      <w:proofErr w:type="spellEnd"/>
      <w:r w:rsidRPr="00BA286B">
        <w:rPr>
          <w:lang w:val="en-US"/>
        </w:rPr>
        <w:t xml:space="preserve"> AND ([</w:t>
      </w:r>
      <w:proofErr w:type="spellStart"/>
      <w:r w:rsidRPr="00BA286B">
        <w:rPr>
          <w:lang w:val="en-US"/>
        </w:rPr>
        <w:t>cochrane</w:t>
      </w:r>
      <w:proofErr w:type="spellEnd"/>
      <w:r w:rsidRPr="00BA286B">
        <w:rPr>
          <w:lang w:val="en-US"/>
        </w:rPr>
        <w:t xml:space="preserve"> review]/</w:t>
      </w:r>
      <w:proofErr w:type="spellStart"/>
      <w:r w:rsidRPr="00BA286B">
        <w:rPr>
          <w:lang w:val="en-US"/>
        </w:rPr>
        <w:t>lim</w:t>
      </w:r>
      <w:proofErr w:type="spellEnd"/>
      <w:r w:rsidRPr="00BA286B">
        <w:rPr>
          <w:lang w:val="en-US"/>
        </w:rPr>
        <w:t xml:space="preserve"> OR [systematic review]/</w:t>
      </w:r>
      <w:proofErr w:type="spellStart"/>
      <w:r w:rsidRPr="00BA286B">
        <w:rPr>
          <w:lang w:val="en-US"/>
        </w:rPr>
        <w:t>lim</w:t>
      </w:r>
      <w:proofErr w:type="spellEnd"/>
      <w:r w:rsidRPr="00BA286B">
        <w:rPr>
          <w:lang w:val="en-US"/>
        </w:rPr>
        <w:t xml:space="preserve"> OR [controlled clinical trial]/</w:t>
      </w:r>
      <w:proofErr w:type="spellStart"/>
      <w:r w:rsidRPr="00BA286B">
        <w:rPr>
          <w:lang w:val="en-US"/>
        </w:rPr>
        <w:t>lim</w:t>
      </w:r>
      <w:proofErr w:type="spellEnd"/>
      <w:r w:rsidRPr="00BA286B">
        <w:rPr>
          <w:lang w:val="en-US"/>
        </w:rPr>
        <w:t xml:space="preserve"> OR [randomized controlled trial]/</w:t>
      </w:r>
      <w:proofErr w:type="spellStart"/>
      <w:r w:rsidRPr="00BA286B">
        <w:rPr>
          <w:lang w:val="en-US"/>
        </w:rPr>
        <w:t>lim</w:t>
      </w:r>
      <w:proofErr w:type="spellEnd"/>
      <w:r w:rsidRPr="00BA286B">
        <w:rPr>
          <w:lang w:val="en-US"/>
        </w:rPr>
        <w:t xml:space="preserve"> OR [</w:t>
      </w:r>
      <w:proofErr w:type="spellStart"/>
      <w:r w:rsidRPr="00BA286B">
        <w:rPr>
          <w:lang w:val="en-US"/>
        </w:rPr>
        <w:t>meta analysis</w:t>
      </w:r>
      <w:proofErr w:type="spellEnd"/>
      <w:r w:rsidRPr="00BA286B">
        <w:rPr>
          <w:lang w:val="en-US"/>
        </w:rPr>
        <w:t>]/lim) AND ([</w:t>
      </w:r>
      <w:proofErr w:type="spellStart"/>
      <w:r w:rsidRPr="00BA286B">
        <w:rPr>
          <w:lang w:val="en-US"/>
        </w:rPr>
        <w:t>english</w:t>
      </w:r>
      <w:proofErr w:type="spellEnd"/>
      <w:r w:rsidRPr="00BA286B">
        <w:rPr>
          <w:lang w:val="en-US"/>
        </w:rPr>
        <w:t>]/</w:t>
      </w:r>
      <w:proofErr w:type="spellStart"/>
      <w:r w:rsidRPr="00BA286B">
        <w:rPr>
          <w:lang w:val="en-US"/>
        </w:rPr>
        <w:t>lim</w:t>
      </w:r>
      <w:proofErr w:type="spellEnd"/>
      <w:r w:rsidRPr="00BA286B">
        <w:rPr>
          <w:lang w:val="en-US"/>
        </w:rPr>
        <w:t xml:space="preserve"> OR [</w:t>
      </w:r>
      <w:proofErr w:type="spellStart"/>
      <w:r w:rsidRPr="00BA286B">
        <w:rPr>
          <w:lang w:val="en-US"/>
        </w:rPr>
        <w:t>portuguese</w:t>
      </w:r>
      <w:proofErr w:type="spellEnd"/>
      <w:r w:rsidRPr="00BA286B">
        <w:rPr>
          <w:lang w:val="en-US"/>
        </w:rPr>
        <w:t>]/</w:t>
      </w:r>
      <w:proofErr w:type="spellStart"/>
      <w:r w:rsidRPr="00BA286B">
        <w:rPr>
          <w:lang w:val="en-US"/>
        </w:rPr>
        <w:t>lim</w:t>
      </w:r>
      <w:proofErr w:type="spellEnd"/>
      <w:r w:rsidRPr="00BA286B">
        <w:rPr>
          <w:lang w:val="en-US"/>
        </w:rPr>
        <w:t xml:space="preserve"> OR [</w:t>
      </w:r>
      <w:proofErr w:type="spellStart"/>
      <w:r w:rsidRPr="00BA286B">
        <w:rPr>
          <w:lang w:val="en-US"/>
        </w:rPr>
        <w:t>spanish</w:t>
      </w:r>
      <w:proofErr w:type="spellEnd"/>
      <w:r w:rsidRPr="00BA286B">
        <w:rPr>
          <w:lang w:val="en-US"/>
        </w:rPr>
        <w:t>]/</w:t>
      </w:r>
      <w:proofErr w:type="spellStart"/>
      <w:r w:rsidRPr="00BA286B">
        <w:rPr>
          <w:lang w:val="en-US"/>
        </w:rPr>
        <w:t>lim</w:t>
      </w:r>
      <w:proofErr w:type="spellEnd"/>
      <w:r w:rsidRPr="00BA286B">
        <w:rPr>
          <w:lang w:val="en-US"/>
        </w:rPr>
        <w:t>) AND [humans]/</w:t>
      </w:r>
      <w:proofErr w:type="spellStart"/>
      <w:r w:rsidRPr="00BA286B">
        <w:rPr>
          <w:lang w:val="en-US"/>
        </w:rPr>
        <w:t>lim</w:t>
      </w:r>
      <w:proofErr w:type="spellEnd"/>
      <w:r w:rsidRPr="00BA286B">
        <w:rPr>
          <w:lang w:val="en-US"/>
        </w:rPr>
        <w:t xml:space="preserve"> AND [2009-2014]/</w:t>
      </w:r>
      <w:proofErr w:type="spellStart"/>
      <w:r w:rsidRPr="00BA286B">
        <w:rPr>
          <w:lang w:val="en-US"/>
        </w:rPr>
        <w:t>py</w:t>
      </w:r>
      <w:proofErr w:type="spellEnd"/>
      <w:r w:rsidRPr="00BA286B">
        <w:rPr>
          <w:lang w:val="en-US"/>
        </w:rPr>
        <w:t xml:space="preserve">. </w:t>
      </w:r>
      <w:r>
        <w:t>Essa busca identificou 43 estudos; dos quais dois foram incluídos na revisão deste PCDT.</w:t>
      </w:r>
    </w:p>
    <w:p w:rsidR="008777CB" w:rsidRDefault="00BA286B">
      <w:pPr>
        <w:pStyle w:val="Corpodetexto"/>
        <w:spacing w:before="1"/>
        <w:ind w:right="270" w:firstLine="708"/>
        <w:jc w:val="both"/>
      </w:pPr>
      <w:r>
        <w:t>Também foi realizada uma busca por revisões sistemáticas da Cochrane com o termo “</w:t>
      </w:r>
      <w:proofErr w:type="spellStart"/>
      <w:r>
        <w:t>Hypoparathyroidism</w:t>
      </w:r>
      <w:proofErr w:type="spellEnd"/>
      <w:r>
        <w:t>” no título, resumo ou palavras chaves, não havendo recuperação de nenhuma revisão completa.</w:t>
      </w:r>
    </w:p>
    <w:p w:rsidR="008777CB" w:rsidRDefault="00BA286B">
      <w:pPr>
        <w:pStyle w:val="Corpodetexto"/>
        <w:ind w:right="269" w:firstLine="708"/>
        <w:jc w:val="both"/>
      </w:pPr>
      <w:r>
        <w:t xml:space="preserve">Foram excluídos estudos com desfechos não clínicos, avaliando métodos de tratamento alternativos ou técnicas ou produtos não aprovados no Brasil, com graves problemas metodológicos ou resultados inconclusivos ou insuficientes para resultar em nova recomendação. Foi ainda consultada a base de dados </w:t>
      </w:r>
      <w:proofErr w:type="spellStart"/>
      <w:proofErr w:type="gramStart"/>
      <w:r>
        <w:t>UpToDate</w:t>
      </w:r>
      <w:proofErr w:type="spellEnd"/>
      <w:proofErr w:type="gramEnd"/>
      <w:r>
        <w:t xml:space="preserve"> versão 19.3, estudos com delineamentos observacionais e revisões narrativas sobre o tema.</w:t>
      </w:r>
    </w:p>
    <w:p w:rsidR="008777CB" w:rsidRDefault="008777CB">
      <w:pPr>
        <w:pStyle w:val="Corpodetexto"/>
        <w:spacing w:before="11"/>
        <w:ind w:left="0"/>
        <w:rPr>
          <w:sz w:val="15"/>
        </w:rPr>
      </w:pPr>
    </w:p>
    <w:p w:rsidR="008777CB" w:rsidRDefault="00BA286B">
      <w:pPr>
        <w:pStyle w:val="PargrafodaLista"/>
        <w:numPr>
          <w:ilvl w:val="0"/>
          <w:numId w:val="5"/>
        </w:numPr>
        <w:tabs>
          <w:tab w:val="left" w:pos="277"/>
        </w:tabs>
        <w:spacing w:line="183" w:lineRule="exact"/>
        <w:ind w:left="276" w:hanging="164"/>
        <w:rPr>
          <w:sz w:val="16"/>
        </w:rPr>
      </w:pPr>
      <w:r>
        <w:rPr>
          <w:sz w:val="16"/>
        </w:rPr>
        <w:t>INTRODUÇÃO</w:t>
      </w:r>
    </w:p>
    <w:p w:rsidR="008777CB" w:rsidRDefault="00BA286B">
      <w:pPr>
        <w:pStyle w:val="Corpodetexto"/>
        <w:ind w:right="268" w:firstLine="566"/>
        <w:jc w:val="both"/>
      </w:pPr>
      <w:r>
        <w:t>Em seres humanos, o metabolismo do cálcio é controlado pelas ações diretas e indiretas do hormônio da paratireoide (PTH) e da vitamina D sobre rins, trato digestivo e ossos (1). O PTH, uma molécula composta de 84 aminoácidos secretada pelas glândulas paratireoides, é o principal hormônio no controle dos níveis circulantes de cálcio (</w:t>
      </w:r>
      <w:proofErr w:type="gramStart"/>
      <w:r>
        <w:t>1, 2</w:t>
      </w:r>
      <w:proofErr w:type="gramEnd"/>
      <w:r>
        <w:t>).</w:t>
      </w:r>
    </w:p>
    <w:p w:rsidR="008777CB" w:rsidRDefault="00BA286B">
      <w:pPr>
        <w:pStyle w:val="Corpodetexto"/>
        <w:ind w:right="267" w:firstLine="566"/>
        <w:jc w:val="both"/>
      </w:pPr>
      <w:r>
        <w:t xml:space="preserve">O </w:t>
      </w:r>
      <w:proofErr w:type="spellStart"/>
      <w:r>
        <w:t>hipoparatireoidismo</w:t>
      </w:r>
      <w:proofErr w:type="spellEnd"/>
      <w:r>
        <w:t>, caracterizado pela diminuição da liberação de PTH pelas paratireoides, manifesta-se por meio dos sinais e sintomas da hipocalcemia (</w:t>
      </w:r>
      <w:proofErr w:type="gramStart"/>
      <w:r>
        <w:t>1, 2</w:t>
      </w:r>
      <w:proofErr w:type="gramEnd"/>
      <w:r>
        <w:t xml:space="preserve">). A causa mais frequente de </w:t>
      </w:r>
      <w:proofErr w:type="spellStart"/>
      <w:r>
        <w:t>hipoparatireoidismo</w:t>
      </w:r>
      <w:proofErr w:type="spellEnd"/>
      <w:r>
        <w:t xml:space="preserve"> é o trauma cirúrgico em cirurgia de tireoide, paratireoide e neoplasias de cabeça e pescoço, podendo ser, nesses casos, transitório ou definitivo (1). No período pós-operatório de cirurgias de tireoide, o </w:t>
      </w:r>
      <w:proofErr w:type="spellStart"/>
      <w:r>
        <w:t>hipoparatireoidismo</w:t>
      </w:r>
      <w:proofErr w:type="spellEnd"/>
      <w:r>
        <w:t xml:space="preserve"> transitório é cerca de 20 vezes mais frequente que o definitivo (3). Doenças autoimunes das paratireoides </w:t>
      </w:r>
      <w:proofErr w:type="gramStart"/>
      <w:r>
        <w:t>são</w:t>
      </w:r>
      <w:proofErr w:type="gramEnd"/>
      <w:r>
        <w:t xml:space="preserve"> a segunda causa mais frequente de </w:t>
      </w:r>
      <w:proofErr w:type="spellStart"/>
      <w:r>
        <w:t>hipoparatireoidismo</w:t>
      </w:r>
      <w:proofErr w:type="spellEnd"/>
      <w:r>
        <w:t xml:space="preserve">, incluindo-se entre elas a síndrome </w:t>
      </w:r>
      <w:proofErr w:type="spellStart"/>
      <w:r>
        <w:t>poliglandular</w:t>
      </w:r>
      <w:proofErr w:type="spellEnd"/>
      <w:r>
        <w:t xml:space="preserve"> autoimune tipo I, que se caracteriza pela associação de insuficiência adrenal e candidíase </w:t>
      </w:r>
      <w:proofErr w:type="spellStart"/>
      <w:r>
        <w:t>mucocutânea</w:t>
      </w:r>
      <w:proofErr w:type="spellEnd"/>
      <w:r>
        <w:t xml:space="preserve"> crônica ao </w:t>
      </w:r>
      <w:proofErr w:type="spellStart"/>
      <w:r>
        <w:t>hipoparatireoidismo</w:t>
      </w:r>
      <w:proofErr w:type="spellEnd"/>
      <w:r>
        <w:t xml:space="preserve"> (4, 5). Outras causas menos frequentes são doenças genéticas (6), doenças </w:t>
      </w:r>
      <w:proofErr w:type="spellStart"/>
      <w:r>
        <w:t>infiltrativas</w:t>
      </w:r>
      <w:proofErr w:type="spellEnd"/>
      <w:r>
        <w:t xml:space="preserve"> (1), doenças de depósito (7-9), lesão por irradiação (1), além de causas idiopáticas (10). O </w:t>
      </w:r>
      <w:proofErr w:type="spellStart"/>
      <w:r>
        <w:t>hipoparatireoidismo</w:t>
      </w:r>
      <w:proofErr w:type="spellEnd"/>
      <w:r>
        <w:t xml:space="preserve"> ainda pode ser decorrente de </w:t>
      </w:r>
      <w:proofErr w:type="spellStart"/>
      <w:r>
        <w:t>hipomagnesemia</w:t>
      </w:r>
      <w:proofErr w:type="spellEnd"/>
      <w:r>
        <w:t xml:space="preserve"> (11) ou </w:t>
      </w:r>
      <w:proofErr w:type="spellStart"/>
      <w:r>
        <w:t>hipermagnesemia</w:t>
      </w:r>
      <w:proofErr w:type="spellEnd"/>
      <w:r>
        <w:t xml:space="preserve"> (12), sendo nesses casos chamado de </w:t>
      </w:r>
      <w:proofErr w:type="spellStart"/>
      <w:r>
        <w:t>hipoparatireoidismo</w:t>
      </w:r>
      <w:proofErr w:type="spellEnd"/>
      <w:r>
        <w:t xml:space="preserve"> funcional, pois é reversível com a correção dos distúrbios do magnésio</w:t>
      </w:r>
      <w:r>
        <w:rPr>
          <w:spacing w:val="-3"/>
        </w:rPr>
        <w:t xml:space="preserve"> </w:t>
      </w:r>
      <w:r>
        <w:t>(1).</w:t>
      </w:r>
    </w:p>
    <w:p w:rsidR="008777CB" w:rsidRDefault="00BA286B">
      <w:pPr>
        <w:pStyle w:val="Corpodetexto"/>
        <w:ind w:right="268" w:firstLine="566"/>
        <w:jc w:val="right"/>
      </w:pPr>
      <w:r>
        <w:t xml:space="preserve">Já o </w:t>
      </w:r>
      <w:proofErr w:type="spellStart"/>
      <w:r>
        <w:t>pseudohipoparatireoidismo</w:t>
      </w:r>
      <w:proofErr w:type="spellEnd"/>
      <w:r>
        <w:t>, ou resistência tecidual à ação do PTH, é uma doença hereditária rara, caracterizada por hipocalcemia e níveis normais ou altos de hormônio da paratireoide (</w:t>
      </w:r>
      <w:proofErr w:type="gramStart"/>
      <w:r>
        <w:t>1, 2</w:t>
      </w:r>
      <w:proofErr w:type="gramEnd"/>
      <w:r>
        <w:t>). Não existem dados epidemiológicos brasileiros de incidência ou prevalência dessa doença.</w:t>
      </w:r>
    </w:p>
    <w:p w:rsidR="008777CB" w:rsidRDefault="00BA286B">
      <w:pPr>
        <w:pStyle w:val="Corpodetexto"/>
        <w:spacing w:before="2"/>
        <w:ind w:right="268" w:firstLine="566"/>
        <w:jc w:val="both"/>
      </w:pPr>
      <w:r>
        <w:t xml:space="preserve">A identificação de fatores de risco e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w:t>
      </w:r>
    </w:p>
    <w:p w:rsidR="008777CB" w:rsidRDefault="008777CB">
      <w:pPr>
        <w:pStyle w:val="Corpodetexto"/>
        <w:spacing w:before="11"/>
        <w:ind w:left="0"/>
        <w:rPr>
          <w:sz w:val="15"/>
        </w:rPr>
      </w:pPr>
    </w:p>
    <w:p w:rsidR="008777CB" w:rsidRDefault="00BA286B">
      <w:pPr>
        <w:pStyle w:val="PargrafodaLista"/>
        <w:numPr>
          <w:ilvl w:val="0"/>
          <w:numId w:val="5"/>
        </w:numPr>
        <w:tabs>
          <w:tab w:val="left" w:pos="275"/>
        </w:tabs>
        <w:spacing w:line="183" w:lineRule="exact"/>
        <w:rPr>
          <w:sz w:val="16"/>
        </w:rPr>
      </w:pPr>
      <w:r>
        <w:rPr>
          <w:sz w:val="16"/>
        </w:rPr>
        <w:t>CLASSIFICAÇÃO ESTATÍSTICA INTERNACIONAL DE DOENÇAS E PROBLEMAS RELACIONADOS À SAÚDE</w:t>
      </w:r>
      <w:r>
        <w:rPr>
          <w:spacing w:val="-13"/>
          <w:sz w:val="16"/>
        </w:rPr>
        <w:t xml:space="preserve"> </w:t>
      </w:r>
      <w:r>
        <w:rPr>
          <w:sz w:val="16"/>
        </w:rPr>
        <w:t>(CID-10)</w:t>
      </w:r>
    </w:p>
    <w:p w:rsidR="008777CB" w:rsidRDefault="00BA286B">
      <w:pPr>
        <w:pStyle w:val="PargrafodaLista"/>
        <w:numPr>
          <w:ilvl w:val="1"/>
          <w:numId w:val="5"/>
        </w:numPr>
        <w:tabs>
          <w:tab w:val="left" w:pos="774"/>
        </w:tabs>
        <w:spacing w:line="183" w:lineRule="exact"/>
        <w:ind w:left="773" w:hanging="94"/>
        <w:rPr>
          <w:sz w:val="16"/>
        </w:rPr>
      </w:pPr>
      <w:proofErr w:type="gramStart"/>
      <w:r>
        <w:rPr>
          <w:sz w:val="16"/>
        </w:rPr>
        <w:t>E20.</w:t>
      </w:r>
      <w:proofErr w:type="gramEnd"/>
      <w:r>
        <w:rPr>
          <w:sz w:val="16"/>
        </w:rPr>
        <w:t xml:space="preserve">0 - </w:t>
      </w:r>
      <w:proofErr w:type="spellStart"/>
      <w:r>
        <w:rPr>
          <w:sz w:val="16"/>
        </w:rPr>
        <w:t>Hipoparatireoidismo</w:t>
      </w:r>
      <w:proofErr w:type="spellEnd"/>
      <w:r>
        <w:rPr>
          <w:spacing w:val="1"/>
          <w:sz w:val="16"/>
        </w:rPr>
        <w:t xml:space="preserve"> </w:t>
      </w:r>
      <w:r>
        <w:rPr>
          <w:sz w:val="16"/>
        </w:rPr>
        <w:t>idiopático</w:t>
      </w:r>
    </w:p>
    <w:p w:rsidR="008777CB" w:rsidRDefault="00BA286B">
      <w:pPr>
        <w:pStyle w:val="PargrafodaLista"/>
        <w:numPr>
          <w:ilvl w:val="1"/>
          <w:numId w:val="5"/>
        </w:numPr>
        <w:tabs>
          <w:tab w:val="left" w:pos="774"/>
        </w:tabs>
        <w:spacing w:before="2" w:line="183" w:lineRule="exact"/>
        <w:ind w:left="773" w:hanging="94"/>
        <w:rPr>
          <w:sz w:val="16"/>
        </w:rPr>
      </w:pPr>
      <w:proofErr w:type="gramStart"/>
      <w:r>
        <w:rPr>
          <w:sz w:val="16"/>
        </w:rPr>
        <w:t>E20.</w:t>
      </w:r>
      <w:proofErr w:type="gramEnd"/>
      <w:r>
        <w:rPr>
          <w:sz w:val="16"/>
        </w:rPr>
        <w:t>1 -</w:t>
      </w:r>
      <w:r>
        <w:rPr>
          <w:spacing w:val="1"/>
          <w:sz w:val="16"/>
        </w:rPr>
        <w:t xml:space="preserve"> </w:t>
      </w:r>
      <w:proofErr w:type="spellStart"/>
      <w:r>
        <w:rPr>
          <w:sz w:val="16"/>
        </w:rPr>
        <w:t>Pseudohipoparatireoidismo</w:t>
      </w:r>
      <w:proofErr w:type="spellEnd"/>
    </w:p>
    <w:p w:rsidR="008777CB" w:rsidRDefault="00BA286B">
      <w:pPr>
        <w:pStyle w:val="PargrafodaLista"/>
        <w:numPr>
          <w:ilvl w:val="1"/>
          <w:numId w:val="5"/>
        </w:numPr>
        <w:tabs>
          <w:tab w:val="left" w:pos="774"/>
        </w:tabs>
        <w:spacing w:line="183" w:lineRule="exact"/>
        <w:ind w:left="773" w:hanging="94"/>
        <w:rPr>
          <w:sz w:val="16"/>
        </w:rPr>
      </w:pPr>
      <w:proofErr w:type="gramStart"/>
      <w:r>
        <w:rPr>
          <w:sz w:val="16"/>
        </w:rPr>
        <w:t>E20.</w:t>
      </w:r>
      <w:proofErr w:type="gramEnd"/>
      <w:r>
        <w:rPr>
          <w:sz w:val="16"/>
        </w:rPr>
        <w:t>8 - Outro</w:t>
      </w:r>
      <w:r>
        <w:rPr>
          <w:spacing w:val="-2"/>
          <w:sz w:val="16"/>
        </w:rPr>
        <w:t xml:space="preserve"> </w:t>
      </w:r>
      <w:proofErr w:type="spellStart"/>
      <w:r>
        <w:rPr>
          <w:sz w:val="16"/>
        </w:rPr>
        <w:t>hipoparatireoidismo</w:t>
      </w:r>
      <w:proofErr w:type="spellEnd"/>
    </w:p>
    <w:p w:rsidR="008777CB" w:rsidRDefault="00BA286B">
      <w:pPr>
        <w:pStyle w:val="PargrafodaLista"/>
        <w:numPr>
          <w:ilvl w:val="1"/>
          <w:numId w:val="5"/>
        </w:numPr>
        <w:tabs>
          <w:tab w:val="left" w:pos="774"/>
        </w:tabs>
        <w:ind w:left="773" w:hanging="94"/>
        <w:rPr>
          <w:sz w:val="16"/>
        </w:rPr>
      </w:pPr>
      <w:proofErr w:type="gramStart"/>
      <w:r>
        <w:rPr>
          <w:sz w:val="16"/>
        </w:rPr>
        <w:t>E89.</w:t>
      </w:r>
      <w:proofErr w:type="gramEnd"/>
      <w:r>
        <w:rPr>
          <w:sz w:val="16"/>
        </w:rPr>
        <w:t xml:space="preserve">2 - </w:t>
      </w:r>
      <w:proofErr w:type="spellStart"/>
      <w:r>
        <w:rPr>
          <w:sz w:val="16"/>
        </w:rPr>
        <w:t>Hipoparatireoidismo</w:t>
      </w:r>
      <w:proofErr w:type="spellEnd"/>
      <w:r>
        <w:rPr>
          <w:spacing w:val="1"/>
          <w:sz w:val="16"/>
        </w:rPr>
        <w:t xml:space="preserve"> </w:t>
      </w:r>
      <w:r>
        <w:rPr>
          <w:sz w:val="16"/>
        </w:rPr>
        <w:t>pós-procedimento</w:t>
      </w:r>
    </w:p>
    <w:p w:rsidR="008777CB" w:rsidRDefault="008777CB">
      <w:pPr>
        <w:pStyle w:val="Corpodetexto"/>
        <w:spacing w:before="11"/>
        <w:ind w:left="0"/>
        <w:rPr>
          <w:sz w:val="15"/>
        </w:rPr>
      </w:pPr>
    </w:p>
    <w:p w:rsidR="008777CB" w:rsidRDefault="00BA286B">
      <w:pPr>
        <w:pStyle w:val="PargrafodaLista"/>
        <w:numPr>
          <w:ilvl w:val="0"/>
          <w:numId w:val="5"/>
        </w:numPr>
        <w:tabs>
          <w:tab w:val="left" w:pos="277"/>
        </w:tabs>
        <w:ind w:left="276" w:hanging="164"/>
        <w:rPr>
          <w:sz w:val="16"/>
        </w:rPr>
      </w:pPr>
      <w:r>
        <w:rPr>
          <w:sz w:val="16"/>
        </w:rPr>
        <w:t>DIAGNÓSTICO</w:t>
      </w:r>
    </w:p>
    <w:p w:rsidR="008777CB" w:rsidRDefault="008777CB">
      <w:pPr>
        <w:pStyle w:val="Corpodetexto"/>
        <w:spacing w:before="2"/>
        <w:ind w:left="0"/>
      </w:pPr>
    </w:p>
    <w:p w:rsidR="008777CB" w:rsidRDefault="00BA286B">
      <w:pPr>
        <w:pStyle w:val="PargrafodaLista"/>
        <w:numPr>
          <w:ilvl w:val="1"/>
          <w:numId w:val="4"/>
        </w:numPr>
        <w:tabs>
          <w:tab w:val="left" w:pos="920"/>
        </w:tabs>
        <w:spacing w:line="183" w:lineRule="exact"/>
        <w:rPr>
          <w:sz w:val="16"/>
        </w:rPr>
      </w:pPr>
      <w:r>
        <w:rPr>
          <w:sz w:val="16"/>
        </w:rPr>
        <w:t>CLÍNICO</w:t>
      </w:r>
    </w:p>
    <w:p w:rsidR="008777CB" w:rsidRDefault="00BA286B">
      <w:pPr>
        <w:pStyle w:val="Corpodetexto"/>
        <w:ind w:right="275" w:firstLine="566"/>
        <w:jc w:val="both"/>
      </w:pPr>
      <w:r>
        <w:t xml:space="preserve">As manifestações clínicas são decorrentes da hipocalcemia. A presença de aumento da excitabilidade neuromuscular pode ser avaliada no exame clínico pela presença dos sinais de </w:t>
      </w:r>
      <w:proofErr w:type="spellStart"/>
      <w:r>
        <w:t>Trousseau</w:t>
      </w:r>
      <w:proofErr w:type="spellEnd"/>
      <w:r>
        <w:t xml:space="preserve"> e </w:t>
      </w:r>
      <w:proofErr w:type="spellStart"/>
      <w:r>
        <w:t>Chvostek</w:t>
      </w:r>
      <w:proofErr w:type="spellEnd"/>
      <w:r>
        <w:t xml:space="preserve"> (</w:t>
      </w:r>
      <w:proofErr w:type="gramStart"/>
      <w:r>
        <w:t>1, 13</w:t>
      </w:r>
      <w:proofErr w:type="gramEnd"/>
      <w:r>
        <w:t>).</w:t>
      </w:r>
    </w:p>
    <w:p w:rsidR="008777CB" w:rsidRDefault="00BA286B">
      <w:pPr>
        <w:pStyle w:val="Corpodetexto"/>
        <w:spacing w:before="1"/>
        <w:ind w:right="269" w:firstLine="566"/>
        <w:jc w:val="both"/>
      </w:pPr>
      <w:r>
        <w:t xml:space="preserve">O sinal de </w:t>
      </w:r>
      <w:proofErr w:type="spellStart"/>
      <w:r>
        <w:t>Trousseau</w:t>
      </w:r>
      <w:proofErr w:type="spellEnd"/>
      <w:r>
        <w:t xml:space="preserve"> consiste no espasmo </w:t>
      </w:r>
      <w:proofErr w:type="spellStart"/>
      <w:r>
        <w:t>carpal</w:t>
      </w:r>
      <w:proofErr w:type="spellEnd"/>
      <w:r>
        <w:t xml:space="preserve">, isto é, na flexão do pulso e articulações </w:t>
      </w:r>
      <w:proofErr w:type="spellStart"/>
      <w:r>
        <w:t>metacarpofalangeanas</w:t>
      </w:r>
      <w:proofErr w:type="spellEnd"/>
      <w:r>
        <w:t xml:space="preserve">, extensão das articulações </w:t>
      </w:r>
      <w:proofErr w:type="spellStart"/>
      <w:r>
        <w:t>interfalangeanas</w:t>
      </w:r>
      <w:proofErr w:type="spellEnd"/>
      <w:r>
        <w:t xml:space="preserve"> distais e proximais, e adução do polegar e dedos em resposta à compressão do braço por meio de </w:t>
      </w:r>
      <w:proofErr w:type="spellStart"/>
      <w:r>
        <w:t>esfigmomanômetro</w:t>
      </w:r>
      <w:proofErr w:type="spellEnd"/>
      <w:r>
        <w:t xml:space="preserve"> insuflado 20 </w:t>
      </w:r>
      <w:proofErr w:type="gramStart"/>
      <w:r>
        <w:t>mmHg</w:t>
      </w:r>
      <w:proofErr w:type="gramEnd"/>
      <w:r>
        <w:t xml:space="preserve"> acima da pressão sistólica durante 3 minutos. O sinal de </w:t>
      </w:r>
      <w:proofErr w:type="spellStart"/>
      <w:r>
        <w:t>Chvostek</w:t>
      </w:r>
      <w:proofErr w:type="spellEnd"/>
      <w:r>
        <w:t xml:space="preserve"> é menos específico de hipocalcemia, pois pode ocorrer em 15% das pessoas </w:t>
      </w:r>
      <w:proofErr w:type="spellStart"/>
      <w:r>
        <w:t>normocalcêmicas</w:t>
      </w:r>
      <w:proofErr w:type="spellEnd"/>
      <w:r>
        <w:t xml:space="preserve"> e consiste no desencadeamento de espasmos dos músculos faciais em resposta à percussão do nervo facial na região zigomática (1).</w:t>
      </w:r>
    </w:p>
    <w:p w:rsidR="008777CB" w:rsidRDefault="00BA286B">
      <w:pPr>
        <w:pStyle w:val="Corpodetexto"/>
        <w:ind w:right="269" w:firstLine="566"/>
        <w:jc w:val="both"/>
      </w:pPr>
      <w:r>
        <w:t xml:space="preserve">A história de cirurgia cervical ou presença de cicatriz de </w:t>
      </w:r>
      <w:proofErr w:type="spellStart"/>
      <w:r>
        <w:t>tireidectomia</w:t>
      </w:r>
      <w:proofErr w:type="spellEnd"/>
      <w:r>
        <w:t xml:space="preserve"> no pescoço são indicativas de </w:t>
      </w:r>
      <w:proofErr w:type="spellStart"/>
      <w:r>
        <w:t>hipoparatireoidismo</w:t>
      </w:r>
      <w:proofErr w:type="spellEnd"/>
      <w:r>
        <w:t xml:space="preserve"> pós-cirúrgico (1).  Já a presença de insuficiência adrenal ou de candidíase </w:t>
      </w:r>
      <w:proofErr w:type="spellStart"/>
      <w:r>
        <w:t>mucocutânea</w:t>
      </w:r>
      <w:proofErr w:type="spellEnd"/>
      <w:r>
        <w:t xml:space="preserve"> crônica sugere o diagnóstico de síndrome </w:t>
      </w:r>
      <w:proofErr w:type="spellStart"/>
      <w:r>
        <w:t>poliglandular</w:t>
      </w:r>
      <w:proofErr w:type="spellEnd"/>
      <w:r>
        <w:t xml:space="preserve"> autoimune tipo I (1, 4, 5, 14).</w:t>
      </w:r>
    </w:p>
    <w:p w:rsidR="008777CB" w:rsidRDefault="00BA286B">
      <w:pPr>
        <w:pStyle w:val="Corpodetexto"/>
        <w:ind w:right="270" w:firstLine="566"/>
        <w:jc w:val="both"/>
      </w:pPr>
      <w:r>
        <w:t xml:space="preserve">As manifestações clínicas da hipocalcemia aguda incluem espasmos musculares, </w:t>
      </w:r>
      <w:proofErr w:type="spellStart"/>
      <w:r>
        <w:t>tetania</w:t>
      </w:r>
      <w:proofErr w:type="spellEnd"/>
      <w:r>
        <w:t xml:space="preserve">, </w:t>
      </w:r>
      <w:proofErr w:type="spellStart"/>
      <w:r>
        <w:t>parestesias</w:t>
      </w:r>
      <w:proofErr w:type="spellEnd"/>
      <w:r>
        <w:t xml:space="preserve"> e convulsões (1). O eletrocardiograma pode mostrar alterações da </w:t>
      </w:r>
      <w:proofErr w:type="spellStart"/>
      <w:r>
        <w:t>repolarização</w:t>
      </w:r>
      <w:proofErr w:type="spellEnd"/>
      <w:r>
        <w:t xml:space="preserve"> ventricular e aumento do intervalo QT. O </w:t>
      </w:r>
      <w:proofErr w:type="spellStart"/>
      <w:r>
        <w:t>hipoparatireoidismo</w:t>
      </w:r>
      <w:proofErr w:type="spellEnd"/>
      <w:r>
        <w:t xml:space="preserve"> crônico pode determinar catarata, calcificação em núcleos da base no sistema nervoso central, com consequentes sintomas extrapiramidais e retardo mental (1).</w:t>
      </w:r>
    </w:p>
    <w:p w:rsidR="008777CB" w:rsidRDefault="008777CB">
      <w:pPr>
        <w:pStyle w:val="Corpodetexto"/>
        <w:spacing w:before="11"/>
        <w:ind w:left="0"/>
        <w:rPr>
          <w:sz w:val="15"/>
        </w:rPr>
      </w:pPr>
    </w:p>
    <w:p w:rsidR="008777CB" w:rsidRDefault="00BA286B">
      <w:pPr>
        <w:pStyle w:val="PargrafodaLista"/>
        <w:numPr>
          <w:ilvl w:val="1"/>
          <w:numId w:val="4"/>
        </w:numPr>
        <w:tabs>
          <w:tab w:val="left" w:pos="923"/>
        </w:tabs>
        <w:ind w:left="922" w:hanging="243"/>
        <w:rPr>
          <w:sz w:val="16"/>
        </w:rPr>
      </w:pPr>
      <w:r>
        <w:rPr>
          <w:sz w:val="16"/>
        </w:rPr>
        <w:t>LABORATORIAL (1, 2,</w:t>
      </w:r>
      <w:r>
        <w:rPr>
          <w:spacing w:val="-5"/>
          <w:sz w:val="16"/>
        </w:rPr>
        <w:t xml:space="preserve"> </w:t>
      </w:r>
      <w:r>
        <w:rPr>
          <w:sz w:val="16"/>
        </w:rPr>
        <w:t>13)</w:t>
      </w:r>
    </w:p>
    <w:p w:rsidR="008777CB" w:rsidRDefault="00BA286B">
      <w:pPr>
        <w:pStyle w:val="Corpodetexto"/>
        <w:spacing w:before="1"/>
        <w:ind w:right="275" w:firstLine="566"/>
        <w:jc w:val="both"/>
      </w:pPr>
      <w:r>
        <w:t>A avaliação inicial deve ser feita com dosagem de cálcio total ou iônico. Para correta interpretação do cálcio total, seu valor deve ser corrigido para a albumina no soro: para cada 1 g/</w:t>
      </w:r>
      <w:proofErr w:type="spellStart"/>
      <w:r>
        <w:t>dL</w:t>
      </w:r>
      <w:proofErr w:type="spellEnd"/>
      <w:r>
        <w:t xml:space="preserve"> de albumina abaixo de 4 g/</w:t>
      </w:r>
      <w:proofErr w:type="spellStart"/>
      <w:r>
        <w:t>dL</w:t>
      </w:r>
      <w:proofErr w:type="spellEnd"/>
      <w:r>
        <w:t xml:space="preserve">, deve-se adicionar 0,8 </w:t>
      </w:r>
      <w:proofErr w:type="gramStart"/>
      <w:r>
        <w:t>mg</w:t>
      </w:r>
      <w:proofErr w:type="gramEnd"/>
      <w:r>
        <w:t>/</w:t>
      </w:r>
      <w:proofErr w:type="spellStart"/>
      <w:r>
        <w:t>dL</w:t>
      </w:r>
      <w:proofErr w:type="spellEnd"/>
      <w:r>
        <w:t xml:space="preserve"> à medida do cálcio total.</w:t>
      </w:r>
    </w:p>
    <w:p w:rsidR="008777CB" w:rsidRDefault="00BA286B">
      <w:pPr>
        <w:pStyle w:val="Corpodetexto"/>
        <w:ind w:right="268" w:firstLine="566"/>
        <w:jc w:val="both"/>
      </w:pPr>
      <w:r>
        <w:t xml:space="preserve">Após identificação de hipocalcemia, dosagens de PTH, fósforo e magnésio no soro e </w:t>
      </w:r>
      <w:proofErr w:type="spellStart"/>
      <w:r>
        <w:t>calciúria</w:t>
      </w:r>
      <w:proofErr w:type="spellEnd"/>
      <w:r>
        <w:t xml:space="preserve"> em 24 horas devem ser solicitadas (4). Os achados laboratoriais típicos no paciente com </w:t>
      </w:r>
      <w:proofErr w:type="spellStart"/>
      <w:r>
        <w:t>hipoparatireoidismo</w:t>
      </w:r>
      <w:proofErr w:type="spellEnd"/>
      <w:r>
        <w:t xml:space="preserve"> são PTH baixo ou indetectável (menor de 15 </w:t>
      </w:r>
      <w:proofErr w:type="spellStart"/>
      <w:r>
        <w:t>pg</w:t>
      </w:r>
      <w:proofErr w:type="spellEnd"/>
      <w:r>
        <w:t>/</w:t>
      </w:r>
      <w:proofErr w:type="spellStart"/>
      <w:r>
        <w:t>mL</w:t>
      </w:r>
      <w:proofErr w:type="spellEnd"/>
      <w:r>
        <w:t xml:space="preserve">), cálcio total corrigido para albumina baixo (menor de </w:t>
      </w:r>
      <w:proofErr w:type="gramStart"/>
      <w:r>
        <w:t>8</w:t>
      </w:r>
      <w:proofErr w:type="gramEnd"/>
      <w:r>
        <w:t xml:space="preserve"> mg/</w:t>
      </w:r>
      <w:proofErr w:type="spellStart"/>
      <w:r>
        <w:t>dL</w:t>
      </w:r>
      <w:proofErr w:type="spellEnd"/>
      <w:r>
        <w:t>) ou cálcio iônico menor que 4 mg/</w:t>
      </w:r>
      <w:proofErr w:type="spellStart"/>
      <w:r>
        <w:t>dL</w:t>
      </w:r>
      <w:proofErr w:type="spellEnd"/>
      <w:r>
        <w:t>, e fósforo aumentado (maior de 5,0 mg/</w:t>
      </w:r>
      <w:proofErr w:type="spellStart"/>
      <w:r>
        <w:t>dL</w:t>
      </w:r>
      <w:proofErr w:type="spellEnd"/>
      <w:r>
        <w:t xml:space="preserve">). </w:t>
      </w:r>
      <w:proofErr w:type="spellStart"/>
      <w:r>
        <w:t>Hipomagnesemia</w:t>
      </w:r>
      <w:proofErr w:type="spellEnd"/>
      <w:r>
        <w:t xml:space="preserve"> (11) ou</w:t>
      </w:r>
    </w:p>
    <w:p w:rsidR="008777CB" w:rsidRDefault="008777CB">
      <w:pPr>
        <w:jc w:val="both"/>
        <w:sectPr w:rsidR="008777CB">
          <w:pgSz w:w="11910" w:h="16850"/>
          <w:pgMar w:top="1060" w:right="860" w:bottom="280" w:left="1020" w:header="720" w:footer="720" w:gutter="0"/>
          <w:cols w:space="720"/>
        </w:sectPr>
      </w:pPr>
    </w:p>
    <w:p w:rsidR="008777CB" w:rsidRDefault="00BA286B">
      <w:pPr>
        <w:pStyle w:val="Corpodetexto"/>
        <w:spacing w:before="66"/>
        <w:ind w:right="271"/>
      </w:pPr>
      <w:proofErr w:type="spellStart"/>
      <w:proofErr w:type="gramStart"/>
      <w:r>
        <w:lastRenderedPageBreak/>
        <w:t>hipermagnesemia</w:t>
      </w:r>
      <w:proofErr w:type="spellEnd"/>
      <w:proofErr w:type="gramEnd"/>
      <w:r>
        <w:t xml:space="preserve"> (12) podem induzir </w:t>
      </w:r>
      <w:proofErr w:type="spellStart"/>
      <w:r>
        <w:t>hipoparatireoidismo</w:t>
      </w:r>
      <w:proofErr w:type="spellEnd"/>
      <w:r>
        <w:t xml:space="preserve"> funcional, caracterizado por diminuição da secreção e por resistência tecidual à ação do PTH, que se resolve com a correção dos níveis de magnésio.</w:t>
      </w:r>
    </w:p>
    <w:p w:rsidR="008777CB" w:rsidRDefault="008777CB">
      <w:pPr>
        <w:pStyle w:val="Corpodetexto"/>
        <w:spacing w:before="1"/>
        <w:ind w:left="0"/>
      </w:pPr>
    </w:p>
    <w:p w:rsidR="008777CB" w:rsidRDefault="00BA286B">
      <w:pPr>
        <w:pStyle w:val="PargrafodaLista"/>
        <w:numPr>
          <w:ilvl w:val="0"/>
          <w:numId w:val="5"/>
        </w:numPr>
        <w:tabs>
          <w:tab w:val="left" w:pos="275"/>
        </w:tabs>
        <w:rPr>
          <w:sz w:val="16"/>
        </w:rPr>
      </w:pPr>
      <w:r>
        <w:rPr>
          <w:sz w:val="16"/>
        </w:rPr>
        <w:t>CRITÉRIOS DE</w:t>
      </w:r>
      <w:r>
        <w:rPr>
          <w:spacing w:val="2"/>
          <w:sz w:val="16"/>
        </w:rPr>
        <w:t xml:space="preserve"> </w:t>
      </w:r>
      <w:r>
        <w:rPr>
          <w:sz w:val="16"/>
        </w:rPr>
        <w:t>INCLUSÃO</w:t>
      </w:r>
    </w:p>
    <w:p w:rsidR="008777CB" w:rsidRDefault="00BA286B">
      <w:pPr>
        <w:pStyle w:val="Corpodetexto"/>
        <w:spacing w:before="1"/>
        <w:ind w:right="270" w:firstLine="566"/>
        <w:jc w:val="both"/>
      </w:pPr>
      <w:r>
        <w:t xml:space="preserve">Serão incluídos neste Protocolo os pacientes com diagnóstico laboratorial de </w:t>
      </w:r>
      <w:proofErr w:type="spellStart"/>
      <w:r>
        <w:t>hipoparatireoidismo</w:t>
      </w:r>
      <w:proofErr w:type="spellEnd"/>
      <w:r>
        <w:t xml:space="preserve">, definido como cálcio total corrigido para </w:t>
      </w:r>
      <w:proofErr w:type="spellStart"/>
      <w:r>
        <w:t>albuminemia</w:t>
      </w:r>
      <w:proofErr w:type="spellEnd"/>
      <w:r>
        <w:t xml:space="preserve"> menor que </w:t>
      </w:r>
      <w:proofErr w:type="gramStart"/>
      <w:r>
        <w:t>8</w:t>
      </w:r>
      <w:proofErr w:type="gramEnd"/>
      <w:r>
        <w:t xml:space="preserve"> mg/</w:t>
      </w:r>
      <w:proofErr w:type="spellStart"/>
      <w:r>
        <w:t>dL</w:t>
      </w:r>
      <w:proofErr w:type="spellEnd"/>
      <w:r>
        <w:t xml:space="preserve"> ou cálcio iônico menor que 4 mg/</w:t>
      </w:r>
      <w:proofErr w:type="spellStart"/>
      <w:r>
        <w:t>dL</w:t>
      </w:r>
      <w:proofErr w:type="spellEnd"/>
      <w:r>
        <w:t xml:space="preserve"> associado a PTH sérico menor que 30 </w:t>
      </w:r>
      <w:proofErr w:type="spellStart"/>
      <w:r>
        <w:t>pg</w:t>
      </w:r>
      <w:proofErr w:type="spellEnd"/>
      <w:r>
        <w:t>/</w:t>
      </w:r>
      <w:proofErr w:type="spellStart"/>
      <w:r>
        <w:t>mL</w:t>
      </w:r>
      <w:proofErr w:type="spellEnd"/>
      <w:r>
        <w:t xml:space="preserve"> (15).</w:t>
      </w:r>
    </w:p>
    <w:p w:rsidR="008777CB" w:rsidRDefault="008777CB">
      <w:pPr>
        <w:pStyle w:val="Corpodetexto"/>
        <w:spacing w:before="11"/>
        <w:ind w:left="0"/>
        <w:rPr>
          <w:sz w:val="15"/>
        </w:rPr>
      </w:pPr>
    </w:p>
    <w:p w:rsidR="008777CB" w:rsidRDefault="00BA286B">
      <w:pPr>
        <w:pStyle w:val="PargrafodaLista"/>
        <w:numPr>
          <w:ilvl w:val="0"/>
          <w:numId w:val="5"/>
        </w:numPr>
        <w:tabs>
          <w:tab w:val="left" w:pos="275"/>
        </w:tabs>
        <w:rPr>
          <w:sz w:val="16"/>
        </w:rPr>
      </w:pPr>
      <w:r>
        <w:rPr>
          <w:sz w:val="16"/>
        </w:rPr>
        <w:t>CRITÉRIOS DE</w:t>
      </w:r>
      <w:r>
        <w:rPr>
          <w:spacing w:val="-1"/>
          <w:sz w:val="16"/>
        </w:rPr>
        <w:t xml:space="preserve"> </w:t>
      </w:r>
      <w:r>
        <w:rPr>
          <w:sz w:val="16"/>
        </w:rPr>
        <w:t>EXCLUSÃO</w:t>
      </w:r>
    </w:p>
    <w:p w:rsidR="008777CB" w:rsidRDefault="00BA286B">
      <w:pPr>
        <w:pStyle w:val="Corpodetexto"/>
        <w:spacing w:before="1" w:line="183" w:lineRule="exact"/>
        <w:ind w:left="821"/>
      </w:pPr>
      <w:r>
        <w:t>Serão excluídos deste Protocolo:</w:t>
      </w:r>
    </w:p>
    <w:p w:rsidR="008777CB" w:rsidRDefault="00BA286B">
      <w:pPr>
        <w:pStyle w:val="PargrafodaLista"/>
        <w:numPr>
          <w:ilvl w:val="1"/>
          <w:numId w:val="5"/>
        </w:numPr>
        <w:tabs>
          <w:tab w:val="left" w:pos="956"/>
        </w:tabs>
        <w:spacing w:line="183" w:lineRule="exact"/>
        <w:ind w:left="955" w:hanging="93"/>
        <w:rPr>
          <w:sz w:val="16"/>
        </w:rPr>
      </w:pPr>
      <w:r>
        <w:rPr>
          <w:sz w:val="16"/>
        </w:rPr>
        <w:t xml:space="preserve">Pacientes com </w:t>
      </w:r>
      <w:proofErr w:type="spellStart"/>
      <w:r>
        <w:rPr>
          <w:sz w:val="16"/>
        </w:rPr>
        <w:t>hipoparatireoidismo</w:t>
      </w:r>
      <w:proofErr w:type="spellEnd"/>
      <w:r>
        <w:rPr>
          <w:sz w:val="16"/>
        </w:rPr>
        <w:t xml:space="preserve"> transitório ou funcional que tenham a função das paratireoides</w:t>
      </w:r>
      <w:r>
        <w:rPr>
          <w:spacing w:val="-20"/>
          <w:sz w:val="16"/>
        </w:rPr>
        <w:t xml:space="preserve"> </w:t>
      </w:r>
      <w:r>
        <w:rPr>
          <w:sz w:val="16"/>
        </w:rPr>
        <w:t>normalizada;</w:t>
      </w:r>
    </w:p>
    <w:p w:rsidR="008777CB" w:rsidRDefault="00BA286B">
      <w:pPr>
        <w:pStyle w:val="PargrafodaLista"/>
        <w:numPr>
          <w:ilvl w:val="1"/>
          <w:numId w:val="5"/>
        </w:numPr>
        <w:tabs>
          <w:tab w:val="left" w:pos="915"/>
        </w:tabs>
        <w:spacing w:before="1"/>
        <w:ind w:left="914" w:hanging="93"/>
        <w:rPr>
          <w:sz w:val="16"/>
        </w:rPr>
      </w:pPr>
      <w:r>
        <w:rPr>
          <w:sz w:val="16"/>
        </w:rPr>
        <w:t xml:space="preserve">Pacientes com </w:t>
      </w:r>
      <w:proofErr w:type="spellStart"/>
      <w:r>
        <w:rPr>
          <w:sz w:val="16"/>
        </w:rPr>
        <w:t>hipo</w:t>
      </w:r>
      <w:proofErr w:type="spellEnd"/>
      <w:r>
        <w:rPr>
          <w:sz w:val="16"/>
        </w:rPr>
        <w:t xml:space="preserve"> ou</w:t>
      </w:r>
      <w:r>
        <w:rPr>
          <w:spacing w:val="-5"/>
          <w:sz w:val="16"/>
        </w:rPr>
        <w:t xml:space="preserve"> </w:t>
      </w:r>
      <w:proofErr w:type="spellStart"/>
      <w:r>
        <w:rPr>
          <w:sz w:val="16"/>
        </w:rPr>
        <w:t>hipermagenesemia</w:t>
      </w:r>
      <w:proofErr w:type="spellEnd"/>
      <w:r>
        <w:rPr>
          <w:sz w:val="16"/>
        </w:rPr>
        <w:t>;</w:t>
      </w:r>
    </w:p>
    <w:p w:rsidR="008777CB" w:rsidRDefault="00BA286B">
      <w:pPr>
        <w:pStyle w:val="PargrafodaLista"/>
        <w:numPr>
          <w:ilvl w:val="1"/>
          <w:numId w:val="5"/>
        </w:numPr>
        <w:tabs>
          <w:tab w:val="left" w:pos="915"/>
        </w:tabs>
        <w:spacing w:before="1"/>
        <w:ind w:left="914" w:hanging="93"/>
        <w:rPr>
          <w:sz w:val="16"/>
        </w:rPr>
      </w:pPr>
      <w:r>
        <w:rPr>
          <w:sz w:val="16"/>
        </w:rPr>
        <w:t>Pacientes com hipersensibilidade ou intolerância aos medicamentos preconizados neste</w:t>
      </w:r>
      <w:r>
        <w:rPr>
          <w:spacing w:val="-12"/>
          <w:sz w:val="16"/>
        </w:rPr>
        <w:t xml:space="preserve"> </w:t>
      </w:r>
      <w:r>
        <w:rPr>
          <w:sz w:val="16"/>
        </w:rPr>
        <w:t>Protocolo.</w:t>
      </w:r>
    </w:p>
    <w:p w:rsidR="008777CB" w:rsidRDefault="008777CB">
      <w:pPr>
        <w:pStyle w:val="Corpodetexto"/>
        <w:spacing w:before="10"/>
        <w:ind w:left="0"/>
        <w:rPr>
          <w:sz w:val="15"/>
        </w:rPr>
      </w:pPr>
    </w:p>
    <w:p w:rsidR="008777CB" w:rsidRDefault="00BA286B">
      <w:pPr>
        <w:pStyle w:val="PargrafodaLista"/>
        <w:numPr>
          <w:ilvl w:val="0"/>
          <w:numId w:val="5"/>
        </w:numPr>
        <w:tabs>
          <w:tab w:val="left" w:pos="275"/>
        </w:tabs>
        <w:rPr>
          <w:sz w:val="16"/>
        </w:rPr>
      </w:pPr>
      <w:r>
        <w:rPr>
          <w:sz w:val="16"/>
        </w:rPr>
        <w:t>CASOS</w:t>
      </w:r>
      <w:r>
        <w:rPr>
          <w:spacing w:val="-1"/>
          <w:sz w:val="16"/>
        </w:rPr>
        <w:t xml:space="preserve"> </w:t>
      </w:r>
      <w:r>
        <w:rPr>
          <w:sz w:val="16"/>
        </w:rPr>
        <w:t>ESPECIAIS</w:t>
      </w:r>
    </w:p>
    <w:p w:rsidR="008777CB" w:rsidRDefault="00BA286B">
      <w:pPr>
        <w:pStyle w:val="Corpodetexto"/>
        <w:spacing w:before="1"/>
        <w:ind w:right="267" w:firstLine="566"/>
        <w:jc w:val="both"/>
      </w:pPr>
      <w:r>
        <w:t xml:space="preserve">Pacientes com resistência tecidual à ação do PTH, condição chamada de </w:t>
      </w:r>
      <w:proofErr w:type="spellStart"/>
      <w:r>
        <w:t>pseudohipoparatireodismo</w:t>
      </w:r>
      <w:proofErr w:type="spellEnd"/>
      <w:r>
        <w:t xml:space="preserve">, devem ser incluídos neste Protocolo, e a eles se aplicam os mesmos princípios do tratamento do </w:t>
      </w:r>
      <w:proofErr w:type="spellStart"/>
      <w:r>
        <w:t>hipoparatireoidismo</w:t>
      </w:r>
      <w:proofErr w:type="spellEnd"/>
      <w:r>
        <w:t xml:space="preserve"> (3). Como critério diagnóstico de </w:t>
      </w:r>
      <w:proofErr w:type="spellStart"/>
      <w:r>
        <w:t>pseudohipoparatireoidismo</w:t>
      </w:r>
      <w:proofErr w:type="spellEnd"/>
      <w:r>
        <w:t>, é necessário apresentar as seguintes</w:t>
      </w:r>
      <w:r>
        <w:rPr>
          <w:spacing w:val="-3"/>
        </w:rPr>
        <w:t xml:space="preserve"> </w:t>
      </w:r>
      <w:r>
        <w:t>condições:</w:t>
      </w:r>
    </w:p>
    <w:p w:rsidR="008777CB" w:rsidRDefault="00BA286B">
      <w:pPr>
        <w:pStyle w:val="PargrafodaLista"/>
        <w:numPr>
          <w:ilvl w:val="1"/>
          <w:numId w:val="5"/>
        </w:numPr>
        <w:tabs>
          <w:tab w:val="left" w:pos="815"/>
        </w:tabs>
        <w:spacing w:line="183" w:lineRule="exact"/>
        <w:ind w:left="814" w:hanging="94"/>
        <w:rPr>
          <w:sz w:val="16"/>
        </w:rPr>
      </w:pPr>
      <w:r>
        <w:rPr>
          <w:sz w:val="16"/>
        </w:rPr>
        <w:t>Dosagem</w:t>
      </w:r>
      <w:r>
        <w:rPr>
          <w:spacing w:val="-1"/>
          <w:sz w:val="16"/>
        </w:rPr>
        <w:t xml:space="preserve"> </w:t>
      </w:r>
      <w:r>
        <w:rPr>
          <w:sz w:val="16"/>
        </w:rPr>
        <w:t>sérica</w:t>
      </w:r>
      <w:r>
        <w:rPr>
          <w:spacing w:val="-2"/>
          <w:sz w:val="16"/>
        </w:rPr>
        <w:t xml:space="preserve"> </w:t>
      </w:r>
      <w:r>
        <w:rPr>
          <w:sz w:val="16"/>
        </w:rPr>
        <w:t>de</w:t>
      </w:r>
      <w:r>
        <w:rPr>
          <w:spacing w:val="-2"/>
          <w:sz w:val="16"/>
        </w:rPr>
        <w:t xml:space="preserve"> </w:t>
      </w:r>
      <w:r>
        <w:rPr>
          <w:sz w:val="16"/>
        </w:rPr>
        <w:t>cálcio</w:t>
      </w:r>
      <w:r>
        <w:rPr>
          <w:spacing w:val="-3"/>
          <w:sz w:val="16"/>
        </w:rPr>
        <w:t xml:space="preserve"> </w:t>
      </w:r>
      <w:r>
        <w:rPr>
          <w:sz w:val="16"/>
        </w:rPr>
        <w:t>total</w:t>
      </w:r>
      <w:r>
        <w:rPr>
          <w:spacing w:val="-3"/>
          <w:sz w:val="16"/>
        </w:rPr>
        <w:t xml:space="preserve"> </w:t>
      </w:r>
      <w:r>
        <w:rPr>
          <w:sz w:val="16"/>
        </w:rPr>
        <w:t>corrigido</w:t>
      </w:r>
      <w:r>
        <w:rPr>
          <w:spacing w:val="-1"/>
          <w:sz w:val="16"/>
        </w:rPr>
        <w:t xml:space="preserve"> </w:t>
      </w:r>
      <w:r>
        <w:rPr>
          <w:sz w:val="16"/>
        </w:rPr>
        <w:t>para</w:t>
      </w:r>
      <w:r>
        <w:rPr>
          <w:spacing w:val="-3"/>
          <w:sz w:val="16"/>
        </w:rPr>
        <w:t xml:space="preserve"> </w:t>
      </w:r>
      <w:r>
        <w:rPr>
          <w:sz w:val="16"/>
        </w:rPr>
        <w:t>albumina menor</w:t>
      </w:r>
      <w:r>
        <w:rPr>
          <w:spacing w:val="-2"/>
          <w:sz w:val="16"/>
        </w:rPr>
        <w:t xml:space="preserve"> </w:t>
      </w:r>
      <w:r>
        <w:rPr>
          <w:sz w:val="16"/>
        </w:rPr>
        <w:t>que</w:t>
      </w:r>
      <w:r>
        <w:rPr>
          <w:spacing w:val="-1"/>
          <w:sz w:val="16"/>
        </w:rPr>
        <w:t xml:space="preserve"> </w:t>
      </w:r>
      <w:proofErr w:type="gramStart"/>
      <w:r>
        <w:rPr>
          <w:sz w:val="16"/>
        </w:rPr>
        <w:t>8</w:t>
      </w:r>
      <w:proofErr w:type="gramEnd"/>
      <w:r>
        <w:rPr>
          <w:spacing w:val="-2"/>
          <w:sz w:val="16"/>
        </w:rPr>
        <w:t xml:space="preserve"> </w:t>
      </w:r>
      <w:r>
        <w:rPr>
          <w:sz w:val="16"/>
        </w:rPr>
        <w:t>mg/</w:t>
      </w:r>
      <w:proofErr w:type="spellStart"/>
      <w:r>
        <w:rPr>
          <w:sz w:val="16"/>
        </w:rPr>
        <w:t>dL</w:t>
      </w:r>
      <w:proofErr w:type="spellEnd"/>
      <w:r>
        <w:rPr>
          <w:spacing w:val="-2"/>
          <w:sz w:val="16"/>
        </w:rPr>
        <w:t xml:space="preserve"> </w:t>
      </w:r>
      <w:r>
        <w:rPr>
          <w:sz w:val="16"/>
        </w:rPr>
        <w:t>ou cálcio</w:t>
      </w:r>
      <w:r>
        <w:rPr>
          <w:spacing w:val="-3"/>
          <w:sz w:val="16"/>
        </w:rPr>
        <w:t xml:space="preserve"> </w:t>
      </w:r>
      <w:r>
        <w:rPr>
          <w:sz w:val="16"/>
        </w:rPr>
        <w:t>iônico menor</w:t>
      </w:r>
      <w:r>
        <w:rPr>
          <w:spacing w:val="-4"/>
          <w:sz w:val="16"/>
        </w:rPr>
        <w:t xml:space="preserve"> </w:t>
      </w:r>
      <w:r>
        <w:rPr>
          <w:sz w:val="16"/>
        </w:rPr>
        <w:t>que</w:t>
      </w:r>
      <w:r>
        <w:rPr>
          <w:spacing w:val="-3"/>
          <w:sz w:val="16"/>
        </w:rPr>
        <w:t xml:space="preserve"> </w:t>
      </w:r>
      <w:r>
        <w:rPr>
          <w:sz w:val="16"/>
        </w:rPr>
        <w:t>4</w:t>
      </w:r>
      <w:r>
        <w:rPr>
          <w:spacing w:val="1"/>
          <w:sz w:val="16"/>
        </w:rPr>
        <w:t xml:space="preserve"> </w:t>
      </w:r>
      <w:r>
        <w:rPr>
          <w:sz w:val="16"/>
        </w:rPr>
        <w:t>mg/</w:t>
      </w:r>
      <w:proofErr w:type="spellStart"/>
      <w:r>
        <w:rPr>
          <w:sz w:val="16"/>
        </w:rPr>
        <w:t>dL</w:t>
      </w:r>
      <w:proofErr w:type="spellEnd"/>
      <w:r>
        <w:rPr>
          <w:sz w:val="16"/>
        </w:rPr>
        <w:t>,</w:t>
      </w:r>
    </w:p>
    <w:p w:rsidR="008777CB" w:rsidRDefault="00BA286B">
      <w:pPr>
        <w:pStyle w:val="PargrafodaLista"/>
        <w:numPr>
          <w:ilvl w:val="1"/>
          <w:numId w:val="5"/>
        </w:numPr>
        <w:tabs>
          <w:tab w:val="left" w:pos="774"/>
        </w:tabs>
        <w:spacing w:line="183" w:lineRule="exact"/>
        <w:ind w:left="773" w:hanging="94"/>
        <w:rPr>
          <w:sz w:val="16"/>
        </w:rPr>
      </w:pPr>
      <w:r>
        <w:rPr>
          <w:sz w:val="16"/>
        </w:rPr>
        <w:t xml:space="preserve">Fósforo maior que </w:t>
      </w:r>
      <w:proofErr w:type="gramStart"/>
      <w:r>
        <w:rPr>
          <w:sz w:val="16"/>
        </w:rPr>
        <w:t>5</w:t>
      </w:r>
      <w:proofErr w:type="gramEnd"/>
      <w:r>
        <w:rPr>
          <w:spacing w:val="-4"/>
          <w:sz w:val="16"/>
        </w:rPr>
        <w:t xml:space="preserve"> </w:t>
      </w:r>
      <w:r>
        <w:rPr>
          <w:sz w:val="16"/>
        </w:rPr>
        <w:t>mg/</w:t>
      </w:r>
      <w:proofErr w:type="spellStart"/>
      <w:r>
        <w:rPr>
          <w:sz w:val="16"/>
        </w:rPr>
        <w:t>dL</w:t>
      </w:r>
      <w:proofErr w:type="spellEnd"/>
      <w:r>
        <w:rPr>
          <w:sz w:val="16"/>
        </w:rPr>
        <w:t>,</w:t>
      </w:r>
    </w:p>
    <w:p w:rsidR="008777CB" w:rsidRDefault="00BA286B">
      <w:pPr>
        <w:pStyle w:val="PargrafodaLista"/>
        <w:numPr>
          <w:ilvl w:val="1"/>
          <w:numId w:val="5"/>
        </w:numPr>
        <w:tabs>
          <w:tab w:val="left" w:pos="774"/>
        </w:tabs>
        <w:spacing w:before="1"/>
        <w:ind w:left="773" w:hanging="94"/>
        <w:rPr>
          <w:sz w:val="16"/>
        </w:rPr>
      </w:pPr>
      <w:r>
        <w:rPr>
          <w:sz w:val="16"/>
        </w:rPr>
        <w:t>Taxa de filtração glomerular estimada (</w:t>
      </w:r>
      <w:proofErr w:type="spellStart"/>
      <w:proofErr w:type="gramStart"/>
      <w:r>
        <w:rPr>
          <w:sz w:val="16"/>
        </w:rPr>
        <w:t>TFGe</w:t>
      </w:r>
      <w:proofErr w:type="spellEnd"/>
      <w:proofErr w:type="gramEnd"/>
      <w:r>
        <w:rPr>
          <w:sz w:val="16"/>
        </w:rPr>
        <w:t xml:space="preserve">) maior que 60 </w:t>
      </w:r>
      <w:proofErr w:type="spellStart"/>
      <w:r>
        <w:rPr>
          <w:sz w:val="16"/>
        </w:rPr>
        <w:t>mL</w:t>
      </w:r>
      <w:proofErr w:type="spellEnd"/>
      <w:r>
        <w:rPr>
          <w:sz w:val="16"/>
        </w:rPr>
        <w:t>/min/1,73m</w:t>
      </w:r>
      <w:r>
        <w:rPr>
          <w:sz w:val="16"/>
          <w:vertAlign w:val="superscript"/>
        </w:rPr>
        <w:t>2</w:t>
      </w:r>
      <w:r>
        <w:rPr>
          <w:spacing w:val="-2"/>
          <w:sz w:val="16"/>
        </w:rPr>
        <w:t xml:space="preserve"> </w:t>
      </w:r>
      <w:r>
        <w:rPr>
          <w:sz w:val="16"/>
        </w:rPr>
        <w:t>e</w:t>
      </w:r>
    </w:p>
    <w:p w:rsidR="008777CB" w:rsidRDefault="00BA286B">
      <w:pPr>
        <w:pStyle w:val="PargrafodaLista"/>
        <w:numPr>
          <w:ilvl w:val="1"/>
          <w:numId w:val="5"/>
        </w:numPr>
        <w:tabs>
          <w:tab w:val="left" w:pos="774"/>
        </w:tabs>
        <w:spacing w:before="1" w:line="183" w:lineRule="exact"/>
        <w:ind w:left="773" w:hanging="94"/>
        <w:rPr>
          <w:sz w:val="16"/>
        </w:rPr>
      </w:pPr>
      <w:r>
        <w:rPr>
          <w:sz w:val="16"/>
        </w:rPr>
        <w:t>PTH normal ou</w:t>
      </w:r>
      <w:r>
        <w:rPr>
          <w:spacing w:val="-2"/>
          <w:sz w:val="16"/>
        </w:rPr>
        <w:t xml:space="preserve"> </w:t>
      </w:r>
      <w:r>
        <w:rPr>
          <w:sz w:val="16"/>
        </w:rPr>
        <w:t>aumentado.</w:t>
      </w:r>
    </w:p>
    <w:p w:rsidR="008777CB" w:rsidRDefault="00BA286B">
      <w:pPr>
        <w:pStyle w:val="Corpodetexto"/>
        <w:ind w:right="270" w:firstLine="566"/>
        <w:jc w:val="both"/>
      </w:pPr>
      <w:r>
        <w:t xml:space="preserve">O tratamento de mulheres com </w:t>
      </w:r>
      <w:proofErr w:type="spellStart"/>
      <w:r>
        <w:t>hipoparatireoidismo</w:t>
      </w:r>
      <w:proofErr w:type="spellEnd"/>
      <w:r>
        <w:t xml:space="preserve"> durante a gestação e período puerperal requer cuidados especiais. O principal risco para</w:t>
      </w:r>
      <w:proofErr w:type="gramStart"/>
      <w:r>
        <w:t xml:space="preserve">  </w:t>
      </w:r>
      <w:proofErr w:type="gramEnd"/>
      <w:r>
        <w:t xml:space="preserve">o feto de gestantes com </w:t>
      </w:r>
      <w:proofErr w:type="spellStart"/>
      <w:r>
        <w:t>hipoparatireoidismo</w:t>
      </w:r>
      <w:proofErr w:type="spellEnd"/>
      <w:r>
        <w:t xml:space="preserve"> ou </w:t>
      </w:r>
      <w:proofErr w:type="spellStart"/>
      <w:r>
        <w:t>pseudohipoparatireoidismo</w:t>
      </w:r>
      <w:proofErr w:type="spellEnd"/>
      <w:r>
        <w:t xml:space="preserve"> é o desenvolvimento de </w:t>
      </w:r>
      <w:proofErr w:type="spellStart"/>
      <w:r>
        <w:t>hiperparatireoidismo</w:t>
      </w:r>
      <w:proofErr w:type="spellEnd"/>
      <w:r>
        <w:t xml:space="preserve"> secundário e desmineralização óssea (16). A vitamina D sintética 1-alfa-hidroxilada com maior experiência de uso durante a gestação é o </w:t>
      </w:r>
      <w:proofErr w:type="spellStart"/>
      <w:r>
        <w:t>calcitriol</w:t>
      </w:r>
      <w:proofErr w:type="spellEnd"/>
      <w:r>
        <w:t xml:space="preserve">. Ao longo da gestação, há necessidade de aumento da dose do </w:t>
      </w:r>
      <w:proofErr w:type="spellStart"/>
      <w:r>
        <w:t>calcitriol</w:t>
      </w:r>
      <w:proofErr w:type="spellEnd"/>
      <w:r>
        <w:t xml:space="preserve"> para a manutenção dos níveis de cálcio no limite inferior da normalidade (16). Após o parto, as necessidades de </w:t>
      </w:r>
      <w:proofErr w:type="spellStart"/>
      <w:r>
        <w:t>calcitriol</w:t>
      </w:r>
      <w:proofErr w:type="spellEnd"/>
      <w:r>
        <w:t xml:space="preserve"> retornam para o patamar</w:t>
      </w:r>
      <w:r>
        <w:rPr>
          <w:spacing w:val="-16"/>
        </w:rPr>
        <w:t xml:space="preserve"> </w:t>
      </w:r>
      <w:proofErr w:type="spellStart"/>
      <w:r>
        <w:t>pré</w:t>
      </w:r>
      <w:proofErr w:type="spellEnd"/>
      <w:r>
        <w:t>-gestacional.</w:t>
      </w:r>
    </w:p>
    <w:p w:rsidR="008777CB" w:rsidRDefault="008777CB">
      <w:pPr>
        <w:pStyle w:val="Corpodetexto"/>
        <w:spacing w:before="10"/>
        <w:ind w:left="0"/>
        <w:rPr>
          <w:sz w:val="15"/>
        </w:rPr>
      </w:pPr>
    </w:p>
    <w:p w:rsidR="008777CB" w:rsidRDefault="00BA286B">
      <w:pPr>
        <w:pStyle w:val="PargrafodaLista"/>
        <w:numPr>
          <w:ilvl w:val="0"/>
          <w:numId w:val="5"/>
        </w:numPr>
        <w:tabs>
          <w:tab w:val="left" w:pos="277"/>
        </w:tabs>
        <w:spacing w:before="1"/>
        <w:ind w:left="276" w:hanging="164"/>
        <w:rPr>
          <w:sz w:val="16"/>
        </w:rPr>
      </w:pPr>
      <w:r>
        <w:rPr>
          <w:sz w:val="16"/>
        </w:rPr>
        <w:t>TRATAMENTO</w:t>
      </w:r>
    </w:p>
    <w:p w:rsidR="008777CB" w:rsidRDefault="00BA286B">
      <w:pPr>
        <w:pStyle w:val="Corpodetexto"/>
        <w:ind w:right="268" w:firstLine="566"/>
        <w:jc w:val="both"/>
      </w:pPr>
      <w:r>
        <w:t xml:space="preserve">O tratamento padrão do </w:t>
      </w:r>
      <w:proofErr w:type="spellStart"/>
      <w:r>
        <w:t>hipoparatireoidismo</w:t>
      </w:r>
      <w:proofErr w:type="spellEnd"/>
      <w:r>
        <w:t xml:space="preserve"> é feito com a associação de </w:t>
      </w:r>
      <w:proofErr w:type="spellStart"/>
      <w:r>
        <w:t>calcitriol</w:t>
      </w:r>
      <w:proofErr w:type="spellEnd"/>
      <w:r>
        <w:t>/</w:t>
      </w:r>
      <w:proofErr w:type="spellStart"/>
      <w:r>
        <w:t>alfacalcidol</w:t>
      </w:r>
      <w:proofErr w:type="spellEnd"/>
      <w:r>
        <w:t xml:space="preserve"> e carbonato de cálcio, tendo por objetivo</w:t>
      </w:r>
      <w:proofErr w:type="gramStart"/>
      <w:r>
        <w:t xml:space="preserve">  </w:t>
      </w:r>
      <w:proofErr w:type="gramEnd"/>
      <w:r>
        <w:t xml:space="preserve">evitar complicações agudas e crônicas da hipocalcemia. O </w:t>
      </w:r>
      <w:proofErr w:type="spellStart"/>
      <w:r>
        <w:t>hipoparatireoidismo</w:t>
      </w:r>
      <w:proofErr w:type="spellEnd"/>
      <w:r>
        <w:t xml:space="preserve"> associado à hipocalcemia grave, que se </w:t>
      </w:r>
      <w:proofErr w:type="gramStart"/>
      <w:r>
        <w:t>manifesta</w:t>
      </w:r>
      <w:proofErr w:type="gramEnd"/>
      <w:r>
        <w:t xml:space="preserve"> com </w:t>
      </w:r>
      <w:proofErr w:type="spellStart"/>
      <w:r>
        <w:t>tetania</w:t>
      </w:r>
      <w:proofErr w:type="spellEnd"/>
      <w:r>
        <w:t xml:space="preserve">, convulsões ou prolongamento do intervalo QT no eletrocardiograma, deve ser tratado emergencialmente, a nível hospitalar, com administração intravenosa de </w:t>
      </w:r>
      <w:proofErr w:type="spellStart"/>
      <w:r>
        <w:t>gliconato</w:t>
      </w:r>
      <w:proofErr w:type="spellEnd"/>
      <w:r>
        <w:t xml:space="preserve"> ou cloreto de cálcio. O tratamento de manutenção consiste na correção da </w:t>
      </w:r>
      <w:proofErr w:type="spellStart"/>
      <w:r>
        <w:t>calcemia</w:t>
      </w:r>
      <w:proofErr w:type="spellEnd"/>
      <w:r>
        <w:t xml:space="preserve"> pela administração de cálcio e vitamina</w:t>
      </w:r>
      <w:proofErr w:type="gramStart"/>
      <w:r>
        <w:t xml:space="preserve">  </w:t>
      </w:r>
      <w:proofErr w:type="gramEnd"/>
      <w:r>
        <w:t>D sintética 1-alfa-hidroxilada por via oral (1,</w:t>
      </w:r>
      <w:r>
        <w:rPr>
          <w:spacing w:val="-7"/>
        </w:rPr>
        <w:t xml:space="preserve"> </w:t>
      </w:r>
      <w:r>
        <w:t>2).</w:t>
      </w:r>
    </w:p>
    <w:p w:rsidR="008777CB" w:rsidRDefault="00BA286B">
      <w:pPr>
        <w:pStyle w:val="Corpodetexto"/>
        <w:spacing w:before="1" w:line="237" w:lineRule="auto"/>
        <w:ind w:right="268" w:firstLine="566"/>
        <w:jc w:val="both"/>
      </w:pPr>
      <w:r>
        <w:t xml:space="preserve">A administração de formas ativas da vitamina D se faz necessária uma vez que o PTH, principal estímulo para conversão renal de 25- </w:t>
      </w:r>
      <w:proofErr w:type="spellStart"/>
      <w:r>
        <w:t>hidroxivitamina</w:t>
      </w:r>
      <w:proofErr w:type="spellEnd"/>
      <w:r>
        <w:t xml:space="preserve"> D em 1,25-dihidroxivitamina D</w:t>
      </w:r>
      <w:proofErr w:type="gramStart"/>
      <w:r>
        <w:t>, está</w:t>
      </w:r>
      <w:proofErr w:type="gramEnd"/>
      <w:r>
        <w:t xml:space="preserve"> ausente. A vitamina D ativa tem papel importante na absorção gastrointestinal de cálcio. Logo </w:t>
      </w:r>
      <w:r>
        <w:rPr>
          <w:position w:val="2"/>
        </w:rPr>
        <w:t>que foram sintetizados, os metabólitos 1-alfa-hidroxilados da vitamina D</w:t>
      </w:r>
      <w:r>
        <w:rPr>
          <w:sz w:val="10"/>
        </w:rPr>
        <w:t xml:space="preserve">3 </w:t>
      </w:r>
      <w:r>
        <w:rPr>
          <w:position w:val="2"/>
        </w:rPr>
        <w:t xml:space="preserve">passaram a ser utilizados no tratamento do </w:t>
      </w:r>
      <w:proofErr w:type="spellStart"/>
      <w:r>
        <w:rPr>
          <w:position w:val="2"/>
        </w:rPr>
        <w:t>hipoparatireoidismo</w:t>
      </w:r>
      <w:proofErr w:type="spellEnd"/>
      <w:r>
        <w:rPr>
          <w:position w:val="2"/>
        </w:rPr>
        <w:t xml:space="preserve">, sendo as </w:t>
      </w:r>
      <w:r>
        <w:t>evidências de benefício provenientes de séries de casos, não havendo estudos comparados contra placebo (</w:t>
      </w:r>
      <w:proofErr w:type="gramStart"/>
      <w:r>
        <w:t>17, 18</w:t>
      </w:r>
      <w:proofErr w:type="gramEnd"/>
      <w:r>
        <w:t>).</w:t>
      </w:r>
    </w:p>
    <w:p w:rsidR="008777CB" w:rsidRDefault="00BA286B">
      <w:pPr>
        <w:pStyle w:val="Corpodetexto"/>
        <w:spacing w:before="3" w:line="235" w:lineRule="auto"/>
        <w:ind w:right="267" w:firstLine="566"/>
        <w:jc w:val="both"/>
      </w:pPr>
      <w:r>
        <w:t xml:space="preserve">As formas de vitamina D </w:t>
      </w:r>
      <w:proofErr w:type="gramStart"/>
      <w:r>
        <w:t>sintética 1-alfa-hidroxilada disponíveis</w:t>
      </w:r>
      <w:proofErr w:type="gramEnd"/>
      <w:r>
        <w:t xml:space="preserve"> no Brasil para o tratamento do </w:t>
      </w:r>
      <w:proofErr w:type="spellStart"/>
      <w:r>
        <w:t>hipoparatireoidismo</w:t>
      </w:r>
      <w:proofErr w:type="spellEnd"/>
      <w:r>
        <w:t xml:space="preserve"> são o </w:t>
      </w:r>
      <w:proofErr w:type="spellStart"/>
      <w:r>
        <w:t>alfacalcidol</w:t>
      </w:r>
      <w:proofErr w:type="spellEnd"/>
      <w:r>
        <w:t xml:space="preserve"> (1- </w:t>
      </w:r>
      <w:r>
        <w:rPr>
          <w:position w:val="2"/>
        </w:rPr>
        <w:t>alfa-</w:t>
      </w:r>
      <w:proofErr w:type="spellStart"/>
      <w:r>
        <w:rPr>
          <w:position w:val="2"/>
        </w:rPr>
        <w:t>hidroxivitamina</w:t>
      </w:r>
      <w:proofErr w:type="spellEnd"/>
      <w:r>
        <w:rPr>
          <w:position w:val="2"/>
        </w:rPr>
        <w:t xml:space="preserve"> D</w:t>
      </w:r>
      <w:r>
        <w:rPr>
          <w:sz w:val="10"/>
        </w:rPr>
        <w:t>3</w:t>
      </w:r>
      <w:r>
        <w:rPr>
          <w:position w:val="2"/>
        </w:rPr>
        <w:t xml:space="preserve">), que necessita ser </w:t>
      </w:r>
      <w:proofErr w:type="spellStart"/>
      <w:r>
        <w:rPr>
          <w:position w:val="2"/>
        </w:rPr>
        <w:t>hidroxilado</w:t>
      </w:r>
      <w:proofErr w:type="spellEnd"/>
      <w:r>
        <w:rPr>
          <w:position w:val="2"/>
        </w:rPr>
        <w:t xml:space="preserve"> no carbono 25 no fígado, antes de se tornar o metabólito ativo 1,25-dihidroxivitamina D</w:t>
      </w:r>
      <w:r>
        <w:rPr>
          <w:sz w:val="10"/>
        </w:rPr>
        <w:t>3</w:t>
      </w:r>
      <w:r>
        <w:rPr>
          <w:position w:val="2"/>
        </w:rPr>
        <w:t xml:space="preserve">; e o </w:t>
      </w:r>
      <w:proofErr w:type="spellStart"/>
      <w:r>
        <w:rPr>
          <w:position w:val="2"/>
        </w:rPr>
        <w:t>calcitriol</w:t>
      </w:r>
      <w:proofErr w:type="spellEnd"/>
      <w:r>
        <w:rPr>
          <w:position w:val="2"/>
        </w:rPr>
        <w:t xml:space="preserve"> (1,25-dihidroxivitamina D</w:t>
      </w:r>
      <w:r>
        <w:rPr>
          <w:sz w:val="10"/>
        </w:rPr>
        <w:t>3</w:t>
      </w:r>
      <w:r>
        <w:rPr>
          <w:position w:val="2"/>
        </w:rPr>
        <w:t xml:space="preserve">), forma já ativa que não precisa ser ativada para ter efeito (19). A comparação do </w:t>
      </w:r>
      <w:proofErr w:type="spellStart"/>
      <w:r>
        <w:rPr>
          <w:position w:val="2"/>
        </w:rPr>
        <w:t>alfacalcidiol</w:t>
      </w:r>
      <w:proofErr w:type="spellEnd"/>
      <w:r>
        <w:rPr>
          <w:position w:val="2"/>
        </w:rPr>
        <w:t xml:space="preserve"> com o </w:t>
      </w:r>
      <w:proofErr w:type="spellStart"/>
      <w:r>
        <w:rPr>
          <w:position w:val="2"/>
        </w:rPr>
        <w:t>calcitriol</w:t>
      </w:r>
      <w:proofErr w:type="spellEnd"/>
      <w:r>
        <w:rPr>
          <w:position w:val="2"/>
        </w:rPr>
        <w:t xml:space="preserve"> </w:t>
      </w:r>
      <w:r>
        <w:t xml:space="preserve">mostrou que ambas as formas de vitamina D sintética 1-alfa-hidroxilada são efetivas e apresentam perfil de segurança comparável no tratamento do </w:t>
      </w:r>
      <w:proofErr w:type="spellStart"/>
      <w:r>
        <w:t>hipoparatireoidismo</w:t>
      </w:r>
      <w:proofErr w:type="spellEnd"/>
      <w:r>
        <w:t xml:space="preserve"> (20). Com boa absorção por via oral, o </w:t>
      </w:r>
      <w:proofErr w:type="spellStart"/>
      <w:r>
        <w:t>calcitriol</w:t>
      </w:r>
      <w:proofErr w:type="spellEnd"/>
      <w:r>
        <w:t xml:space="preserve"> e o </w:t>
      </w:r>
      <w:proofErr w:type="spellStart"/>
      <w:r>
        <w:t>alfacalcidol</w:t>
      </w:r>
      <w:proofErr w:type="spellEnd"/>
      <w:r>
        <w:t xml:space="preserve"> começam a ter efeito cerca de 1-2 dias depois de ingeridos (1). Circulam ligados a proteínas (99,9%), tendo efeito por cerca de 3-5 dias após a ingestão (</w:t>
      </w:r>
      <w:proofErr w:type="gramStart"/>
      <w:r>
        <w:t>1, 19</w:t>
      </w:r>
      <w:proofErr w:type="gramEnd"/>
      <w:r>
        <w:t>).</w:t>
      </w:r>
    </w:p>
    <w:p w:rsidR="008777CB" w:rsidRDefault="00BA286B">
      <w:pPr>
        <w:pStyle w:val="Corpodetexto"/>
        <w:spacing w:before="5"/>
        <w:ind w:right="269" w:firstLine="566"/>
        <w:jc w:val="both"/>
      </w:pPr>
      <w:r>
        <w:t xml:space="preserve">Nos pacientes com </w:t>
      </w:r>
      <w:proofErr w:type="spellStart"/>
      <w:r>
        <w:t>hipoparatireoidismo</w:t>
      </w:r>
      <w:proofErr w:type="spellEnd"/>
      <w:r>
        <w:t xml:space="preserve"> tratados com cálcio e vitamina D sintética 1-alfa-hidroxilada, um dos efeitos indesejados é o desenvolvimento de </w:t>
      </w:r>
      <w:proofErr w:type="spellStart"/>
      <w:r>
        <w:t>hipercalciúria</w:t>
      </w:r>
      <w:proofErr w:type="spellEnd"/>
      <w:r>
        <w:t xml:space="preserve">, pois o PTH tem efeito </w:t>
      </w:r>
      <w:proofErr w:type="spellStart"/>
      <w:r>
        <w:t>anticalciúrico</w:t>
      </w:r>
      <w:proofErr w:type="spellEnd"/>
      <w:r>
        <w:t xml:space="preserve"> (</w:t>
      </w:r>
      <w:proofErr w:type="gramStart"/>
      <w:r>
        <w:t>1, 21</w:t>
      </w:r>
      <w:proofErr w:type="gramEnd"/>
      <w:r>
        <w:t xml:space="preserve">). Nesses casos, </w:t>
      </w:r>
      <w:proofErr w:type="gramStart"/>
      <w:r>
        <w:t>limitação da ingestão de sódio, uso</w:t>
      </w:r>
      <w:proofErr w:type="gramEnd"/>
      <w:r>
        <w:t xml:space="preserve"> de diuréticos </w:t>
      </w:r>
      <w:proofErr w:type="spellStart"/>
      <w:r>
        <w:t>tiazídicos</w:t>
      </w:r>
      <w:proofErr w:type="spellEnd"/>
      <w:r>
        <w:t xml:space="preserve">, ou redução nas doses de cálcio ou vitamina D sintética 1-alfa-hidroxilada podem ser necessários (1, 2). Essas medidas também podem ser utilizadas no início do tratamento, para prevenir </w:t>
      </w:r>
      <w:proofErr w:type="spellStart"/>
      <w:r>
        <w:t>hipercalciúria</w:t>
      </w:r>
      <w:proofErr w:type="spellEnd"/>
      <w:r>
        <w:t xml:space="preserve"> (1).</w:t>
      </w:r>
    </w:p>
    <w:p w:rsidR="008777CB" w:rsidRDefault="00BA286B">
      <w:pPr>
        <w:pStyle w:val="Corpodetexto"/>
        <w:spacing w:before="1"/>
        <w:ind w:right="268" w:firstLine="566"/>
        <w:jc w:val="both"/>
      </w:pPr>
      <w:r>
        <w:t xml:space="preserve">Outro medicamento que vem sendo recentemente estudado para o tratamento do </w:t>
      </w:r>
      <w:proofErr w:type="spellStart"/>
      <w:r>
        <w:t>hipoparatireodismo</w:t>
      </w:r>
      <w:proofErr w:type="spellEnd"/>
      <w:r>
        <w:t xml:space="preserve"> é o PTH recombinante. </w:t>
      </w:r>
      <w:r>
        <w:rPr>
          <w:spacing w:val="2"/>
        </w:rPr>
        <w:t xml:space="preserve">Esse </w:t>
      </w:r>
      <w:r>
        <w:t xml:space="preserve">medicamento, utilizado por via subcutânea, parece diminuir as necessidades de reposição de cálcio e vitamina D 1-alfa-hidroxilada. Em um primeiro ensaio clínico, 62 pacientes foram randomizados para uso de PTH recombinante ou placebo, associado ao tratamento convencional (cálcio e vitamina D ativa). Os pacientes randomizados para o uso de PTH recombinante tiveram as doses das reposições de cálcio e vitamina D </w:t>
      </w:r>
      <w:proofErr w:type="gramStart"/>
      <w:r>
        <w:t>ativa reduzidas em 75% e 73%, respectivamente, sem desenvolvimento de hipocalcemia</w:t>
      </w:r>
      <w:proofErr w:type="gramEnd"/>
      <w:r>
        <w:t xml:space="preserve"> (22). Em um ensaio clínico randomizado semelhante que incluiu 134 pacientes adultos, 53% dos pacientes do grupo que utilizou PTH recombinante tiveram as doses dos medicamentos reduzidas, comparado com 2% do grupo placebo (23)</w:t>
      </w:r>
      <w:r>
        <w:rPr>
          <w:color w:val="B60013"/>
        </w:rPr>
        <w:t xml:space="preserve">. </w:t>
      </w:r>
      <w:r>
        <w:t xml:space="preserve">Em um estudo que acompanhou pacientes em uso de PTH recombinante para </w:t>
      </w:r>
      <w:proofErr w:type="spellStart"/>
      <w:r>
        <w:t>hipoparatireoidismo</w:t>
      </w:r>
      <w:proofErr w:type="spellEnd"/>
      <w:r>
        <w:t xml:space="preserve"> por </w:t>
      </w:r>
      <w:proofErr w:type="gramStart"/>
      <w:r>
        <w:t>4</w:t>
      </w:r>
      <w:proofErr w:type="gramEnd"/>
      <w:r>
        <w:t xml:space="preserve"> anos, foram demonstrados resultados semelhantes: redução da necessidade de reposição de cálcio em 37% e de </w:t>
      </w:r>
      <w:proofErr w:type="spellStart"/>
      <w:r>
        <w:t>calcitriol</w:t>
      </w:r>
      <w:proofErr w:type="spellEnd"/>
      <w:r>
        <w:t xml:space="preserve"> em 45%; além disso, sete pacientes (26% da amostra) conseguiram suspender o uso de </w:t>
      </w:r>
      <w:proofErr w:type="spellStart"/>
      <w:r>
        <w:t>calcitriol</w:t>
      </w:r>
      <w:proofErr w:type="spellEnd"/>
      <w:r>
        <w:t xml:space="preserve"> (24). Em crianças, um ensaio clínico randomizado comparou o PTH recombinante com </w:t>
      </w:r>
      <w:proofErr w:type="spellStart"/>
      <w:r>
        <w:t>calcitriol</w:t>
      </w:r>
      <w:proofErr w:type="spellEnd"/>
      <w:r>
        <w:t xml:space="preserve">. Para isso, foram randomizadas 12 crianças com </w:t>
      </w:r>
      <w:proofErr w:type="spellStart"/>
      <w:r>
        <w:t>hipoparatireoidismo</w:t>
      </w:r>
      <w:proofErr w:type="spellEnd"/>
      <w:r>
        <w:t xml:space="preserve"> crônico, descobrindo-se que os grupos tratamento (PTH recombinante) e controle (</w:t>
      </w:r>
      <w:proofErr w:type="spellStart"/>
      <w:r>
        <w:t>calcitriol</w:t>
      </w:r>
      <w:proofErr w:type="spellEnd"/>
      <w:r>
        <w:t xml:space="preserve">) apresentaram desfechos semelhantes (medidos principalmente por meio de exames laboratoriais) (25). Outros ensaios clínicos randomizados avaliando o uso de PTH recombinante no tratamento do </w:t>
      </w:r>
      <w:proofErr w:type="spellStart"/>
      <w:r>
        <w:t>hipoparatireodismo</w:t>
      </w:r>
      <w:proofErr w:type="spellEnd"/>
      <w:r>
        <w:t xml:space="preserve"> demonstraram não haver beneficio sobre força muscular ou qualidade de vida (26) </w:t>
      </w:r>
      <w:r>
        <w:rPr>
          <w:color w:val="221F1F"/>
        </w:rPr>
        <w:t>ou melhora da qualidade do osso medida por meio de tomografia (27)</w:t>
      </w:r>
      <w:r>
        <w:t>. Tendo em vista esses resultados, o PTH recombinante não está recomendado neste PCDT, por não apresentar superioridade em relação ao tratamento padrão. Além disso, não existem ainda dados de maior tempo do seu uso nessa população de</w:t>
      </w:r>
      <w:r>
        <w:rPr>
          <w:spacing w:val="-12"/>
        </w:rPr>
        <w:t xml:space="preserve"> </w:t>
      </w:r>
      <w:r>
        <w:t>pacientes.</w:t>
      </w:r>
    </w:p>
    <w:p w:rsidR="008777CB" w:rsidRDefault="008777CB">
      <w:pPr>
        <w:pStyle w:val="Corpodetexto"/>
        <w:spacing w:before="11"/>
        <w:ind w:left="0"/>
        <w:rPr>
          <w:sz w:val="15"/>
        </w:rPr>
      </w:pPr>
    </w:p>
    <w:p w:rsidR="008777CB" w:rsidRDefault="00BA286B">
      <w:pPr>
        <w:pStyle w:val="PargrafodaLista"/>
        <w:numPr>
          <w:ilvl w:val="1"/>
          <w:numId w:val="3"/>
        </w:numPr>
        <w:tabs>
          <w:tab w:val="left" w:pos="922"/>
        </w:tabs>
        <w:rPr>
          <w:sz w:val="16"/>
        </w:rPr>
      </w:pPr>
      <w:r>
        <w:rPr>
          <w:sz w:val="16"/>
        </w:rPr>
        <w:t>FÁRMACOS</w:t>
      </w:r>
    </w:p>
    <w:p w:rsidR="008777CB" w:rsidRDefault="00BA286B">
      <w:pPr>
        <w:pStyle w:val="PargrafodaLista"/>
        <w:numPr>
          <w:ilvl w:val="1"/>
          <w:numId w:val="5"/>
        </w:numPr>
        <w:tabs>
          <w:tab w:val="left" w:pos="774"/>
        </w:tabs>
        <w:spacing w:before="1" w:line="183" w:lineRule="exact"/>
        <w:ind w:left="112" w:firstLine="567"/>
        <w:rPr>
          <w:sz w:val="16"/>
        </w:rPr>
      </w:pPr>
      <w:r>
        <w:rPr>
          <w:sz w:val="16"/>
        </w:rPr>
        <w:t xml:space="preserve">Carbonato de cálcio: comprimidos de 500 </w:t>
      </w:r>
      <w:proofErr w:type="gramStart"/>
      <w:r>
        <w:rPr>
          <w:sz w:val="16"/>
        </w:rPr>
        <w:t>mg</w:t>
      </w:r>
      <w:proofErr w:type="gramEnd"/>
      <w:r>
        <w:rPr>
          <w:sz w:val="16"/>
        </w:rPr>
        <w:t xml:space="preserve"> de</w:t>
      </w:r>
      <w:r>
        <w:rPr>
          <w:spacing w:val="-11"/>
          <w:sz w:val="16"/>
        </w:rPr>
        <w:t xml:space="preserve"> </w:t>
      </w:r>
      <w:r>
        <w:rPr>
          <w:sz w:val="16"/>
        </w:rPr>
        <w:t>cálcio</w:t>
      </w:r>
    </w:p>
    <w:p w:rsidR="008777CB" w:rsidRDefault="00BA286B">
      <w:pPr>
        <w:pStyle w:val="PargrafodaLista"/>
        <w:numPr>
          <w:ilvl w:val="1"/>
          <w:numId w:val="5"/>
        </w:numPr>
        <w:tabs>
          <w:tab w:val="left" w:pos="774"/>
        </w:tabs>
        <w:spacing w:line="183" w:lineRule="exact"/>
        <w:ind w:left="112" w:firstLine="567"/>
        <w:rPr>
          <w:sz w:val="16"/>
        </w:rPr>
      </w:pPr>
      <w:r>
        <w:rPr>
          <w:sz w:val="16"/>
        </w:rPr>
        <w:t>Carbonato</w:t>
      </w:r>
      <w:r>
        <w:rPr>
          <w:spacing w:val="-3"/>
          <w:sz w:val="16"/>
        </w:rPr>
        <w:t xml:space="preserve"> </w:t>
      </w:r>
      <w:r>
        <w:rPr>
          <w:sz w:val="16"/>
        </w:rPr>
        <w:t>de</w:t>
      </w:r>
      <w:r>
        <w:rPr>
          <w:spacing w:val="-5"/>
          <w:sz w:val="16"/>
        </w:rPr>
        <w:t xml:space="preserve"> </w:t>
      </w:r>
      <w:r>
        <w:rPr>
          <w:sz w:val="16"/>
        </w:rPr>
        <w:t>cálcio</w:t>
      </w:r>
      <w:r>
        <w:rPr>
          <w:spacing w:val="-4"/>
          <w:sz w:val="16"/>
        </w:rPr>
        <w:t xml:space="preserve"> </w:t>
      </w:r>
      <w:r>
        <w:rPr>
          <w:sz w:val="16"/>
        </w:rPr>
        <w:t>+</w:t>
      </w:r>
      <w:r>
        <w:rPr>
          <w:spacing w:val="-1"/>
          <w:sz w:val="16"/>
        </w:rPr>
        <w:t xml:space="preserve"> </w:t>
      </w:r>
      <w:proofErr w:type="spellStart"/>
      <w:r>
        <w:rPr>
          <w:sz w:val="16"/>
        </w:rPr>
        <w:t>colecalciferol</w:t>
      </w:r>
      <w:proofErr w:type="spellEnd"/>
      <w:r>
        <w:rPr>
          <w:sz w:val="16"/>
        </w:rPr>
        <w:t>:</w:t>
      </w:r>
      <w:r>
        <w:rPr>
          <w:spacing w:val="-2"/>
          <w:sz w:val="16"/>
        </w:rPr>
        <w:t xml:space="preserve"> </w:t>
      </w:r>
      <w:r>
        <w:rPr>
          <w:sz w:val="16"/>
        </w:rPr>
        <w:t>comprimidos</w:t>
      </w:r>
      <w:r>
        <w:rPr>
          <w:spacing w:val="-3"/>
          <w:sz w:val="16"/>
        </w:rPr>
        <w:t xml:space="preserve"> </w:t>
      </w:r>
      <w:r>
        <w:rPr>
          <w:sz w:val="16"/>
        </w:rPr>
        <w:t>de</w:t>
      </w:r>
      <w:r>
        <w:rPr>
          <w:spacing w:val="-3"/>
          <w:sz w:val="16"/>
        </w:rPr>
        <w:t xml:space="preserve"> </w:t>
      </w:r>
      <w:r>
        <w:rPr>
          <w:sz w:val="16"/>
        </w:rPr>
        <w:t>500</w:t>
      </w:r>
      <w:r>
        <w:rPr>
          <w:spacing w:val="-1"/>
          <w:sz w:val="16"/>
        </w:rPr>
        <w:t xml:space="preserve"> </w:t>
      </w:r>
      <w:proofErr w:type="gramStart"/>
      <w:r>
        <w:rPr>
          <w:sz w:val="16"/>
        </w:rPr>
        <w:t>mg</w:t>
      </w:r>
      <w:proofErr w:type="gramEnd"/>
      <w:r>
        <w:rPr>
          <w:spacing w:val="-3"/>
          <w:sz w:val="16"/>
        </w:rPr>
        <w:t xml:space="preserve"> </w:t>
      </w:r>
      <w:r>
        <w:rPr>
          <w:sz w:val="16"/>
        </w:rPr>
        <w:t>de</w:t>
      </w:r>
      <w:r>
        <w:rPr>
          <w:spacing w:val="-3"/>
          <w:sz w:val="16"/>
        </w:rPr>
        <w:t xml:space="preserve"> </w:t>
      </w:r>
      <w:r>
        <w:rPr>
          <w:sz w:val="16"/>
        </w:rPr>
        <w:t>cálcio</w:t>
      </w:r>
      <w:r>
        <w:rPr>
          <w:spacing w:val="-2"/>
          <w:sz w:val="16"/>
        </w:rPr>
        <w:t xml:space="preserve"> </w:t>
      </w:r>
      <w:r>
        <w:rPr>
          <w:sz w:val="16"/>
        </w:rPr>
        <w:t>+</w:t>
      </w:r>
      <w:r>
        <w:rPr>
          <w:spacing w:val="-3"/>
          <w:sz w:val="16"/>
        </w:rPr>
        <w:t xml:space="preserve"> </w:t>
      </w:r>
      <w:r>
        <w:rPr>
          <w:sz w:val="16"/>
        </w:rPr>
        <w:t>200 UI</w:t>
      </w:r>
    </w:p>
    <w:p w:rsidR="008777CB" w:rsidRDefault="00BA286B">
      <w:pPr>
        <w:pStyle w:val="PargrafodaLista"/>
        <w:numPr>
          <w:ilvl w:val="1"/>
          <w:numId w:val="5"/>
        </w:numPr>
        <w:tabs>
          <w:tab w:val="left" w:pos="774"/>
        </w:tabs>
        <w:spacing w:before="1"/>
        <w:ind w:left="112" w:firstLine="567"/>
        <w:rPr>
          <w:sz w:val="16"/>
        </w:rPr>
      </w:pPr>
      <w:r>
        <w:rPr>
          <w:sz w:val="16"/>
        </w:rPr>
        <w:t>Carbonato</w:t>
      </w:r>
      <w:r>
        <w:rPr>
          <w:spacing w:val="-3"/>
          <w:sz w:val="16"/>
        </w:rPr>
        <w:t xml:space="preserve"> </w:t>
      </w:r>
      <w:r>
        <w:rPr>
          <w:sz w:val="16"/>
        </w:rPr>
        <w:t>de</w:t>
      </w:r>
      <w:r>
        <w:rPr>
          <w:spacing w:val="-5"/>
          <w:sz w:val="16"/>
        </w:rPr>
        <w:t xml:space="preserve"> </w:t>
      </w:r>
      <w:r>
        <w:rPr>
          <w:sz w:val="16"/>
        </w:rPr>
        <w:t>cálcio</w:t>
      </w:r>
      <w:r>
        <w:rPr>
          <w:spacing w:val="-4"/>
          <w:sz w:val="16"/>
        </w:rPr>
        <w:t xml:space="preserve"> </w:t>
      </w:r>
      <w:r>
        <w:rPr>
          <w:sz w:val="16"/>
        </w:rPr>
        <w:t xml:space="preserve">+ </w:t>
      </w:r>
      <w:proofErr w:type="spellStart"/>
      <w:r>
        <w:rPr>
          <w:sz w:val="16"/>
        </w:rPr>
        <w:t>colecalciferol</w:t>
      </w:r>
      <w:proofErr w:type="spellEnd"/>
      <w:r>
        <w:rPr>
          <w:sz w:val="16"/>
        </w:rPr>
        <w:t>:</w:t>
      </w:r>
      <w:r>
        <w:rPr>
          <w:spacing w:val="-2"/>
          <w:sz w:val="16"/>
        </w:rPr>
        <w:t xml:space="preserve"> </w:t>
      </w:r>
      <w:r>
        <w:rPr>
          <w:sz w:val="16"/>
        </w:rPr>
        <w:t>comprimidos</w:t>
      </w:r>
      <w:r>
        <w:rPr>
          <w:spacing w:val="-4"/>
          <w:sz w:val="16"/>
        </w:rPr>
        <w:t xml:space="preserve"> </w:t>
      </w:r>
      <w:r>
        <w:rPr>
          <w:sz w:val="16"/>
        </w:rPr>
        <w:t>de</w:t>
      </w:r>
      <w:r>
        <w:rPr>
          <w:spacing w:val="-3"/>
          <w:sz w:val="16"/>
        </w:rPr>
        <w:t xml:space="preserve"> </w:t>
      </w:r>
      <w:r>
        <w:rPr>
          <w:sz w:val="16"/>
        </w:rPr>
        <w:t xml:space="preserve">500 </w:t>
      </w:r>
      <w:proofErr w:type="gramStart"/>
      <w:r>
        <w:rPr>
          <w:sz w:val="16"/>
        </w:rPr>
        <w:t>mg</w:t>
      </w:r>
      <w:proofErr w:type="gramEnd"/>
      <w:r>
        <w:rPr>
          <w:spacing w:val="-3"/>
          <w:sz w:val="16"/>
        </w:rPr>
        <w:t xml:space="preserve"> </w:t>
      </w:r>
      <w:r>
        <w:rPr>
          <w:sz w:val="16"/>
        </w:rPr>
        <w:t>de</w:t>
      </w:r>
      <w:r>
        <w:rPr>
          <w:spacing w:val="-3"/>
          <w:sz w:val="16"/>
        </w:rPr>
        <w:t xml:space="preserve"> </w:t>
      </w:r>
      <w:r>
        <w:rPr>
          <w:sz w:val="16"/>
        </w:rPr>
        <w:t>cálcio</w:t>
      </w:r>
      <w:r>
        <w:rPr>
          <w:spacing w:val="-3"/>
          <w:sz w:val="16"/>
        </w:rPr>
        <w:t xml:space="preserve"> </w:t>
      </w:r>
      <w:r>
        <w:rPr>
          <w:sz w:val="16"/>
        </w:rPr>
        <w:t>+</w:t>
      </w:r>
      <w:r>
        <w:rPr>
          <w:spacing w:val="-3"/>
          <w:sz w:val="16"/>
        </w:rPr>
        <w:t xml:space="preserve"> </w:t>
      </w:r>
      <w:r>
        <w:rPr>
          <w:sz w:val="16"/>
        </w:rPr>
        <w:t>400 UI</w:t>
      </w:r>
    </w:p>
    <w:p w:rsidR="008777CB" w:rsidRDefault="00BA286B">
      <w:pPr>
        <w:pStyle w:val="PargrafodaLista"/>
        <w:numPr>
          <w:ilvl w:val="1"/>
          <w:numId w:val="5"/>
        </w:numPr>
        <w:tabs>
          <w:tab w:val="left" w:pos="774"/>
        </w:tabs>
        <w:spacing w:line="183" w:lineRule="exact"/>
        <w:ind w:left="112" w:firstLine="567"/>
        <w:rPr>
          <w:sz w:val="16"/>
        </w:rPr>
      </w:pPr>
      <w:r>
        <w:rPr>
          <w:sz w:val="16"/>
        </w:rPr>
        <w:t>Carbonato</w:t>
      </w:r>
      <w:r>
        <w:rPr>
          <w:spacing w:val="-2"/>
          <w:sz w:val="16"/>
        </w:rPr>
        <w:t xml:space="preserve"> </w:t>
      </w:r>
      <w:r>
        <w:rPr>
          <w:sz w:val="16"/>
        </w:rPr>
        <w:t>de</w:t>
      </w:r>
      <w:r>
        <w:rPr>
          <w:spacing w:val="-4"/>
          <w:sz w:val="16"/>
        </w:rPr>
        <w:t xml:space="preserve"> </w:t>
      </w:r>
      <w:r>
        <w:rPr>
          <w:sz w:val="16"/>
        </w:rPr>
        <w:t>cálcio</w:t>
      </w:r>
      <w:r>
        <w:rPr>
          <w:spacing w:val="-4"/>
          <w:sz w:val="16"/>
        </w:rPr>
        <w:t xml:space="preserve"> </w:t>
      </w:r>
      <w:r>
        <w:rPr>
          <w:sz w:val="16"/>
        </w:rPr>
        <w:t>+</w:t>
      </w:r>
      <w:r>
        <w:rPr>
          <w:spacing w:val="1"/>
          <w:sz w:val="16"/>
        </w:rPr>
        <w:t xml:space="preserve"> </w:t>
      </w:r>
      <w:proofErr w:type="spellStart"/>
      <w:r>
        <w:rPr>
          <w:sz w:val="16"/>
        </w:rPr>
        <w:t>colecalciferol</w:t>
      </w:r>
      <w:proofErr w:type="spellEnd"/>
      <w:r>
        <w:rPr>
          <w:spacing w:val="-2"/>
          <w:sz w:val="16"/>
        </w:rPr>
        <w:t xml:space="preserve"> </w:t>
      </w:r>
      <w:r>
        <w:rPr>
          <w:sz w:val="16"/>
        </w:rPr>
        <w:t>ou</w:t>
      </w:r>
      <w:r>
        <w:rPr>
          <w:spacing w:val="1"/>
          <w:sz w:val="16"/>
        </w:rPr>
        <w:t xml:space="preserve"> </w:t>
      </w:r>
      <w:r>
        <w:rPr>
          <w:sz w:val="16"/>
        </w:rPr>
        <w:t>fosfato</w:t>
      </w:r>
      <w:r>
        <w:rPr>
          <w:spacing w:val="-4"/>
          <w:sz w:val="16"/>
        </w:rPr>
        <w:t xml:space="preserve"> </w:t>
      </w:r>
      <w:r>
        <w:rPr>
          <w:sz w:val="16"/>
        </w:rPr>
        <w:t>de</w:t>
      </w:r>
      <w:r>
        <w:rPr>
          <w:spacing w:val="-2"/>
          <w:sz w:val="16"/>
        </w:rPr>
        <w:t xml:space="preserve"> </w:t>
      </w:r>
      <w:r>
        <w:rPr>
          <w:sz w:val="16"/>
        </w:rPr>
        <w:t>cálcio</w:t>
      </w:r>
      <w:r>
        <w:rPr>
          <w:spacing w:val="-4"/>
          <w:sz w:val="16"/>
        </w:rPr>
        <w:t xml:space="preserve"> </w:t>
      </w:r>
      <w:proofErr w:type="spellStart"/>
      <w:r>
        <w:rPr>
          <w:sz w:val="16"/>
        </w:rPr>
        <w:t>tribásico</w:t>
      </w:r>
      <w:proofErr w:type="spellEnd"/>
      <w:r>
        <w:rPr>
          <w:spacing w:val="-3"/>
          <w:sz w:val="16"/>
        </w:rPr>
        <w:t xml:space="preserve"> </w:t>
      </w:r>
      <w:r>
        <w:rPr>
          <w:sz w:val="16"/>
        </w:rPr>
        <w:t xml:space="preserve">+ </w:t>
      </w:r>
      <w:proofErr w:type="spellStart"/>
      <w:r>
        <w:rPr>
          <w:sz w:val="16"/>
        </w:rPr>
        <w:t>colecalciferol</w:t>
      </w:r>
      <w:proofErr w:type="spellEnd"/>
      <w:r>
        <w:rPr>
          <w:sz w:val="16"/>
        </w:rPr>
        <w:t>:</w:t>
      </w:r>
      <w:r>
        <w:rPr>
          <w:spacing w:val="-1"/>
          <w:sz w:val="16"/>
        </w:rPr>
        <w:t xml:space="preserve"> </w:t>
      </w:r>
      <w:r>
        <w:rPr>
          <w:sz w:val="16"/>
        </w:rPr>
        <w:t>comprimidos</w:t>
      </w:r>
      <w:r>
        <w:rPr>
          <w:spacing w:val="-1"/>
          <w:sz w:val="16"/>
        </w:rPr>
        <w:t xml:space="preserve"> </w:t>
      </w:r>
      <w:r>
        <w:rPr>
          <w:sz w:val="16"/>
        </w:rPr>
        <w:t>de</w:t>
      </w:r>
      <w:r>
        <w:rPr>
          <w:spacing w:val="-4"/>
          <w:sz w:val="16"/>
        </w:rPr>
        <w:t xml:space="preserve"> </w:t>
      </w:r>
      <w:r>
        <w:rPr>
          <w:sz w:val="16"/>
        </w:rPr>
        <w:t>600</w:t>
      </w:r>
      <w:r>
        <w:rPr>
          <w:spacing w:val="-2"/>
          <w:sz w:val="16"/>
        </w:rPr>
        <w:t xml:space="preserve"> </w:t>
      </w:r>
      <w:proofErr w:type="gramStart"/>
      <w:r>
        <w:rPr>
          <w:sz w:val="16"/>
        </w:rPr>
        <w:t>mg</w:t>
      </w:r>
      <w:proofErr w:type="gramEnd"/>
      <w:r>
        <w:rPr>
          <w:sz w:val="16"/>
        </w:rPr>
        <w:t xml:space="preserve"> de</w:t>
      </w:r>
      <w:r>
        <w:rPr>
          <w:spacing w:val="-3"/>
          <w:sz w:val="16"/>
        </w:rPr>
        <w:t xml:space="preserve"> </w:t>
      </w:r>
      <w:r>
        <w:rPr>
          <w:sz w:val="16"/>
        </w:rPr>
        <w:t>cálcio +</w:t>
      </w:r>
      <w:r>
        <w:rPr>
          <w:spacing w:val="-3"/>
          <w:sz w:val="16"/>
        </w:rPr>
        <w:t xml:space="preserve"> </w:t>
      </w:r>
      <w:r>
        <w:rPr>
          <w:sz w:val="16"/>
        </w:rPr>
        <w:t>400</w:t>
      </w:r>
      <w:r>
        <w:rPr>
          <w:spacing w:val="-1"/>
          <w:sz w:val="16"/>
        </w:rPr>
        <w:t xml:space="preserve"> </w:t>
      </w:r>
      <w:r>
        <w:rPr>
          <w:sz w:val="16"/>
        </w:rPr>
        <w:t>UI</w:t>
      </w:r>
    </w:p>
    <w:p w:rsidR="008777CB" w:rsidRDefault="00BA286B">
      <w:pPr>
        <w:pStyle w:val="PargrafodaLista"/>
        <w:numPr>
          <w:ilvl w:val="1"/>
          <w:numId w:val="5"/>
        </w:numPr>
        <w:tabs>
          <w:tab w:val="left" w:pos="774"/>
        </w:tabs>
        <w:spacing w:line="183" w:lineRule="exact"/>
        <w:ind w:left="112" w:firstLine="567"/>
        <w:rPr>
          <w:color w:val="212121"/>
          <w:sz w:val="16"/>
        </w:rPr>
      </w:pPr>
      <w:proofErr w:type="spellStart"/>
      <w:r>
        <w:rPr>
          <w:color w:val="212121"/>
          <w:sz w:val="16"/>
        </w:rPr>
        <w:t>Gliconato</w:t>
      </w:r>
      <w:proofErr w:type="spellEnd"/>
      <w:r>
        <w:rPr>
          <w:color w:val="212121"/>
          <w:sz w:val="16"/>
        </w:rPr>
        <w:t xml:space="preserve"> de cálcio 10% solução injetável ampola com 10</w:t>
      </w:r>
      <w:r>
        <w:rPr>
          <w:color w:val="212121"/>
          <w:spacing w:val="-8"/>
          <w:sz w:val="16"/>
        </w:rPr>
        <w:t xml:space="preserve"> </w:t>
      </w:r>
      <w:proofErr w:type="spellStart"/>
      <w:r>
        <w:rPr>
          <w:color w:val="212121"/>
          <w:sz w:val="16"/>
        </w:rPr>
        <w:t>mL</w:t>
      </w:r>
      <w:proofErr w:type="spellEnd"/>
    </w:p>
    <w:p w:rsidR="008777CB" w:rsidRDefault="00BA286B">
      <w:pPr>
        <w:pStyle w:val="PargrafodaLista"/>
        <w:numPr>
          <w:ilvl w:val="1"/>
          <w:numId w:val="5"/>
        </w:numPr>
        <w:tabs>
          <w:tab w:val="left" w:pos="774"/>
        </w:tabs>
        <w:spacing w:before="2"/>
        <w:ind w:left="112" w:firstLine="567"/>
        <w:rPr>
          <w:color w:val="212121"/>
          <w:sz w:val="16"/>
        </w:rPr>
      </w:pPr>
      <w:r>
        <w:rPr>
          <w:color w:val="212121"/>
          <w:sz w:val="16"/>
        </w:rPr>
        <w:t>Cloreto de cálcio 10% ampola com</w:t>
      </w:r>
      <w:r>
        <w:rPr>
          <w:color w:val="212121"/>
          <w:spacing w:val="-11"/>
          <w:sz w:val="16"/>
        </w:rPr>
        <w:t xml:space="preserve"> </w:t>
      </w:r>
      <w:proofErr w:type="gramStart"/>
      <w:r>
        <w:rPr>
          <w:color w:val="212121"/>
          <w:sz w:val="16"/>
        </w:rPr>
        <w:t>10mL</w:t>
      </w:r>
      <w:proofErr w:type="gramEnd"/>
    </w:p>
    <w:p w:rsidR="008777CB" w:rsidRDefault="00BA286B">
      <w:pPr>
        <w:pStyle w:val="PargrafodaLista"/>
        <w:numPr>
          <w:ilvl w:val="1"/>
          <w:numId w:val="5"/>
        </w:numPr>
        <w:tabs>
          <w:tab w:val="left" w:pos="815"/>
        </w:tabs>
        <w:spacing w:before="1" w:line="183" w:lineRule="exact"/>
        <w:ind w:left="814" w:hanging="94"/>
        <w:rPr>
          <w:sz w:val="16"/>
        </w:rPr>
      </w:pPr>
      <w:proofErr w:type="spellStart"/>
      <w:r>
        <w:rPr>
          <w:sz w:val="16"/>
        </w:rPr>
        <w:t>Alfacalcidol</w:t>
      </w:r>
      <w:proofErr w:type="spellEnd"/>
      <w:r>
        <w:rPr>
          <w:sz w:val="16"/>
        </w:rPr>
        <w:t xml:space="preserve">: cápsulas de 0,25 </w:t>
      </w:r>
      <w:proofErr w:type="spellStart"/>
      <w:r>
        <w:rPr>
          <w:sz w:val="16"/>
        </w:rPr>
        <w:t>mcg</w:t>
      </w:r>
      <w:proofErr w:type="spellEnd"/>
      <w:r>
        <w:rPr>
          <w:sz w:val="16"/>
        </w:rPr>
        <w:t xml:space="preserve"> e </w:t>
      </w:r>
      <w:proofErr w:type="gramStart"/>
      <w:r>
        <w:rPr>
          <w:sz w:val="16"/>
        </w:rPr>
        <w:t>1</w:t>
      </w:r>
      <w:proofErr w:type="gramEnd"/>
      <w:r>
        <w:rPr>
          <w:spacing w:val="-7"/>
          <w:sz w:val="16"/>
        </w:rPr>
        <w:t xml:space="preserve"> </w:t>
      </w:r>
      <w:proofErr w:type="spellStart"/>
      <w:r>
        <w:rPr>
          <w:sz w:val="16"/>
        </w:rPr>
        <w:t>mcg</w:t>
      </w:r>
      <w:proofErr w:type="spellEnd"/>
    </w:p>
    <w:p w:rsidR="008777CB" w:rsidRDefault="00BA286B">
      <w:pPr>
        <w:pStyle w:val="PargrafodaLista"/>
        <w:numPr>
          <w:ilvl w:val="1"/>
          <w:numId w:val="5"/>
        </w:numPr>
        <w:tabs>
          <w:tab w:val="left" w:pos="774"/>
        </w:tabs>
        <w:spacing w:line="183" w:lineRule="exact"/>
        <w:ind w:left="112" w:firstLine="567"/>
        <w:rPr>
          <w:sz w:val="16"/>
        </w:rPr>
      </w:pPr>
      <w:proofErr w:type="spellStart"/>
      <w:r>
        <w:rPr>
          <w:sz w:val="16"/>
        </w:rPr>
        <w:t>Calcitriol</w:t>
      </w:r>
      <w:proofErr w:type="spellEnd"/>
      <w:r>
        <w:rPr>
          <w:sz w:val="16"/>
        </w:rPr>
        <w:t>: cápsulas de 0,25</w:t>
      </w:r>
      <w:r>
        <w:rPr>
          <w:spacing w:val="-8"/>
          <w:sz w:val="16"/>
        </w:rPr>
        <w:t xml:space="preserve"> </w:t>
      </w:r>
      <w:proofErr w:type="spellStart"/>
      <w:r>
        <w:rPr>
          <w:sz w:val="16"/>
        </w:rPr>
        <w:t>mcg</w:t>
      </w:r>
      <w:proofErr w:type="spellEnd"/>
    </w:p>
    <w:p w:rsidR="008777CB" w:rsidRDefault="008777CB">
      <w:pPr>
        <w:pStyle w:val="Corpodetexto"/>
        <w:spacing w:before="1"/>
        <w:ind w:left="0"/>
      </w:pPr>
    </w:p>
    <w:p w:rsidR="008777CB" w:rsidRDefault="00BA286B">
      <w:pPr>
        <w:pStyle w:val="PargrafodaLista"/>
        <w:numPr>
          <w:ilvl w:val="1"/>
          <w:numId w:val="3"/>
        </w:numPr>
        <w:tabs>
          <w:tab w:val="left" w:pos="922"/>
        </w:tabs>
        <w:spacing w:line="183" w:lineRule="exact"/>
        <w:rPr>
          <w:sz w:val="16"/>
        </w:rPr>
      </w:pPr>
      <w:r>
        <w:rPr>
          <w:sz w:val="16"/>
        </w:rPr>
        <w:t>ESQUEMAS DE</w:t>
      </w:r>
      <w:r>
        <w:rPr>
          <w:spacing w:val="-1"/>
          <w:sz w:val="16"/>
        </w:rPr>
        <w:t xml:space="preserve"> </w:t>
      </w:r>
      <w:r>
        <w:rPr>
          <w:sz w:val="16"/>
        </w:rPr>
        <w:t>ADMINISTRAÇÃO</w:t>
      </w:r>
    </w:p>
    <w:p w:rsidR="008777CB" w:rsidRDefault="00BA286B">
      <w:pPr>
        <w:pStyle w:val="PargrafodaLista"/>
        <w:numPr>
          <w:ilvl w:val="1"/>
          <w:numId w:val="5"/>
        </w:numPr>
        <w:tabs>
          <w:tab w:val="left" w:pos="774"/>
        </w:tabs>
        <w:ind w:left="112" w:right="273" w:firstLine="567"/>
        <w:jc w:val="both"/>
        <w:rPr>
          <w:sz w:val="16"/>
        </w:rPr>
      </w:pPr>
      <w:proofErr w:type="spellStart"/>
      <w:r>
        <w:rPr>
          <w:sz w:val="16"/>
        </w:rPr>
        <w:t>Alfacalcidol</w:t>
      </w:r>
      <w:proofErr w:type="spellEnd"/>
      <w:r>
        <w:rPr>
          <w:sz w:val="16"/>
        </w:rPr>
        <w:t xml:space="preserve">: dose inicial de 0,5 </w:t>
      </w:r>
      <w:proofErr w:type="spellStart"/>
      <w:r>
        <w:rPr>
          <w:sz w:val="16"/>
        </w:rPr>
        <w:t>mcg</w:t>
      </w:r>
      <w:proofErr w:type="spellEnd"/>
      <w:r>
        <w:rPr>
          <w:sz w:val="16"/>
        </w:rPr>
        <w:t xml:space="preserve">, por via oral, </w:t>
      </w:r>
      <w:proofErr w:type="gramStart"/>
      <w:r>
        <w:rPr>
          <w:sz w:val="16"/>
        </w:rPr>
        <w:t>1</w:t>
      </w:r>
      <w:proofErr w:type="gramEnd"/>
      <w:r>
        <w:rPr>
          <w:sz w:val="16"/>
        </w:rPr>
        <w:t xml:space="preserve"> vez ao dia, com ajuste subsequente de acordo com a </w:t>
      </w:r>
      <w:proofErr w:type="spellStart"/>
      <w:r>
        <w:rPr>
          <w:sz w:val="16"/>
        </w:rPr>
        <w:t>calcemia</w:t>
      </w:r>
      <w:proofErr w:type="spellEnd"/>
      <w:r>
        <w:rPr>
          <w:sz w:val="16"/>
        </w:rPr>
        <w:t xml:space="preserve">. A dose de manutenção é geralmente de 0,5 a 6 </w:t>
      </w:r>
      <w:proofErr w:type="spellStart"/>
      <w:r>
        <w:rPr>
          <w:sz w:val="16"/>
        </w:rPr>
        <w:t>mcg</w:t>
      </w:r>
      <w:proofErr w:type="spellEnd"/>
      <w:r>
        <w:rPr>
          <w:sz w:val="16"/>
        </w:rPr>
        <w:t xml:space="preserve"> ao dia em uma ou duas administrações (</w:t>
      </w:r>
      <w:proofErr w:type="gramStart"/>
      <w:r>
        <w:rPr>
          <w:sz w:val="16"/>
        </w:rPr>
        <w:t>1,</w:t>
      </w:r>
      <w:r>
        <w:rPr>
          <w:spacing w:val="-14"/>
          <w:sz w:val="16"/>
        </w:rPr>
        <w:t xml:space="preserve"> </w:t>
      </w:r>
      <w:r>
        <w:rPr>
          <w:sz w:val="16"/>
        </w:rPr>
        <w:t>20</w:t>
      </w:r>
      <w:proofErr w:type="gramEnd"/>
      <w:r>
        <w:rPr>
          <w:sz w:val="16"/>
        </w:rPr>
        <w:t>).</w:t>
      </w:r>
    </w:p>
    <w:p w:rsidR="008777CB" w:rsidRDefault="00BA286B">
      <w:pPr>
        <w:pStyle w:val="PargrafodaLista"/>
        <w:numPr>
          <w:ilvl w:val="1"/>
          <w:numId w:val="5"/>
        </w:numPr>
        <w:tabs>
          <w:tab w:val="left" w:pos="779"/>
        </w:tabs>
        <w:spacing w:before="1"/>
        <w:ind w:left="112" w:right="271" w:firstLine="567"/>
        <w:jc w:val="both"/>
        <w:rPr>
          <w:sz w:val="16"/>
        </w:rPr>
      </w:pPr>
      <w:proofErr w:type="spellStart"/>
      <w:r>
        <w:rPr>
          <w:sz w:val="16"/>
        </w:rPr>
        <w:t>Calcitriol</w:t>
      </w:r>
      <w:proofErr w:type="spellEnd"/>
      <w:r>
        <w:rPr>
          <w:sz w:val="16"/>
        </w:rPr>
        <w:t xml:space="preserve">: dose inicial de 0,25 </w:t>
      </w:r>
      <w:proofErr w:type="spellStart"/>
      <w:r>
        <w:rPr>
          <w:sz w:val="16"/>
        </w:rPr>
        <w:t>mcg</w:t>
      </w:r>
      <w:proofErr w:type="spellEnd"/>
      <w:r>
        <w:rPr>
          <w:sz w:val="16"/>
        </w:rPr>
        <w:t xml:space="preserve">, por via oral, </w:t>
      </w:r>
      <w:proofErr w:type="gramStart"/>
      <w:r>
        <w:rPr>
          <w:sz w:val="16"/>
        </w:rPr>
        <w:t>1</w:t>
      </w:r>
      <w:proofErr w:type="gramEnd"/>
      <w:r>
        <w:rPr>
          <w:sz w:val="16"/>
        </w:rPr>
        <w:t xml:space="preserve"> vez ao dia, com ajuste subsequente de acordo com a </w:t>
      </w:r>
      <w:proofErr w:type="spellStart"/>
      <w:r>
        <w:rPr>
          <w:sz w:val="16"/>
        </w:rPr>
        <w:t>calcemia</w:t>
      </w:r>
      <w:proofErr w:type="spellEnd"/>
      <w:r>
        <w:rPr>
          <w:sz w:val="16"/>
        </w:rPr>
        <w:t xml:space="preserve">. A dose de manutenção é geralmente de 0,25 a 3 </w:t>
      </w:r>
      <w:proofErr w:type="spellStart"/>
      <w:r>
        <w:rPr>
          <w:sz w:val="16"/>
        </w:rPr>
        <w:t>mcg</w:t>
      </w:r>
      <w:proofErr w:type="spellEnd"/>
      <w:r>
        <w:rPr>
          <w:sz w:val="16"/>
        </w:rPr>
        <w:t xml:space="preserve"> ao dia em uma ou duas administrações (</w:t>
      </w:r>
      <w:proofErr w:type="gramStart"/>
      <w:r>
        <w:rPr>
          <w:sz w:val="16"/>
        </w:rPr>
        <w:t>1,</w:t>
      </w:r>
      <w:r>
        <w:rPr>
          <w:spacing w:val="-12"/>
          <w:sz w:val="16"/>
        </w:rPr>
        <w:t xml:space="preserve"> </w:t>
      </w:r>
      <w:r>
        <w:rPr>
          <w:sz w:val="16"/>
        </w:rPr>
        <w:t>20</w:t>
      </w:r>
      <w:proofErr w:type="gramEnd"/>
      <w:r>
        <w:rPr>
          <w:sz w:val="16"/>
        </w:rPr>
        <w:t>).</w:t>
      </w:r>
    </w:p>
    <w:p w:rsidR="008777CB" w:rsidRDefault="008777CB">
      <w:pPr>
        <w:jc w:val="both"/>
        <w:rPr>
          <w:sz w:val="16"/>
        </w:rPr>
        <w:sectPr w:rsidR="008777CB">
          <w:pgSz w:w="11910" w:h="16850"/>
          <w:pgMar w:top="1060" w:right="860" w:bottom="280" w:left="1020" w:header="720" w:footer="720" w:gutter="0"/>
          <w:cols w:space="720"/>
        </w:sectPr>
      </w:pPr>
    </w:p>
    <w:p w:rsidR="008777CB" w:rsidRDefault="00BA286B">
      <w:pPr>
        <w:pStyle w:val="PargrafodaLista"/>
        <w:numPr>
          <w:ilvl w:val="1"/>
          <w:numId w:val="5"/>
        </w:numPr>
        <w:tabs>
          <w:tab w:val="left" w:pos="836"/>
        </w:tabs>
        <w:spacing w:before="66"/>
        <w:ind w:left="112" w:right="270" w:firstLine="608"/>
        <w:jc w:val="both"/>
        <w:rPr>
          <w:color w:val="212121"/>
          <w:sz w:val="16"/>
        </w:rPr>
      </w:pPr>
      <w:proofErr w:type="spellStart"/>
      <w:r>
        <w:rPr>
          <w:color w:val="212121"/>
          <w:sz w:val="16"/>
        </w:rPr>
        <w:lastRenderedPageBreak/>
        <w:t>Gliconato</w:t>
      </w:r>
      <w:proofErr w:type="spellEnd"/>
      <w:r>
        <w:rPr>
          <w:color w:val="212121"/>
          <w:sz w:val="16"/>
        </w:rPr>
        <w:t xml:space="preserve"> de cálcio ou cloreto de cálcio: dose de 1.000 </w:t>
      </w:r>
      <w:proofErr w:type="gramStart"/>
      <w:r>
        <w:rPr>
          <w:color w:val="212121"/>
          <w:sz w:val="16"/>
        </w:rPr>
        <w:t>mg</w:t>
      </w:r>
      <w:proofErr w:type="gramEnd"/>
      <w:r>
        <w:rPr>
          <w:color w:val="212121"/>
          <w:sz w:val="16"/>
        </w:rPr>
        <w:t xml:space="preserve"> </w:t>
      </w:r>
      <w:r>
        <w:rPr>
          <w:color w:val="212121"/>
          <w:spacing w:val="-3"/>
          <w:sz w:val="16"/>
        </w:rPr>
        <w:t xml:space="preserve">IV </w:t>
      </w:r>
      <w:r>
        <w:rPr>
          <w:color w:val="212121"/>
          <w:sz w:val="16"/>
        </w:rPr>
        <w:t xml:space="preserve">em 10-20 minutos nos  casos  de hipocalcemia  grave,  que se manifesta  com </w:t>
      </w:r>
      <w:proofErr w:type="spellStart"/>
      <w:r>
        <w:rPr>
          <w:color w:val="212121"/>
          <w:sz w:val="16"/>
        </w:rPr>
        <w:t>tetania</w:t>
      </w:r>
      <w:proofErr w:type="spellEnd"/>
      <w:r>
        <w:rPr>
          <w:color w:val="212121"/>
          <w:sz w:val="16"/>
        </w:rPr>
        <w:t xml:space="preserve">, convulsões ou prolongamento do intervalo QT no eletrocardiograma. O </w:t>
      </w:r>
      <w:proofErr w:type="spellStart"/>
      <w:r>
        <w:rPr>
          <w:color w:val="212121"/>
          <w:sz w:val="16"/>
        </w:rPr>
        <w:t>gliconato</w:t>
      </w:r>
      <w:proofErr w:type="spellEnd"/>
      <w:r>
        <w:rPr>
          <w:color w:val="212121"/>
          <w:sz w:val="16"/>
        </w:rPr>
        <w:t xml:space="preserve"> de cálcio é a formulação preferencial para a reposição intravenosa de cálcio, pelo menor risco de necrose tecidual nos casos de extravasamento durante a</w:t>
      </w:r>
      <w:r>
        <w:rPr>
          <w:color w:val="212121"/>
          <w:spacing w:val="-26"/>
          <w:sz w:val="16"/>
        </w:rPr>
        <w:t xml:space="preserve"> </w:t>
      </w:r>
      <w:r>
        <w:rPr>
          <w:color w:val="212121"/>
          <w:sz w:val="16"/>
        </w:rPr>
        <w:t>infusão.</w:t>
      </w:r>
    </w:p>
    <w:p w:rsidR="008777CB" w:rsidRDefault="00BA286B">
      <w:pPr>
        <w:pStyle w:val="PargrafodaLista"/>
        <w:numPr>
          <w:ilvl w:val="1"/>
          <w:numId w:val="5"/>
        </w:numPr>
        <w:tabs>
          <w:tab w:val="left" w:pos="767"/>
        </w:tabs>
        <w:spacing w:before="1"/>
        <w:ind w:left="112" w:right="270" w:firstLine="541"/>
        <w:jc w:val="both"/>
        <w:rPr>
          <w:sz w:val="16"/>
        </w:rPr>
      </w:pPr>
      <w:r>
        <w:rPr>
          <w:sz w:val="16"/>
        </w:rPr>
        <w:t xml:space="preserve">Carbonato de cálcio: dose usual é de 2 a 6 g ao dia, por via oral, em duas a seis administrações, com pelo menos três administrações, juntamente com as refeições (1). Se só houver formulação com </w:t>
      </w:r>
      <w:proofErr w:type="spellStart"/>
      <w:r>
        <w:rPr>
          <w:sz w:val="16"/>
        </w:rPr>
        <w:t>colecalciferol</w:t>
      </w:r>
      <w:proofErr w:type="spellEnd"/>
      <w:r>
        <w:rPr>
          <w:sz w:val="16"/>
        </w:rPr>
        <w:t xml:space="preserve"> disponível, deve-se optar por aquela com a menor dose de </w:t>
      </w:r>
      <w:proofErr w:type="spellStart"/>
      <w:r>
        <w:rPr>
          <w:sz w:val="16"/>
        </w:rPr>
        <w:t>colecalciferol</w:t>
      </w:r>
      <w:proofErr w:type="spellEnd"/>
      <w:r>
        <w:rPr>
          <w:sz w:val="16"/>
        </w:rPr>
        <w:t>.</w:t>
      </w:r>
    </w:p>
    <w:p w:rsidR="008777CB" w:rsidRDefault="008777CB">
      <w:pPr>
        <w:pStyle w:val="Corpodetexto"/>
        <w:ind w:left="0"/>
      </w:pPr>
    </w:p>
    <w:p w:rsidR="008777CB" w:rsidRDefault="00BA286B">
      <w:pPr>
        <w:pStyle w:val="PargrafodaLista"/>
        <w:numPr>
          <w:ilvl w:val="1"/>
          <w:numId w:val="3"/>
        </w:numPr>
        <w:tabs>
          <w:tab w:val="left" w:pos="922"/>
        </w:tabs>
        <w:spacing w:before="1"/>
        <w:rPr>
          <w:sz w:val="16"/>
        </w:rPr>
      </w:pPr>
      <w:r>
        <w:rPr>
          <w:sz w:val="16"/>
        </w:rPr>
        <w:t>TEMPO DE</w:t>
      </w:r>
      <w:r>
        <w:rPr>
          <w:spacing w:val="-4"/>
          <w:sz w:val="16"/>
        </w:rPr>
        <w:t xml:space="preserve"> </w:t>
      </w:r>
      <w:r>
        <w:rPr>
          <w:sz w:val="16"/>
        </w:rPr>
        <w:t>TRATAMENTO</w:t>
      </w:r>
    </w:p>
    <w:p w:rsidR="008777CB" w:rsidRDefault="00BA286B">
      <w:pPr>
        <w:pStyle w:val="Corpodetexto"/>
        <w:ind w:right="271" w:firstLine="566"/>
        <w:jc w:val="both"/>
      </w:pPr>
      <w:r>
        <w:t xml:space="preserve">O tratamento deve ser mantido por toda a vida. O </w:t>
      </w:r>
      <w:proofErr w:type="spellStart"/>
      <w:r>
        <w:t>gliconato</w:t>
      </w:r>
      <w:proofErr w:type="spellEnd"/>
      <w:r>
        <w:t xml:space="preserve"> e cloreto de cálcio a</w:t>
      </w:r>
      <w:r>
        <w:rPr>
          <w:color w:val="212121"/>
        </w:rPr>
        <w:t>penas devem ser administrados nos casos de hipocalcemia grave, até resolução do quadro.</w:t>
      </w:r>
    </w:p>
    <w:p w:rsidR="008777CB" w:rsidRDefault="008777CB">
      <w:pPr>
        <w:pStyle w:val="Corpodetexto"/>
        <w:ind w:left="0"/>
      </w:pPr>
    </w:p>
    <w:p w:rsidR="008777CB" w:rsidRDefault="00BA286B">
      <w:pPr>
        <w:pStyle w:val="PargrafodaLista"/>
        <w:numPr>
          <w:ilvl w:val="1"/>
          <w:numId w:val="3"/>
        </w:numPr>
        <w:tabs>
          <w:tab w:val="left" w:pos="920"/>
        </w:tabs>
        <w:spacing w:line="183" w:lineRule="exact"/>
        <w:ind w:left="919" w:hanging="240"/>
        <w:rPr>
          <w:sz w:val="16"/>
        </w:rPr>
      </w:pPr>
      <w:r>
        <w:rPr>
          <w:sz w:val="16"/>
        </w:rPr>
        <w:t>BENEFÍCIOS</w:t>
      </w:r>
      <w:r>
        <w:rPr>
          <w:spacing w:val="-1"/>
          <w:sz w:val="16"/>
        </w:rPr>
        <w:t xml:space="preserve"> </w:t>
      </w:r>
      <w:r>
        <w:rPr>
          <w:sz w:val="16"/>
        </w:rPr>
        <w:t>ESPERADOS</w:t>
      </w:r>
    </w:p>
    <w:p w:rsidR="008777CB" w:rsidRDefault="00BA286B">
      <w:pPr>
        <w:pStyle w:val="Corpodetexto"/>
        <w:ind w:right="269" w:firstLine="566"/>
        <w:jc w:val="both"/>
      </w:pPr>
      <w:r>
        <w:t xml:space="preserve">O tratamento do </w:t>
      </w:r>
      <w:proofErr w:type="spellStart"/>
      <w:r>
        <w:t>hipoparatireoidismo</w:t>
      </w:r>
      <w:proofErr w:type="spellEnd"/>
      <w:r>
        <w:t xml:space="preserve"> tem por objetivo melhorar os sintomas de hipocalcemia, evitar complicações agudas e crônicas da hipocalcemia, e prevenir complicações oriundas do tratamento com cálcio e vitamina D 1-alfa-hidroxilada.</w:t>
      </w:r>
    </w:p>
    <w:p w:rsidR="008777CB" w:rsidRDefault="008777CB">
      <w:pPr>
        <w:pStyle w:val="Corpodetexto"/>
        <w:ind w:left="0"/>
      </w:pPr>
    </w:p>
    <w:p w:rsidR="008777CB" w:rsidRDefault="00BA286B">
      <w:pPr>
        <w:pStyle w:val="PargrafodaLista"/>
        <w:numPr>
          <w:ilvl w:val="0"/>
          <w:numId w:val="5"/>
        </w:numPr>
        <w:tabs>
          <w:tab w:val="left" w:pos="236"/>
        </w:tabs>
        <w:ind w:left="235" w:hanging="123"/>
        <w:rPr>
          <w:sz w:val="16"/>
        </w:rPr>
      </w:pPr>
      <w:r>
        <w:rPr>
          <w:sz w:val="16"/>
        </w:rPr>
        <w:t>MONITORIZAÇÃO</w:t>
      </w:r>
    </w:p>
    <w:p w:rsidR="008777CB" w:rsidRDefault="00BA286B">
      <w:pPr>
        <w:pStyle w:val="Corpodetexto"/>
        <w:spacing w:before="1"/>
        <w:ind w:right="269" w:firstLine="566"/>
        <w:jc w:val="both"/>
      </w:pPr>
      <w:r>
        <w:t xml:space="preserve">O objetivo do tratamento é manter o cálcio total no soro corrigido para </w:t>
      </w:r>
      <w:proofErr w:type="spellStart"/>
      <w:r>
        <w:t>albuminemia</w:t>
      </w:r>
      <w:proofErr w:type="spellEnd"/>
      <w:r>
        <w:t xml:space="preserve"> no limite inferior da normalidade, isto é, entre </w:t>
      </w:r>
      <w:proofErr w:type="gramStart"/>
      <w:r>
        <w:t>8</w:t>
      </w:r>
      <w:proofErr w:type="gramEnd"/>
      <w:r>
        <w:t xml:space="preserve"> e 8,5 mg/</w:t>
      </w:r>
      <w:proofErr w:type="spellStart"/>
      <w:r>
        <w:t>dL</w:t>
      </w:r>
      <w:proofErr w:type="spellEnd"/>
      <w:r>
        <w:t xml:space="preserve"> (1). Tentativas de manter o cálcio em níveis mais elevados geralmente não trazem benefício e ocasionam </w:t>
      </w:r>
      <w:proofErr w:type="spellStart"/>
      <w:r>
        <w:t>hipercalciúria</w:t>
      </w:r>
      <w:proofErr w:type="spellEnd"/>
      <w:r>
        <w:t xml:space="preserve">, que pode levar a </w:t>
      </w:r>
      <w:proofErr w:type="spellStart"/>
      <w:r>
        <w:t>nefrocalcinose</w:t>
      </w:r>
      <w:proofErr w:type="spellEnd"/>
      <w:r>
        <w:t xml:space="preserve">, </w:t>
      </w:r>
      <w:proofErr w:type="spellStart"/>
      <w:r>
        <w:t>nefrolitíase</w:t>
      </w:r>
      <w:proofErr w:type="spellEnd"/>
      <w:r>
        <w:t xml:space="preserve"> e insuficiência renal crônica (21). Em pacientes com </w:t>
      </w:r>
      <w:proofErr w:type="spellStart"/>
      <w:r>
        <w:t>hipercalciúria</w:t>
      </w:r>
      <w:proofErr w:type="spellEnd"/>
      <w:r>
        <w:t xml:space="preserve"> persistente, isto é, </w:t>
      </w:r>
      <w:proofErr w:type="spellStart"/>
      <w:r>
        <w:t>calciúria</w:t>
      </w:r>
      <w:proofErr w:type="spellEnd"/>
      <w:r>
        <w:t xml:space="preserve"> maior que 300 </w:t>
      </w:r>
      <w:proofErr w:type="gramStart"/>
      <w:r>
        <w:t>mg</w:t>
      </w:r>
      <w:proofErr w:type="gramEnd"/>
      <w:r>
        <w:t xml:space="preserve">/24 horas ou maior que 4 mg/kg de peso/24 horas, devem ser iniciadas medidas terapêuticas para limitá-la, como redução da ingestão de sódio, prescrição de diuréticos </w:t>
      </w:r>
      <w:proofErr w:type="spellStart"/>
      <w:r>
        <w:t>tiazídicos</w:t>
      </w:r>
      <w:proofErr w:type="spellEnd"/>
      <w:r>
        <w:t>, ou redução nas doses de cálcio ou vitamina D sintética 1-alfa-hidroxilada (1) .</w:t>
      </w:r>
    </w:p>
    <w:p w:rsidR="008777CB" w:rsidRDefault="00BA286B">
      <w:pPr>
        <w:pStyle w:val="Corpodetexto"/>
        <w:ind w:right="272" w:firstLine="566"/>
        <w:jc w:val="both"/>
      </w:pPr>
      <w:r>
        <w:t xml:space="preserve">No acompanhamento dos pacientes, dosagens séricas de cálcio e fósforo e de </w:t>
      </w:r>
      <w:proofErr w:type="spellStart"/>
      <w:r>
        <w:t>creatinúria</w:t>
      </w:r>
      <w:proofErr w:type="spellEnd"/>
      <w:r>
        <w:t xml:space="preserve"> e </w:t>
      </w:r>
      <w:proofErr w:type="spellStart"/>
      <w:r>
        <w:t>calciúria</w:t>
      </w:r>
      <w:proofErr w:type="spellEnd"/>
      <w:r>
        <w:t xml:space="preserve"> em 24 horas devem ser realizados regularmente (1). Em caso de alterações, deve ser revista a adesão ao tratamento e devem ser realizados os seguintes ajustes ao tratamento:</w:t>
      </w:r>
    </w:p>
    <w:p w:rsidR="008777CB" w:rsidRDefault="00BA286B">
      <w:pPr>
        <w:pStyle w:val="PargrafodaLista"/>
        <w:numPr>
          <w:ilvl w:val="1"/>
          <w:numId w:val="5"/>
        </w:numPr>
        <w:tabs>
          <w:tab w:val="left" w:pos="1039"/>
          <w:tab w:val="left" w:pos="1040"/>
        </w:tabs>
        <w:spacing w:before="1" w:line="183" w:lineRule="exact"/>
        <w:rPr>
          <w:sz w:val="16"/>
        </w:rPr>
      </w:pPr>
      <w:proofErr w:type="gramStart"/>
      <w:r>
        <w:rPr>
          <w:sz w:val="16"/>
        </w:rPr>
        <w:t>se</w:t>
      </w:r>
      <w:proofErr w:type="gramEnd"/>
      <w:r>
        <w:rPr>
          <w:sz w:val="16"/>
        </w:rPr>
        <w:t xml:space="preserve"> cálcio baixo, aumentar carbonato de cálcio ou</w:t>
      </w:r>
      <w:r>
        <w:rPr>
          <w:spacing w:val="-11"/>
          <w:sz w:val="16"/>
        </w:rPr>
        <w:t xml:space="preserve"> </w:t>
      </w:r>
      <w:proofErr w:type="spellStart"/>
      <w:r>
        <w:rPr>
          <w:sz w:val="16"/>
        </w:rPr>
        <w:t>calcitriol</w:t>
      </w:r>
      <w:proofErr w:type="spellEnd"/>
      <w:r>
        <w:rPr>
          <w:sz w:val="16"/>
        </w:rPr>
        <w:t>/</w:t>
      </w:r>
      <w:proofErr w:type="spellStart"/>
      <w:r>
        <w:rPr>
          <w:sz w:val="16"/>
        </w:rPr>
        <w:t>alfacalcidol</w:t>
      </w:r>
      <w:proofErr w:type="spellEnd"/>
      <w:r>
        <w:rPr>
          <w:sz w:val="16"/>
        </w:rPr>
        <w:t>;</w:t>
      </w:r>
    </w:p>
    <w:p w:rsidR="008777CB" w:rsidRDefault="00BA286B">
      <w:pPr>
        <w:pStyle w:val="PargrafodaLista"/>
        <w:numPr>
          <w:ilvl w:val="1"/>
          <w:numId w:val="5"/>
        </w:numPr>
        <w:tabs>
          <w:tab w:val="left" w:pos="1039"/>
          <w:tab w:val="left" w:pos="1040"/>
        </w:tabs>
        <w:spacing w:line="183" w:lineRule="exact"/>
        <w:rPr>
          <w:sz w:val="16"/>
        </w:rPr>
      </w:pPr>
      <w:proofErr w:type="gramStart"/>
      <w:r>
        <w:rPr>
          <w:sz w:val="16"/>
        </w:rPr>
        <w:t>se</w:t>
      </w:r>
      <w:proofErr w:type="gramEnd"/>
      <w:r>
        <w:rPr>
          <w:sz w:val="16"/>
        </w:rPr>
        <w:t xml:space="preserve"> cálcio alto, reduzir carbonato de cálcio ou</w:t>
      </w:r>
      <w:r>
        <w:rPr>
          <w:spacing w:val="-12"/>
          <w:sz w:val="16"/>
        </w:rPr>
        <w:t xml:space="preserve"> </w:t>
      </w:r>
      <w:proofErr w:type="spellStart"/>
      <w:r>
        <w:rPr>
          <w:sz w:val="16"/>
        </w:rPr>
        <w:t>calcitriol</w:t>
      </w:r>
      <w:proofErr w:type="spellEnd"/>
      <w:r>
        <w:rPr>
          <w:sz w:val="16"/>
        </w:rPr>
        <w:t>/</w:t>
      </w:r>
      <w:proofErr w:type="spellStart"/>
      <w:r>
        <w:rPr>
          <w:sz w:val="16"/>
        </w:rPr>
        <w:t>alfacalcidol</w:t>
      </w:r>
      <w:proofErr w:type="spellEnd"/>
      <w:r>
        <w:rPr>
          <w:sz w:val="16"/>
        </w:rPr>
        <w:t>.</w:t>
      </w:r>
    </w:p>
    <w:p w:rsidR="008777CB" w:rsidRDefault="00BA286B">
      <w:pPr>
        <w:pStyle w:val="Corpodetexto"/>
        <w:spacing w:before="1"/>
        <w:ind w:right="268" w:firstLine="566"/>
        <w:jc w:val="both"/>
      </w:pPr>
      <w:r>
        <w:t>No início do tratamento, sugere-se que os exames sejam feitos com periodicidade de 7 a 14 dias, sendo o intervalo das consultas espaçado progressivamente. Quando as doses dos medicamentos estiverem ajustadas, o acompanhamento pode ser feito a cada 3 a 6 meses (18).</w:t>
      </w:r>
    </w:p>
    <w:p w:rsidR="008777CB" w:rsidRDefault="008777CB">
      <w:pPr>
        <w:pStyle w:val="Corpodetexto"/>
        <w:ind w:left="0"/>
      </w:pPr>
    </w:p>
    <w:p w:rsidR="008777CB" w:rsidRDefault="00BA286B">
      <w:pPr>
        <w:pStyle w:val="PargrafodaLista"/>
        <w:numPr>
          <w:ilvl w:val="0"/>
          <w:numId w:val="5"/>
        </w:numPr>
        <w:tabs>
          <w:tab w:val="left" w:pos="354"/>
        </w:tabs>
        <w:ind w:left="353" w:hanging="241"/>
        <w:rPr>
          <w:sz w:val="16"/>
        </w:rPr>
      </w:pPr>
      <w:r>
        <w:rPr>
          <w:sz w:val="16"/>
        </w:rPr>
        <w:t>REGULAÇÃO/CONTROLE/AVALIAÇÃO PELO</w:t>
      </w:r>
      <w:r>
        <w:rPr>
          <w:spacing w:val="3"/>
          <w:sz w:val="16"/>
        </w:rPr>
        <w:t xml:space="preserve"> </w:t>
      </w:r>
      <w:r>
        <w:rPr>
          <w:sz w:val="16"/>
        </w:rPr>
        <w:t>GESTOR</w:t>
      </w:r>
    </w:p>
    <w:p w:rsidR="008777CB" w:rsidRDefault="00BA286B">
      <w:pPr>
        <w:pStyle w:val="Corpodetexto"/>
        <w:spacing w:before="1"/>
        <w:ind w:right="272" w:firstLine="566"/>
        <w:jc w:val="both"/>
      </w:pPr>
      <w:r>
        <w:t>Devem ser observados os critérios de inclusão e exclusão de pacientes neste Protocolo, a duração e a monitorização do tratamento, bem</w:t>
      </w:r>
      <w:proofErr w:type="gramStart"/>
      <w:r>
        <w:t xml:space="preserve">  </w:t>
      </w:r>
      <w:proofErr w:type="gramEnd"/>
      <w:r>
        <w:t>como a verificação periódica das doses prescritas e dispensadas e a adequação de uso do</w:t>
      </w:r>
      <w:r>
        <w:rPr>
          <w:spacing w:val="-17"/>
        </w:rPr>
        <w:t xml:space="preserve"> </w:t>
      </w:r>
      <w:r>
        <w:t>medicamento.</w:t>
      </w:r>
    </w:p>
    <w:p w:rsidR="008777CB" w:rsidRDefault="00BA286B">
      <w:pPr>
        <w:pStyle w:val="Corpodetexto"/>
        <w:ind w:right="270" w:firstLine="566"/>
        <w:jc w:val="both"/>
      </w:pPr>
      <w:r>
        <w:t xml:space="preserve">O tratamento dos pacientes com </w:t>
      </w:r>
      <w:proofErr w:type="spellStart"/>
      <w:r>
        <w:t>hipoparatireoidismo</w:t>
      </w:r>
      <w:proofErr w:type="spellEnd"/>
      <w:r>
        <w:t xml:space="preserve"> e </w:t>
      </w:r>
      <w:proofErr w:type="spellStart"/>
      <w:r>
        <w:t>pseudohipoparatireoidismo</w:t>
      </w:r>
      <w:proofErr w:type="spellEnd"/>
      <w:r>
        <w:t xml:space="preserve"> deve ser realizado em serviços especializados de endocrinologia.</w:t>
      </w:r>
    </w:p>
    <w:p w:rsidR="008777CB" w:rsidRDefault="00BA286B">
      <w:pPr>
        <w:pStyle w:val="Corpodetexto"/>
        <w:ind w:right="269" w:firstLine="566"/>
        <w:jc w:val="both"/>
      </w:pPr>
      <w:r>
        <w:t xml:space="preserve">Verificar na Relação Nacional de Medicamentos </w:t>
      </w:r>
      <w:proofErr w:type="gramStart"/>
      <w:r>
        <w:t>Essenciais (RENAME) vigente</w:t>
      </w:r>
      <w:proofErr w:type="gramEnd"/>
      <w:r>
        <w:t xml:space="preserve"> em qual componente da Assistência Farmacêutica se encontram os medicamentos preconizados neste Protocolo.</w:t>
      </w:r>
    </w:p>
    <w:p w:rsidR="008777CB" w:rsidRDefault="008777CB">
      <w:pPr>
        <w:pStyle w:val="Corpodetexto"/>
        <w:spacing w:before="10"/>
        <w:ind w:left="0"/>
        <w:rPr>
          <w:sz w:val="15"/>
        </w:rPr>
      </w:pPr>
    </w:p>
    <w:p w:rsidR="008777CB" w:rsidRDefault="00BA286B">
      <w:pPr>
        <w:pStyle w:val="PargrafodaLista"/>
        <w:numPr>
          <w:ilvl w:val="0"/>
          <w:numId w:val="5"/>
        </w:numPr>
        <w:tabs>
          <w:tab w:val="left" w:pos="356"/>
        </w:tabs>
        <w:ind w:left="355" w:hanging="243"/>
        <w:rPr>
          <w:sz w:val="16"/>
        </w:rPr>
      </w:pPr>
      <w:r>
        <w:rPr>
          <w:sz w:val="16"/>
        </w:rPr>
        <w:t>TERMO DE ESCLARECIMENTO E RESPONSABILIDADE – TER</w:t>
      </w:r>
    </w:p>
    <w:p w:rsidR="008777CB" w:rsidRDefault="00BA286B">
      <w:pPr>
        <w:pStyle w:val="Corpodetexto"/>
        <w:spacing w:before="1"/>
        <w:ind w:firstLine="852"/>
      </w:pPr>
      <w:r>
        <w:t>Deve-se informar ao paciente, ou seu responsável legal, sobre os potenciais riscos, benefícios e efeitos colaterais relacionados ao uso dos medicamentos preconizados neste Protocolo, levando-se em consideração as informações contidas no TER.</w:t>
      </w:r>
    </w:p>
    <w:p w:rsidR="008777CB" w:rsidRDefault="008777CB">
      <w:pPr>
        <w:pStyle w:val="Corpodetexto"/>
        <w:ind w:left="0"/>
      </w:pPr>
    </w:p>
    <w:p w:rsidR="008777CB" w:rsidRDefault="00BA286B">
      <w:pPr>
        <w:pStyle w:val="PargrafodaLista"/>
        <w:numPr>
          <w:ilvl w:val="0"/>
          <w:numId w:val="5"/>
        </w:numPr>
        <w:tabs>
          <w:tab w:val="left" w:pos="354"/>
        </w:tabs>
        <w:ind w:left="353" w:hanging="241"/>
        <w:rPr>
          <w:sz w:val="16"/>
        </w:rPr>
      </w:pPr>
      <w:r>
        <w:rPr>
          <w:sz w:val="16"/>
        </w:rPr>
        <w:t>REFERÊNCIAS</w:t>
      </w:r>
      <w:r>
        <w:rPr>
          <w:spacing w:val="-1"/>
          <w:sz w:val="16"/>
        </w:rPr>
        <w:t xml:space="preserve"> </w:t>
      </w:r>
      <w:r>
        <w:rPr>
          <w:sz w:val="16"/>
        </w:rPr>
        <w:t>BIBLIOGRÁFICAS</w:t>
      </w:r>
    </w:p>
    <w:p w:rsidR="008777CB" w:rsidRDefault="00BA286B">
      <w:pPr>
        <w:pStyle w:val="PargrafodaLista"/>
        <w:numPr>
          <w:ilvl w:val="0"/>
          <w:numId w:val="2"/>
        </w:numPr>
        <w:tabs>
          <w:tab w:val="left" w:pos="407"/>
        </w:tabs>
        <w:spacing w:before="1" w:line="183" w:lineRule="exact"/>
        <w:ind w:firstLine="0"/>
        <w:rPr>
          <w:sz w:val="16"/>
        </w:rPr>
      </w:pPr>
      <w:proofErr w:type="spellStart"/>
      <w:r w:rsidRPr="00BA286B">
        <w:rPr>
          <w:sz w:val="16"/>
          <w:lang w:val="en-US"/>
        </w:rPr>
        <w:t>Shoback</w:t>
      </w:r>
      <w:proofErr w:type="spellEnd"/>
      <w:r w:rsidRPr="00BA286B">
        <w:rPr>
          <w:sz w:val="16"/>
          <w:lang w:val="en-US"/>
        </w:rPr>
        <w:t xml:space="preserve"> D. Clinical practice. </w:t>
      </w:r>
      <w:proofErr w:type="spellStart"/>
      <w:r w:rsidRPr="00BA286B">
        <w:rPr>
          <w:sz w:val="16"/>
          <w:lang w:val="en-US"/>
        </w:rPr>
        <w:t>Hypoparathyroidism</w:t>
      </w:r>
      <w:proofErr w:type="spellEnd"/>
      <w:r w:rsidRPr="00BA286B">
        <w:rPr>
          <w:sz w:val="16"/>
          <w:lang w:val="en-US"/>
        </w:rPr>
        <w:t xml:space="preserve">. </w:t>
      </w:r>
      <w:r>
        <w:rPr>
          <w:sz w:val="16"/>
        </w:rPr>
        <w:t xml:space="preserve">N </w:t>
      </w:r>
      <w:proofErr w:type="spellStart"/>
      <w:r>
        <w:rPr>
          <w:sz w:val="16"/>
        </w:rPr>
        <w:t>Engl</w:t>
      </w:r>
      <w:proofErr w:type="spellEnd"/>
      <w:r>
        <w:rPr>
          <w:sz w:val="16"/>
        </w:rPr>
        <w:t xml:space="preserve"> J Med.</w:t>
      </w:r>
      <w:r>
        <w:rPr>
          <w:spacing w:val="-11"/>
          <w:sz w:val="16"/>
        </w:rPr>
        <w:t xml:space="preserve"> </w:t>
      </w:r>
      <w:proofErr w:type="gramStart"/>
      <w:r>
        <w:rPr>
          <w:sz w:val="16"/>
        </w:rPr>
        <w:t>2008;</w:t>
      </w:r>
      <w:proofErr w:type="gramEnd"/>
      <w:r>
        <w:rPr>
          <w:sz w:val="16"/>
        </w:rPr>
        <w:t>359(4):391-403.</w:t>
      </w:r>
    </w:p>
    <w:p w:rsidR="008777CB" w:rsidRDefault="00BA286B">
      <w:pPr>
        <w:pStyle w:val="PargrafodaLista"/>
        <w:numPr>
          <w:ilvl w:val="0"/>
          <w:numId w:val="2"/>
        </w:numPr>
        <w:tabs>
          <w:tab w:val="left" w:pos="407"/>
        </w:tabs>
        <w:spacing w:line="183" w:lineRule="exact"/>
        <w:ind w:firstLine="0"/>
        <w:rPr>
          <w:sz w:val="16"/>
        </w:rPr>
      </w:pPr>
      <w:r w:rsidRPr="00BA286B">
        <w:rPr>
          <w:sz w:val="16"/>
          <w:lang w:val="en-US"/>
        </w:rPr>
        <w:t xml:space="preserve">Marx SJ. </w:t>
      </w:r>
      <w:proofErr w:type="spellStart"/>
      <w:r w:rsidRPr="00BA286B">
        <w:rPr>
          <w:sz w:val="16"/>
          <w:lang w:val="en-US"/>
        </w:rPr>
        <w:t>Hyperparathyroid</w:t>
      </w:r>
      <w:proofErr w:type="spellEnd"/>
      <w:r w:rsidRPr="00BA286B">
        <w:rPr>
          <w:sz w:val="16"/>
          <w:lang w:val="en-US"/>
        </w:rPr>
        <w:t xml:space="preserve"> and </w:t>
      </w:r>
      <w:proofErr w:type="spellStart"/>
      <w:r w:rsidRPr="00BA286B">
        <w:rPr>
          <w:sz w:val="16"/>
          <w:lang w:val="en-US"/>
        </w:rPr>
        <w:t>hypoparathyroid</w:t>
      </w:r>
      <w:proofErr w:type="spellEnd"/>
      <w:r w:rsidRPr="00BA286B">
        <w:rPr>
          <w:sz w:val="16"/>
          <w:lang w:val="en-US"/>
        </w:rPr>
        <w:t xml:space="preserve"> disorders. </w:t>
      </w:r>
      <w:r>
        <w:rPr>
          <w:sz w:val="16"/>
        </w:rPr>
        <w:t xml:space="preserve">N </w:t>
      </w:r>
      <w:proofErr w:type="spellStart"/>
      <w:r>
        <w:rPr>
          <w:sz w:val="16"/>
        </w:rPr>
        <w:t>Engl</w:t>
      </w:r>
      <w:proofErr w:type="spellEnd"/>
      <w:r>
        <w:rPr>
          <w:sz w:val="16"/>
        </w:rPr>
        <w:t xml:space="preserve"> J Med.</w:t>
      </w:r>
      <w:r>
        <w:rPr>
          <w:spacing w:val="-17"/>
          <w:sz w:val="16"/>
        </w:rPr>
        <w:t xml:space="preserve"> </w:t>
      </w:r>
      <w:proofErr w:type="gramStart"/>
      <w:r>
        <w:rPr>
          <w:sz w:val="16"/>
        </w:rPr>
        <w:t>2000;</w:t>
      </w:r>
      <w:proofErr w:type="gramEnd"/>
      <w:r>
        <w:rPr>
          <w:sz w:val="16"/>
        </w:rPr>
        <w:t>343(25):1863-75.</w:t>
      </w:r>
    </w:p>
    <w:p w:rsidR="008777CB" w:rsidRDefault="00BA286B">
      <w:pPr>
        <w:pStyle w:val="PargrafodaLista"/>
        <w:numPr>
          <w:ilvl w:val="0"/>
          <w:numId w:val="2"/>
        </w:numPr>
        <w:tabs>
          <w:tab w:val="left" w:pos="407"/>
        </w:tabs>
        <w:spacing w:before="1"/>
        <w:ind w:right="271" w:firstLine="0"/>
        <w:rPr>
          <w:sz w:val="16"/>
        </w:rPr>
      </w:pPr>
      <w:proofErr w:type="spellStart"/>
      <w:r w:rsidRPr="00BA286B">
        <w:rPr>
          <w:sz w:val="16"/>
          <w:lang w:val="en-US"/>
        </w:rPr>
        <w:t>Asari</w:t>
      </w:r>
      <w:proofErr w:type="spellEnd"/>
      <w:r w:rsidRPr="00BA286B">
        <w:rPr>
          <w:sz w:val="16"/>
          <w:lang w:val="en-US"/>
        </w:rPr>
        <w:t xml:space="preserve"> R, </w:t>
      </w:r>
      <w:proofErr w:type="spellStart"/>
      <w:r w:rsidRPr="00BA286B">
        <w:rPr>
          <w:sz w:val="16"/>
          <w:lang w:val="en-US"/>
        </w:rPr>
        <w:t>Passler</w:t>
      </w:r>
      <w:proofErr w:type="spellEnd"/>
      <w:r w:rsidRPr="00BA286B">
        <w:rPr>
          <w:sz w:val="16"/>
          <w:lang w:val="en-US"/>
        </w:rPr>
        <w:t xml:space="preserve"> C, </w:t>
      </w:r>
      <w:proofErr w:type="spellStart"/>
      <w:r w:rsidRPr="00BA286B">
        <w:rPr>
          <w:sz w:val="16"/>
          <w:lang w:val="en-US"/>
        </w:rPr>
        <w:t>Kaczirek</w:t>
      </w:r>
      <w:proofErr w:type="spellEnd"/>
      <w:r w:rsidRPr="00BA286B">
        <w:rPr>
          <w:sz w:val="16"/>
          <w:lang w:val="en-US"/>
        </w:rPr>
        <w:t xml:space="preserve"> K, </w:t>
      </w:r>
      <w:proofErr w:type="spellStart"/>
      <w:r w:rsidRPr="00BA286B">
        <w:rPr>
          <w:sz w:val="16"/>
          <w:lang w:val="en-US"/>
        </w:rPr>
        <w:t>Scheuba</w:t>
      </w:r>
      <w:proofErr w:type="spellEnd"/>
      <w:r w:rsidRPr="00BA286B">
        <w:rPr>
          <w:sz w:val="16"/>
          <w:lang w:val="en-US"/>
        </w:rPr>
        <w:t xml:space="preserve"> C, </w:t>
      </w:r>
      <w:proofErr w:type="spellStart"/>
      <w:r w:rsidRPr="00BA286B">
        <w:rPr>
          <w:sz w:val="16"/>
          <w:lang w:val="en-US"/>
        </w:rPr>
        <w:t>Niederle</w:t>
      </w:r>
      <w:proofErr w:type="spellEnd"/>
      <w:r w:rsidRPr="00BA286B">
        <w:rPr>
          <w:sz w:val="16"/>
          <w:lang w:val="en-US"/>
        </w:rPr>
        <w:t xml:space="preserve"> B. </w:t>
      </w:r>
      <w:proofErr w:type="spellStart"/>
      <w:r w:rsidRPr="00BA286B">
        <w:rPr>
          <w:sz w:val="16"/>
          <w:lang w:val="en-US"/>
        </w:rPr>
        <w:t>Hypoparathyroidism</w:t>
      </w:r>
      <w:proofErr w:type="spellEnd"/>
      <w:r w:rsidRPr="00BA286B">
        <w:rPr>
          <w:sz w:val="16"/>
          <w:lang w:val="en-US"/>
        </w:rPr>
        <w:t xml:space="preserve"> after total thyroidectomy: a prospective study. </w:t>
      </w:r>
      <w:proofErr w:type="spellStart"/>
      <w:r>
        <w:rPr>
          <w:sz w:val="16"/>
        </w:rPr>
        <w:t>Arch</w:t>
      </w:r>
      <w:proofErr w:type="spellEnd"/>
      <w:r>
        <w:rPr>
          <w:sz w:val="16"/>
        </w:rPr>
        <w:t xml:space="preserve"> </w:t>
      </w:r>
      <w:proofErr w:type="spellStart"/>
      <w:r>
        <w:rPr>
          <w:sz w:val="16"/>
        </w:rPr>
        <w:t>Surg</w:t>
      </w:r>
      <w:proofErr w:type="spellEnd"/>
      <w:r>
        <w:rPr>
          <w:sz w:val="16"/>
        </w:rPr>
        <w:t xml:space="preserve">. </w:t>
      </w:r>
      <w:proofErr w:type="gramStart"/>
      <w:r>
        <w:rPr>
          <w:sz w:val="16"/>
        </w:rPr>
        <w:t>2008;</w:t>
      </w:r>
      <w:proofErr w:type="gramEnd"/>
      <w:r>
        <w:rPr>
          <w:sz w:val="16"/>
        </w:rPr>
        <w:t xml:space="preserve">143(2):132-7; </w:t>
      </w:r>
      <w:proofErr w:type="spellStart"/>
      <w:r>
        <w:rPr>
          <w:sz w:val="16"/>
        </w:rPr>
        <w:t>discussion</w:t>
      </w:r>
      <w:proofErr w:type="spellEnd"/>
      <w:r>
        <w:rPr>
          <w:spacing w:val="-3"/>
          <w:sz w:val="16"/>
        </w:rPr>
        <w:t xml:space="preserve"> </w:t>
      </w:r>
      <w:r>
        <w:rPr>
          <w:sz w:val="16"/>
        </w:rPr>
        <w:t>138.</w:t>
      </w:r>
    </w:p>
    <w:p w:rsidR="008777CB" w:rsidRPr="00BA286B" w:rsidRDefault="00BA286B">
      <w:pPr>
        <w:pStyle w:val="PargrafodaLista"/>
        <w:numPr>
          <w:ilvl w:val="0"/>
          <w:numId w:val="2"/>
        </w:numPr>
        <w:tabs>
          <w:tab w:val="left" w:pos="407"/>
        </w:tabs>
        <w:ind w:right="278" w:firstLine="0"/>
        <w:rPr>
          <w:sz w:val="16"/>
          <w:lang w:val="en-US"/>
        </w:rPr>
      </w:pPr>
      <w:proofErr w:type="spellStart"/>
      <w:r w:rsidRPr="00BA286B">
        <w:rPr>
          <w:sz w:val="16"/>
          <w:lang w:val="en-US"/>
        </w:rPr>
        <w:t>Husebye</w:t>
      </w:r>
      <w:proofErr w:type="spellEnd"/>
      <w:r w:rsidRPr="00BA286B">
        <w:rPr>
          <w:sz w:val="16"/>
          <w:lang w:val="en-US"/>
        </w:rPr>
        <w:t xml:space="preserve"> ES, </w:t>
      </w:r>
      <w:proofErr w:type="spellStart"/>
      <w:r w:rsidRPr="00BA286B">
        <w:rPr>
          <w:sz w:val="16"/>
          <w:lang w:val="en-US"/>
        </w:rPr>
        <w:t>Perheentupa</w:t>
      </w:r>
      <w:proofErr w:type="spellEnd"/>
      <w:r w:rsidRPr="00BA286B">
        <w:rPr>
          <w:sz w:val="16"/>
          <w:lang w:val="en-US"/>
        </w:rPr>
        <w:t xml:space="preserve"> J, </w:t>
      </w:r>
      <w:proofErr w:type="spellStart"/>
      <w:r w:rsidRPr="00BA286B">
        <w:rPr>
          <w:sz w:val="16"/>
          <w:lang w:val="en-US"/>
        </w:rPr>
        <w:t>Rautemaa</w:t>
      </w:r>
      <w:proofErr w:type="spellEnd"/>
      <w:r w:rsidRPr="00BA286B">
        <w:rPr>
          <w:sz w:val="16"/>
          <w:lang w:val="en-US"/>
        </w:rPr>
        <w:t xml:space="preserve"> R, </w:t>
      </w:r>
      <w:proofErr w:type="spellStart"/>
      <w:r w:rsidRPr="00BA286B">
        <w:rPr>
          <w:sz w:val="16"/>
          <w:lang w:val="en-US"/>
        </w:rPr>
        <w:t>Kämpe</w:t>
      </w:r>
      <w:proofErr w:type="spellEnd"/>
      <w:r w:rsidRPr="00BA286B">
        <w:rPr>
          <w:sz w:val="16"/>
          <w:lang w:val="en-US"/>
        </w:rPr>
        <w:t xml:space="preserve"> O. Clinical manifestations and management of patients with autoimmune </w:t>
      </w:r>
      <w:proofErr w:type="spellStart"/>
      <w:r w:rsidRPr="00BA286B">
        <w:rPr>
          <w:sz w:val="16"/>
          <w:lang w:val="en-US"/>
        </w:rPr>
        <w:t>polyendocrine</w:t>
      </w:r>
      <w:proofErr w:type="spellEnd"/>
      <w:r w:rsidRPr="00BA286B">
        <w:rPr>
          <w:sz w:val="16"/>
          <w:lang w:val="en-US"/>
        </w:rPr>
        <w:t xml:space="preserve"> syndrome type I. J Intern Med. 2009;265(5):514-29.</w:t>
      </w:r>
    </w:p>
    <w:p w:rsidR="008777CB" w:rsidRPr="00BA286B" w:rsidRDefault="00BA286B">
      <w:pPr>
        <w:pStyle w:val="PargrafodaLista"/>
        <w:numPr>
          <w:ilvl w:val="0"/>
          <w:numId w:val="2"/>
        </w:numPr>
        <w:tabs>
          <w:tab w:val="left" w:pos="407"/>
        </w:tabs>
        <w:spacing w:before="1"/>
        <w:ind w:right="270" w:firstLine="0"/>
        <w:rPr>
          <w:sz w:val="16"/>
          <w:lang w:val="en-US"/>
        </w:rPr>
      </w:pPr>
      <w:proofErr w:type="spellStart"/>
      <w:r w:rsidRPr="00BA286B">
        <w:rPr>
          <w:sz w:val="16"/>
          <w:lang w:val="en-US"/>
        </w:rPr>
        <w:t>Shikama</w:t>
      </w:r>
      <w:proofErr w:type="spellEnd"/>
      <w:r w:rsidRPr="00BA286B">
        <w:rPr>
          <w:sz w:val="16"/>
          <w:lang w:val="en-US"/>
        </w:rPr>
        <w:t xml:space="preserve"> N, </w:t>
      </w:r>
      <w:proofErr w:type="spellStart"/>
      <w:r w:rsidRPr="00BA286B">
        <w:rPr>
          <w:sz w:val="16"/>
          <w:lang w:val="en-US"/>
        </w:rPr>
        <w:t>Nusspaumer</w:t>
      </w:r>
      <w:proofErr w:type="spellEnd"/>
      <w:r w:rsidRPr="00BA286B">
        <w:rPr>
          <w:sz w:val="16"/>
          <w:lang w:val="en-US"/>
        </w:rPr>
        <w:t xml:space="preserve"> G, </w:t>
      </w:r>
      <w:proofErr w:type="spellStart"/>
      <w:r w:rsidRPr="00BA286B">
        <w:rPr>
          <w:sz w:val="16"/>
          <w:lang w:val="en-US"/>
        </w:rPr>
        <w:t>Holländer</w:t>
      </w:r>
      <w:proofErr w:type="spellEnd"/>
      <w:r w:rsidRPr="00BA286B">
        <w:rPr>
          <w:sz w:val="16"/>
          <w:lang w:val="en-US"/>
        </w:rPr>
        <w:t xml:space="preserve"> GA. Clearing the AIRE: on the pathophysiological basis of </w:t>
      </w:r>
      <w:r w:rsidRPr="00BA286B">
        <w:rPr>
          <w:spacing w:val="2"/>
          <w:sz w:val="16"/>
          <w:lang w:val="en-US"/>
        </w:rPr>
        <w:t xml:space="preserve">the </w:t>
      </w:r>
      <w:r w:rsidRPr="00BA286B">
        <w:rPr>
          <w:sz w:val="16"/>
          <w:lang w:val="en-US"/>
        </w:rPr>
        <w:t xml:space="preserve">autoimmune </w:t>
      </w:r>
      <w:proofErr w:type="spellStart"/>
      <w:r w:rsidRPr="00BA286B">
        <w:rPr>
          <w:sz w:val="16"/>
          <w:lang w:val="en-US"/>
        </w:rPr>
        <w:t>polyendocrinopathy</w:t>
      </w:r>
      <w:proofErr w:type="spellEnd"/>
      <w:r w:rsidRPr="00BA286B">
        <w:rPr>
          <w:sz w:val="16"/>
          <w:lang w:val="en-US"/>
        </w:rPr>
        <w:t xml:space="preserve"> syndrome type-1. </w:t>
      </w:r>
      <w:proofErr w:type="spellStart"/>
      <w:r w:rsidRPr="00BA286B">
        <w:rPr>
          <w:sz w:val="16"/>
          <w:lang w:val="en-US"/>
        </w:rPr>
        <w:t>Endocrinol</w:t>
      </w:r>
      <w:proofErr w:type="spellEnd"/>
      <w:r w:rsidRPr="00BA286B">
        <w:rPr>
          <w:sz w:val="16"/>
          <w:lang w:val="en-US"/>
        </w:rPr>
        <w:t xml:space="preserve"> </w:t>
      </w:r>
      <w:proofErr w:type="spellStart"/>
      <w:r w:rsidRPr="00BA286B">
        <w:rPr>
          <w:sz w:val="16"/>
          <w:lang w:val="en-US"/>
        </w:rPr>
        <w:t>Metab</w:t>
      </w:r>
      <w:proofErr w:type="spellEnd"/>
      <w:r w:rsidRPr="00BA286B">
        <w:rPr>
          <w:sz w:val="16"/>
          <w:lang w:val="en-US"/>
        </w:rPr>
        <w:t xml:space="preserve"> </w:t>
      </w:r>
      <w:proofErr w:type="spellStart"/>
      <w:r w:rsidRPr="00BA286B">
        <w:rPr>
          <w:sz w:val="16"/>
          <w:lang w:val="en-US"/>
        </w:rPr>
        <w:t>Clin</w:t>
      </w:r>
      <w:proofErr w:type="spellEnd"/>
      <w:r w:rsidRPr="00BA286B">
        <w:rPr>
          <w:sz w:val="16"/>
          <w:lang w:val="en-US"/>
        </w:rPr>
        <w:t xml:space="preserve"> North Am. 2009</w:t>
      </w:r>
      <w:proofErr w:type="gramStart"/>
      <w:r w:rsidRPr="00BA286B">
        <w:rPr>
          <w:sz w:val="16"/>
          <w:lang w:val="en-US"/>
        </w:rPr>
        <w:t>;38</w:t>
      </w:r>
      <w:proofErr w:type="gramEnd"/>
      <w:r w:rsidRPr="00BA286B">
        <w:rPr>
          <w:sz w:val="16"/>
          <w:lang w:val="en-US"/>
        </w:rPr>
        <w:t>(2):273-88,</w:t>
      </w:r>
      <w:r w:rsidRPr="00BA286B">
        <w:rPr>
          <w:spacing w:val="-9"/>
          <w:sz w:val="16"/>
          <w:lang w:val="en-US"/>
        </w:rPr>
        <w:t xml:space="preserve"> </w:t>
      </w:r>
      <w:r w:rsidRPr="00BA286B">
        <w:rPr>
          <w:sz w:val="16"/>
          <w:lang w:val="en-US"/>
        </w:rPr>
        <w:t>vii.</w:t>
      </w:r>
    </w:p>
    <w:p w:rsidR="008777CB" w:rsidRDefault="00BA286B">
      <w:pPr>
        <w:pStyle w:val="PargrafodaLista"/>
        <w:numPr>
          <w:ilvl w:val="0"/>
          <w:numId w:val="2"/>
        </w:numPr>
        <w:tabs>
          <w:tab w:val="left" w:pos="407"/>
        </w:tabs>
        <w:spacing w:line="183" w:lineRule="exact"/>
        <w:ind w:firstLine="0"/>
        <w:rPr>
          <w:sz w:val="16"/>
        </w:rPr>
      </w:pPr>
      <w:proofErr w:type="spellStart"/>
      <w:r w:rsidRPr="00BA286B">
        <w:rPr>
          <w:sz w:val="16"/>
          <w:lang w:val="en-US"/>
        </w:rPr>
        <w:t>Thakker</w:t>
      </w:r>
      <w:proofErr w:type="spellEnd"/>
      <w:r w:rsidRPr="00BA286B">
        <w:rPr>
          <w:spacing w:val="-5"/>
          <w:sz w:val="16"/>
          <w:lang w:val="en-US"/>
        </w:rPr>
        <w:t xml:space="preserve"> </w:t>
      </w:r>
      <w:r w:rsidRPr="00BA286B">
        <w:rPr>
          <w:sz w:val="16"/>
          <w:lang w:val="en-US"/>
        </w:rPr>
        <w:t>RV.</w:t>
      </w:r>
      <w:r w:rsidRPr="00BA286B">
        <w:rPr>
          <w:spacing w:val="-2"/>
          <w:sz w:val="16"/>
          <w:lang w:val="en-US"/>
        </w:rPr>
        <w:t xml:space="preserve"> </w:t>
      </w:r>
      <w:r w:rsidRPr="00BA286B">
        <w:rPr>
          <w:sz w:val="16"/>
          <w:lang w:val="en-US"/>
        </w:rPr>
        <w:t>Genetics</w:t>
      </w:r>
      <w:r w:rsidRPr="00BA286B">
        <w:rPr>
          <w:spacing w:val="-3"/>
          <w:sz w:val="16"/>
          <w:lang w:val="en-US"/>
        </w:rPr>
        <w:t xml:space="preserve"> </w:t>
      </w:r>
      <w:r w:rsidRPr="00BA286B">
        <w:rPr>
          <w:sz w:val="16"/>
          <w:lang w:val="en-US"/>
        </w:rPr>
        <w:t>of</w:t>
      </w:r>
      <w:r w:rsidRPr="00BA286B">
        <w:rPr>
          <w:spacing w:val="-5"/>
          <w:sz w:val="16"/>
          <w:lang w:val="en-US"/>
        </w:rPr>
        <w:t xml:space="preserve"> </w:t>
      </w:r>
      <w:r w:rsidRPr="00BA286B">
        <w:rPr>
          <w:sz w:val="16"/>
          <w:lang w:val="en-US"/>
        </w:rPr>
        <w:t>endocrine</w:t>
      </w:r>
      <w:r w:rsidRPr="00BA286B">
        <w:rPr>
          <w:spacing w:val="-5"/>
          <w:sz w:val="16"/>
          <w:lang w:val="en-US"/>
        </w:rPr>
        <w:t xml:space="preserve"> </w:t>
      </w:r>
      <w:r w:rsidRPr="00BA286B">
        <w:rPr>
          <w:sz w:val="16"/>
          <w:lang w:val="en-US"/>
        </w:rPr>
        <w:t>and</w:t>
      </w:r>
      <w:r w:rsidRPr="00BA286B">
        <w:rPr>
          <w:spacing w:val="-4"/>
          <w:sz w:val="16"/>
          <w:lang w:val="en-US"/>
        </w:rPr>
        <w:t xml:space="preserve"> </w:t>
      </w:r>
      <w:r w:rsidRPr="00BA286B">
        <w:rPr>
          <w:sz w:val="16"/>
          <w:lang w:val="en-US"/>
        </w:rPr>
        <w:t>metabolic</w:t>
      </w:r>
      <w:r w:rsidRPr="00BA286B">
        <w:rPr>
          <w:spacing w:val="-5"/>
          <w:sz w:val="16"/>
          <w:lang w:val="en-US"/>
        </w:rPr>
        <w:t xml:space="preserve"> </w:t>
      </w:r>
      <w:r w:rsidRPr="00BA286B">
        <w:rPr>
          <w:sz w:val="16"/>
          <w:lang w:val="en-US"/>
        </w:rPr>
        <w:t>disorders:</w:t>
      </w:r>
      <w:r w:rsidRPr="00BA286B">
        <w:rPr>
          <w:spacing w:val="-4"/>
          <w:sz w:val="16"/>
          <w:lang w:val="en-US"/>
        </w:rPr>
        <w:t xml:space="preserve"> </w:t>
      </w:r>
      <w:r w:rsidRPr="00BA286B">
        <w:rPr>
          <w:sz w:val="16"/>
          <w:lang w:val="en-US"/>
        </w:rPr>
        <w:t>parathyroid.</w:t>
      </w:r>
      <w:r w:rsidRPr="00BA286B">
        <w:rPr>
          <w:spacing w:val="-5"/>
          <w:sz w:val="16"/>
          <w:lang w:val="en-US"/>
        </w:rPr>
        <w:t xml:space="preserve"> </w:t>
      </w:r>
      <w:proofErr w:type="spellStart"/>
      <w:r>
        <w:rPr>
          <w:sz w:val="16"/>
        </w:rPr>
        <w:t>Rev</w:t>
      </w:r>
      <w:proofErr w:type="spellEnd"/>
      <w:r>
        <w:rPr>
          <w:spacing w:val="-5"/>
          <w:sz w:val="16"/>
        </w:rPr>
        <w:t xml:space="preserve"> </w:t>
      </w:r>
      <w:proofErr w:type="spellStart"/>
      <w:r>
        <w:rPr>
          <w:sz w:val="16"/>
        </w:rPr>
        <w:t>Endocr</w:t>
      </w:r>
      <w:proofErr w:type="spellEnd"/>
      <w:r>
        <w:rPr>
          <w:spacing w:val="-4"/>
          <w:sz w:val="16"/>
        </w:rPr>
        <w:t xml:space="preserve"> </w:t>
      </w:r>
      <w:proofErr w:type="spellStart"/>
      <w:r>
        <w:rPr>
          <w:sz w:val="16"/>
        </w:rPr>
        <w:t>Metab</w:t>
      </w:r>
      <w:proofErr w:type="spellEnd"/>
      <w:r>
        <w:rPr>
          <w:spacing w:val="-4"/>
          <w:sz w:val="16"/>
        </w:rPr>
        <w:t xml:space="preserve"> </w:t>
      </w:r>
      <w:proofErr w:type="spellStart"/>
      <w:r>
        <w:rPr>
          <w:sz w:val="16"/>
        </w:rPr>
        <w:t>Disord</w:t>
      </w:r>
      <w:proofErr w:type="spellEnd"/>
      <w:r>
        <w:rPr>
          <w:sz w:val="16"/>
        </w:rPr>
        <w:t>.</w:t>
      </w:r>
      <w:r>
        <w:rPr>
          <w:spacing w:val="-5"/>
          <w:sz w:val="16"/>
        </w:rPr>
        <w:t xml:space="preserve"> </w:t>
      </w:r>
      <w:proofErr w:type="gramStart"/>
      <w:r>
        <w:rPr>
          <w:sz w:val="16"/>
        </w:rPr>
        <w:t>2004;</w:t>
      </w:r>
      <w:proofErr w:type="gramEnd"/>
      <w:r>
        <w:rPr>
          <w:sz w:val="16"/>
        </w:rPr>
        <w:t>5(1):37-51.</w:t>
      </w:r>
    </w:p>
    <w:p w:rsidR="008777CB" w:rsidRPr="00BA286B" w:rsidRDefault="00BA286B">
      <w:pPr>
        <w:pStyle w:val="PargrafodaLista"/>
        <w:numPr>
          <w:ilvl w:val="0"/>
          <w:numId w:val="2"/>
        </w:numPr>
        <w:tabs>
          <w:tab w:val="left" w:pos="407"/>
        </w:tabs>
        <w:spacing w:line="183" w:lineRule="exact"/>
        <w:ind w:firstLine="0"/>
        <w:rPr>
          <w:sz w:val="16"/>
          <w:lang w:val="en-US"/>
        </w:rPr>
      </w:pPr>
      <w:r w:rsidRPr="00BA286B">
        <w:rPr>
          <w:sz w:val="16"/>
          <w:lang w:val="en-US"/>
        </w:rPr>
        <w:t>Carpenter</w:t>
      </w:r>
      <w:r w:rsidRPr="00BA286B">
        <w:rPr>
          <w:spacing w:val="-4"/>
          <w:sz w:val="16"/>
          <w:lang w:val="en-US"/>
        </w:rPr>
        <w:t xml:space="preserve"> </w:t>
      </w:r>
      <w:r w:rsidRPr="00BA286B">
        <w:rPr>
          <w:sz w:val="16"/>
          <w:lang w:val="en-US"/>
        </w:rPr>
        <w:t>TO,</w:t>
      </w:r>
      <w:r w:rsidRPr="00BA286B">
        <w:rPr>
          <w:spacing w:val="-2"/>
          <w:sz w:val="16"/>
          <w:lang w:val="en-US"/>
        </w:rPr>
        <w:t xml:space="preserve"> </w:t>
      </w:r>
      <w:r w:rsidRPr="00BA286B">
        <w:rPr>
          <w:sz w:val="16"/>
          <w:lang w:val="en-US"/>
        </w:rPr>
        <w:t>Carnes</w:t>
      </w:r>
      <w:r w:rsidRPr="00BA286B">
        <w:rPr>
          <w:spacing w:val="-2"/>
          <w:sz w:val="16"/>
          <w:lang w:val="en-US"/>
        </w:rPr>
        <w:t xml:space="preserve"> </w:t>
      </w:r>
      <w:r w:rsidRPr="00BA286B">
        <w:rPr>
          <w:sz w:val="16"/>
          <w:lang w:val="en-US"/>
        </w:rPr>
        <w:t>DL</w:t>
      </w:r>
      <w:r w:rsidRPr="00BA286B">
        <w:rPr>
          <w:spacing w:val="-8"/>
          <w:sz w:val="16"/>
          <w:lang w:val="en-US"/>
        </w:rPr>
        <w:t xml:space="preserve"> </w:t>
      </w:r>
      <w:proofErr w:type="spellStart"/>
      <w:r w:rsidRPr="00BA286B">
        <w:rPr>
          <w:sz w:val="16"/>
          <w:lang w:val="en-US"/>
        </w:rPr>
        <w:t>Jr</w:t>
      </w:r>
      <w:proofErr w:type="spellEnd"/>
      <w:r w:rsidRPr="00BA286B">
        <w:rPr>
          <w:sz w:val="16"/>
          <w:lang w:val="en-US"/>
        </w:rPr>
        <w:t xml:space="preserve">, </w:t>
      </w:r>
      <w:proofErr w:type="spellStart"/>
      <w:r w:rsidRPr="00BA286B">
        <w:rPr>
          <w:sz w:val="16"/>
          <w:lang w:val="en-US"/>
        </w:rPr>
        <w:t>Anast</w:t>
      </w:r>
      <w:proofErr w:type="spellEnd"/>
      <w:r w:rsidRPr="00BA286B">
        <w:rPr>
          <w:spacing w:val="-3"/>
          <w:sz w:val="16"/>
          <w:lang w:val="en-US"/>
        </w:rPr>
        <w:t xml:space="preserve"> </w:t>
      </w:r>
      <w:r w:rsidRPr="00BA286B">
        <w:rPr>
          <w:sz w:val="16"/>
          <w:lang w:val="en-US"/>
        </w:rPr>
        <w:t>CS.</w:t>
      </w:r>
      <w:r w:rsidRPr="00BA286B">
        <w:rPr>
          <w:spacing w:val="-2"/>
          <w:sz w:val="16"/>
          <w:lang w:val="en-US"/>
        </w:rPr>
        <w:t xml:space="preserve"> </w:t>
      </w:r>
      <w:proofErr w:type="spellStart"/>
      <w:r w:rsidRPr="00BA286B">
        <w:rPr>
          <w:sz w:val="16"/>
          <w:lang w:val="en-US"/>
        </w:rPr>
        <w:t>Hypoparathyroidism</w:t>
      </w:r>
      <w:proofErr w:type="spellEnd"/>
      <w:r w:rsidRPr="00BA286B">
        <w:rPr>
          <w:spacing w:val="-5"/>
          <w:sz w:val="16"/>
          <w:lang w:val="en-US"/>
        </w:rPr>
        <w:t xml:space="preserve"> </w:t>
      </w:r>
      <w:r w:rsidRPr="00BA286B">
        <w:rPr>
          <w:sz w:val="16"/>
          <w:lang w:val="en-US"/>
        </w:rPr>
        <w:t>in</w:t>
      </w:r>
      <w:r w:rsidRPr="00BA286B">
        <w:rPr>
          <w:spacing w:val="-4"/>
          <w:sz w:val="16"/>
          <w:lang w:val="en-US"/>
        </w:rPr>
        <w:t xml:space="preserve"> </w:t>
      </w:r>
      <w:r w:rsidRPr="00BA286B">
        <w:rPr>
          <w:sz w:val="16"/>
          <w:lang w:val="en-US"/>
        </w:rPr>
        <w:t>Wilson’s</w:t>
      </w:r>
      <w:r w:rsidRPr="00BA286B">
        <w:rPr>
          <w:spacing w:val="-3"/>
          <w:sz w:val="16"/>
          <w:lang w:val="en-US"/>
        </w:rPr>
        <w:t xml:space="preserve"> </w:t>
      </w:r>
      <w:r w:rsidRPr="00BA286B">
        <w:rPr>
          <w:sz w:val="16"/>
          <w:lang w:val="en-US"/>
        </w:rPr>
        <w:t>disease.</w:t>
      </w:r>
      <w:r w:rsidRPr="00BA286B">
        <w:rPr>
          <w:spacing w:val="-1"/>
          <w:sz w:val="16"/>
          <w:lang w:val="en-US"/>
        </w:rPr>
        <w:t xml:space="preserve"> </w:t>
      </w:r>
      <w:r w:rsidRPr="00BA286B">
        <w:rPr>
          <w:sz w:val="16"/>
          <w:lang w:val="en-US"/>
        </w:rPr>
        <w:t>N</w:t>
      </w:r>
      <w:r w:rsidRPr="00BA286B">
        <w:rPr>
          <w:spacing w:val="-4"/>
          <w:sz w:val="16"/>
          <w:lang w:val="en-US"/>
        </w:rPr>
        <w:t xml:space="preserve"> </w:t>
      </w:r>
      <w:proofErr w:type="spellStart"/>
      <w:r w:rsidRPr="00BA286B">
        <w:rPr>
          <w:sz w:val="16"/>
          <w:lang w:val="en-US"/>
        </w:rPr>
        <w:t>Engl</w:t>
      </w:r>
      <w:proofErr w:type="spellEnd"/>
      <w:r w:rsidRPr="00BA286B">
        <w:rPr>
          <w:spacing w:val="-4"/>
          <w:sz w:val="16"/>
          <w:lang w:val="en-US"/>
        </w:rPr>
        <w:t xml:space="preserve"> </w:t>
      </w:r>
      <w:r w:rsidRPr="00BA286B">
        <w:rPr>
          <w:sz w:val="16"/>
          <w:lang w:val="en-US"/>
        </w:rPr>
        <w:t>J</w:t>
      </w:r>
      <w:r w:rsidRPr="00BA286B">
        <w:rPr>
          <w:spacing w:val="-4"/>
          <w:sz w:val="16"/>
          <w:lang w:val="en-US"/>
        </w:rPr>
        <w:t xml:space="preserve"> </w:t>
      </w:r>
      <w:r w:rsidRPr="00BA286B">
        <w:rPr>
          <w:sz w:val="16"/>
          <w:lang w:val="en-US"/>
        </w:rPr>
        <w:t>Med.</w:t>
      </w:r>
      <w:r w:rsidRPr="00BA286B">
        <w:rPr>
          <w:spacing w:val="-5"/>
          <w:sz w:val="16"/>
          <w:lang w:val="en-US"/>
        </w:rPr>
        <w:t xml:space="preserve"> </w:t>
      </w:r>
      <w:r w:rsidRPr="00BA286B">
        <w:rPr>
          <w:sz w:val="16"/>
          <w:lang w:val="en-US"/>
        </w:rPr>
        <w:t>1983</w:t>
      </w:r>
      <w:proofErr w:type="gramStart"/>
      <w:r w:rsidRPr="00BA286B">
        <w:rPr>
          <w:sz w:val="16"/>
          <w:lang w:val="en-US"/>
        </w:rPr>
        <w:t>;309</w:t>
      </w:r>
      <w:proofErr w:type="gramEnd"/>
      <w:r w:rsidRPr="00BA286B">
        <w:rPr>
          <w:sz w:val="16"/>
          <w:lang w:val="en-US"/>
        </w:rPr>
        <w:t>(15):873-7.</w:t>
      </w:r>
    </w:p>
    <w:p w:rsidR="008777CB" w:rsidRDefault="00BA286B">
      <w:pPr>
        <w:pStyle w:val="PargrafodaLista"/>
        <w:numPr>
          <w:ilvl w:val="0"/>
          <w:numId w:val="2"/>
        </w:numPr>
        <w:tabs>
          <w:tab w:val="left" w:pos="407"/>
        </w:tabs>
        <w:ind w:right="274" w:firstLine="0"/>
        <w:rPr>
          <w:sz w:val="16"/>
        </w:rPr>
      </w:pPr>
      <w:proofErr w:type="spellStart"/>
      <w:r w:rsidRPr="00BA286B">
        <w:rPr>
          <w:sz w:val="16"/>
          <w:lang w:val="en-US"/>
        </w:rPr>
        <w:t>Toumba</w:t>
      </w:r>
      <w:proofErr w:type="spellEnd"/>
      <w:r w:rsidRPr="00BA286B">
        <w:rPr>
          <w:sz w:val="16"/>
          <w:lang w:val="en-US"/>
        </w:rPr>
        <w:t xml:space="preserve"> M, </w:t>
      </w:r>
      <w:proofErr w:type="spellStart"/>
      <w:r w:rsidRPr="00BA286B">
        <w:rPr>
          <w:sz w:val="16"/>
          <w:lang w:val="en-US"/>
        </w:rPr>
        <w:t>Sergis</w:t>
      </w:r>
      <w:proofErr w:type="spellEnd"/>
      <w:r w:rsidRPr="00BA286B">
        <w:rPr>
          <w:sz w:val="16"/>
          <w:lang w:val="en-US"/>
        </w:rPr>
        <w:t xml:space="preserve"> A, </w:t>
      </w:r>
      <w:proofErr w:type="spellStart"/>
      <w:r w:rsidRPr="00BA286B">
        <w:rPr>
          <w:sz w:val="16"/>
          <w:lang w:val="en-US"/>
        </w:rPr>
        <w:t>Kanaris</w:t>
      </w:r>
      <w:proofErr w:type="spellEnd"/>
      <w:r w:rsidRPr="00BA286B">
        <w:rPr>
          <w:sz w:val="16"/>
          <w:lang w:val="en-US"/>
        </w:rPr>
        <w:t xml:space="preserve"> C, </w:t>
      </w:r>
      <w:proofErr w:type="spellStart"/>
      <w:r w:rsidRPr="00BA286B">
        <w:rPr>
          <w:sz w:val="16"/>
          <w:lang w:val="en-US"/>
        </w:rPr>
        <w:t>Skordis</w:t>
      </w:r>
      <w:proofErr w:type="spellEnd"/>
      <w:r w:rsidRPr="00BA286B">
        <w:rPr>
          <w:sz w:val="16"/>
          <w:lang w:val="en-US"/>
        </w:rPr>
        <w:t xml:space="preserve"> N. Endocrine complications in patients with </w:t>
      </w:r>
      <w:proofErr w:type="spellStart"/>
      <w:r w:rsidRPr="00BA286B">
        <w:rPr>
          <w:sz w:val="16"/>
          <w:lang w:val="en-US"/>
        </w:rPr>
        <w:t>Thalassaemia</w:t>
      </w:r>
      <w:proofErr w:type="spellEnd"/>
      <w:r w:rsidRPr="00BA286B">
        <w:rPr>
          <w:sz w:val="16"/>
          <w:lang w:val="en-US"/>
        </w:rPr>
        <w:t xml:space="preserve"> Major. </w:t>
      </w:r>
      <w:proofErr w:type="spellStart"/>
      <w:r>
        <w:rPr>
          <w:sz w:val="16"/>
        </w:rPr>
        <w:t>Pediatr</w:t>
      </w:r>
      <w:proofErr w:type="spellEnd"/>
      <w:r>
        <w:rPr>
          <w:sz w:val="16"/>
        </w:rPr>
        <w:t xml:space="preserve"> </w:t>
      </w:r>
      <w:proofErr w:type="spellStart"/>
      <w:r>
        <w:rPr>
          <w:sz w:val="16"/>
        </w:rPr>
        <w:t>Endocrinol</w:t>
      </w:r>
      <w:proofErr w:type="spellEnd"/>
      <w:r>
        <w:rPr>
          <w:sz w:val="16"/>
        </w:rPr>
        <w:t xml:space="preserve"> Rev. </w:t>
      </w:r>
      <w:proofErr w:type="gramStart"/>
      <w:r>
        <w:rPr>
          <w:sz w:val="16"/>
        </w:rPr>
        <w:t>2007;</w:t>
      </w:r>
      <w:proofErr w:type="gramEnd"/>
      <w:r>
        <w:rPr>
          <w:sz w:val="16"/>
        </w:rPr>
        <w:t>5(2):642-8.</w:t>
      </w:r>
    </w:p>
    <w:p w:rsidR="008777CB" w:rsidRDefault="00BA286B">
      <w:pPr>
        <w:pStyle w:val="PargrafodaLista"/>
        <w:numPr>
          <w:ilvl w:val="0"/>
          <w:numId w:val="2"/>
        </w:numPr>
        <w:tabs>
          <w:tab w:val="left" w:pos="407"/>
        </w:tabs>
        <w:ind w:right="269" w:firstLine="0"/>
        <w:rPr>
          <w:sz w:val="16"/>
        </w:rPr>
      </w:pPr>
      <w:r w:rsidRPr="00BA286B">
        <w:rPr>
          <w:sz w:val="16"/>
          <w:lang w:val="en-US"/>
        </w:rPr>
        <w:t xml:space="preserve">de </w:t>
      </w:r>
      <w:proofErr w:type="spellStart"/>
      <w:r w:rsidRPr="00BA286B">
        <w:rPr>
          <w:sz w:val="16"/>
          <w:lang w:val="en-US"/>
        </w:rPr>
        <w:t>Sèze</w:t>
      </w:r>
      <w:proofErr w:type="spellEnd"/>
      <w:r w:rsidRPr="00BA286B">
        <w:rPr>
          <w:sz w:val="16"/>
          <w:lang w:val="en-US"/>
        </w:rPr>
        <w:t xml:space="preserve"> S, </w:t>
      </w:r>
      <w:proofErr w:type="spellStart"/>
      <w:r w:rsidRPr="00BA286B">
        <w:rPr>
          <w:sz w:val="16"/>
          <w:lang w:val="en-US"/>
        </w:rPr>
        <w:t>Solnica</w:t>
      </w:r>
      <w:proofErr w:type="spellEnd"/>
      <w:r w:rsidRPr="00BA286B">
        <w:rPr>
          <w:sz w:val="16"/>
          <w:lang w:val="en-US"/>
        </w:rPr>
        <w:t xml:space="preserve"> J, </w:t>
      </w:r>
      <w:proofErr w:type="spellStart"/>
      <w:r w:rsidRPr="00BA286B">
        <w:rPr>
          <w:sz w:val="16"/>
          <w:lang w:val="en-US"/>
        </w:rPr>
        <w:t>Mitrovic</w:t>
      </w:r>
      <w:proofErr w:type="spellEnd"/>
      <w:r w:rsidRPr="00BA286B">
        <w:rPr>
          <w:sz w:val="16"/>
          <w:lang w:val="en-US"/>
        </w:rPr>
        <w:t xml:space="preserve"> D, </w:t>
      </w:r>
      <w:proofErr w:type="spellStart"/>
      <w:r w:rsidRPr="00BA286B">
        <w:rPr>
          <w:sz w:val="16"/>
          <w:lang w:val="en-US"/>
        </w:rPr>
        <w:t>Miravet</w:t>
      </w:r>
      <w:proofErr w:type="spellEnd"/>
      <w:r w:rsidRPr="00BA286B">
        <w:rPr>
          <w:sz w:val="16"/>
          <w:lang w:val="en-US"/>
        </w:rPr>
        <w:t xml:space="preserve"> </w:t>
      </w:r>
      <w:r w:rsidRPr="00BA286B">
        <w:rPr>
          <w:spacing w:val="-3"/>
          <w:sz w:val="16"/>
          <w:lang w:val="en-US"/>
        </w:rPr>
        <w:t xml:space="preserve">L, </w:t>
      </w:r>
      <w:proofErr w:type="spellStart"/>
      <w:r w:rsidRPr="00BA286B">
        <w:rPr>
          <w:sz w:val="16"/>
          <w:lang w:val="en-US"/>
        </w:rPr>
        <w:t>Dorfmann</w:t>
      </w:r>
      <w:proofErr w:type="spellEnd"/>
      <w:r w:rsidRPr="00BA286B">
        <w:rPr>
          <w:sz w:val="16"/>
          <w:lang w:val="en-US"/>
        </w:rPr>
        <w:t xml:space="preserve"> H. Joint and bone disorders and </w:t>
      </w:r>
      <w:proofErr w:type="spellStart"/>
      <w:r w:rsidRPr="00BA286B">
        <w:rPr>
          <w:sz w:val="16"/>
          <w:lang w:val="en-US"/>
        </w:rPr>
        <w:t>hypoparathyroidism</w:t>
      </w:r>
      <w:proofErr w:type="spellEnd"/>
      <w:r w:rsidRPr="00BA286B">
        <w:rPr>
          <w:sz w:val="16"/>
          <w:lang w:val="en-US"/>
        </w:rPr>
        <w:t xml:space="preserve"> in hemochromatosis. </w:t>
      </w:r>
      <w:proofErr w:type="spellStart"/>
      <w:r>
        <w:rPr>
          <w:sz w:val="16"/>
        </w:rPr>
        <w:t>Semin</w:t>
      </w:r>
      <w:proofErr w:type="spellEnd"/>
      <w:r>
        <w:rPr>
          <w:sz w:val="16"/>
        </w:rPr>
        <w:t xml:space="preserve"> </w:t>
      </w:r>
      <w:proofErr w:type="spellStart"/>
      <w:r>
        <w:rPr>
          <w:sz w:val="16"/>
        </w:rPr>
        <w:t>Arthritis</w:t>
      </w:r>
      <w:proofErr w:type="spellEnd"/>
      <w:r>
        <w:rPr>
          <w:sz w:val="16"/>
        </w:rPr>
        <w:t xml:space="preserve"> </w:t>
      </w:r>
      <w:proofErr w:type="spellStart"/>
      <w:r>
        <w:rPr>
          <w:sz w:val="16"/>
        </w:rPr>
        <w:t>Rheum</w:t>
      </w:r>
      <w:proofErr w:type="spellEnd"/>
      <w:r>
        <w:rPr>
          <w:sz w:val="16"/>
        </w:rPr>
        <w:t>.</w:t>
      </w:r>
      <w:r>
        <w:rPr>
          <w:spacing w:val="-3"/>
          <w:sz w:val="16"/>
        </w:rPr>
        <w:t xml:space="preserve"> </w:t>
      </w:r>
      <w:proofErr w:type="gramStart"/>
      <w:r>
        <w:rPr>
          <w:sz w:val="16"/>
        </w:rPr>
        <w:t>1972;</w:t>
      </w:r>
      <w:proofErr w:type="gramEnd"/>
      <w:r>
        <w:rPr>
          <w:sz w:val="16"/>
        </w:rPr>
        <w:t>2(1):71-94.</w:t>
      </w:r>
    </w:p>
    <w:p w:rsidR="008777CB" w:rsidRDefault="00BA286B">
      <w:pPr>
        <w:pStyle w:val="PargrafodaLista"/>
        <w:numPr>
          <w:ilvl w:val="0"/>
          <w:numId w:val="2"/>
        </w:numPr>
        <w:tabs>
          <w:tab w:val="left" w:pos="407"/>
        </w:tabs>
        <w:spacing w:before="1"/>
        <w:ind w:right="270" w:firstLine="0"/>
        <w:rPr>
          <w:sz w:val="16"/>
        </w:rPr>
      </w:pPr>
      <w:proofErr w:type="spellStart"/>
      <w:r>
        <w:rPr>
          <w:sz w:val="16"/>
        </w:rPr>
        <w:t>Goswami</w:t>
      </w:r>
      <w:proofErr w:type="spellEnd"/>
      <w:r>
        <w:rPr>
          <w:sz w:val="16"/>
        </w:rPr>
        <w:t xml:space="preserve"> R, </w:t>
      </w:r>
      <w:proofErr w:type="spellStart"/>
      <w:r>
        <w:rPr>
          <w:sz w:val="16"/>
        </w:rPr>
        <w:t>Goel</w:t>
      </w:r>
      <w:proofErr w:type="spellEnd"/>
      <w:r>
        <w:rPr>
          <w:sz w:val="16"/>
        </w:rPr>
        <w:t xml:space="preserve"> S, Tomar N, Gupta N, </w:t>
      </w:r>
      <w:proofErr w:type="spellStart"/>
      <w:r>
        <w:rPr>
          <w:sz w:val="16"/>
        </w:rPr>
        <w:t>Lumb</w:t>
      </w:r>
      <w:proofErr w:type="spellEnd"/>
      <w:r>
        <w:rPr>
          <w:sz w:val="16"/>
        </w:rPr>
        <w:t xml:space="preserve"> V, </w:t>
      </w:r>
      <w:proofErr w:type="spellStart"/>
      <w:r>
        <w:rPr>
          <w:sz w:val="16"/>
        </w:rPr>
        <w:t>Sharma</w:t>
      </w:r>
      <w:proofErr w:type="spellEnd"/>
      <w:r>
        <w:rPr>
          <w:sz w:val="16"/>
        </w:rPr>
        <w:t xml:space="preserve"> YD. </w:t>
      </w:r>
      <w:r w:rsidRPr="00BA286B">
        <w:rPr>
          <w:sz w:val="16"/>
          <w:lang w:val="en-US"/>
        </w:rPr>
        <w:t xml:space="preserve">Prevalence of clinical remission in patients with sporadic idiopathic </w:t>
      </w:r>
      <w:proofErr w:type="spellStart"/>
      <w:r w:rsidRPr="00BA286B">
        <w:rPr>
          <w:sz w:val="16"/>
          <w:lang w:val="en-US"/>
        </w:rPr>
        <w:t>hypoparathyroidism</w:t>
      </w:r>
      <w:proofErr w:type="spellEnd"/>
      <w:r w:rsidRPr="00BA286B">
        <w:rPr>
          <w:sz w:val="16"/>
          <w:lang w:val="en-US"/>
        </w:rPr>
        <w:t xml:space="preserve">. </w:t>
      </w:r>
      <w:proofErr w:type="spellStart"/>
      <w:r>
        <w:rPr>
          <w:sz w:val="16"/>
        </w:rPr>
        <w:t>Clin</w:t>
      </w:r>
      <w:proofErr w:type="spellEnd"/>
      <w:r>
        <w:rPr>
          <w:sz w:val="16"/>
        </w:rPr>
        <w:t xml:space="preserve"> </w:t>
      </w:r>
      <w:proofErr w:type="spellStart"/>
      <w:r>
        <w:rPr>
          <w:sz w:val="16"/>
        </w:rPr>
        <w:t>Endocrinol</w:t>
      </w:r>
      <w:proofErr w:type="spellEnd"/>
      <w:r>
        <w:rPr>
          <w:sz w:val="16"/>
        </w:rPr>
        <w:t xml:space="preserve"> (</w:t>
      </w:r>
      <w:proofErr w:type="spellStart"/>
      <w:r>
        <w:rPr>
          <w:sz w:val="16"/>
        </w:rPr>
        <w:t>Oxf</w:t>
      </w:r>
      <w:proofErr w:type="spellEnd"/>
      <w:r>
        <w:rPr>
          <w:sz w:val="16"/>
        </w:rPr>
        <w:t>).</w:t>
      </w:r>
      <w:r>
        <w:rPr>
          <w:spacing w:val="-2"/>
          <w:sz w:val="16"/>
        </w:rPr>
        <w:t xml:space="preserve"> </w:t>
      </w:r>
      <w:proofErr w:type="gramStart"/>
      <w:r>
        <w:rPr>
          <w:sz w:val="16"/>
        </w:rPr>
        <w:t>2010;</w:t>
      </w:r>
      <w:proofErr w:type="gramEnd"/>
      <w:r>
        <w:rPr>
          <w:sz w:val="16"/>
        </w:rPr>
        <w:t>72(3):328-33.</w:t>
      </w:r>
    </w:p>
    <w:p w:rsidR="008777CB" w:rsidRPr="00BA286B" w:rsidRDefault="00BA286B">
      <w:pPr>
        <w:pStyle w:val="PargrafodaLista"/>
        <w:numPr>
          <w:ilvl w:val="0"/>
          <w:numId w:val="2"/>
        </w:numPr>
        <w:tabs>
          <w:tab w:val="left" w:pos="407"/>
        </w:tabs>
        <w:spacing w:line="183" w:lineRule="exact"/>
        <w:ind w:firstLine="0"/>
        <w:rPr>
          <w:sz w:val="16"/>
          <w:lang w:val="en-US"/>
        </w:rPr>
      </w:pPr>
      <w:r w:rsidRPr="00BA286B">
        <w:rPr>
          <w:sz w:val="16"/>
          <w:lang w:val="en-US"/>
        </w:rPr>
        <w:t xml:space="preserve">Cole DE, </w:t>
      </w:r>
      <w:proofErr w:type="spellStart"/>
      <w:r w:rsidRPr="00BA286B">
        <w:rPr>
          <w:sz w:val="16"/>
          <w:lang w:val="en-US"/>
        </w:rPr>
        <w:t>Quamme</w:t>
      </w:r>
      <w:proofErr w:type="spellEnd"/>
      <w:r w:rsidRPr="00BA286B">
        <w:rPr>
          <w:sz w:val="16"/>
          <w:lang w:val="en-US"/>
        </w:rPr>
        <w:t xml:space="preserve"> </w:t>
      </w:r>
      <w:r w:rsidRPr="00BA286B">
        <w:rPr>
          <w:spacing w:val="-3"/>
          <w:sz w:val="16"/>
          <w:lang w:val="en-US"/>
        </w:rPr>
        <w:t xml:space="preserve">GA. </w:t>
      </w:r>
      <w:r w:rsidRPr="00BA286B">
        <w:rPr>
          <w:sz w:val="16"/>
          <w:lang w:val="en-US"/>
        </w:rPr>
        <w:t xml:space="preserve">Inherited disorders of renal magnesium handling. J Am </w:t>
      </w:r>
      <w:proofErr w:type="spellStart"/>
      <w:r w:rsidRPr="00BA286B">
        <w:rPr>
          <w:sz w:val="16"/>
          <w:lang w:val="en-US"/>
        </w:rPr>
        <w:t>Soc</w:t>
      </w:r>
      <w:proofErr w:type="spellEnd"/>
      <w:r w:rsidRPr="00BA286B">
        <w:rPr>
          <w:sz w:val="16"/>
          <w:lang w:val="en-US"/>
        </w:rPr>
        <w:t xml:space="preserve"> </w:t>
      </w:r>
      <w:proofErr w:type="spellStart"/>
      <w:r w:rsidRPr="00BA286B">
        <w:rPr>
          <w:sz w:val="16"/>
          <w:lang w:val="en-US"/>
        </w:rPr>
        <w:t>Nephrol</w:t>
      </w:r>
      <w:proofErr w:type="spellEnd"/>
      <w:r w:rsidRPr="00BA286B">
        <w:rPr>
          <w:sz w:val="16"/>
          <w:lang w:val="en-US"/>
        </w:rPr>
        <w:t>.</w:t>
      </w:r>
      <w:r w:rsidRPr="00BA286B">
        <w:rPr>
          <w:spacing w:val="-7"/>
          <w:sz w:val="16"/>
          <w:lang w:val="en-US"/>
        </w:rPr>
        <w:t xml:space="preserve"> </w:t>
      </w:r>
      <w:r w:rsidRPr="00BA286B">
        <w:rPr>
          <w:sz w:val="16"/>
          <w:lang w:val="en-US"/>
        </w:rPr>
        <w:t>2000</w:t>
      </w:r>
      <w:proofErr w:type="gramStart"/>
      <w:r w:rsidRPr="00BA286B">
        <w:rPr>
          <w:sz w:val="16"/>
          <w:lang w:val="en-US"/>
        </w:rPr>
        <w:t>;11</w:t>
      </w:r>
      <w:proofErr w:type="gramEnd"/>
      <w:r w:rsidRPr="00BA286B">
        <w:rPr>
          <w:sz w:val="16"/>
          <w:lang w:val="en-US"/>
        </w:rPr>
        <w:t>(10):1937-47.</w:t>
      </w:r>
    </w:p>
    <w:p w:rsidR="008777CB" w:rsidRPr="00BA286B" w:rsidRDefault="00BA286B">
      <w:pPr>
        <w:pStyle w:val="PargrafodaLista"/>
        <w:numPr>
          <w:ilvl w:val="0"/>
          <w:numId w:val="2"/>
        </w:numPr>
        <w:tabs>
          <w:tab w:val="left" w:pos="407"/>
        </w:tabs>
        <w:spacing w:before="1"/>
        <w:ind w:right="278" w:firstLine="0"/>
        <w:rPr>
          <w:sz w:val="16"/>
          <w:lang w:val="en-US"/>
        </w:rPr>
      </w:pPr>
      <w:r w:rsidRPr="00BA286B">
        <w:rPr>
          <w:sz w:val="16"/>
          <w:lang w:val="en-US"/>
        </w:rPr>
        <w:t xml:space="preserve">Koontz SL, Friedman SA, Schwartz ML. Symptomatic </w:t>
      </w:r>
      <w:proofErr w:type="spellStart"/>
      <w:r w:rsidRPr="00BA286B">
        <w:rPr>
          <w:sz w:val="16"/>
          <w:lang w:val="en-US"/>
        </w:rPr>
        <w:t>hypocalcemia</w:t>
      </w:r>
      <w:proofErr w:type="spellEnd"/>
      <w:r w:rsidRPr="00BA286B">
        <w:rPr>
          <w:sz w:val="16"/>
          <w:lang w:val="en-US"/>
        </w:rPr>
        <w:t xml:space="preserve"> after </w:t>
      </w:r>
      <w:proofErr w:type="spellStart"/>
      <w:r w:rsidRPr="00BA286B">
        <w:rPr>
          <w:sz w:val="16"/>
          <w:lang w:val="en-US"/>
        </w:rPr>
        <w:t>tocolytic</w:t>
      </w:r>
      <w:proofErr w:type="spellEnd"/>
      <w:r w:rsidRPr="00BA286B">
        <w:rPr>
          <w:sz w:val="16"/>
          <w:lang w:val="en-US"/>
        </w:rPr>
        <w:t xml:space="preserve"> therapy with magnesium sulfate and </w:t>
      </w:r>
      <w:proofErr w:type="spellStart"/>
      <w:r w:rsidRPr="00BA286B">
        <w:rPr>
          <w:sz w:val="16"/>
          <w:lang w:val="en-US"/>
        </w:rPr>
        <w:t>nifedipine</w:t>
      </w:r>
      <w:proofErr w:type="spellEnd"/>
      <w:r w:rsidRPr="00BA286B">
        <w:rPr>
          <w:sz w:val="16"/>
          <w:lang w:val="en-US"/>
        </w:rPr>
        <w:t xml:space="preserve">. Am J </w:t>
      </w:r>
      <w:proofErr w:type="spellStart"/>
      <w:r w:rsidRPr="00BA286B">
        <w:rPr>
          <w:sz w:val="16"/>
          <w:lang w:val="en-US"/>
        </w:rPr>
        <w:t>Obstet</w:t>
      </w:r>
      <w:proofErr w:type="spellEnd"/>
      <w:r w:rsidRPr="00BA286B">
        <w:rPr>
          <w:sz w:val="16"/>
          <w:lang w:val="en-US"/>
        </w:rPr>
        <w:t xml:space="preserve"> Gynecol. 2004</w:t>
      </w:r>
      <w:proofErr w:type="gramStart"/>
      <w:r w:rsidRPr="00BA286B">
        <w:rPr>
          <w:sz w:val="16"/>
          <w:lang w:val="en-US"/>
        </w:rPr>
        <w:t>;190</w:t>
      </w:r>
      <w:proofErr w:type="gramEnd"/>
      <w:r w:rsidRPr="00BA286B">
        <w:rPr>
          <w:sz w:val="16"/>
          <w:lang w:val="en-US"/>
        </w:rPr>
        <w:t>(6):1773-6.</w:t>
      </w:r>
    </w:p>
    <w:p w:rsidR="008777CB" w:rsidRDefault="00BA286B">
      <w:pPr>
        <w:pStyle w:val="PargrafodaLista"/>
        <w:numPr>
          <w:ilvl w:val="0"/>
          <w:numId w:val="2"/>
        </w:numPr>
        <w:tabs>
          <w:tab w:val="left" w:pos="407"/>
          <w:tab w:val="left" w:pos="1343"/>
          <w:tab w:val="left" w:pos="1806"/>
          <w:tab w:val="left" w:pos="3439"/>
          <w:tab w:val="left" w:pos="4395"/>
          <w:tab w:val="left" w:pos="5421"/>
          <w:tab w:val="left" w:pos="6092"/>
          <w:tab w:val="left" w:pos="6869"/>
          <w:tab w:val="left" w:pos="7371"/>
          <w:tab w:val="left" w:pos="8507"/>
          <w:tab w:val="left" w:pos="9515"/>
        </w:tabs>
        <w:ind w:right="269" w:firstLine="0"/>
        <w:rPr>
          <w:sz w:val="16"/>
        </w:rPr>
      </w:pPr>
      <w:proofErr w:type="spellStart"/>
      <w:r w:rsidRPr="00BA286B">
        <w:rPr>
          <w:sz w:val="16"/>
          <w:lang w:val="en-US"/>
        </w:rPr>
        <w:t>Goltzman</w:t>
      </w:r>
      <w:proofErr w:type="spellEnd"/>
      <w:r w:rsidRPr="00BA286B">
        <w:rPr>
          <w:sz w:val="16"/>
          <w:lang w:val="en-US"/>
        </w:rPr>
        <w:tab/>
        <w:t>D.</w:t>
      </w:r>
      <w:r w:rsidRPr="00BA286B">
        <w:rPr>
          <w:sz w:val="16"/>
          <w:lang w:val="en-US"/>
        </w:rPr>
        <w:tab/>
      </w:r>
      <w:proofErr w:type="spellStart"/>
      <w:r w:rsidRPr="00BA286B">
        <w:rPr>
          <w:sz w:val="16"/>
          <w:lang w:val="en-US"/>
        </w:rPr>
        <w:t>Hypoparathyroidism</w:t>
      </w:r>
      <w:proofErr w:type="spellEnd"/>
      <w:r w:rsidRPr="00BA286B">
        <w:rPr>
          <w:sz w:val="16"/>
          <w:lang w:val="en-US"/>
        </w:rPr>
        <w:tab/>
        <w:t>[Internet].</w:t>
      </w:r>
      <w:r w:rsidRPr="00BA286B">
        <w:rPr>
          <w:sz w:val="16"/>
          <w:lang w:val="en-US"/>
        </w:rPr>
        <w:tab/>
      </w:r>
      <w:proofErr w:type="spellStart"/>
      <w:r w:rsidRPr="00BA286B">
        <w:rPr>
          <w:sz w:val="16"/>
          <w:lang w:val="en-US"/>
        </w:rPr>
        <w:t>UpToDate</w:t>
      </w:r>
      <w:proofErr w:type="spellEnd"/>
      <w:r w:rsidRPr="00BA286B">
        <w:rPr>
          <w:sz w:val="16"/>
          <w:lang w:val="en-US"/>
        </w:rPr>
        <w:t>;</w:t>
      </w:r>
      <w:r w:rsidRPr="00BA286B">
        <w:rPr>
          <w:sz w:val="16"/>
          <w:lang w:val="en-US"/>
        </w:rPr>
        <w:tab/>
        <w:t>2014.</w:t>
      </w:r>
      <w:r w:rsidRPr="00BA286B">
        <w:rPr>
          <w:sz w:val="16"/>
          <w:lang w:val="en-US"/>
        </w:rPr>
        <w:tab/>
      </w:r>
      <w:r>
        <w:rPr>
          <w:sz w:val="16"/>
        </w:rPr>
        <w:t>[acesso</w:t>
      </w:r>
      <w:r>
        <w:rPr>
          <w:sz w:val="16"/>
        </w:rPr>
        <w:tab/>
        <w:t>em</w:t>
      </w:r>
      <w:r>
        <w:rPr>
          <w:sz w:val="16"/>
        </w:rPr>
        <w:tab/>
        <w:t>05/12/2014].</w:t>
      </w:r>
      <w:r>
        <w:rPr>
          <w:sz w:val="16"/>
        </w:rPr>
        <w:tab/>
        <w:t>Disponível</w:t>
      </w:r>
      <w:r>
        <w:rPr>
          <w:sz w:val="16"/>
        </w:rPr>
        <w:tab/>
      </w:r>
      <w:proofErr w:type="gramStart"/>
      <w:r>
        <w:rPr>
          <w:sz w:val="16"/>
        </w:rPr>
        <w:t>em:</w:t>
      </w:r>
      <w:proofErr w:type="gramEnd"/>
      <w:r>
        <w:fldChar w:fldCharType="begin"/>
      </w:r>
      <w:r>
        <w:instrText xml:space="preserve"> HYPERLINK "http://www.uptodate.com/contents/hypoparathyroidism" \h </w:instrText>
      </w:r>
      <w:r>
        <w:fldChar w:fldCharType="separate"/>
      </w:r>
      <w:r>
        <w:rPr>
          <w:color w:val="0000FF"/>
          <w:sz w:val="16"/>
          <w:u w:val="single" w:color="0000FF"/>
        </w:rPr>
        <w:t xml:space="preserve"> http://www.uptodate.com/contents/hypoparathyroidism</w:t>
      </w:r>
      <w:r>
        <w:rPr>
          <w:color w:val="0000FF"/>
          <w:sz w:val="16"/>
          <w:u w:val="single" w:color="0000FF"/>
        </w:rPr>
        <w:fldChar w:fldCharType="end"/>
      </w:r>
    </w:p>
    <w:p w:rsidR="008777CB" w:rsidRDefault="00BA286B">
      <w:pPr>
        <w:pStyle w:val="PargrafodaLista"/>
        <w:numPr>
          <w:ilvl w:val="0"/>
          <w:numId w:val="2"/>
        </w:numPr>
        <w:tabs>
          <w:tab w:val="left" w:pos="407"/>
        </w:tabs>
        <w:ind w:right="271" w:firstLine="0"/>
        <w:rPr>
          <w:sz w:val="16"/>
        </w:rPr>
      </w:pPr>
      <w:proofErr w:type="spellStart"/>
      <w:r w:rsidRPr="00BA286B">
        <w:rPr>
          <w:sz w:val="16"/>
          <w:lang w:val="en-US"/>
        </w:rPr>
        <w:t>Betterle</w:t>
      </w:r>
      <w:proofErr w:type="spellEnd"/>
      <w:r w:rsidRPr="00BA286B">
        <w:rPr>
          <w:sz w:val="16"/>
          <w:lang w:val="en-US"/>
        </w:rPr>
        <w:t xml:space="preserve"> C, Dal </w:t>
      </w:r>
      <w:proofErr w:type="spellStart"/>
      <w:r w:rsidRPr="00BA286B">
        <w:rPr>
          <w:sz w:val="16"/>
          <w:lang w:val="en-US"/>
        </w:rPr>
        <w:t>Pra</w:t>
      </w:r>
      <w:proofErr w:type="spellEnd"/>
      <w:r w:rsidRPr="00BA286B">
        <w:rPr>
          <w:sz w:val="16"/>
          <w:lang w:val="en-US"/>
        </w:rPr>
        <w:t xml:space="preserve"> C, </w:t>
      </w:r>
      <w:proofErr w:type="spellStart"/>
      <w:r w:rsidRPr="00BA286B">
        <w:rPr>
          <w:sz w:val="16"/>
          <w:lang w:val="en-US"/>
        </w:rPr>
        <w:t>Mantero</w:t>
      </w:r>
      <w:proofErr w:type="spellEnd"/>
      <w:r w:rsidRPr="00BA286B">
        <w:rPr>
          <w:sz w:val="16"/>
          <w:lang w:val="en-US"/>
        </w:rPr>
        <w:t xml:space="preserve"> F, </w:t>
      </w:r>
      <w:proofErr w:type="spellStart"/>
      <w:r w:rsidRPr="00BA286B">
        <w:rPr>
          <w:sz w:val="16"/>
          <w:lang w:val="en-US"/>
        </w:rPr>
        <w:t>Zanchetta</w:t>
      </w:r>
      <w:proofErr w:type="spellEnd"/>
      <w:r w:rsidRPr="00BA286B">
        <w:rPr>
          <w:sz w:val="16"/>
          <w:lang w:val="en-US"/>
        </w:rPr>
        <w:t xml:space="preserve"> R. Autoimmune adrenal insufficiency and autoimmune </w:t>
      </w:r>
      <w:proofErr w:type="spellStart"/>
      <w:r w:rsidRPr="00BA286B">
        <w:rPr>
          <w:sz w:val="16"/>
          <w:lang w:val="en-US"/>
        </w:rPr>
        <w:t>polyendocrine</w:t>
      </w:r>
      <w:proofErr w:type="spellEnd"/>
      <w:r w:rsidRPr="00BA286B">
        <w:rPr>
          <w:sz w:val="16"/>
          <w:lang w:val="en-US"/>
        </w:rPr>
        <w:t xml:space="preserve"> syndromes: autoantibodies, </w:t>
      </w:r>
      <w:proofErr w:type="spellStart"/>
      <w:r w:rsidRPr="00BA286B">
        <w:rPr>
          <w:sz w:val="16"/>
          <w:lang w:val="en-US"/>
        </w:rPr>
        <w:t>autoantigens</w:t>
      </w:r>
      <w:proofErr w:type="spellEnd"/>
      <w:r w:rsidRPr="00BA286B">
        <w:rPr>
          <w:sz w:val="16"/>
          <w:lang w:val="en-US"/>
        </w:rPr>
        <w:t xml:space="preserve">, and their applicability in diagnosis and disease prediction. </w:t>
      </w:r>
      <w:proofErr w:type="spellStart"/>
      <w:r>
        <w:rPr>
          <w:sz w:val="16"/>
        </w:rPr>
        <w:t>Endocr</w:t>
      </w:r>
      <w:proofErr w:type="spellEnd"/>
      <w:r>
        <w:rPr>
          <w:sz w:val="16"/>
        </w:rPr>
        <w:t xml:space="preserve"> Rev.</w:t>
      </w:r>
      <w:r>
        <w:rPr>
          <w:spacing w:val="-24"/>
          <w:sz w:val="16"/>
        </w:rPr>
        <w:t xml:space="preserve"> </w:t>
      </w:r>
      <w:proofErr w:type="gramStart"/>
      <w:r>
        <w:rPr>
          <w:sz w:val="16"/>
        </w:rPr>
        <w:t>2002;</w:t>
      </w:r>
      <w:proofErr w:type="gramEnd"/>
      <w:r>
        <w:rPr>
          <w:sz w:val="16"/>
        </w:rPr>
        <w:t>23(3):327-64.</w:t>
      </w:r>
    </w:p>
    <w:p w:rsidR="008777CB" w:rsidRPr="00BA286B" w:rsidRDefault="00BA286B">
      <w:pPr>
        <w:pStyle w:val="PargrafodaLista"/>
        <w:numPr>
          <w:ilvl w:val="0"/>
          <w:numId w:val="2"/>
        </w:numPr>
        <w:tabs>
          <w:tab w:val="left" w:pos="407"/>
        </w:tabs>
        <w:ind w:right="271" w:firstLine="0"/>
        <w:rPr>
          <w:sz w:val="16"/>
          <w:lang w:val="en-US"/>
        </w:rPr>
      </w:pPr>
      <w:proofErr w:type="spellStart"/>
      <w:r w:rsidRPr="00BA286B">
        <w:rPr>
          <w:sz w:val="16"/>
          <w:lang w:val="en-US"/>
        </w:rPr>
        <w:t>Fukumoto</w:t>
      </w:r>
      <w:proofErr w:type="spellEnd"/>
      <w:r w:rsidRPr="00BA286B">
        <w:rPr>
          <w:sz w:val="16"/>
          <w:lang w:val="en-US"/>
        </w:rPr>
        <w:t xml:space="preserve"> S, </w:t>
      </w:r>
      <w:proofErr w:type="spellStart"/>
      <w:r w:rsidRPr="00BA286B">
        <w:rPr>
          <w:sz w:val="16"/>
          <w:lang w:val="en-US"/>
        </w:rPr>
        <w:t>Namba</w:t>
      </w:r>
      <w:proofErr w:type="spellEnd"/>
      <w:r w:rsidRPr="00BA286B">
        <w:rPr>
          <w:sz w:val="16"/>
          <w:lang w:val="en-US"/>
        </w:rPr>
        <w:t xml:space="preserve"> N, </w:t>
      </w:r>
      <w:proofErr w:type="spellStart"/>
      <w:r w:rsidRPr="00BA286B">
        <w:rPr>
          <w:sz w:val="16"/>
          <w:lang w:val="en-US"/>
        </w:rPr>
        <w:t>Ozono</w:t>
      </w:r>
      <w:proofErr w:type="spellEnd"/>
      <w:r w:rsidRPr="00BA286B">
        <w:rPr>
          <w:sz w:val="16"/>
          <w:lang w:val="en-US"/>
        </w:rPr>
        <w:t xml:space="preserve"> K, Yamauchi M, Sugimoto T, </w:t>
      </w:r>
      <w:proofErr w:type="spellStart"/>
      <w:r w:rsidRPr="00BA286B">
        <w:rPr>
          <w:sz w:val="16"/>
          <w:lang w:val="en-US"/>
        </w:rPr>
        <w:t>Michigami</w:t>
      </w:r>
      <w:proofErr w:type="spellEnd"/>
      <w:r w:rsidRPr="00BA286B">
        <w:rPr>
          <w:sz w:val="16"/>
          <w:lang w:val="en-US"/>
        </w:rPr>
        <w:t xml:space="preserve"> T, et al. Causes and differential diagnosis of </w:t>
      </w:r>
      <w:proofErr w:type="spellStart"/>
      <w:r w:rsidRPr="00BA286B">
        <w:rPr>
          <w:sz w:val="16"/>
          <w:lang w:val="en-US"/>
        </w:rPr>
        <w:t>hypocalcemia</w:t>
      </w:r>
      <w:proofErr w:type="spellEnd"/>
      <w:r w:rsidRPr="00BA286B">
        <w:rPr>
          <w:sz w:val="16"/>
          <w:lang w:val="en-US"/>
        </w:rPr>
        <w:t>-- recommendation</w:t>
      </w:r>
      <w:r w:rsidRPr="00BA286B">
        <w:rPr>
          <w:spacing w:val="-2"/>
          <w:sz w:val="16"/>
          <w:lang w:val="en-US"/>
        </w:rPr>
        <w:t xml:space="preserve"> </w:t>
      </w:r>
      <w:r w:rsidRPr="00BA286B">
        <w:rPr>
          <w:sz w:val="16"/>
          <w:lang w:val="en-US"/>
        </w:rPr>
        <w:t>proposed</w:t>
      </w:r>
      <w:r w:rsidRPr="00BA286B">
        <w:rPr>
          <w:spacing w:val="-2"/>
          <w:sz w:val="16"/>
          <w:lang w:val="en-US"/>
        </w:rPr>
        <w:t xml:space="preserve"> </w:t>
      </w:r>
      <w:r w:rsidRPr="00BA286B">
        <w:rPr>
          <w:sz w:val="16"/>
          <w:lang w:val="en-US"/>
        </w:rPr>
        <w:t>by</w:t>
      </w:r>
      <w:r w:rsidRPr="00BA286B">
        <w:rPr>
          <w:spacing w:val="-4"/>
          <w:sz w:val="16"/>
          <w:lang w:val="en-US"/>
        </w:rPr>
        <w:t xml:space="preserve"> </w:t>
      </w:r>
      <w:r w:rsidRPr="00BA286B">
        <w:rPr>
          <w:sz w:val="16"/>
          <w:lang w:val="en-US"/>
        </w:rPr>
        <w:t>expert panel</w:t>
      </w:r>
      <w:r w:rsidRPr="00BA286B">
        <w:rPr>
          <w:spacing w:val="-2"/>
          <w:sz w:val="16"/>
          <w:lang w:val="en-US"/>
        </w:rPr>
        <w:t xml:space="preserve"> </w:t>
      </w:r>
      <w:r w:rsidRPr="00BA286B">
        <w:rPr>
          <w:sz w:val="16"/>
          <w:lang w:val="en-US"/>
        </w:rPr>
        <w:t>supported</w:t>
      </w:r>
      <w:r w:rsidRPr="00BA286B">
        <w:rPr>
          <w:spacing w:val="-2"/>
          <w:sz w:val="16"/>
          <w:lang w:val="en-US"/>
        </w:rPr>
        <w:t xml:space="preserve"> </w:t>
      </w:r>
      <w:r w:rsidRPr="00BA286B">
        <w:rPr>
          <w:sz w:val="16"/>
          <w:lang w:val="en-US"/>
        </w:rPr>
        <w:t>by</w:t>
      </w:r>
      <w:r w:rsidRPr="00BA286B">
        <w:rPr>
          <w:spacing w:val="-4"/>
          <w:sz w:val="16"/>
          <w:lang w:val="en-US"/>
        </w:rPr>
        <w:t xml:space="preserve"> </w:t>
      </w:r>
      <w:r w:rsidRPr="00BA286B">
        <w:rPr>
          <w:sz w:val="16"/>
          <w:lang w:val="en-US"/>
        </w:rPr>
        <w:t>ministry</w:t>
      </w:r>
      <w:r w:rsidRPr="00BA286B">
        <w:rPr>
          <w:spacing w:val="-4"/>
          <w:sz w:val="16"/>
          <w:lang w:val="en-US"/>
        </w:rPr>
        <w:t xml:space="preserve"> </w:t>
      </w:r>
      <w:r w:rsidRPr="00BA286B">
        <w:rPr>
          <w:sz w:val="16"/>
          <w:lang w:val="en-US"/>
        </w:rPr>
        <w:t>of</w:t>
      </w:r>
      <w:r w:rsidRPr="00BA286B">
        <w:rPr>
          <w:spacing w:val="-2"/>
          <w:sz w:val="16"/>
          <w:lang w:val="en-US"/>
        </w:rPr>
        <w:t xml:space="preserve"> </w:t>
      </w:r>
      <w:r w:rsidRPr="00BA286B">
        <w:rPr>
          <w:sz w:val="16"/>
          <w:lang w:val="en-US"/>
        </w:rPr>
        <w:t>health,</w:t>
      </w:r>
      <w:r w:rsidRPr="00BA286B">
        <w:rPr>
          <w:spacing w:val="-2"/>
          <w:sz w:val="16"/>
          <w:lang w:val="en-US"/>
        </w:rPr>
        <w:t xml:space="preserve"> </w:t>
      </w:r>
      <w:proofErr w:type="spellStart"/>
      <w:r w:rsidRPr="00BA286B">
        <w:rPr>
          <w:sz w:val="16"/>
          <w:lang w:val="en-US"/>
        </w:rPr>
        <w:t>labour</w:t>
      </w:r>
      <w:proofErr w:type="spellEnd"/>
      <w:r w:rsidRPr="00BA286B">
        <w:rPr>
          <w:spacing w:val="-4"/>
          <w:sz w:val="16"/>
          <w:lang w:val="en-US"/>
        </w:rPr>
        <w:t xml:space="preserve"> </w:t>
      </w:r>
      <w:r w:rsidRPr="00BA286B">
        <w:rPr>
          <w:sz w:val="16"/>
          <w:lang w:val="en-US"/>
        </w:rPr>
        <w:t xml:space="preserve">and welfare, Japan. </w:t>
      </w:r>
      <w:proofErr w:type="spellStart"/>
      <w:r w:rsidRPr="00BA286B">
        <w:rPr>
          <w:sz w:val="16"/>
          <w:lang w:val="en-US"/>
        </w:rPr>
        <w:t>Endocr</w:t>
      </w:r>
      <w:proofErr w:type="spellEnd"/>
      <w:r w:rsidRPr="00BA286B">
        <w:rPr>
          <w:spacing w:val="-2"/>
          <w:sz w:val="16"/>
          <w:lang w:val="en-US"/>
        </w:rPr>
        <w:t xml:space="preserve"> </w:t>
      </w:r>
      <w:r w:rsidRPr="00BA286B">
        <w:rPr>
          <w:sz w:val="16"/>
          <w:lang w:val="en-US"/>
        </w:rPr>
        <w:t>J.</w:t>
      </w:r>
      <w:r w:rsidRPr="00BA286B">
        <w:rPr>
          <w:spacing w:val="-5"/>
          <w:sz w:val="16"/>
          <w:lang w:val="en-US"/>
        </w:rPr>
        <w:t xml:space="preserve"> </w:t>
      </w:r>
      <w:r w:rsidRPr="00BA286B">
        <w:rPr>
          <w:sz w:val="16"/>
          <w:lang w:val="en-US"/>
        </w:rPr>
        <w:t>2008</w:t>
      </w:r>
      <w:proofErr w:type="gramStart"/>
      <w:r w:rsidRPr="00BA286B">
        <w:rPr>
          <w:sz w:val="16"/>
          <w:lang w:val="en-US"/>
        </w:rPr>
        <w:t>;55</w:t>
      </w:r>
      <w:proofErr w:type="gramEnd"/>
      <w:r w:rsidRPr="00BA286B">
        <w:rPr>
          <w:sz w:val="16"/>
          <w:lang w:val="en-US"/>
        </w:rPr>
        <w:t>(5):787-94.</w:t>
      </w:r>
    </w:p>
    <w:p w:rsidR="008777CB" w:rsidRPr="00CA19E4" w:rsidRDefault="00BA286B">
      <w:pPr>
        <w:pStyle w:val="PargrafodaLista"/>
        <w:numPr>
          <w:ilvl w:val="0"/>
          <w:numId w:val="2"/>
        </w:numPr>
        <w:tabs>
          <w:tab w:val="left" w:pos="407"/>
        </w:tabs>
        <w:spacing w:line="183" w:lineRule="exact"/>
        <w:ind w:firstLine="0"/>
        <w:rPr>
          <w:sz w:val="16"/>
          <w:lang w:val="en-US"/>
        </w:rPr>
      </w:pPr>
      <w:r w:rsidRPr="00BA286B">
        <w:rPr>
          <w:sz w:val="16"/>
          <w:lang w:val="en-US"/>
        </w:rPr>
        <w:t xml:space="preserve">Pitkin RM. Calcium metabolism in pregnancy and the perinatal period: a review. </w:t>
      </w:r>
      <w:r w:rsidRPr="00CA19E4">
        <w:rPr>
          <w:sz w:val="16"/>
          <w:lang w:val="en-US"/>
        </w:rPr>
        <w:t xml:space="preserve">Am J </w:t>
      </w:r>
      <w:proofErr w:type="spellStart"/>
      <w:r w:rsidRPr="00CA19E4">
        <w:rPr>
          <w:sz w:val="16"/>
          <w:lang w:val="en-US"/>
        </w:rPr>
        <w:t>Obstet</w:t>
      </w:r>
      <w:proofErr w:type="spellEnd"/>
      <w:r w:rsidRPr="00CA19E4">
        <w:rPr>
          <w:sz w:val="16"/>
          <w:lang w:val="en-US"/>
        </w:rPr>
        <w:t xml:space="preserve"> Gynecol.</w:t>
      </w:r>
      <w:r w:rsidRPr="00CA19E4">
        <w:rPr>
          <w:spacing w:val="-25"/>
          <w:sz w:val="16"/>
          <w:lang w:val="en-US"/>
        </w:rPr>
        <w:t xml:space="preserve"> </w:t>
      </w:r>
      <w:r w:rsidRPr="00CA19E4">
        <w:rPr>
          <w:sz w:val="16"/>
          <w:lang w:val="en-US"/>
        </w:rPr>
        <w:t>1985</w:t>
      </w:r>
      <w:proofErr w:type="gramStart"/>
      <w:r w:rsidRPr="00CA19E4">
        <w:rPr>
          <w:sz w:val="16"/>
          <w:lang w:val="en-US"/>
        </w:rPr>
        <w:t>;151</w:t>
      </w:r>
      <w:proofErr w:type="gramEnd"/>
      <w:r w:rsidRPr="00CA19E4">
        <w:rPr>
          <w:sz w:val="16"/>
          <w:lang w:val="en-US"/>
        </w:rPr>
        <w:t>(1):99-109.</w:t>
      </w:r>
    </w:p>
    <w:p w:rsidR="008777CB" w:rsidRDefault="00BA286B">
      <w:pPr>
        <w:pStyle w:val="PargrafodaLista"/>
        <w:numPr>
          <w:ilvl w:val="0"/>
          <w:numId w:val="2"/>
        </w:numPr>
        <w:tabs>
          <w:tab w:val="left" w:pos="407"/>
        </w:tabs>
        <w:spacing w:before="1"/>
        <w:ind w:right="274" w:firstLine="0"/>
        <w:rPr>
          <w:sz w:val="16"/>
        </w:rPr>
      </w:pPr>
      <w:r w:rsidRPr="00BA286B">
        <w:rPr>
          <w:sz w:val="16"/>
          <w:lang w:val="en-US"/>
        </w:rPr>
        <w:t xml:space="preserve">Russell RG, Smith R, Walton RJ, Preston C, </w:t>
      </w:r>
      <w:proofErr w:type="spellStart"/>
      <w:r w:rsidRPr="00BA286B">
        <w:rPr>
          <w:sz w:val="16"/>
          <w:lang w:val="en-US"/>
        </w:rPr>
        <w:t>Basson</w:t>
      </w:r>
      <w:proofErr w:type="spellEnd"/>
      <w:r w:rsidRPr="00BA286B">
        <w:rPr>
          <w:sz w:val="16"/>
          <w:lang w:val="en-US"/>
        </w:rPr>
        <w:t xml:space="preserve"> R, Henderson RG, et al. 1,25-dihydroxycholecalciferol and 1alpha-hydroxycholecalciferol in </w:t>
      </w:r>
      <w:proofErr w:type="spellStart"/>
      <w:r w:rsidRPr="00BA286B">
        <w:rPr>
          <w:sz w:val="16"/>
          <w:lang w:val="en-US"/>
        </w:rPr>
        <w:t>hypoparathyroidism</w:t>
      </w:r>
      <w:proofErr w:type="spellEnd"/>
      <w:r w:rsidRPr="00BA286B">
        <w:rPr>
          <w:sz w:val="16"/>
          <w:lang w:val="en-US"/>
        </w:rPr>
        <w:t xml:space="preserve">. </w:t>
      </w:r>
      <w:r>
        <w:rPr>
          <w:sz w:val="16"/>
        </w:rPr>
        <w:t>Lancet.</w:t>
      </w:r>
      <w:r>
        <w:rPr>
          <w:spacing w:val="-5"/>
          <w:sz w:val="16"/>
        </w:rPr>
        <w:t xml:space="preserve"> </w:t>
      </w:r>
      <w:proofErr w:type="gramStart"/>
      <w:r>
        <w:rPr>
          <w:sz w:val="16"/>
        </w:rPr>
        <w:t>1974;</w:t>
      </w:r>
      <w:proofErr w:type="gramEnd"/>
      <w:r>
        <w:rPr>
          <w:sz w:val="16"/>
        </w:rPr>
        <w:t>2(7871):14-7.</w:t>
      </w:r>
    </w:p>
    <w:p w:rsidR="008777CB" w:rsidRDefault="00BA286B">
      <w:pPr>
        <w:pStyle w:val="PargrafodaLista"/>
        <w:numPr>
          <w:ilvl w:val="0"/>
          <w:numId w:val="2"/>
        </w:numPr>
        <w:tabs>
          <w:tab w:val="left" w:pos="407"/>
        </w:tabs>
        <w:ind w:right="271" w:firstLine="0"/>
        <w:rPr>
          <w:sz w:val="16"/>
        </w:rPr>
      </w:pPr>
      <w:r w:rsidRPr="00BA286B">
        <w:rPr>
          <w:sz w:val="16"/>
          <w:lang w:val="en-US"/>
        </w:rPr>
        <w:t xml:space="preserve">Mortensen </w:t>
      </w:r>
      <w:r w:rsidRPr="00BA286B">
        <w:rPr>
          <w:spacing w:val="-3"/>
          <w:sz w:val="16"/>
          <w:lang w:val="en-US"/>
        </w:rPr>
        <w:t xml:space="preserve">L, </w:t>
      </w:r>
      <w:proofErr w:type="spellStart"/>
      <w:r w:rsidRPr="00BA286B">
        <w:rPr>
          <w:sz w:val="16"/>
          <w:lang w:val="en-US"/>
        </w:rPr>
        <w:t>Hyldstrup</w:t>
      </w:r>
      <w:proofErr w:type="spellEnd"/>
      <w:r w:rsidRPr="00BA286B">
        <w:rPr>
          <w:sz w:val="16"/>
          <w:lang w:val="en-US"/>
        </w:rPr>
        <w:t xml:space="preserve"> </w:t>
      </w:r>
      <w:r w:rsidRPr="00BA286B">
        <w:rPr>
          <w:spacing w:val="-3"/>
          <w:sz w:val="16"/>
          <w:lang w:val="en-US"/>
        </w:rPr>
        <w:t xml:space="preserve">L, </w:t>
      </w:r>
      <w:r w:rsidRPr="00BA286B">
        <w:rPr>
          <w:sz w:val="16"/>
          <w:lang w:val="en-US"/>
        </w:rPr>
        <w:t xml:space="preserve">Charles P. Effect of vitamin D treatment in </w:t>
      </w:r>
      <w:proofErr w:type="spellStart"/>
      <w:r w:rsidRPr="00BA286B">
        <w:rPr>
          <w:sz w:val="16"/>
          <w:lang w:val="en-US"/>
        </w:rPr>
        <w:t>hypoparathyroid</w:t>
      </w:r>
      <w:proofErr w:type="spellEnd"/>
      <w:r w:rsidRPr="00BA286B">
        <w:rPr>
          <w:sz w:val="16"/>
          <w:lang w:val="en-US"/>
        </w:rPr>
        <w:t xml:space="preserve"> patients: a study on calcium, phosphate and magnesium homeostasis. </w:t>
      </w:r>
      <w:proofErr w:type="spellStart"/>
      <w:r>
        <w:rPr>
          <w:sz w:val="16"/>
        </w:rPr>
        <w:t>Eur</w:t>
      </w:r>
      <w:proofErr w:type="spellEnd"/>
      <w:r>
        <w:rPr>
          <w:sz w:val="16"/>
        </w:rPr>
        <w:t xml:space="preserve"> J </w:t>
      </w:r>
      <w:proofErr w:type="spellStart"/>
      <w:r>
        <w:rPr>
          <w:sz w:val="16"/>
        </w:rPr>
        <w:t>Endocrinol</w:t>
      </w:r>
      <w:proofErr w:type="spellEnd"/>
      <w:r>
        <w:rPr>
          <w:sz w:val="16"/>
        </w:rPr>
        <w:t>.</w:t>
      </w:r>
      <w:r>
        <w:rPr>
          <w:spacing w:val="-3"/>
          <w:sz w:val="16"/>
        </w:rPr>
        <w:t xml:space="preserve"> </w:t>
      </w:r>
      <w:proofErr w:type="gramStart"/>
      <w:r>
        <w:rPr>
          <w:sz w:val="16"/>
        </w:rPr>
        <w:t>1997;</w:t>
      </w:r>
      <w:proofErr w:type="gramEnd"/>
      <w:r>
        <w:rPr>
          <w:sz w:val="16"/>
        </w:rPr>
        <w:t>136(1):52-60.</w:t>
      </w:r>
    </w:p>
    <w:p w:rsidR="008777CB" w:rsidRDefault="00BA286B">
      <w:pPr>
        <w:pStyle w:val="PargrafodaLista"/>
        <w:numPr>
          <w:ilvl w:val="0"/>
          <w:numId w:val="2"/>
        </w:numPr>
        <w:tabs>
          <w:tab w:val="left" w:pos="407"/>
        </w:tabs>
        <w:spacing w:line="183" w:lineRule="exact"/>
        <w:ind w:firstLine="0"/>
        <w:rPr>
          <w:sz w:val="16"/>
        </w:rPr>
      </w:pPr>
      <w:r w:rsidRPr="00BA286B">
        <w:rPr>
          <w:sz w:val="16"/>
          <w:lang w:val="en-US"/>
        </w:rPr>
        <w:t xml:space="preserve">Haussler MR, </w:t>
      </w:r>
      <w:proofErr w:type="spellStart"/>
      <w:r w:rsidRPr="00BA286B">
        <w:rPr>
          <w:sz w:val="16"/>
          <w:lang w:val="en-US"/>
        </w:rPr>
        <w:t>Cordy</w:t>
      </w:r>
      <w:proofErr w:type="spellEnd"/>
      <w:r w:rsidRPr="00BA286B">
        <w:rPr>
          <w:sz w:val="16"/>
          <w:lang w:val="en-US"/>
        </w:rPr>
        <w:t xml:space="preserve"> PE. Metabolites and analogues of vitamin D. Which for what? </w:t>
      </w:r>
      <w:r>
        <w:rPr>
          <w:sz w:val="16"/>
        </w:rPr>
        <w:t>JAMA.</w:t>
      </w:r>
      <w:r>
        <w:rPr>
          <w:spacing w:val="-14"/>
          <w:sz w:val="16"/>
        </w:rPr>
        <w:t xml:space="preserve"> </w:t>
      </w:r>
      <w:proofErr w:type="gramStart"/>
      <w:r>
        <w:rPr>
          <w:sz w:val="16"/>
        </w:rPr>
        <w:t>1982;</w:t>
      </w:r>
      <w:proofErr w:type="gramEnd"/>
      <w:r>
        <w:rPr>
          <w:sz w:val="16"/>
        </w:rPr>
        <w:t>247(6):841-4.</w:t>
      </w:r>
    </w:p>
    <w:p w:rsidR="008777CB" w:rsidRDefault="00BA286B">
      <w:pPr>
        <w:pStyle w:val="PargrafodaLista"/>
        <w:numPr>
          <w:ilvl w:val="0"/>
          <w:numId w:val="2"/>
        </w:numPr>
        <w:tabs>
          <w:tab w:val="left" w:pos="407"/>
        </w:tabs>
        <w:ind w:right="273" w:firstLine="0"/>
        <w:rPr>
          <w:sz w:val="16"/>
        </w:rPr>
      </w:pPr>
      <w:r w:rsidRPr="00BA286B">
        <w:rPr>
          <w:sz w:val="16"/>
          <w:lang w:val="en-US"/>
        </w:rPr>
        <w:t xml:space="preserve">Okano K, Furukawa Y, </w:t>
      </w:r>
      <w:proofErr w:type="spellStart"/>
      <w:r w:rsidRPr="00BA286B">
        <w:rPr>
          <w:sz w:val="16"/>
          <w:lang w:val="en-US"/>
        </w:rPr>
        <w:t>Morii</w:t>
      </w:r>
      <w:proofErr w:type="spellEnd"/>
      <w:r w:rsidRPr="00BA286B">
        <w:rPr>
          <w:sz w:val="16"/>
          <w:lang w:val="en-US"/>
        </w:rPr>
        <w:t xml:space="preserve"> H, Fujita T. Comparative efficacy of various vitamin D metabolites in the treatment of various types of </w:t>
      </w:r>
      <w:proofErr w:type="spellStart"/>
      <w:r w:rsidRPr="00BA286B">
        <w:rPr>
          <w:sz w:val="16"/>
          <w:lang w:val="en-US"/>
        </w:rPr>
        <w:t>hypoparathyroidism</w:t>
      </w:r>
      <w:proofErr w:type="spellEnd"/>
      <w:r w:rsidRPr="00BA286B">
        <w:rPr>
          <w:sz w:val="16"/>
          <w:lang w:val="en-US"/>
        </w:rPr>
        <w:t xml:space="preserve">. </w:t>
      </w:r>
      <w:r>
        <w:rPr>
          <w:sz w:val="16"/>
        </w:rPr>
        <w:t xml:space="preserve">J </w:t>
      </w:r>
      <w:proofErr w:type="spellStart"/>
      <w:r>
        <w:rPr>
          <w:sz w:val="16"/>
        </w:rPr>
        <w:t>Clin</w:t>
      </w:r>
      <w:proofErr w:type="spellEnd"/>
      <w:r>
        <w:rPr>
          <w:sz w:val="16"/>
        </w:rPr>
        <w:t xml:space="preserve"> </w:t>
      </w:r>
      <w:proofErr w:type="spellStart"/>
      <w:r>
        <w:rPr>
          <w:sz w:val="16"/>
        </w:rPr>
        <w:t>Endocrinol</w:t>
      </w:r>
      <w:proofErr w:type="spellEnd"/>
      <w:r>
        <w:rPr>
          <w:sz w:val="16"/>
        </w:rPr>
        <w:t xml:space="preserve"> </w:t>
      </w:r>
      <w:proofErr w:type="spellStart"/>
      <w:r>
        <w:rPr>
          <w:sz w:val="16"/>
        </w:rPr>
        <w:t>Metab</w:t>
      </w:r>
      <w:proofErr w:type="spellEnd"/>
      <w:r>
        <w:rPr>
          <w:sz w:val="16"/>
        </w:rPr>
        <w:t>.</w:t>
      </w:r>
      <w:r>
        <w:rPr>
          <w:spacing w:val="-9"/>
          <w:sz w:val="16"/>
        </w:rPr>
        <w:t xml:space="preserve"> </w:t>
      </w:r>
      <w:proofErr w:type="gramStart"/>
      <w:r>
        <w:rPr>
          <w:sz w:val="16"/>
        </w:rPr>
        <w:t>1982;</w:t>
      </w:r>
      <w:proofErr w:type="gramEnd"/>
      <w:r>
        <w:rPr>
          <w:sz w:val="16"/>
        </w:rPr>
        <w:t>55(2):238-43.</w:t>
      </w:r>
    </w:p>
    <w:p w:rsidR="008777CB" w:rsidRDefault="00BA286B">
      <w:pPr>
        <w:pStyle w:val="PargrafodaLista"/>
        <w:numPr>
          <w:ilvl w:val="0"/>
          <w:numId w:val="2"/>
        </w:numPr>
        <w:tabs>
          <w:tab w:val="left" w:pos="407"/>
        </w:tabs>
        <w:spacing w:line="183" w:lineRule="exact"/>
        <w:ind w:firstLine="0"/>
        <w:rPr>
          <w:sz w:val="16"/>
        </w:rPr>
      </w:pPr>
      <w:proofErr w:type="spellStart"/>
      <w:r w:rsidRPr="00BA286B">
        <w:rPr>
          <w:sz w:val="16"/>
          <w:lang w:val="en-US"/>
        </w:rPr>
        <w:t>Kurokawa</w:t>
      </w:r>
      <w:proofErr w:type="spellEnd"/>
      <w:r w:rsidRPr="00BA286B">
        <w:rPr>
          <w:sz w:val="16"/>
          <w:lang w:val="en-US"/>
        </w:rPr>
        <w:t xml:space="preserve"> K. Calcium-regulating hormones and the kidney. </w:t>
      </w:r>
      <w:proofErr w:type="spellStart"/>
      <w:r>
        <w:rPr>
          <w:sz w:val="16"/>
        </w:rPr>
        <w:t>Kidney</w:t>
      </w:r>
      <w:proofErr w:type="spellEnd"/>
      <w:r>
        <w:rPr>
          <w:sz w:val="16"/>
        </w:rPr>
        <w:t xml:space="preserve"> Int.</w:t>
      </w:r>
      <w:r>
        <w:rPr>
          <w:spacing w:val="-5"/>
          <w:sz w:val="16"/>
        </w:rPr>
        <w:t xml:space="preserve"> </w:t>
      </w:r>
      <w:proofErr w:type="gramStart"/>
      <w:r>
        <w:rPr>
          <w:sz w:val="16"/>
        </w:rPr>
        <w:t>1987;</w:t>
      </w:r>
      <w:proofErr w:type="gramEnd"/>
      <w:r>
        <w:rPr>
          <w:sz w:val="16"/>
        </w:rPr>
        <w:t>32(5):760-71.</w:t>
      </w:r>
    </w:p>
    <w:p w:rsidR="008777CB" w:rsidRDefault="00BA286B">
      <w:pPr>
        <w:pStyle w:val="PargrafodaLista"/>
        <w:numPr>
          <w:ilvl w:val="0"/>
          <w:numId w:val="2"/>
        </w:numPr>
        <w:tabs>
          <w:tab w:val="left" w:pos="407"/>
        </w:tabs>
        <w:spacing w:before="1"/>
        <w:ind w:right="271" w:firstLine="0"/>
        <w:rPr>
          <w:sz w:val="16"/>
        </w:rPr>
      </w:pPr>
      <w:proofErr w:type="spellStart"/>
      <w:r w:rsidRPr="00BA286B">
        <w:rPr>
          <w:sz w:val="16"/>
          <w:lang w:val="en-US"/>
        </w:rPr>
        <w:t>Sikjaer</w:t>
      </w:r>
      <w:proofErr w:type="spellEnd"/>
      <w:r w:rsidRPr="00BA286B">
        <w:rPr>
          <w:sz w:val="16"/>
          <w:lang w:val="en-US"/>
        </w:rPr>
        <w:t xml:space="preserve"> T, </w:t>
      </w:r>
      <w:proofErr w:type="spellStart"/>
      <w:r w:rsidRPr="00BA286B">
        <w:rPr>
          <w:sz w:val="16"/>
          <w:lang w:val="en-US"/>
        </w:rPr>
        <w:t>Rejnmark</w:t>
      </w:r>
      <w:proofErr w:type="spellEnd"/>
      <w:r w:rsidRPr="00BA286B">
        <w:rPr>
          <w:sz w:val="16"/>
          <w:lang w:val="en-US"/>
        </w:rPr>
        <w:t xml:space="preserve"> </w:t>
      </w:r>
      <w:r w:rsidRPr="00BA286B">
        <w:rPr>
          <w:spacing w:val="-3"/>
          <w:sz w:val="16"/>
          <w:lang w:val="en-US"/>
        </w:rPr>
        <w:t xml:space="preserve">L, </w:t>
      </w:r>
      <w:proofErr w:type="spellStart"/>
      <w:r w:rsidRPr="00BA286B">
        <w:rPr>
          <w:sz w:val="16"/>
          <w:lang w:val="en-US"/>
        </w:rPr>
        <w:t>Rolighed</w:t>
      </w:r>
      <w:proofErr w:type="spellEnd"/>
      <w:r w:rsidRPr="00BA286B">
        <w:rPr>
          <w:sz w:val="16"/>
          <w:lang w:val="en-US"/>
        </w:rPr>
        <w:t xml:space="preserve"> </w:t>
      </w:r>
      <w:r w:rsidRPr="00BA286B">
        <w:rPr>
          <w:spacing w:val="-3"/>
          <w:sz w:val="16"/>
          <w:lang w:val="en-US"/>
        </w:rPr>
        <w:t xml:space="preserve">L, </w:t>
      </w:r>
      <w:proofErr w:type="spellStart"/>
      <w:r w:rsidRPr="00BA286B">
        <w:rPr>
          <w:sz w:val="16"/>
          <w:lang w:val="en-US"/>
        </w:rPr>
        <w:t>Heickendorff</w:t>
      </w:r>
      <w:proofErr w:type="spellEnd"/>
      <w:r w:rsidRPr="00BA286B">
        <w:rPr>
          <w:sz w:val="16"/>
          <w:lang w:val="en-US"/>
        </w:rPr>
        <w:t xml:space="preserve"> </w:t>
      </w:r>
      <w:r w:rsidRPr="00BA286B">
        <w:rPr>
          <w:spacing w:val="-3"/>
          <w:sz w:val="16"/>
          <w:lang w:val="en-US"/>
        </w:rPr>
        <w:t xml:space="preserve">L, </w:t>
      </w:r>
      <w:proofErr w:type="spellStart"/>
      <w:r w:rsidRPr="00BA286B">
        <w:rPr>
          <w:sz w:val="16"/>
          <w:lang w:val="en-US"/>
        </w:rPr>
        <w:t>Mosekilde</w:t>
      </w:r>
      <w:proofErr w:type="spellEnd"/>
      <w:r w:rsidRPr="00BA286B">
        <w:rPr>
          <w:sz w:val="16"/>
          <w:lang w:val="en-US"/>
        </w:rPr>
        <w:t xml:space="preserve"> L. The effect of adding </w:t>
      </w:r>
      <w:proofErr w:type="gramStart"/>
      <w:r w:rsidRPr="00BA286B">
        <w:rPr>
          <w:sz w:val="16"/>
          <w:lang w:val="en-US"/>
        </w:rPr>
        <w:t>PTH(</w:t>
      </w:r>
      <w:proofErr w:type="gramEnd"/>
      <w:r w:rsidRPr="00BA286B">
        <w:rPr>
          <w:sz w:val="16"/>
          <w:lang w:val="en-US"/>
        </w:rPr>
        <w:t xml:space="preserve">1-84) to conventional treatment of </w:t>
      </w:r>
      <w:proofErr w:type="spellStart"/>
      <w:r w:rsidRPr="00BA286B">
        <w:rPr>
          <w:sz w:val="16"/>
          <w:lang w:val="en-US"/>
        </w:rPr>
        <w:t>hypoparathyroidism</w:t>
      </w:r>
      <w:proofErr w:type="spellEnd"/>
      <w:r w:rsidRPr="00BA286B">
        <w:rPr>
          <w:sz w:val="16"/>
          <w:lang w:val="en-US"/>
        </w:rPr>
        <w:t xml:space="preserve">: a randomized, placebo-controlled study. </w:t>
      </w:r>
      <w:r>
        <w:rPr>
          <w:sz w:val="16"/>
        </w:rPr>
        <w:t xml:space="preserve">J </w:t>
      </w:r>
      <w:proofErr w:type="spellStart"/>
      <w:r>
        <w:rPr>
          <w:sz w:val="16"/>
        </w:rPr>
        <w:t>Bone</w:t>
      </w:r>
      <w:proofErr w:type="spellEnd"/>
      <w:r>
        <w:rPr>
          <w:sz w:val="16"/>
        </w:rPr>
        <w:t xml:space="preserve"> Miner Res.</w:t>
      </w:r>
      <w:r>
        <w:rPr>
          <w:spacing w:val="-13"/>
          <w:sz w:val="16"/>
        </w:rPr>
        <w:t xml:space="preserve"> </w:t>
      </w:r>
      <w:proofErr w:type="gramStart"/>
      <w:r>
        <w:rPr>
          <w:sz w:val="16"/>
        </w:rPr>
        <w:t>2011;</w:t>
      </w:r>
      <w:proofErr w:type="gramEnd"/>
      <w:r>
        <w:rPr>
          <w:sz w:val="16"/>
        </w:rPr>
        <w:t>26(10):2358-70.</w:t>
      </w:r>
    </w:p>
    <w:p w:rsidR="008777CB" w:rsidRDefault="008777CB">
      <w:pPr>
        <w:rPr>
          <w:sz w:val="16"/>
        </w:rPr>
        <w:sectPr w:rsidR="008777CB">
          <w:pgSz w:w="11910" w:h="16850"/>
          <w:pgMar w:top="1060" w:right="860" w:bottom="280" w:left="1020" w:header="720" w:footer="720" w:gutter="0"/>
          <w:cols w:space="720"/>
        </w:sectPr>
      </w:pPr>
    </w:p>
    <w:p w:rsidR="008777CB" w:rsidRPr="00BA286B" w:rsidRDefault="00BA286B">
      <w:pPr>
        <w:pStyle w:val="PargrafodaLista"/>
        <w:numPr>
          <w:ilvl w:val="0"/>
          <w:numId w:val="2"/>
        </w:numPr>
        <w:tabs>
          <w:tab w:val="left" w:pos="407"/>
        </w:tabs>
        <w:spacing w:before="66"/>
        <w:ind w:right="274" w:firstLine="0"/>
        <w:jc w:val="both"/>
        <w:rPr>
          <w:sz w:val="16"/>
          <w:lang w:val="en-US"/>
        </w:rPr>
      </w:pPr>
      <w:proofErr w:type="spellStart"/>
      <w:r w:rsidRPr="00BA286B">
        <w:rPr>
          <w:sz w:val="16"/>
          <w:lang w:val="en-US"/>
        </w:rPr>
        <w:lastRenderedPageBreak/>
        <w:t>Mannstadt</w:t>
      </w:r>
      <w:proofErr w:type="spellEnd"/>
      <w:r w:rsidRPr="00BA286B">
        <w:rPr>
          <w:sz w:val="16"/>
          <w:lang w:val="en-US"/>
        </w:rPr>
        <w:t xml:space="preserve"> M, Clarke BL, </w:t>
      </w:r>
      <w:proofErr w:type="spellStart"/>
      <w:r w:rsidRPr="00BA286B">
        <w:rPr>
          <w:sz w:val="16"/>
          <w:lang w:val="en-US"/>
        </w:rPr>
        <w:t>Vokes</w:t>
      </w:r>
      <w:proofErr w:type="spellEnd"/>
      <w:r w:rsidRPr="00BA286B">
        <w:rPr>
          <w:sz w:val="16"/>
          <w:lang w:val="en-US"/>
        </w:rPr>
        <w:t xml:space="preserve"> T, Brandi ML, </w:t>
      </w:r>
      <w:proofErr w:type="spellStart"/>
      <w:r w:rsidRPr="00BA286B">
        <w:rPr>
          <w:sz w:val="16"/>
          <w:lang w:val="en-US"/>
        </w:rPr>
        <w:t>Ranganath</w:t>
      </w:r>
      <w:proofErr w:type="spellEnd"/>
      <w:r w:rsidRPr="00BA286B">
        <w:rPr>
          <w:sz w:val="16"/>
          <w:lang w:val="en-US"/>
        </w:rPr>
        <w:t xml:space="preserve"> </w:t>
      </w:r>
      <w:r w:rsidRPr="00BA286B">
        <w:rPr>
          <w:spacing w:val="-3"/>
          <w:sz w:val="16"/>
          <w:lang w:val="en-US"/>
        </w:rPr>
        <w:t xml:space="preserve">L, </w:t>
      </w:r>
      <w:r w:rsidRPr="00BA286B">
        <w:rPr>
          <w:sz w:val="16"/>
          <w:lang w:val="en-US"/>
        </w:rPr>
        <w:t xml:space="preserve">Fraser WD, et al. Efficacy and safety of recombinant human parathyroid hormone (1-84) in </w:t>
      </w:r>
      <w:proofErr w:type="spellStart"/>
      <w:r w:rsidRPr="00BA286B">
        <w:rPr>
          <w:sz w:val="16"/>
          <w:lang w:val="en-US"/>
        </w:rPr>
        <w:t>hypoparathyroidism</w:t>
      </w:r>
      <w:proofErr w:type="spellEnd"/>
      <w:r w:rsidRPr="00BA286B">
        <w:rPr>
          <w:sz w:val="16"/>
          <w:lang w:val="en-US"/>
        </w:rPr>
        <w:t xml:space="preserve"> (REPLACE): a double-blind, placebo-controlled, </w:t>
      </w:r>
      <w:proofErr w:type="spellStart"/>
      <w:r w:rsidRPr="00BA286B">
        <w:rPr>
          <w:sz w:val="16"/>
          <w:lang w:val="en-US"/>
        </w:rPr>
        <w:t>randomised</w:t>
      </w:r>
      <w:proofErr w:type="spellEnd"/>
      <w:r w:rsidRPr="00BA286B">
        <w:rPr>
          <w:sz w:val="16"/>
          <w:lang w:val="en-US"/>
        </w:rPr>
        <w:t xml:space="preserve">, phase 3 study. Lancet Diabetes </w:t>
      </w:r>
      <w:proofErr w:type="spellStart"/>
      <w:r w:rsidRPr="00BA286B">
        <w:rPr>
          <w:sz w:val="16"/>
          <w:lang w:val="en-US"/>
        </w:rPr>
        <w:t>Endocrinol</w:t>
      </w:r>
      <w:proofErr w:type="spellEnd"/>
      <w:r w:rsidRPr="00BA286B">
        <w:rPr>
          <w:sz w:val="16"/>
          <w:lang w:val="en-US"/>
        </w:rPr>
        <w:t>. 2013</w:t>
      </w:r>
      <w:proofErr w:type="gramStart"/>
      <w:r w:rsidRPr="00BA286B">
        <w:rPr>
          <w:sz w:val="16"/>
          <w:lang w:val="en-US"/>
        </w:rPr>
        <w:t>;1</w:t>
      </w:r>
      <w:proofErr w:type="gramEnd"/>
      <w:r w:rsidRPr="00BA286B">
        <w:rPr>
          <w:sz w:val="16"/>
          <w:lang w:val="en-US"/>
        </w:rPr>
        <w:t>(4):275-83.</w:t>
      </w:r>
    </w:p>
    <w:p w:rsidR="008777CB" w:rsidRPr="00BA286B" w:rsidRDefault="00BA286B">
      <w:pPr>
        <w:pStyle w:val="PargrafodaLista"/>
        <w:numPr>
          <w:ilvl w:val="0"/>
          <w:numId w:val="2"/>
        </w:numPr>
        <w:tabs>
          <w:tab w:val="left" w:pos="407"/>
        </w:tabs>
        <w:spacing w:before="1"/>
        <w:ind w:right="276" w:firstLine="0"/>
        <w:jc w:val="both"/>
        <w:rPr>
          <w:sz w:val="16"/>
          <w:lang w:val="en-US"/>
        </w:rPr>
      </w:pPr>
      <w:proofErr w:type="spellStart"/>
      <w:r w:rsidRPr="00BA286B">
        <w:rPr>
          <w:sz w:val="16"/>
          <w:lang w:val="en-US"/>
        </w:rPr>
        <w:t>Cusano</w:t>
      </w:r>
      <w:proofErr w:type="spellEnd"/>
      <w:r w:rsidRPr="00BA286B">
        <w:rPr>
          <w:sz w:val="16"/>
          <w:lang w:val="en-US"/>
        </w:rPr>
        <w:t xml:space="preserve"> NE, </w:t>
      </w:r>
      <w:proofErr w:type="spellStart"/>
      <w:r w:rsidRPr="00BA286B">
        <w:rPr>
          <w:sz w:val="16"/>
          <w:lang w:val="en-US"/>
        </w:rPr>
        <w:t>Maalouf</w:t>
      </w:r>
      <w:proofErr w:type="spellEnd"/>
      <w:r w:rsidRPr="00BA286B">
        <w:rPr>
          <w:sz w:val="16"/>
          <w:lang w:val="en-US"/>
        </w:rPr>
        <w:t xml:space="preserve"> NM, Wang PY, Zhang C, </w:t>
      </w:r>
      <w:proofErr w:type="spellStart"/>
      <w:r w:rsidRPr="00BA286B">
        <w:rPr>
          <w:sz w:val="16"/>
          <w:lang w:val="en-US"/>
        </w:rPr>
        <w:t>Cremers</w:t>
      </w:r>
      <w:proofErr w:type="spellEnd"/>
      <w:r w:rsidRPr="00BA286B">
        <w:rPr>
          <w:sz w:val="16"/>
          <w:lang w:val="en-US"/>
        </w:rPr>
        <w:t xml:space="preserve"> SC, Haney EM, et al. </w:t>
      </w:r>
      <w:proofErr w:type="spellStart"/>
      <w:r w:rsidRPr="00BA286B">
        <w:rPr>
          <w:sz w:val="16"/>
          <w:lang w:val="en-US"/>
        </w:rPr>
        <w:t>Normocalcemic</w:t>
      </w:r>
      <w:proofErr w:type="spellEnd"/>
      <w:r w:rsidRPr="00BA286B">
        <w:rPr>
          <w:sz w:val="16"/>
          <w:lang w:val="en-US"/>
        </w:rPr>
        <w:t xml:space="preserve"> hyperparathyroidism and </w:t>
      </w:r>
      <w:proofErr w:type="spellStart"/>
      <w:r w:rsidRPr="00BA286B">
        <w:rPr>
          <w:sz w:val="16"/>
          <w:lang w:val="en-US"/>
        </w:rPr>
        <w:t>hypoparathyroidism</w:t>
      </w:r>
      <w:proofErr w:type="spellEnd"/>
      <w:r w:rsidRPr="00BA286B">
        <w:rPr>
          <w:sz w:val="16"/>
          <w:lang w:val="en-US"/>
        </w:rPr>
        <w:t xml:space="preserve"> in two community-based </w:t>
      </w:r>
      <w:proofErr w:type="spellStart"/>
      <w:r w:rsidRPr="00BA286B">
        <w:rPr>
          <w:sz w:val="16"/>
          <w:lang w:val="en-US"/>
        </w:rPr>
        <w:t>nonreferral</w:t>
      </w:r>
      <w:proofErr w:type="spellEnd"/>
      <w:r w:rsidRPr="00BA286B">
        <w:rPr>
          <w:sz w:val="16"/>
          <w:lang w:val="en-US"/>
        </w:rPr>
        <w:t xml:space="preserve"> populations. J </w:t>
      </w:r>
      <w:proofErr w:type="spellStart"/>
      <w:r w:rsidRPr="00BA286B">
        <w:rPr>
          <w:sz w:val="16"/>
          <w:lang w:val="en-US"/>
        </w:rPr>
        <w:t>Clin</w:t>
      </w:r>
      <w:proofErr w:type="spellEnd"/>
      <w:r w:rsidRPr="00BA286B">
        <w:rPr>
          <w:sz w:val="16"/>
          <w:lang w:val="en-US"/>
        </w:rPr>
        <w:t xml:space="preserve"> </w:t>
      </w:r>
      <w:proofErr w:type="spellStart"/>
      <w:r w:rsidRPr="00BA286B">
        <w:rPr>
          <w:sz w:val="16"/>
          <w:lang w:val="en-US"/>
        </w:rPr>
        <w:t>Endocrinol</w:t>
      </w:r>
      <w:proofErr w:type="spellEnd"/>
      <w:r w:rsidRPr="00BA286B">
        <w:rPr>
          <w:sz w:val="16"/>
          <w:lang w:val="en-US"/>
        </w:rPr>
        <w:t xml:space="preserve"> </w:t>
      </w:r>
      <w:proofErr w:type="spellStart"/>
      <w:r w:rsidRPr="00BA286B">
        <w:rPr>
          <w:sz w:val="16"/>
          <w:lang w:val="en-US"/>
        </w:rPr>
        <w:t>Metab</w:t>
      </w:r>
      <w:proofErr w:type="spellEnd"/>
      <w:r w:rsidRPr="00BA286B">
        <w:rPr>
          <w:sz w:val="16"/>
          <w:lang w:val="en-US"/>
        </w:rPr>
        <w:t>.</w:t>
      </w:r>
      <w:r w:rsidRPr="00BA286B">
        <w:rPr>
          <w:spacing w:val="-10"/>
          <w:sz w:val="16"/>
          <w:lang w:val="en-US"/>
        </w:rPr>
        <w:t xml:space="preserve"> </w:t>
      </w:r>
      <w:r w:rsidRPr="00BA286B">
        <w:rPr>
          <w:sz w:val="16"/>
          <w:lang w:val="en-US"/>
        </w:rPr>
        <w:t>2013</w:t>
      </w:r>
      <w:proofErr w:type="gramStart"/>
      <w:r w:rsidRPr="00BA286B">
        <w:rPr>
          <w:sz w:val="16"/>
          <w:lang w:val="en-US"/>
        </w:rPr>
        <w:t>;98</w:t>
      </w:r>
      <w:proofErr w:type="gramEnd"/>
      <w:r w:rsidRPr="00BA286B">
        <w:rPr>
          <w:sz w:val="16"/>
          <w:lang w:val="en-US"/>
        </w:rPr>
        <w:t>(7):2734-41.</w:t>
      </w:r>
    </w:p>
    <w:p w:rsidR="008777CB" w:rsidRPr="00BA286B" w:rsidRDefault="00BA286B">
      <w:pPr>
        <w:pStyle w:val="PargrafodaLista"/>
        <w:numPr>
          <w:ilvl w:val="0"/>
          <w:numId w:val="2"/>
        </w:numPr>
        <w:tabs>
          <w:tab w:val="left" w:pos="407"/>
        </w:tabs>
        <w:spacing w:before="1"/>
        <w:ind w:right="275" w:firstLine="0"/>
        <w:jc w:val="both"/>
        <w:rPr>
          <w:sz w:val="16"/>
          <w:lang w:val="en-US"/>
        </w:rPr>
      </w:pPr>
      <w:proofErr w:type="spellStart"/>
      <w:r w:rsidRPr="00BA286B">
        <w:rPr>
          <w:sz w:val="16"/>
          <w:lang w:val="en-US"/>
        </w:rPr>
        <w:t>Winer</w:t>
      </w:r>
      <w:proofErr w:type="spellEnd"/>
      <w:r w:rsidRPr="00BA286B">
        <w:rPr>
          <w:sz w:val="16"/>
          <w:lang w:val="en-US"/>
        </w:rPr>
        <w:t xml:space="preserve"> KK, </w:t>
      </w:r>
      <w:proofErr w:type="spellStart"/>
      <w:r w:rsidRPr="00BA286B">
        <w:rPr>
          <w:sz w:val="16"/>
          <w:lang w:val="en-US"/>
        </w:rPr>
        <w:t>Sinaii</w:t>
      </w:r>
      <w:proofErr w:type="spellEnd"/>
      <w:r w:rsidRPr="00BA286B">
        <w:rPr>
          <w:sz w:val="16"/>
          <w:lang w:val="en-US"/>
        </w:rPr>
        <w:t xml:space="preserve"> N, Reynolds J, Peterson D, Dowdy K, Cutler GB Jr. Long-term treatment of 12 children with chronic </w:t>
      </w:r>
      <w:proofErr w:type="spellStart"/>
      <w:r w:rsidRPr="00BA286B">
        <w:rPr>
          <w:sz w:val="16"/>
          <w:lang w:val="en-US"/>
        </w:rPr>
        <w:t>hypoparathyroidism</w:t>
      </w:r>
      <w:proofErr w:type="spellEnd"/>
      <w:r w:rsidRPr="00BA286B">
        <w:rPr>
          <w:sz w:val="16"/>
          <w:lang w:val="en-US"/>
        </w:rPr>
        <w:t>: a randomized</w:t>
      </w:r>
      <w:r w:rsidRPr="00BA286B">
        <w:rPr>
          <w:spacing w:val="-2"/>
          <w:sz w:val="16"/>
          <w:lang w:val="en-US"/>
        </w:rPr>
        <w:t xml:space="preserve"> </w:t>
      </w:r>
      <w:r w:rsidRPr="00BA286B">
        <w:rPr>
          <w:sz w:val="16"/>
          <w:lang w:val="en-US"/>
        </w:rPr>
        <w:t>trial</w:t>
      </w:r>
      <w:r w:rsidRPr="00BA286B">
        <w:rPr>
          <w:spacing w:val="-3"/>
          <w:sz w:val="16"/>
          <w:lang w:val="en-US"/>
        </w:rPr>
        <w:t xml:space="preserve"> </w:t>
      </w:r>
      <w:r w:rsidRPr="00BA286B">
        <w:rPr>
          <w:sz w:val="16"/>
          <w:lang w:val="en-US"/>
        </w:rPr>
        <w:t>comparing</w:t>
      </w:r>
      <w:r w:rsidRPr="00BA286B">
        <w:rPr>
          <w:spacing w:val="-4"/>
          <w:sz w:val="16"/>
          <w:lang w:val="en-US"/>
        </w:rPr>
        <w:t xml:space="preserve"> </w:t>
      </w:r>
      <w:r w:rsidRPr="00BA286B">
        <w:rPr>
          <w:sz w:val="16"/>
          <w:lang w:val="en-US"/>
        </w:rPr>
        <w:t>synthetic</w:t>
      </w:r>
      <w:r w:rsidRPr="00BA286B">
        <w:rPr>
          <w:spacing w:val="-4"/>
          <w:sz w:val="16"/>
          <w:lang w:val="en-US"/>
        </w:rPr>
        <w:t xml:space="preserve"> </w:t>
      </w:r>
      <w:r w:rsidRPr="00BA286B">
        <w:rPr>
          <w:sz w:val="16"/>
          <w:lang w:val="en-US"/>
        </w:rPr>
        <w:t>human</w:t>
      </w:r>
      <w:r w:rsidRPr="00BA286B">
        <w:rPr>
          <w:spacing w:val="-3"/>
          <w:sz w:val="16"/>
          <w:lang w:val="en-US"/>
        </w:rPr>
        <w:t xml:space="preserve"> </w:t>
      </w:r>
      <w:r w:rsidRPr="00BA286B">
        <w:rPr>
          <w:sz w:val="16"/>
          <w:lang w:val="en-US"/>
        </w:rPr>
        <w:t>parathyroid</w:t>
      </w:r>
      <w:r w:rsidRPr="00BA286B">
        <w:rPr>
          <w:spacing w:val="-4"/>
          <w:sz w:val="16"/>
          <w:lang w:val="en-US"/>
        </w:rPr>
        <w:t xml:space="preserve"> </w:t>
      </w:r>
      <w:r w:rsidRPr="00BA286B">
        <w:rPr>
          <w:sz w:val="16"/>
          <w:lang w:val="en-US"/>
        </w:rPr>
        <w:t>hormone</w:t>
      </w:r>
      <w:r w:rsidRPr="00BA286B">
        <w:rPr>
          <w:spacing w:val="-4"/>
          <w:sz w:val="16"/>
          <w:lang w:val="en-US"/>
        </w:rPr>
        <w:t xml:space="preserve"> </w:t>
      </w:r>
      <w:r w:rsidRPr="00BA286B">
        <w:rPr>
          <w:sz w:val="16"/>
          <w:lang w:val="en-US"/>
        </w:rPr>
        <w:t>1-34</w:t>
      </w:r>
      <w:r w:rsidRPr="00BA286B">
        <w:rPr>
          <w:spacing w:val="-1"/>
          <w:sz w:val="16"/>
          <w:lang w:val="en-US"/>
        </w:rPr>
        <w:t xml:space="preserve"> </w:t>
      </w:r>
      <w:r w:rsidRPr="00BA286B">
        <w:rPr>
          <w:sz w:val="16"/>
          <w:lang w:val="en-US"/>
        </w:rPr>
        <w:t>versus</w:t>
      </w:r>
      <w:r w:rsidRPr="00BA286B">
        <w:rPr>
          <w:spacing w:val="-5"/>
          <w:sz w:val="16"/>
          <w:lang w:val="en-US"/>
        </w:rPr>
        <w:t xml:space="preserve"> </w:t>
      </w:r>
      <w:proofErr w:type="spellStart"/>
      <w:r w:rsidRPr="00BA286B">
        <w:rPr>
          <w:sz w:val="16"/>
          <w:lang w:val="en-US"/>
        </w:rPr>
        <w:t>calcitriol</w:t>
      </w:r>
      <w:proofErr w:type="spellEnd"/>
      <w:r w:rsidRPr="00BA286B">
        <w:rPr>
          <w:spacing w:val="-3"/>
          <w:sz w:val="16"/>
          <w:lang w:val="en-US"/>
        </w:rPr>
        <w:t xml:space="preserve"> </w:t>
      </w:r>
      <w:r w:rsidRPr="00BA286B">
        <w:rPr>
          <w:sz w:val="16"/>
          <w:lang w:val="en-US"/>
        </w:rPr>
        <w:t>and</w:t>
      </w:r>
      <w:r w:rsidRPr="00BA286B">
        <w:rPr>
          <w:spacing w:val="-3"/>
          <w:sz w:val="16"/>
          <w:lang w:val="en-US"/>
        </w:rPr>
        <w:t xml:space="preserve"> </w:t>
      </w:r>
      <w:r w:rsidRPr="00BA286B">
        <w:rPr>
          <w:sz w:val="16"/>
          <w:lang w:val="en-US"/>
        </w:rPr>
        <w:t>calcium.</w:t>
      </w:r>
      <w:r w:rsidRPr="00BA286B">
        <w:rPr>
          <w:spacing w:val="-2"/>
          <w:sz w:val="16"/>
          <w:lang w:val="en-US"/>
        </w:rPr>
        <w:t xml:space="preserve"> </w:t>
      </w:r>
      <w:r w:rsidRPr="00BA286B">
        <w:rPr>
          <w:sz w:val="16"/>
          <w:lang w:val="en-US"/>
        </w:rPr>
        <w:t>J</w:t>
      </w:r>
      <w:r w:rsidRPr="00BA286B">
        <w:rPr>
          <w:spacing w:val="-4"/>
          <w:sz w:val="16"/>
          <w:lang w:val="en-US"/>
        </w:rPr>
        <w:t xml:space="preserve"> </w:t>
      </w:r>
      <w:proofErr w:type="spellStart"/>
      <w:r w:rsidRPr="00BA286B">
        <w:rPr>
          <w:sz w:val="16"/>
          <w:lang w:val="en-US"/>
        </w:rPr>
        <w:t>Clin</w:t>
      </w:r>
      <w:proofErr w:type="spellEnd"/>
      <w:r w:rsidRPr="00BA286B">
        <w:rPr>
          <w:spacing w:val="-1"/>
          <w:sz w:val="16"/>
          <w:lang w:val="en-US"/>
        </w:rPr>
        <w:t xml:space="preserve"> </w:t>
      </w:r>
      <w:proofErr w:type="spellStart"/>
      <w:r w:rsidRPr="00BA286B">
        <w:rPr>
          <w:sz w:val="16"/>
          <w:lang w:val="en-US"/>
        </w:rPr>
        <w:t>Endocrinol</w:t>
      </w:r>
      <w:proofErr w:type="spellEnd"/>
      <w:r w:rsidRPr="00BA286B">
        <w:rPr>
          <w:spacing w:val="-4"/>
          <w:sz w:val="16"/>
          <w:lang w:val="en-US"/>
        </w:rPr>
        <w:t xml:space="preserve"> </w:t>
      </w:r>
      <w:proofErr w:type="spellStart"/>
      <w:r w:rsidRPr="00BA286B">
        <w:rPr>
          <w:sz w:val="16"/>
          <w:lang w:val="en-US"/>
        </w:rPr>
        <w:t>Metab</w:t>
      </w:r>
      <w:proofErr w:type="spellEnd"/>
      <w:r w:rsidRPr="00BA286B">
        <w:rPr>
          <w:sz w:val="16"/>
          <w:lang w:val="en-US"/>
        </w:rPr>
        <w:t>.</w:t>
      </w:r>
      <w:r w:rsidRPr="00BA286B">
        <w:rPr>
          <w:spacing w:val="-4"/>
          <w:sz w:val="16"/>
          <w:lang w:val="en-US"/>
        </w:rPr>
        <w:t xml:space="preserve"> </w:t>
      </w:r>
      <w:r w:rsidRPr="00BA286B">
        <w:rPr>
          <w:sz w:val="16"/>
          <w:lang w:val="en-US"/>
        </w:rPr>
        <w:t>2010</w:t>
      </w:r>
      <w:proofErr w:type="gramStart"/>
      <w:r w:rsidRPr="00BA286B">
        <w:rPr>
          <w:sz w:val="16"/>
          <w:lang w:val="en-US"/>
        </w:rPr>
        <w:t>;95</w:t>
      </w:r>
      <w:proofErr w:type="gramEnd"/>
      <w:r w:rsidRPr="00BA286B">
        <w:rPr>
          <w:sz w:val="16"/>
          <w:lang w:val="en-US"/>
        </w:rPr>
        <w:t>(6):2680-8.</w:t>
      </w:r>
    </w:p>
    <w:p w:rsidR="008777CB" w:rsidRDefault="00BA286B">
      <w:pPr>
        <w:pStyle w:val="PargrafodaLista"/>
        <w:numPr>
          <w:ilvl w:val="0"/>
          <w:numId w:val="2"/>
        </w:numPr>
        <w:tabs>
          <w:tab w:val="left" w:pos="407"/>
        </w:tabs>
        <w:ind w:right="268" w:firstLine="0"/>
        <w:jc w:val="both"/>
        <w:rPr>
          <w:sz w:val="16"/>
        </w:rPr>
      </w:pPr>
      <w:proofErr w:type="spellStart"/>
      <w:r w:rsidRPr="00BA286B">
        <w:rPr>
          <w:sz w:val="16"/>
          <w:lang w:val="en-US"/>
        </w:rPr>
        <w:t>Sikjaer</w:t>
      </w:r>
      <w:proofErr w:type="spellEnd"/>
      <w:r w:rsidRPr="00BA286B">
        <w:rPr>
          <w:sz w:val="16"/>
          <w:lang w:val="en-US"/>
        </w:rPr>
        <w:t xml:space="preserve"> T, </w:t>
      </w:r>
      <w:proofErr w:type="spellStart"/>
      <w:r w:rsidRPr="00BA286B">
        <w:rPr>
          <w:sz w:val="16"/>
          <w:lang w:val="en-US"/>
        </w:rPr>
        <w:t>Rolighed</w:t>
      </w:r>
      <w:proofErr w:type="spellEnd"/>
      <w:r w:rsidRPr="00BA286B">
        <w:rPr>
          <w:sz w:val="16"/>
          <w:lang w:val="en-US"/>
        </w:rPr>
        <w:t xml:space="preserve"> </w:t>
      </w:r>
      <w:r w:rsidRPr="00BA286B">
        <w:rPr>
          <w:spacing w:val="-3"/>
          <w:sz w:val="16"/>
          <w:lang w:val="en-US"/>
        </w:rPr>
        <w:t xml:space="preserve">L, </w:t>
      </w:r>
      <w:r w:rsidRPr="00BA286B">
        <w:rPr>
          <w:sz w:val="16"/>
          <w:lang w:val="en-US"/>
        </w:rPr>
        <w:t xml:space="preserve">Hess A, </w:t>
      </w:r>
      <w:proofErr w:type="spellStart"/>
      <w:r w:rsidRPr="00BA286B">
        <w:rPr>
          <w:sz w:val="16"/>
          <w:lang w:val="en-US"/>
        </w:rPr>
        <w:t>Fuglsang-Frederiksen</w:t>
      </w:r>
      <w:proofErr w:type="spellEnd"/>
      <w:r w:rsidRPr="00BA286B">
        <w:rPr>
          <w:sz w:val="16"/>
          <w:lang w:val="en-US"/>
        </w:rPr>
        <w:t xml:space="preserve"> A, </w:t>
      </w:r>
      <w:proofErr w:type="spellStart"/>
      <w:r w:rsidRPr="00BA286B">
        <w:rPr>
          <w:sz w:val="16"/>
          <w:lang w:val="en-US"/>
        </w:rPr>
        <w:t>Mosekilde</w:t>
      </w:r>
      <w:proofErr w:type="spellEnd"/>
      <w:r w:rsidRPr="00BA286B">
        <w:rPr>
          <w:sz w:val="16"/>
          <w:lang w:val="en-US"/>
        </w:rPr>
        <w:t xml:space="preserve"> </w:t>
      </w:r>
      <w:r w:rsidRPr="00BA286B">
        <w:rPr>
          <w:spacing w:val="-3"/>
          <w:sz w:val="16"/>
          <w:lang w:val="en-US"/>
        </w:rPr>
        <w:t xml:space="preserve">L, </w:t>
      </w:r>
      <w:proofErr w:type="spellStart"/>
      <w:r w:rsidRPr="00BA286B">
        <w:rPr>
          <w:sz w:val="16"/>
          <w:lang w:val="en-US"/>
        </w:rPr>
        <w:t>Rejnmark</w:t>
      </w:r>
      <w:proofErr w:type="spellEnd"/>
      <w:r w:rsidRPr="00BA286B">
        <w:rPr>
          <w:sz w:val="16"/>
          <w:lang w:val="en-US"/>
        </w:rPr>
        <w:t xml:space="preserve"> </w:t>
      </w:r>
      <w:r w:rsidRPr="00BA286B">
        <w:rPr>
          <w:spacing w:val="-3"/>
          <w:sz w:val="16"/>
          <w:lang w:val="en-US"/>
        </w:rPr>
        <w:t xml:space="preserve">L. </w:t>
      </w:r>
      <w:r w:rsidRPr="00BA286B">
        <w:rPr>
          <w:sz w:val="16"/>
          <w:lang w:val="en-US"/>
        </w:rPr>
        <w:t xml:space="preserve">Effects of </w:t>
      </w:r>
      <w:proofErr w:type="gramStart"/>
      <w:r w:rsidRPr="00BA286B">
        <w:rPr>
          <w:sz w:val="16"/>
          <w:lang w:val="en-US"/>
        </w:rPr>
        <w:t>PTH(</w:t>
      </w:r>
      <w:proofErr w:type="gramEnd"/>
      <w:r w:rsidRPr="00BA286B">
        <w:rPr>
          <w:sz w:val="16"/>
          <w:lang w:val="en-US"/>
        </w:rPr>
        <w:t xml:space="preserve">1-84) therapy on muscle function and quality of life in </w:t>
      </w:r>
      <w:proofErr w:type="spellStart"/>
      <w:r w:rsidRPr="00BA286B">
        <w:rPr>
          <w:sz w:val="16"/>
          <w:lang w:val="en-US"/>
        </w:rPr>
        <w:t>hypoparathyroidism</w:t>
      </w:r>
      <w:proofErr w:type="spellEnd"/>
      <w:r w:rsidRPr="00BA286B">
        <w:rPr>
          <w:sz w:val="16"/>
          <w:lang w:val="en-US"/>
        </w:rPr>
        <w:t xml:space="preserve">: results from a randomized controlled trial. </w:t>
      </w:r>
      <w:proofErr w:type="spellStart"/>
      <w:r>
        <w:rPr>
          <w:sz w:val="16"/>
        </w:rPr>
        <w:t>Osteoporos</w:t>
      </w:r>
      <w:proofErr w:type="spellEnd"/>
      <w:r>
        <w:rPr>
          <w:sz w:val="16"/>
        </w:rPr>
        <w:t xml:space="preserve"> Int.</w:t>
      </w:r>
      <w:r>
        <w:rPr>
          <w:spacing w:val="-10"/>
          <w:sz w:val="16"/>
        </w:rPr>
        <w:t xml:space="preserve"> </w:t>
      </w:r>
      <w:proofErr w:type="gramStart"/>
      <w:r>
        <w:rPr>
          <w:sz w:val="16"/>
        </w:rPr>
        <w:t>2014;</w:t>
      </w:r>
      <w:proofErr w:type="gramEnd"/>
      <w:r>
        <w:rPr>
          <w:sz w:val="16"/>
        </w:rPr>
        <w:t>25(6):1717-26.</w:t>
      </w:r>
    </w:p>
    <w:p w:rsidR="008777CB" w:rsidRPr="00BA286B" w:rsidRDefault="00BA286B">
      <w:pPr>
        <w:pStyle w:val="PargrafodaLista"/>
        <w:numPr>
          <w:ilvl w:val="0"/>
          <w:numId w:val="2"/>
        </w:numPr>
        <w:tabs>
          <w:tab w:val="left" w:pos="407"/>
        </w:tabs>
        <w:ind w:right="432" w:firstLine="0"/>
        <w:rPr>
          <w:sz w:val="16"/>
          <w:lang w:val="en-US"/>
        </w:rPr>
      </w:pPr>
      <w:proofErr w:type="spellStart"/>
      <w:r w:rsidRPr="00BA286B">
        <w:rPr>
          <w:sz w:val="16"/>
          <w:lang w:val="en-US"/>
        </w:rPr>
        <w:t>Sikjaer</w:t>
      </w:r>
      <w:proofErr w:type="spellEnd"/>
      <w:r w:rsidRPr="00BA286B">
        <w:rPr>
          <w:sz w:val="16"/>
          <w:lang w:val="en-US"/>
        </w:rPr>
        <w:t xml:space="preserve"> T, </w:t>
      </w:r>
      <w:proofErr w:type="spellStart"/>
      <w:r w:rsidRPr="00BA286B">
        <w:rPr>
          <w:sz w:val="16"/>
          <w:lang w:val="en-US"/>
        </w:rPr>
        <w:t>Rejnmark</w:t>
      </w:r>
      <w:proofErr w:type="spellEnd"/>
      <w:r w:rsidRPr="00BA286B">
        <w:rPr>
          <w:sz w:val="16"/>
          <w:lang w:val="en-US"/>
        </w:rPr>
        <w:t xml:space="preserve"> </w:t>
      </w:r>
      <w:r w:rsidRPr="00BA286B">
        <w:rPr>
          <w:spacing w:val="-3"/>
          <w:sz w:val="16"/>
          <w:lang w:val="en-US"/>
        </w:rPr>
        <w:t xml:space="preserve">L, </w:t>
      </w:r>
      <w:r w:rsidRPr="00BA286B">
        <w:rPr>
          <w:sz w:val="16"/>
          <w:lang w:val="en-US"/>
        </w:rPr>
        <w:t xml:space="preserve">Thomsen JS, </w:t>
      </w:r>
      <w:proofErr w:type="spellStart"/>
      <w:r w:rsidRPr="00BA286B">
        <w:rPr>
          <w:sz w:val="16"/>
          <w:lang w:val="en-US"/>
        </w:rPr>
        <w:t>Tietze</w:t>
      </w:r>
      <w:proofErr w:type="spellEnd"/>
      <w:r w:rsidRPr="00BA286B">
        <w:rPr>
          <w:sz w:val="16"/>
          <w:lang w:val="en-US"/>
        </w:rPr>
        <w:t xml:space="preserve"> A, </w:t>
      </w:r>
      <w:proofErr w:type="spellStart"/>
      <w:r w:rsidRPr="00BA286B">
        <w:rPr>
          <w:sz w:val="16"/>
          <w:lang w:val="en-US"/>
        </w:rPr>
        <w:t>Brüel</w:t>
      </w:r>
      <w:proofErr w:type="spellEnd"/>
      <w:r w:rsidRPr="00BA286B">
        <w:rPr>
          <w:sz w:val="16"/>
          <w:lang w:val="en-US"/>
        </w:rPr>
        <w:t xml:space="preserve"> A, Andersen G, et al. Changes in 3-dimensional bone structure indices in </w:t>
      </w:r>
      <w:proofErr w:type="spellStart"/>
      <w:r w:rsidRPr="00BA286B">
        <w:rPr>
          <w:sz w:val="16"/>
          <w:lang w:val="en-US"/>
        </w:rPr>
        <w:t>hypoparathyroid</w:t>
      </w:r>
      <w:proofErr w:type="spellEnd"/>
      <w:r w:rsidRPr="00BA286B">
        <w:rPr>
          <w:sz w:val="16"/>
          <w:lang w:val="en-US"/>
        </w:rPr>
        <w:t xml:space="preserve"> patients treated with </w:t>
      </w:r>
      <w:proofErr w:type="gramStart"/>
      <w:r w:rsidRPr="00BA286B">
        <w:rPr>
          <w:sz w:val="16"/>
          <w:lang w:val="en-US"/>
        </w:rPr>
        <w:t>PTH(</w:t>
      </w:r>
      <w:proofErr w:type="gramEnd"/>
      <w:r w:rsidRPr="00BA286B">
        <w:rPr>
          <w:sz w:val="16"/>
          <w:lang w:val="en-US"/>
        </w:rPr>
        <w:t>1-84): a randomized controlled study. J Bone Miner Res.</w:t>
      </w:r>
      <w:r w:rsidRPr="00BA286B">
        <w:rPr>
          <w:spacing w:val="-9"/>
          <w:sz w:val="16"/>
          <w:lang w:val="en-US"/>
        </w:rPr>
        <w:t xml:space="preserve"> </w:t>
      </w:r>
      <w:r w:rsidRPr="00BA286B">
        <w:rPr>
          <w:sz w:val="16"/>
          <w:lang w:val="en-US"/>
        </w:rPr>
        <w:t>2012</w:t>
      </w:r>
      <w:proofErr w:type="gramStart"/>
      <w:r w:rsidRPr="00BA286B">
        <w:rPr>
          <w:sz w:val="16"/>
          <w:lang w:val="en-US"/>
        </w:rPr>
        <w:t>;27</w:t>
      </w:r>
      <w:proofErr w:type="gramEnd"/>
      <w:r w:rsidRPr="00BA286B">
        <w:rPr>
          <w:sz w:val="16"/>
          <w:lang w:val="en-US"/>
        </w:rPr>
        <w:t>(4):781-8.</w:t>
      </w:r>
    </w:p>
    <w:p w:rsidR="008777CB" w:rsidRPr="00BA286B" w:rsidRDefault="008777CB">
      <w:pPr>
        <w:pStyle w:val="Corpodetexto"/>
        <w:ind w:left="0"/>
        <w:rPr>
          <w:sz w:val="18"/>
          <w:lang w:val="en-US"/>
        </w:rPr>
      </w:pPr>
    </w:p>
    <w:p w:rsidR="008777CB" w:rsidRPr="00BA286B" w:rsidRDefault="008777CB">
      <w:pPr>
        <w:pStyle w:val="Corpodetexto"/>
        <w:ind w:left="0"/>
        <w:rPr>
          <w:sz w:val="18"/>
          <w:lang w:val="en-US"/>
        </w:rPr>
      </w:pPr>
    </w:p>
    <w:p w:rsidR="008777CB" w:rsidRDefault="00BA286B">
      <w:pPr>
        <w:pStyle w:val="Corpodetexto"/>
        <w:spacing w:before="139" w:line="480" w:lineRule="auto"/>
        <w:ind w:left="3735" w:right="3056" w:hanging="826"/>
      </w:pPr>
      <w:r>
        <w:t>TERMO DE ESCLARECIMENTO E RESPONSABILIDADE ALFACALCIDOL E CALCITRIOL.</w:t>
      </w:r>
    </w:p>
    <w:p w:rsidR="008777CB" w:rsidRDefault="008777CB">
      <w:pPr>
        <w:pStyle w:val="Corpodetexto"/>
        <w:spacing w:before="11"/>
        <w:ind w:left="0"/>
        <w:rPr>
          <w:sz w:val="15"/>
        </w:rPr>
      </w:pPr>
    </w:p>
    <w:p w:rsidR="008777CB" w:rsidRDefault="00BA286B">
      <w:pPr>
        <w:pStyle w:val="Corpodetexto"/>
        <w:tabs>
          <w:tab w:val="left" w:pos="5334"/>
        </w:tabs>
        <w:ind w:right="269" w:firstLine="566"/>
        <w:jc w:val="both"/>
        <w:rPr>
          <w:b/>
        </w:rPr>
      </w:pPr>
      <w:r>
        <w:t>Eu,</w:t>
      </w:r>
      <w:r>
        <w:rPr>
          <w:u w:val="single"/>
        </w:rPr>
        <w:t xml:space="preserve"> </w:t>
      </w:r>
      <w:r>
        <w:rPr>
          <w:u w:val="single"/>
        </w:rPr>
        <w:tab/>
      </w:r>
      <w:proofErr w:type="gramStart"/>
      <w:r>
        <w:t>(</w:t>
      </w:r>
      <w:proofErr w:type="gramEnd"/>
      <w:r>
        <w:t xml:space="preserve">nome do(a) paciente), declaro ter sido informado(a) claramente sobre os benefícios, riscos, contraindicações e principais efeitos adversos relacionados ao uso dos medicamentos </w:t>
      </w:r>
      <w:proofErr w:type="spellStart"/>
      <w:r>
        <w:rPr>
          <w:b/>
        </w:rPr>
        <w:t>alfacalcidol</w:t>
      </w:r>
      <w:proofErr w:type="spellEnd"/>
      <w:r>
        <w:rPr>
          <w:b/>
        </w:rPr>
        <w:t xml:space="preserve"> e </w:t>
      </w:r>
      <w:proofErr w:type="spellStart"/>
      <w:r>
        <w:rPr>
          <w:b/>
        </w:rPr>
        <w:t>calcitriol</w:t>
      </w:r>
      <w:proofErr w:type="spellEnd"/>
      <w:r>
        <w:t>, indicados para o tratamento do</w:t>
      </w:r>
      <w:r>
        <w:rPr>
          <w:spacing w:val="-6"/>
        </w:rPr>
        <w:t xml:space="preserve"> </w:t>
      </w:r>
      <w:proofErr w:type="spellStart"/>
      <w:r>
        <w:rPr>
          <w:b/>
        </w:rPr>
        <w:t>hipoparatireoidismo</w:t>
      </w:r>
      <w:proofErr w:type="spellEnd"/>
      <w:r>
        <w:rPr>
          <w:b/>
        </w:rPr>
        <w:t>.</w:t>
      </w:r>
    </w:p>
    <w:p w:rsidR="008777CB" w:rsidRDefault="00BA286B">
      <w:pPr>
        <w:pStyle w:val="Corpodetexto"/>
        <w:tabs>
          <w:tab w:val="left" w:pos="1099"/>
          <w:tab w:val="left" w:pos="1776"/>
          <w:tab w:val="left" w:pos="2553"/>
          <w:tab w:val="left" w:pos="2989"/>
          <w:tab w:val="left" w:pos="3613"/>
          <w:tab w:val="left" w:pos="4539"/>
          <w:tab w:val="left" w:pos="4851"/>
          <w:tab w:val="left" w:pos="5431"/>
          <w:tab w:val="left" w:pos="5805"/>
          <w:tab w:val="left" w:pos="6508"/>
          <w:tab w:val="left" w:pos="7249"/>
          <w:tab w:val="left" w:pos="7873"/>
          <w:tab w:val="left" w:pos="8763"/>
          <w:tab w:val="left" w:pos="9278"/>
        </w:tabs>
        <w:ind w:left="679"/>
      </w:pPr>
      <w:r>
        <w:t>Os</w:t>
      </w:r>
      <w:r>
        <w:tab/>
        <w:t>termos</w:t>
      </w:r>
      <w:r>
        <w:tab/>
        <w:t>médicos</w:t>
      </w:r>
      <w:r>
        <w:tab/>
        <w:t>me</w:t>
      </w:r>
      <w:r>
        <w:tab/>
        <w:t>foram</w:t>
      </w:r>
      <w:r>
        <w:tab/>
        <w:t>explicados</w:t>
      </w:r>
      <w:r>
        <w:tab/>
        <w:t>e</w:t>
      </w:r>
      <w:r>
        <w:tab/>
        <w:t>todas</w:t>
      </w:r>
      <w:r>
        <w:tab/>
        <w:t>as</w:t>
      </w:r>
      <w:r>
        <w:tab/>
        <w:t>minhas</w:t>
      </w:r>
      <w:r>
        <w:tab/>
        <w:t>dúvidas</w:t>
      </w:r>
      <w:r>
        <w:tab/>
        <w:t>foram</w:t>
      </w:r>
      <w:r>
        <w:tab/>
        <w:t>resolvidas</w:t>
      </w:r>
      <w:r>
        <w:tab/>
        <w:t>pelo</w:t>
      </w:r>
      <w:r>
        <w:tab/>
        <w:t>médico</w:t>
      </w:r>
    </w:p>
    <w:p w:rsidR="008777CB" w:rsidRDefault="00BA286B">
      <w:pPr>
        <w:pStyle w:val="Corpodetexto"/>
        <w:tabs>
          <w:tab w:val="left" w:pos="4949"/>
        </w:tabs>
        <w:spacing w:before="1" w:line="183" w:lineRule="exact"/>
        <w:jc w:val="both"/>
      </w:pPr>
      <w:r>
        <w:rPr>
          <w:u w:val="single"/>
        </w:rPr>
        <w:t xml:space="preserve"> </w:t>
      </w:r>
      <w:r>
        <w:rPr>
          <w:u w:val="single"/>
        </w:rPr>
        <w:tab/>
      </w:r>
      <w:r>
        <w:t>(nome do médico que</w:t>
      </w:r>
      <w:r>
        <w:rPr>
          <w:spacing w:val="-7"/>
        </w:rPr>
        <w:t xml:space="preserve"> </w:t>
      </w:r>
      <w:r>
        <w:t>prescreve).</w:t>
      </w:r>
    </w:p>
    <w:p w:rsidR="008777CB" w:rsidRDefault="00BA286B">
      <w:pPr>
        <w:pStyle w:val="Corpodetexto"/>
        <w:spacing w:line="183" w:lineRule="exact"/>
        <w:ind w:left="679"/>
      </w:pPr>
      <w:r>
        <w:t>Assim, declaro que fui claramente informado (a) de que o medicamento que passo a receber pode trazer os seguintes benefícios:</w:t>
      </w:r>
    </w:p>
    <w:p w:rsidR="008777CB" w:rsidRDefault="00BA286B">
      <w:pPr>
        <w:pStyle w:val="PargrafodaLista"/>
        <w:numPr>
          <w:ilvl w:val="0"/>
          <w:numId w:val="1"/>
        </w:numPr>
        <w:tabs>
          <w:tab w:val="left" w:pos="774"/>
        </w:tabs>
        <w:spacing w:before="1"/>
        <w:ind w:firstLine="567"/>
        <w:rPr>
          <w:sz w:val="16"/>
        </w:rPr>
      </w:pPr>
      <w:proofErr w:type="gramStart"/>
      <w:r>
        <w:rPr>
          <w:sz w:val="16"/>
        </w:rPr>
        <w:t>melhorar</w:t>
      </w:r>
      <w:proofErr w:type="gramEnd"/>
      <w:r>
        <w:rPr>
          <w:sz w:val="16"/>
        </w:rPr>
        <w:t xml:space="preserve"> os sintomas de cálcio baixo no</w:t>
      </w:r>
      <w:r>
        <w:rPr>
          <w:spacing w:val="-9"/>
          <w:sz w:val="16"/>
        </w:rPr>
        <w:t xml:space="preserve"> </w:t>
      </w:r>
      <w:r>
        <w:rPr>
          <w:sz w:val="16"/>
        </w:rPr>
        <w:t>sangue;</w:t>
      </w:r>
    </w:p>
    <w:p w:rsidR="008777CB" w:rsidRDefault="00BA286B">
      <w:pPr>
        <w:pStyle w:val="PargrafodaLista"/>
        <w:numPr>
          <w:ilvl w:val="0"/>
          <w:numId w:val="1"/>
        </w:numPr>
        <w:tabs>
          <w:tab w:val="left" w:pos="774"/>
        </w:tabs>
        <w:spacing w:line="183" w:lineRule="exact"/>
        <w:ind w:firstLine="567"/>
        <w:rPr>
          <w:sz w:val="16"/>
        </w:rPr>
      </w:pPr>
      <w:proofErr w:type="gramStart"/>
      <w:r>
        <w:rPr>
          <w:sz w:val="16"/>
        </w:rPr>
        <w:t>evitar</w:t>
      </w:r>
      <w:proofErr w:type="gramEnd"/>
      <w:r>
        <w:rPr>
          <w:sz w:val="16"/>
        </w:rPr>
        <w:t xml:space="preserve"> complicações agudas e crônicas de cálcio baixo no</w:t>
      </w:r>
      <w:r>
        <w:rPr>
          <w:spacing w:val="-15"/>
          <w:sz w:val="16"/>
        </w:rPr>
        <w:t xml:space="preserve"> </w:t>
      </w:r>
      <w:r>
        <w:rPr>
          <w:sz w:val="16"/>
        </w:rPr>
        <w:t>sangue.</w:t>
      </w:r>
    </w:p>
    <w:p w:rsidR="008777CB" w:rsidRDefault="00BA286B">
      <w:pPr>
        <w:pStyle w:val="Corpodetexto"/>
        <w:spacing w:line="183" w:lineRule="exact"/>
        <w:ind w:left="679"/>
      </w:pPr>
      <w:r>
        <w:t xml:space="preserve">Fui também claramente </w:t>
      </w:r>
      <w:proofErr w:type="gramStart"/>
      <w:r>
        <w:t>informado(</w:t>
      </w:r>
      <w:proofErr w:type="gramEnd"/>
      <w:r>
        <w:t>a) a respeito das seguintes contraindicações, potenciais efeitos adversos e riscos:</w:t>
      </w:r>
    </w:p>
    <w:p w:rsidR="008777CB" w:rsidRDefault="00BA286B">
      <w:pPr>
        <w:pStyle w:val="PargrafodaLista"/>
        <w:numPr>
          <w:ilvl w:val="0"/>
          <w:numId w:val="1"/>
        </w:numPr>
        <w:tabs>
          <w:tab w:val="left" w:pos="798"/>
        </w:tabs>
        <w:spacing w:before="1"/>
        <w:ind w:right="269" w:firstLine="567"/>
        <w:rPr>
          <w:sz w:val="16"/>
        </w:rPr>
      </w:pPr>
      <w:proofErr w:type="gramStart"/>
      <w:r>
        <w:rPr>
          <w:sz w:val="16"/>
        </w:rPr>
        <w:t>não</w:t>
      </w:r>
      <w:proofErr w:type="gramEnd"/>
      <w:r>
        <w:rPr>
          <w:sz w:val="16"/>
        </w:rPr>
        <w:t xml:space="preserve"> se sabe ao certo os riscos do uso deste medicamento na gravidez; portanto, caso engravide, não interrompa o tratamento e avise imediatamente o</w:t>
      </w:r>
      <w:r>
        <w:rPr>
          <w:spacing w:val="-2"/>
          <w:sz w:val="16"/>
        </w:rPr>
        <w:t xml:space="preserve"> </w:t>
      </w:r>
      <w:r>
        <w:rPr>
          <w:sz w:val="16"/>
        </w:rPr>
        <w:t>médico;</w:t>
      </w:r>
    </w:p>
    <w:p w:rsidR="008777CB" w:rsidRDefault="00BA286B">
      <w:pPr>
        <w:pStyle w:val="PargrafodaLista"/>
        <w:numPr>
          <w:ilvl w:val="0"/>
          <w:numId w:val="1"/>
        </w:numPr>
        <w:tabs>
          <w:tab w:val="left" w:pos="793"/>
        </w:tabs>
        <w:ind w:right="270" w:firstLine="567"/>
        <w:rPr>
          <w:sz w:val="16"/>
        </w:rPr>
      </w:pPr>
      <w:proofErr w:type="gramStart"/>
      <w:r>
        <w:rPr>
          <w:sz w:val="16"/>
        </w:rPr>
        <w:t>em</w:t>
      </w:r>
      <w:proofErr w:type="gramEnd"/>
      <w:r>
        <w:rPr>
          <w:sz w:val="16"/>
        </w:rPr>
        <w:t xml:space="preserve"> relação à amamentação, a segurança para o uso dos medicamentos deve ser avaliada pelo médico assistente, considerando riscos e benefícios, visto ser excretado pelo leite</w:t>
      </w:r>
      <w:r>
        <w:rPr>
          <w:spacing w:val="-11"/>
          <w:sz w:val="16"/>
        </w:rPr>
        <w:t xml:space="preserve"> </w:t>
      </w:r>
      <w:r>
        <w:rPr>
          <w:sz w:val="16"/>
        </w:rPr>
        <w:t>materno;</w:t>
      </w:r>
    </w:p>
    <w:p w:rsidR="008777CB" w:rsidRDefault="00BA286B">
      <w:pPr>
        <w:pStyle w:val="PargrafodaLista"/>
        <w:numPr>
          <w:ilvl w:val="0"/>
          <w:numId w:val="1"/>
        </w:numPr>
        <w:tabs>
          <w:tab w:val="left" w:pos="774"/>
        </w:tabs>
        <w:spacing w:before="1"/>
        <w:ind w:right="268" w:firstLine="567"/>
        <w:jc w:val="both"/>
        <w:rPr>
          <w:sz w:val="16"/>
        </w:rPr>
      </w:pPr>
      <w:proofErr w:type="gramStart"/>
      <w:r>
        <w:rPr>
          <w:sz w:val="16"/>
        </w:rPr>
        <w:t>os</w:t>
      </w:r>
      <w:proofErr w:type="gramEnd"/>
      <w:r>
        <w:rPr>
          <w:sz w:val="16"/>
        </w:rPr>
        <w:t xml:space="preserve"> efeitos colaterais já relatados para </w:t>
      </w:r>
      <w:proofErr w:type="spellStart"/>
      <w:r>
        <w:rPr>
          <w:sz w:val="16"/>
        </w:rPr>
        <w:t>alfacalcidol</w:t>
      </w:r>
      <w:proofErr w:type="spellEnd"/>
      <w:r>
        <w:rPr>
          <w:sz w:val="16"/>
        </w:rPr>
        <w:t xml:space="preserve"> e </w:t>
      </w:r>
      <w:proofErr w:type="spellStart"/>
      <w:r>
        <w:rPr>
          <w:sz w:val="16"/>
        </w:rPr>
        <w:t>calcitriol</w:t>
      </w:r>
      <w:proofErr w:type="spellEnd"/>
      <w:r>
        <w:rPr>
          <w:sz w:val="16"/>
        </w:rPr>
        <w:t xml:space="preserve"> são os seguintes: aumento da quantidade de cálcio no sangue, caracterizada por dor óssea, constipação, diarreia, secura da boca, dor de cabeça, sede intensa, aumento da frequência ou da quantidade de urina, perda do apetite, gosto metálico, dor muscular, náusea, vômitos, cansaço e fraqueza. Efeitos crônicos podem incluir conjuntivite, diminuição da libido, irritabilidade, coceira, infecções do trato urinário, febre alta, aumento da pressão arterial, batimentos cardíacos irregulares, aumento da sensibilidade dos olhos à luz ou irritação,</w:t>
      </w:r>
      <w:r>
        <w:rPr>
          <w:spacing w:val="-1"/>
          <w:sz w:val="16"/>
        </w:rPr>
        <w:t xml:space="preserve"> </w:t>
      </w:r>
      <w:r>
        <w:rPr>
          <w:sz w:val="16"/>
        </w:rPr>
        <w:t>aumento</w:t>
      </w:r>
      <w:r>
        <w:rPr>
          <w:spacing w:val="-4"/>
          <w:sz w:val="16"/>
        </w:rPr>
        <w:t xml:space="preserve"> </w:t>
      </w:r>
      <w:r>
        <w:rPr>
          <w:sz w:val="16"/>
        </w:rPr>
        <w:t>dos</w:t>
      </w:r>
      <w:r>
        <w:rPr>
          <w:spacing w:val="-2"/>
          <w:sz w:val="16"/>
        </w:rPr>
        <w:t xml:space="preserve"> </w:t>
      </w:r>
      <w:r>
        <w:rPr>
          <w:sz w:val="16"/>
        </w:rPr>
        <w:t>níveis</w:t>
      </w:r>
      <w:r>
        <w:rPr>
          <w:spacing w:val="-3"/>
          <w:sz w:val="16"/>
        </w:rPr>
        <w:t xml:space="preserve"> </w:t>
      </w:r>
      <w:r>
        <w:rPr>
          <w:sz w:val="16"/>
        </w:rPr>
        <w:t>de</w:t>
      </w:r>
      <w:r>
        <w:rPr>
          <w:spacing w:val="-2"/>
          <w:sz w:val="16"/>
        </w:rPr>
        <w:t xml:space="preserve"> </w:t>
      </w:r>
      <w:r>
        <w:rPr>
          <w:sz w:val="16"/>
        </w:rPr>
        <w:t>fósforo</w:t>
      </w:r>
      <w:r>
        <w:rPr>
          <w:spacing w:val="-2"/>
          <w:sz w:val="16"/>
        </w:rPr>
        <w:t xml:space="preserve"> </w:t>
      </w:r>
      <w:r>
        <w:rPr>
          <w:sz w:val="16"/>
        </w:rPr>
        <w:t>e</w:t>
      </w:r>
      <w:r>
        <w:rPr>
          <w:spacing w:val="-2"/>
          <w:sz w:val="16"/>
        </w:rPr>
        <w:t xml:space="preserve"> </w:t>
      </w:r>
      <w:r>
        <w:rPr>
          <w:sz w:val="16"/>
        </w:rPr>
        <w:t>colesterol</w:t>
      </w:r>
      <w:r>
        <w:rPr>
          <w:spacing w:val="-2"/>
          <w:sz w:val="16"/>
        </w:rPr>
        <w:t xml:space="preserve"> </w:t>
      </w:r>
      <w:r>
        <w:rPr>
          <w:sz w:val="16"/>
        </w:rPr>
        <w:t>no</w:t>
      </w:r>
      <w:r>
        <w:rPr>
          <w:spacing w:val="-1"/>
          <w:sz w:val="16"/>
        </w:rPr>
        <w:t xml:space="preserve"> </w:t>
      </w:r>
      <w:r>
        <w:rPr>
          <w:sz w:val="16"/>
        </w:rPr>
        <w:t>sangue, perda</w:t>
      </w:r>
      <w:r>
        <w:rPr>
          <w:spacing w:val="-2"/>
          <w:sz w:val="16"/>
        </w:rPr>
        <w:t xml:space="preserve"> </w:t>
      </w:r>
      <w:r>
        <w:rPr>
          <w:sz w:val="16"/>
        </w:rPr>
        <w:t>de</w:t>
      </w:r>
      <w:r>
        <w:rPr>
          <w:spacing w:val="-3"/>
          <w:sz w:val="16"/>
        </w:rPr>
        <w:t xml:space="preserve"> </w:t>
      </w:r>
      <w:r>
        <w:rPr>
          <w:sz w:val="16"/>
        </w:rPr>
        <w:t>peso,</w:t>
      </w:r>
      <w:r>
        <w:rPr>
          <w:spacing w:val="1"/>
          <w:sz w:val="16"/>
        </w:rPr>
        <w:t xml:space="preserve"> </w:t>
      </w:r>
      <w:r>
        <w:rPr>
          <w:sz w:val="16"/>
        </w:rPr>
        <w:t>pancreatite</w:t>
      </w:r>
      <w:r>
        <w:rPr>
          <w:spacing w:val="-3"/>
          <w:sz w:val="16"/>
        </w:rPr>
        <w:t xml:space="preserve"> </w:t>
      </w:r>
      <w:r>
        <w:rPr>
          <w:sz w:val="16"/>
        </w:rPr>
        <w:t>e</w:t>
      </w:r>
      <w:r>
        <w:rPr>
          <w:spacing w:val="-2"/>
          <w:sz w:val="16"/>
        </w:rPr>
        <w:t xml:space="preserve"> </w:t>
      </w:r>
      <w:r>
        <w:rPr>
          <w:sz w:val="16"/>
        </w:rPr>
        <w:t>psicose, que</w:t>
      </w:r>
      <w:r>
        <w:rPr>
          <w:spacing w:val="-3"/>
          <w:sz w:val="16"/>
        </w:rPr>
        <w:t xml:space="preserve"> </w:t>
      </w:r>
      <w:r>
        <w:rPr>
          <w:sz w:val="16"/>
        </w:rPr>
        <w:t>é</w:t>
      </w:r>
      <w:r>
        <w:rPr>
          <w:spacing w:val="-2"/>
          <w:sz w:val="16"/>
        </w:rPr>
        <w:t xml:space="preserve"> </w:t>
      </w:r>
      <w:r>
        <w:rPr>
          <w:sz w:val="16"/>
        </w:rPr>
        <w:t>o</w:t>
      </w:r>
      <w:r>
        <w:rPr>
          <w:spacing w:val="-2"/>
          <w:sz w:val="16"/>
        </w:rPr>
        <w:t xml:space="preserve"> </w:t>
      </w:r>
      <w:r>
        <w:rPr>
          <w:sz w:val="16"/>
        </w:rPr>
        <w:t>sintoma</w:t>
      </w:r>
      <w:r>
        <w:rPr>
          <w:spacing w:val="1"/>
          <w:sz w:val="16"/>
        </w:rPr>
        <w:t xml:space="preserve"> </w:t>
      </w:r>
      <w:r>
        <w:rPr>
          <w:sz w:val="16"/>
        </w:rPr>
        <w:t>mais</w:t>
      </w:r>
      <w:r>
        <w:rPr>
          <w:spacing w:val="-1"/>
          <w:sz w:val="16"/>
        </w:rPr>
        <w:t xml:space="preserve"> </w:t>
      </w:r>
      <w:r>
        <w:rPr>
          <w:sz w:val="16"/>
        </w:rPr>
        <w:t>raro;</w:t>
      </w:r>
    </w:p>
    <w:p w:rsidR="008777CB" w:rsidRDefault="00BA286B">
      <w:pPr>
        <w:pStyle w:val="PargrafodaLista"/>
        <w:numPr>
          <w:ilvl w:val="0"/>
          <w:numId w:val="1"/>
        </w:numPr>
        <w:tabs>
          <w:tab w:val="left" w:pos="769"/>
        </w:tabs>
        <w:ind w:right="271" w:firstLine="541"/>
        <w:rPr>
          <w:sz w:val="16"/>
        </w:rPr>
      </w:pPr>
      <w:proofErr w:type="gramStart"/>
      <w:r>
        <w:rPr>
          <w:sz w:val="16"/>
        </w:rPr>
        <w:t>este</w:t>
      </w:r>
      <w:proofErr w:type="gramEnd"/>
      <w:r>
        <w:rPr>
          <w:sz w:val="16"/>
        </w:rPr>
        <w:t xml:space="preserve"> medicamento é contraindicado em casos de hipersensibilidade (alergia) conhecida ao fármaco, aumento da quantidade de cálcio e vitamina D e </w:t>
      </w:r>
      <w:proofErr w:type="spellStart"/>
      <w:r>
        <w:rPr>
          <w:sz w:val="16"/>
        </w:rPr>
        <w:t>osteodistrofia</w:t>
      </w:r>
      <w:proofErr w:type="spellEnd"/>
      <w:r>
        <w:rPr>
          <w:sz w:val="16"/>
        </w:rPr>
        <w:t xml:space="preserve"> renal com</w:t>
      </w:r>
      <w:r>
        <w:rPr>
          <w:spacing w:val="-4"/>
          <w:sz w:val="16"/>
        </w:rPr>
        <w:t xml:space="preserve"> </w:t>
      </w:r>
      <w:proofErr w:type="spellStart"/>
      <w:r>
        <w:rPr>
          <w:sz w:val="16"/>
        </w:rPr>
        <w:t>hiperfosfatemia</w:t>
      </w:r>
      <w:proofErr w:type="spellEnd"/>
      <w:r>
        <w:rPr>
          <w:sz w:val="16"/>
        </w:rPr>
        <w:t>;</w:t>
      </w:r>
    </w:p>
    <w:p w:rsidR="008777CB" w:rsidRDefault="00BA286B">
      <w:pPr>
        <w:pStyle w:val="PargrafodaLista"/>
        <w:numPr>
          <w:ilvl w:val="0"/>
          <w:numId w:val="1"/>
        </w:numPr>
        <w:tabs>
          <w:tab w:val="left" w:pos="774"/>
        </w:tabs>
        <w:spacing w:line="183" w:lineRule="exact"/>
        <w:ind w:firstLine="567"/>
        <w:rPr>
          <w:sz w:val="16"/>
        </w:rPr>
      </w:pPr>
      <w:proofErr w:type="gramStart"/>
      <w:r>
        <w:rPr>
          <w:sz w:val="16"/>
        </w:rPr>
        <w:t>o</w:t>
      </w:r>
      <w:proofErr w:type="gramEnd"/>
      <w:r>
        <w:rPr>
          <w:sz w:val="16"/>
        </w:rPr>
        <w:t xml:space="preserve"> risco da ocorrência de efeitos adversos aumenta com a</w:t>
      </w:r>
      <w:r>
        <w:rPr>
          <w:spacing w:val="-12"/>
          <w:sz w:val="16"/>
        </w:rPr>
        <w:t xml:space="preserve"> </w:t>
      </w:r>
      <w:proofErr w:type="spellStart"/>
      <w:r>
        <w:rPr>
          <w:sz w:val="16"/>
        </w:rPr>
        <w:t>superdosagem</w:t>
      </w:r>
      <w:proofErr w:type="spellEnd"/>
      <w:r>
        <w:rPr>
          <w:sz w:val="16"/>
        </w:rPr>
        <w:t>.</w:t>
      </w:r>
    </w:p>
    <w:p w:rsidR="008777CB" w:rsidRDefault="00BA286B">
      <w:pPr>
        <w:pStyle w:val="Corpodetexto"/>
        <w:spacing w:before="1"/>
        <w:ind w:right="271" w:firstLine="566"/>
      </w:pPr>
      <w:r>
        <w:t>Estou ciente de que este medicamento somente pode ser utilizado por mim, comprometendo-me a devolvê-lo caso não queira ou não possa utilizá-lo ou se o tratamento for interrompido. Sei também que continuarei a ser atendido, inclusive se desistir de usar o medicamento.</w:t>
      </w:r>
    </w:p>
    <w:p w:rsidR="008777CB" w:rsidRDefault="00BA286B">
      <w:pPr>
        <w:pStyle w:val="Corpodetexto"/>
        <w:ind w:firstLine="566"/>
      </w:pPr>
      <w:r>
        <w:t xml:space="preserve">Autorizo o Ministério da Saúde e as Secretarias de Saúde a fazer uso de informações relativas ao meu tratamento, desde que assegurado o anonimato. </w:t>
      </w:r>
      <w:proofErr w:type="gramStart"/>
      <w:r>
        <w:t xml:space="preserve">( </w:t>
      </w:r>
      <w:proofErr w:type="gramEnd"/>
      <w:r>
        <w:t>) Sim ( ) Não</w:t>
      </w:r>
    </w:p>
    <w:p w:rsidR="008777CB" w:rsidRDefault="00BA286B">
      <w:pPr>
        <w:pStyle w:val="Corpodetexto"/>
        <w:ind w:left="679" w:right="6021"/>
      </w:pPr>
      <w:r>
        <w:t xml:space="preserve">Meu tratamento constará do seguinte medicamento: </w:t>
      </w:r>
      <w:proofErr w:type="gramStart"/>
      <w:r>
        <w:t xml:space="preserve">( </w:t>
      </w:r>
      <w:proofErr w:type="gramEnd"/>
      <w:r>
        <w:t xml:space="preserve">) </w:t>
      </w:r>
      <w:proofErr w:type="spellStart"/>
      <w:r>
        <w:t>Alfacalcidol</w:t>
      </w:r>
      <w:proofErr w:type="spellEnd"/>
    </w:p>
    <w:p w:rsidR="008777CB" w:rsidRDefault="00BA286B">
      <w:pPr>
        <w:pStyle w:val="Corpodetexto"/>
        <w:spacing w:line="183" w:lineRule="exact"/>
        <w:ind w:left="679"/>
      </w:pPr>
      <w:proofErr w:type="gramStart"/>
      <w:r>
        <w:t xml:space="preserve">( </w:t>
      </w:r>
      <w:proofErr w:type="gramEnd"/>
      <w:r>
        <w:t xml:space="preserve">) </w:t>
      </w:r>
      <w:proofErr w:type="spellStart"/>
      <w:r>
        <w:t>Calcitriol</w:t>
      </w:r>
      <w:proofErr w:type="spellEnd"/>
    </w:p>
    <w:p w:rsidR="008777CB" w:rsidRDefault="008777CB">
      <w:pPr>
        <w:pStyle w:val="Corpodetexto"/>
        <w:spacing w:before="7"/>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1878"/>
        <w:gridCol w:w="2805"/>
      </w:tblGrid>
      <w:tr w:rsidR="008777CB">
        <w:trPr>
          <w:trHeight w:val="182"/>
        </w:trPr>
        <w:tc>
          <w:tcPr>
            <w:tcW w:w="9794" w:type="dxa"/>
            <w:gridSpan w:val="3"/>
          </w:tcPr>
          <w:p w:rsidR="008777CB" w:rsidRDefault="00BA286B">
            <w:pPr>
              <w:pStyle w:val="TableParagraph"/>
              <w:tabs>
                <w:tab w:val="left" w:pos="3036"/>
              </w:tabs>
              <w:spacing w:line="162" w:lineRule="exact"/>
              <w:rPr>
                <w:sz w:val="16"/>
              </w:rPr>
            </w:pPr>
            <w:r>
              <w:rPr>
                <w:sz w:val="16"/>
              </w:rPr>
              <w:t>Local:</w:t>
            </w:r>
            <w:r>
              <w:rPr>
                <w:sz w:val="16"/>
              </w:rPr>
              <w:tab/>
              <w:t>Data:</w:t>
            </w:r>
          </w:p>
        </w:tc>
      </w:tr>
      <w:tr w:rsidR="008777CB">
        <w:trPr>
          <w:trHeight w:val="184"/>
        </w:trPr>
        <w:tc>
          <w:tcPr>
            <w:tcW w:w="9794" w:type="dxa"/>
            <w:gridSpan w:val="3"/>
          </w:tcPr>
          <w:p w:rsidR="008777CB" w:rsidRDefault="00BA286B">
            <w:pPr>
              <w:pStyle w:val="TableParagraph"/>
              <w:rPr>
                <w:sz w:val="16"/>
              </w:rPr>
            </w:pPr>
            <w:r>
              <w:rPr>
                <w:sz w:val="16"/>
              </w:rPr>
              <w:t>Nome do paciente:</w:t>
            </w:r>
          </w:p>
        </w:tc>
      </w:tr>
      <w:tr w:rsidR="008777CB">
        <w:trPr>
          <w:trHeight w:val="184"/>
        </w:trPr>
        <w:tc>
          <w:tcPr>
            <w:tcW w:w="9794" w:type="dxa"/>
            <w:gridSpan w:val="3"/>
          </w:tcPr>
          <w:p w:rsidR="008777CB" w:rsidRDefault="00BA286B">
            <w:pPr>
              <w:pStyle w:val="TableParagraph"/>
              <w:rPr>
                <w:sz w:val="16"/>
              </w:rPr>
            </w:pPr>
            <w:r>
              <w:rPr>
                <w:sz w:val="16"/>
              </w:rPr>
              <w:t>Cartão Nacional de Saúde:</w:t>
            </w:r>
          </w:p>
        </w:tc>
      </w:tr>
      <w:tr w:rsidR="008777CB">
        <w:trPr>
          <w:trHeight w:val="182"/>
        </w:trPr>
        <w:tc>
          <w:tcPr>
            <w:tcW w:w="9794" w:type="dxa"/>
            <w:gridSpan w:val="3"/>
            <w:tcBorders>
              <w:bottom w:val="single" w:sz="6" w:space="0" w:color="000000"/>
            </w:tcBorders>
          </w:tcPr>
          <w:p w:rsidR="008777CB" w:rsidRDefault="00BA286B">
            <w:pPr>
              <w:pStyle w:val="TableParagraph"/>
              <w:spacing w:line="162" w:lineRule="exact"/>
              <w:rPr>
                <w:sz w:val="16"/>
              </w:rPr>
            </w:pPr>
            <w:r>
              <w:rPr>
                <w:sz w:val="16"/>
              </w:rPr>
              <w:t>Nome do responsável legal:</w:t>
            </w:r>
          </w:p>
        </w:tc>
      </w:tr>
      <w:tr w:rsidR="008777CB">
        <w:trPr>
          <w:trHeight w:val="182"/>
        </w:trPr>
        <w:tc>
          <w:tcPr>
            <w:tcW w:w="9794" w:type="dxa"/>
            <w:gridSpan w:val="3"/>
            <w:tcBorders>
              <w:top w:val="single" w:sz="6" w:space="0" w:color="000000"/>
            </w:tcBorders>
          </w:tcPr>
          <w:p w:rsidR="008777CB" w:rsidRDefault="00BA286B">
            <w:pPr>
              <w:pStyle w:val="TableParagraph"/>
              <w:spacing w:line="162" w:lineRule="exact"/>
              <w:rPr>
                <w:sz w:val="16"/>
              </w:rPr>
            </w:pPr>
            <w:r>
              <w:rPr>
                <w:sz w:val="16"/>
              </w:rPr>
              <w:t>Documento de identificação do responsável legal:</w:t>
            </w:r>
          </w:p>
        </w:tc>
      </w:tr>
      <w:tr w:rsidR="008777CB">
        <w:trPr>
          <w:trHeight w:val="551"/>
        </w:trPr>
        <w:tc>
          <w:tcPr>
            <w:tcW w:w="9794" w:type="dxa"/>
            <w:gridSpan w:val="3"/>
          </w:tcPr>
          <w:p w:rsidR="008777CB" w:rsidRDefault="008777CB">
            <w:pPr>
              <w:pStyle w:val="TableParagraph"/>
              <w:spacing w:line="240" w:lineRule="auto"/>
              <w:ind w:left="0"/>
              <w:rPr>
                <w:sz w:val="20"/>
              </w:rPr>
            </w:pPr>
          </w:p>
          <w:p w:rsidR="008777CB" w:rsidRDefault="008777CB">
            <w:pPr>
              <w:pStyle w:val="TableParagraph"/>
              <w:spacing w:before="8" w:line="240" w:lineRule="auto"/>
              <w:ind w:left="0"/>
              <w:rPr>
                <w:sz w:val="10"/>
              </w:rPr>
            </w:pPr>
          </w:p>
          <w:p w:rsidR="008777CB" w:rsidRDefault="00CA19E4">
            <w:pPr>
              <w:pStyle w:val="TableParagraph"/>
              <w:spacing w:line="20" w:lineRule="exact"/>
              <w:ind w:left="3412"/>
              <w:rPr>
                <w:sz w:val="2"/>
              </w:rPr>
            </w:pPr>
            <w:r>
              <w:rPr>
                <w:sz w:val="2"/>
              </w:rPr>
            </w:r>
            <w:r>
              <w:rPr>
                <w:sz w:val="2"/>
              </w:rPr>
              <w:pict>
                <v:group id="_x0000_s1028" style="width:148pt;height:.35pt;mso-position-horizontal-relative:char;mso-position-vertical-relative:line" coordsize="2960,7">
                  <v:line id="_x0000_s1029" style="position:absolute" from="0,3" to="2959,3" strokeweight=".1134mm"/>
                  <w10:wrap type="none"/>
                  <w10:anchorlock/>
                </v:group>
              </w:pict>
            </w:r>
          </w:p>
          <w:p w:rsidR="008777CB" w:rsidRDefault="00BA286B">
            <w:pPr>
              <w:pStyle w:val="TableParagraph"/>
              <w:spacing w:line="157" w:lineRule="exact"/>
              <w:ind w:left="3371" w:right="3368"/>
              <w:jc w:val="center"/>
              <w:rPr>
                <w:sz w:val="16"/>
              </w:rPr>
            </w:pPr>
            <w:r>
              <w:rPr>
                <w:sz w:val="16"/>
              </w:rPr>
              <w:t>Assinatura do paciente ou do responsável legal</w:t>
            </w:r>
          </w:p>
        </w:tc>
      </w:tr>
      <w:tr w:rsidR="008777CB">
        <w:trPr>
          <w:trHeight w:val="184"/>
        </w:trPr>
        <w:tc>
          <w:tcPr>
            <w:tcW w:w="5111" w:type="dxa"/>
          </w:tcPr>
          <w:p w:rsidR="008777CB" w:rsidRDefault="00BA286B">
            <w:pPr>
              <w:pStyle w:val="TableParagraph"/>
              <w:rPr>
                <w:sz w:val="16"/>
              </w:rPr>
            </w:pPr>
            <w:r>
              <w:rPr>
                <w:sz w:val="16"/>
              </w:rPr>
              <w:t>Médico Responsável:</w:t>
            </w:r>
          </w:p>
        </w:tc>
        <w:tc>
          <w:tcPr>
            <w:tcW w:w="1878" w:type="dxa"/>
          </w:tcPr>
          <w:p w:rsidR="008777CB" w:rsidRDefault="00BA286B">
            <w:pPr>
              <w:pStyle w:val="TableParagraph"/>
              <w:rPr>
                <w:sz w:val="16"/>
              </w:rPr>
            </w:pPr>
            <w:r>
              <w:rPr>
                <w:sz w:val="16"/>
              </w:rPr>
              <w:t>CRM:</w:t>
            </w:r>
          </w:p>
        </w:tc>
        <w:tc>
          <w:tcPr>
            <w:tcW w:w="2805" w:type="dxa"/>
          </w:tcPr>
          <w:p w:rsidR="008777CB" w:rsidRDefault="00BA286B">
            <w:pPr>
              <w:pStyle w:val="TableParagraph"/>
              <w:ind w:left="70"/>
              <w:rPr>
                <w:sz w:val="16"/>
              </w:rPr>
            </w:pPr>
            <w:r>
              <w:rPr>
                <w:sz w:val="16"/>
              </w:rPr>
              <w:t>UF:</w:t>
            </w:r>
          </w:p>
        </w:tc>
      </w:tr>
      <w:tr w:rsidR="008777CB">
        <w:trPr>
          <w:trHeight w:val="736"/>
        </w:trPr>
        <w:tc>
          <w:tcPr>
            <w:tcW w:w="9794" w:type="dxa"/>
            <w:gridSpan w:val="3"/>
          </w:tcPr>
          <w:p w:rsidR="008777CB" w:rsidRDefault="008777CB">
            <w:pPr>
              <w:pStyle w:val="TableParagraph"/>
              <w:spacing w:line="240" w:lineRule="auto"/>
              <w:ind w:left="0"/>
              <w:rPr>
                <w:sz w:val="20"/>
              </w:rPr>
            </w:pPr>
          </w:p>
          <w:p w:rsidR="008777CB" w:rsidRDefault="008777CB">
            <w:pPr>
              <w:pStyle w:val="TableParagraph"/>
              <w:spacing w:before="8" w:line="240" w:lineRule="auto"/>
              <w:ind w:left="0"/>
              <w:rPr>
                <w:sz w:val="10"/>
              </w:rPr>
            </w:pPr>
          </w:p>
          <w:p w:rsidR="008777CB" w:rsidRDefault="00CA19E4">
            <w:pPr>
              <w:pStyle w:val="TableParagraph"/>
              <w:spacing w:line="20" w:lineRule="exact"/>
              <w:ind w:left="3810"/>
              <w:rPr>
                <w:sz w:val="2"/>
              </w:rPr>
            </w:pPr>
            <w:r>
              <w:rPr>
                <w:sz w:val="2"/>
              </w:rPr>
            </w:r>
            <w:r>
              <w:rPr>
                <w:sz w:val="2"/>
              </w:rPr>
              <w:pict>
                <v:group id="_x0000_s1026" style="width:108.05pt;height:.35pt;mso-position-horizontal-relative:char;mso-position-vertical-relative:line" coordsize="2161,7">
                  <v:line id="_x0000_s1027" style="position:absolute" from="0,3" to="2160,3" strokeweight=".1134mm"/>
                  <w10:wrap type="none"/>
                  <w10:anchorlock/>
                </v:group>
              </w:pict>
            </w:r>
          </w:p>
          <w:p w:rsidR="008777CB" w:rsidRDefault="00BA286B">
            <w:pPr>
              <w:pStyle w:val="TableParagraph"/>
              <w:tabs>
                <w:tab w:val="left" w:pos="5841"/>
              </w:tabs>
              <w:spacing w:line="180" w:lineRule="atLeast"/>
              <w:ind w:left="3860" w:right="3851"/>
              <w:jc w:val="center"/>
              <w:rPr>
                <w:sz w:val="16"/>
              </w:rPr>
            </w:pPr>
            <w:r>
              <w:rPr>
                <w:sz w:val="16"/>
              </w:rPr>
              <w:t>Assinatura e carimbo do</w:t>
            </w:r>
            <w:r>
              <w:rPr>
                <w:spacing w:val="-14"/>
                <w:sz w:val="16"/>
              </w:rPr>
              <w:t xml:space="preserve"> </w:t>
            </w:r>
            <w:r>
              <w:rPr>
                <w:sz w:val="16"/>
              </w:rPr>
              <w:t>médico Data:</w:t>
            </w:r>
            <w:r>
              <w:rPr>
                <w:sz w:val="16"/>
                <w:u w:val="single"/>
              </w:rPr>
              <w:t xml:space="preserve"> </w:t>
            </w:r>
            <w:r>
              <w:rPr>
                <w:sz w:val="16"/>
                <w:u w:val="single"/>
              </w:rPr>
              <w:tab/>
            </w:r>
          </w:p>
        </w:tc>
      </w:tr>
    </w:tbl>
    <w:p w:rsidR="004A4D71" w:rsidRDefault="004A4D71"/>
    <w:sectPr w:rsidR="004A4D71">
      <w:pgSz w:w="11910" w:h="16850"/>
      <w:pgMar w:top="1060" w:right="8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AF3"/>
    <w:multiLevelType w:val="hybridMultilevel"/>
    <w:tmpl w:val="0D1A17FC"/>
    <w:lvl w:ilvl="0" w:tplc="6EC016FE">
      <w:start w:val="1"/>
      <w:numFmt w:val="decimal"/>
      <w:lvlText w:val="%1."/>
      <w:lvlJc w:val="left"/>
      <w:pPr>
        <w:ind w:left="274" w:hanging="162"/>
        <w:jc w:val="left"/>
      </w:pPr>
      <w:rPr>
        <w:rFonts w:ascii="Times New Roman" w:eastAsia="Times New Roman" w:hAnsi="Times New Roman" w:cs="Times New Roman" w:hint="default"/>
        <w:w w:val="100"/>
        <w:sz w:val="16"/>
        <w:szCs w:val="16"/>
        <w:lang w:val="pt-BR" w:eastAsia="pt-BR" w:bidi="pt-BR"/>
      </w:rPr>
    </w:lvl>
    <w:lvl w:ilvl="1" w:tplc="4C32A136">
      <w:numFmt w:val="bullet"/>
      <w:lvlText w:val="-"/>
      <w:lvlJc w:val="left"/>
      <w:pPr>
        <w:ind w:left="1039" w:hanging="360"/>
      </w:pPr>
      <w:rPr>
        <w:rFonts w:hint="default"/>
        <w:w w:val="100"/>
        <w:lang w:val="pt-BR" w:eastAsia="pt-BR" w:bidi="pt-BR"/>
      </w:rPr>
    </w:lvl>
    <w:lvl w:ilvl="2" w:tplc="00168BAA">
      <w:numFmt w:val="bullet"/>
      <w:lvlText w:val="•"/>
      <w:lvlJc w:val="left"/>
      <w:pPr>
        <w:ind w:left="780" w:hanging="360"/>
      </w:pPr>
      <w:rPr>
        <w:rFonts w:hint="default"/>
        <w:lang w:val="pt-BR" w:eastAsia="pt-BR" w:bidi="pt-BR"/>
      </w:rPr>
    </w:lvl>
    <w:lvl w:ilvl="3" w:tplc="A1D03964">
      <w:numFmt w:val="bullet"/>
      <w:lvlText w:val="•"/>
      <w:lvlJc w:val="left"/>
      <w:pPr>
        <w:ind w:left="820" w:hanging="360"/>
      </w:pPr>
      <w:rPr>
        <w:rFonts w:hint="default"/>
        <w:lang w:val="pt-BR" w:eastAsia="pt-BR" w:bidi="pt-BR"/>
      </w:rPr>
    </w:lvl>
    <w:lvl w:ilvl="4" w:tplc="0A582272">
      <w:numFmt w:val="bullet"/>
      <w:lvlText w:val="•"/>
      <w:lvlJc w:val="left"/>
      <w:pPr>
        <w:ind w:left="960" w:hanging="360"/>
      </w:pPr>
      <w:rPr>
        <w:rFonts w:hint="default"/>
        <w:lang w:val="pt-BR" w:eastAsia="pt-BR" w:bidi="pt-BR"/>
      </w:rPr>
    </w:lvl>
    <w:lvl w:ilvl="5" w:tplc="D9042A5A">
      <w:numFmt w:val="bullet"/>
      <w:lvlText w:val="•"/>
      <w:lvlJc w:val="left"/>
      <w:pPr>
        <w:ind w:left="1040" w:hanging="360"/>
      </w:pPr>
      <w:rPr>
        <w:rFonts w:hint="default"/>
        <w:lang w:val="pt-BR" w:eastAsia="pt-BR" w:bidi="pt-BR"/>
      </w:rPr>
    </w:lvl>
    <w:lvl w:ilvl="6" w:tplc="2BCA65AE">
      <w:numFmt w:val="bullet"/>
      <w:lvlText w:val="•"/>
      <w:lvlJc w:val="left"/>
      <w:pPr>
        <w:ind w:left="2837" w:hanging="360"/>
      </w:pPr>
      <w:rPr>
        <w:rFonts w:hint="default"/>
        <w:lang w:val="pt-BR" w:eastAsia="pt-BR" w:bidi="pt-BR"/>
      </w:rPr>
    </w:lvl>
    <w:lvl w:ilvl="7" w:tplc="51C8ED78">
      <w:numFmt w:val="bullet"/>
      <w:lvlText w:val="•"/>
      <w:lvlJc w:val="left"/>
      <w:pPr>
        <w:ind w:left="4634" w:hanging="360"/>
      </w:pPr>
      <w:rPr>
        <w:rFonts w:hint="default"/>
        <w:lang w:val="pt-BR" w:eastAsia="pt-BR" w:bidi="pt-BR"/>
      </w:rPr>
    </w:lvl>
    <w:lvl w:ilvl="8" w:tplc="D354D1E8">
      <w:numFmt w:val="bullet"/>
      <w:lvlText w:val="•"/>
      <w:lvlJc w:val="left"/>
      <w:pPr>
        <w:ind w:left="6431" w:hanging="360"/>
      </w:pPr>
      <w:rPr>
        <w:rFonts w:hint="default"/>
        <w:lang w:val="pt-BR" w:eastAsia="pt-BR" w:bidi="pt-BR"/>
      </w:rPr>
    </w:lvl>
  </w:abstractNum>
  <w:abstractNum w:abstractNumId="1">
    <w:nsid w:val="230524E2"/>
    <w:multiLevelType w:val="hybridMultilevel"/>
    <w:tmpl w:val="67269EC6"/>
    <w:lvl w:ilvl="0" w:tplc="8C66A2D4">
      <w:numFmt w:val="bullet"/>
      <w:lvlText w:val="-"/>
      <w:lvlJc w:val="left"/>
      <w:pPr>
        <w:ind w:left="112" w:hanging="94"/>
      </w:pPr>
      <w:rPr>
        <w:rFonts w:ascii="Times New Roman" w:eastAsia="Times New Roman" w:hAnsi="Times New Roman" w:cs="Times New Roman" w:hint="default"/>
        <w:w w:val="100"/>
        <w:sz w:val="16"/>
        <w:szCs w:val="16"/>
        <w:lang w:val="pt-BR" w:eastAsia="pt-BR" w:bidi="pt-BR"/>
      </w:rPr>
    </w:lvl>
    <w:lvl w:ilvl="1" w:tplc="43A0B4F0">
      <w:numFmt w:val="bullet"/>
      <w:lvlText w:val="•"/>
      <w:lvlJc w:val="left"/>
      <w:pPr>
        <w:ind w:left="1110" w:hanging="94"/>
      </w:pPr>
      <w:rPr>
        <w:rFonts w:hint="default"/>
        <w:lang w:val="pt-BR" w:eastAsia="pt-BR" w:bidi="pt-BR"/>
      </w:rPr>
    </w:lvl>
    <w:lvl w:ilvl="2" w:tplc="CB447348">
      <w:numFmt w:val="bullet"/>
      <w:lvlText w:val="•"/>
      <w:lvlJc w:val="left"/>
      <w:pPr>
        <w:ind w:left="2101" w:hanging="94"/>
      </w:pPr>
      <w:rPr>
        <w:rFonts w:hint="default"/>
        <w:lang w:val="pt-BR" w:eastAsia="pt-BR" w:bidi="pt-BR"/>
      </w:rPr>
    </w:lvl>
    <w:lvl w:ilvl="3" w:tplc="3168D4AC">
      <w:numFmt w:val="bullet"/>
      <w:lvlText w:val="•"/>
      <w:lvlJc w:val="left"/>
      <w:pPr>
        <w:ind w:left="3091" w:hanging="94"/>
      </w:pPr>
      <w:rPr>
        <w:rFonts w:hint="default"/>
        <w:lang w:val="pt-BR" w:eastAsia="pt-BR" w:bidi="pt-BR"/>
      </w:rPr>
    </w:lvl>
    <w:lvl w:ilvl="4" w:tplc="50B6C726">
      <w:numFmt w:val="bullet"/>
      <w:lvlText w:val="•"/>
      <w:lvlJc w:val="left"/>
      <w:pPr>
        <w:ind w:left="4082" w:hanging="94"/>
      </w:pPr>
      <w:rPr>
        <w:rFonts w:hint="default"/>
        <w:lang w:val="pt-BR" w:eastAsia="pt-BR" w:bidi="pt-BR"/>
      </w:rPr>
    </w:lvl>
    <w:lvl w:ilvl="5" w:tplc="879C0390">
      <w:numFmt w:val="bullet"/>
      <w:lvlText w:val="•"/>
      <w:lvlJc w:val="left"/>
      <w:pPr>
        <w:ind w:left="5073" w:hanging="94"/>
      </w:pPr>
      <w:rPr>
        <w:rFonts w:hint="default"/>
        <w:lang w:val="pt-BR" w:eastAsia="pt-BR" w:bidi="pt-BR"/>
      </w:rPr>
    </w:lvl>
    <w:lvl w:ilvl="6" w:tplc="0B5C427C">
      <w:numFmt w:val="bullet"/>
      <w:lvlText w:val="•"/>
      <w:lvlJc w:val="left"/>
      <w:pPr>
        <w:ind w:left="6063" w:hanging="94"/>
      </w:pPr>
      <w:rPr>
        <w:rFonts w:hint="default"/>
        <w:lang w:val="pt-BR" w:eastAsia="pt-BR" w:bidi="pt-BR"/>
      </w:rPr>
    </w:lvl>
    <w:lvl w:ilvl="7" w:tplc="DF3ECB26">
      <w:numFmt w:val="bullet"/>
      <w:lvlText w:val="•"/>
      <w:lvlJc w:val="left"/>
      <w:pPr>
        <w:ind w:left="7054" w:hanging="94"/>
      </w:pPr>
      <w:rPr>
        <w:rFonts w:hint="default"/>
        <w:lang w:val="pt-BR" w:eastAsia="pt-BR" w:bidi="pt-BR"/>
      </w:rPr>
    </w:lvl>
    <w:lvl w:ilvl="8" w:tplc="0C2EBCA6">
      <w:numFmt w:val="bullet"/>
      <w:lvlText w:val="•"/>
      <w:lvlJc w:val="left"/>
      <w:pPr>
        <w:ind w:left="8045" w:hanging="94"/>
      </w:pPr>
      <w:rPr>
        <w:rFonts w:hint="default"/>
        <w:lang w:val="pt-BR" w:eastAsia="pt-BR" w:bidi="pt-BR"/>
      </w:rPr>
    </w:lvl>
  </w:abstractNum>
  <w:abstractNum w:abstractNumId="2">
    <w:nsid w:val="3120566E"/>
    <w:multiLevelType w:val="multilevel"/>
    <w:tmpl w:val="8E36504C"/>
    <w:lvl w:ilvl="0">
      <w:start w:val="8"/>
      <w:numFmt w:val="decimal"/>
      <w:lvlText w:val="%1"/>
      <w:lvlJc w:val="left"/>
      <w:pPr>
        <w:ind w:left="921" w:hanging="242"/>
        <w:jc w:val="left"/>
      </w:pPr>
      <w:rPr>
        <w:rFonts w:hint="default"/>
        <w:lang w:val="pt-BR" w:eastAsia="pt-BR" w:bidi="pt-BR"/>
      </w:rPr>
    </w:lvl>
    <w:lvl w:ilvl="1">
      <w:start w:val="1"/>
      <w:numFmt w:val="decimal"/>
      <w:lvlText w:val="%1.%2"/>
      <w:lvlJc w:val="left"/>
      <w:pPr>
        <w:ind w:left="921" w:hanging="242"/>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2741" w:hanging="242"/>
      </w:pPr>
      <w:rPr>
        <w:rFonts w:hint="default"/>
        <w:lang w:val="pt-BR" w:eastAsia="pt-BR" w:bidi="pt-BR"/>
      </w:rPr>
    </w:lvl>
    <w:lvl w:ilvl="3">
      <w:numFmt w:val="bullet"/>
      <w:lvlText w:val="•"/>
      <w:lvlJc w:val="left"/>
      <w:pPr>
        <w:ind w:left="3651" w:hanging="242"/>
      </w:pPr>
      <w:rPr>
        <w:rFonts w:hint="default"/>
        <w:lang w:val="pt-BR" w:eastAsia="pt-BR" w:bidi="pt-BR"/>
      </w:rPr>
    </w:lvl>
    <w:lvl w:ilvl="4">
      <w:numFmt w:val="bullet"/>
      <w:lvlText w:val="•"/>
      <w:lvlJc w:val="left"/>
      <w:pPr>
        <w:ind w:left="4562" w:hanging="242"/>
      </w:pPr>
      <w:rPr>
        <w:rFonts w:hint="default"/>
        <w:lang w:val="pt-BR" w:eastAsia="pt-BR" w:bidi="pt-BR"/>
      </w:rPr>
    </w:lvl>
    <w:lvl w:ilvl="5">
      <w:numFmt w:val="bullet"/>
      <w:lvlText w:val="•"/>
      <w:lvlJc w:val="left"/>
      <w:pPr>
        <w:ind w:left="5473" w:hanging="242"/>
      </w:pPr>
      <w:rPr>
        <w:rFonts w:hint="default"/>
        <w:lang w:val="pt-BR" w:eastAsia="pt-BR" w:bidi="pt-BR"/>
      </w:rPr>
    </w:lvl>
    <w:lvl w:ilvl="6">
      <w:numFmt w:val="bullet"/>
      <w:lvlText w:val="•"/>
      <w:lvlJc w:val="left"/>
      <w:pPr>
        <w:ind w:left="6383" w:hanging="242"/>
      </w:pPr>
      <w:rPr>
        <w:rFonts w:hint="default"/>
        <w:lang w:val="pt-BR" w:eastAsia="pt-BR" w:bidi="pt-BR"/>
      </w:rPr>
    </w:lvl>
    <w:lvl w:ilvl="7">
      <w:numFmt w:val="bullet"/>
      <w:lvlText w:val="•"/>
      <w:lvlJc w:val="left"/>
      <w:pPr>
        <w:ind w:left="7294" w:hanging="242"/>
      </w:pPr>
      <w:rPr>
        <w:rFonts w:hint="default"/>
        <w:lang w:val="pt-BR" w:eastAsia="pt-BR" w:bidi="pt-BR"/>
      </w:rPr>
    </w:lvl>
    <w:lvl w:ilvl="8">
      <w:numFmt w:val="bullet"/>
      <w:lvlText w:val="•"/>
      <w:lvlJc w:val="left"/>
      <w:pPr>
        <w:ind w:left="8205" w:hanging="242"/>
      </w:pPr>
      <w:rPr>
        <w:rFonts w:hint="default"/>
        <w:lang w:val="pt-BR" w:eastAsia="pt-BR" w:bidi="pt-BR"/>
      </w:rPr>
    </w:lvl>
  </w:abstractNum>
  <w:abstractNum w:abstractNumId="3">
    <w:nsid w:val="46E7600A"/>
    <w:multiLevelType w:val="multilevel"/>
    <w:tmpl w:val="0ABE8E46"/>
    <w:lvl w:ilvl="0">
      <w:start w:val="4"/>
      <w:numFmt w:val="decimal"/>
      <w:lvlText w:val="%1"/>
      <w:lvlJc w:val="left"/>
      <w:pPr>
        <w:ind w:left="919" w:hanging="240"/>
        <w:jc w:val="left"/>
      </w:pPr>
      <w:rPr>
        <w:rFonts w:hint="default"/>
        <w:lang w:val="pt-BR" w:eastAsia="pt-BR" w:bidi="pt-BR"/>
      </w:rPr>
    </w:lvl>
    <w:lvl w:ilvl="1">
      <w:start w:val="1"/>
      <w:numFmt w:val="decimal"/>
      <w:lvlText w:val="%1.%2"/>
      <w:lvlJc w:val="left"/>
      <w:pPr>
        <w:ind w:left="919" w:hanging="240"/>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2741" w:hanging="240"/>
      </w:pPr>
      <w:rPr>
        <w:rFonts w:hint="default"/>
        <w:lang w:val="pt-BR" w:eastAsia="pt-BR" w:bidi="pt-BR"/>
      </w:rPr>
    </w:lvl>
    <w:lvl w:ilvl="3">
      <w:numFmt w:val="bullet"/>
      <w:lvlText w:val="•"/>
      <w:lvlJc w:val="left"/>
      <w:pPr>
        <w:ind w:left="3651" w:hanging="240"/>
      </w:pPr>
      <w:rPr>
        <w:rFonts w:hint="default"/>
        <w:lang w:val="pt-BR" w:eastAsia="pt-BR" w:bidi="pt-BR"/>
      </w:rPr>
    </w:lvl>
    <w:lvl w:ilvl="4">
      <w:numFmt w:val="bullet"/>
      <w:lvlText w:val="•"/>
      <w:lvlJc w:val="left"/>
      <w:pPr>
        <w:ind w:left="4562" w:hanging="240"/>
      </w:pPr>
      <w:rPr>
        <w:rFonts w:hint="default"/>
        <w:lang w:val="pt-BR" w:eastAsia="pt-BR" w:bidi="pt-BR"/>
      </w:rPr>
    </w:lvl>
    <w:lvl w:ilvl="5">
      <w:numFmt w:val="bullet"/>
      <w:lvlText w:val="•"/>
      <w:lvlJc w:val="left"/>
      <w:pPr>
        <w:ind w:left="5473" w:hanging="240"/>
      </w:pPr>
      <w:rPr>
        <w:rFonts w:hint="default"/>
        <w:lang w:val="pt-BR" w:eastAsia="pt-BR" w:bidi="pt-BR"/>
      </w:rPr>
    </w:lvl>
    <w:lvl w:ilvl="6">
      <w:numFmt w:val="bullet"/>
      <w:lvlText w:val="•"/>
      <w:lvlJc w:val="left"/>
      <w:pPr>
        <w:ind w:left="6383" w:hanging="240"/>
      </w:pPr>
      <w:rPr>
        <w:rFonts w:hint="default"/>
        <w:lang w:val="pt-BR" w:eastAsia="pt-BR" w:bidi="pt-BR"/>
      </w:rPr>
    </w:lvl>
    <w:lvl w:ilvl="7">
      <w:numFmt w:val="bullet"/>
      <w:lvlText w:val="•"/>
      <w:lvlJc w:val="left"/>
      <w:pPr>
        <w:ind w:left="7294" w:hanging="240"/>
      </w:pPr>
      <w:rPr>
        <w:rFonts w:hint="default"/>
        <w:lang w:val="pt-BR" w:eastAsia="pt-BR" w:bidi="pt-BR"/>
      </w:rPr>
    </w:lvl>
    <w:lvl w:ilvl="8">
      <w:numFmt w:val="bullet"/>
      <w:lvlText w:val="•"/>
      <w:lvlJc w:val="left"/>
      <w:pPr>
        <w:ind w:left="8205" w:hanging="240"/>
      </w:pPr>
      <w:rPr>
        <w:rFonts w:hint="default"/>
        <w:lang w:val="pt-BR" w:eastAsia="pt-BR" w:bidi="pt-BR"/>
      </w:rPr>
    </w:lvl>
  </w:abstractNum>
  <w:abstractNum w:abstractNumId="4">
    <w:nsid w:val="72F73CD5"/>
    <w:multiLevelType w:val="hybridMultilevel"/>
    <w:tmpl w:val="D5F0144A"/>
    <w:lvl w:ilvl="0" w:tplc="D5B4FD7C">
      <w:start w:val="1"/>
      <w:numFmt w:val="decimal"/>
      <w:lvlText w:val="%1."/>
      <w:lvlJc w:val="left"/>
      <w:pPr>
        <w:ind w:left="112" w:hanging="294"/>
        <w:jc w:val="left"/>
      </w:pPr>
      <w:rPr>
        <w:rFonts w:ascii="Times New Roman" w:eastAsia="Times New Roman" w:hAnsi="Times New Roman" w:cs="Times New Roman" w:hint="default"/>
        <w:spacing w:val="0"/>
        <w:w w:val="100"/>
        <w:sz w:val="16"/>
        <w:szCs w:val="16"/>
        <w:lang w:val="pt-BR" w:eastAsia="pt-BR" w:bidi="pt-BR"/>
      </w:rPr>
    </w:lvl>
    <w:lvl w:ilvl="1" w:tplc="3EB61638">
      <w:numFmt w:val="bullet"/>
      <w:lvlText w:val="•"/>
      <w:lvlJc w:val="left"/>
      <w:pPr>
        <w:ind w:left="1110" w:hanging="294"/>
      </w:pPr>
      <w:rPr>
        <w:rFonts w:hint="default"/>
        <w:lang w:val="pt-BR" w:eastAsia="pt-BR" w:bidi="pt-BR"/>
      </w:rPr>
    </w:lvl>
    <w:lvl w:ilvl="2" w:tplc="DE46A5C8">
      <w:numFmt w:val="bullet"/>
      <w:lvlText w:val="•"/>
      <w:lvlJc w:val="left"/>
      <w:pPr>
        <w:ind w:left="2101" w:hanging="294"/>
      </w:pPr>
      <w:rPr>
        <w:rFonts w:hint="default"/>
        <w:lang w:val="pt-BR" w:eastAsia="pt-BR" w:bidi="pt-BR"/>
      </w:rPr>
    </w:lvl>
    <w:lvl w:ilvl="3" w:tplc="725499AE">
      <w:numFmt w:val="bullet"/>
      <w:lvlText w:val="•"/>
      <w:lvlJc w:val="left"/>
      <w:pPr>
        <w:ind w:left="3091" w:hanging="294"/>
      </w:pPr>
      <w:rPr>
        <w:rFonts w:hint="default"/>
        <w:lang w:val="pt-BR" w:eastAsia="pt-BR" w:bidi="pt-BR"/>
      </w:rPr>
    </w:lvl>
    <w:lvl w:ilvl="4" w:tplc="31EC8626">
      <w:numFmt w:val="bullet"/>
      <w:lvlText w:val="•"/>
      <w:lvlJc w:val="left"/>
      <w:pPr>
        <w:ind w:left="4082" w:hanging="294"/>
      </w:pPr>
      <w:rPr>
        <w:rFonts w:hint="default"/>
        <w:lang w:val="pt-BR" w:eastAsia="pt-BR" w:bidi="pt-BR"/>
      </w:rPr>
    </w:lvl>
    <w:lvl w:ilvl="5" w:tplc="C96CC854">
      <w:numFmt w:val="bullet"/>
      <w:lvlText w:val="•"/>
      <w:lvlJc w:val="left"/>
      <w:pPr>
        <w:ind w:left="5073" w:hanging="294"/>
      </w:pPr>
      <w:rPr>
        <w:rFonts w:hint="default"/>
        <w:lang w:val="pt-BR" w:eastAsia="pt-BR" w:bidi="pt-BR"/>
      </w:rPr>
    </w:lvl>
    <w:lvl w:ilvl="6" w:tplc="EA649EF8">
      <w:numFmt w:val="bullet"/>
      <w:lvlText w:val="•"/>
      <w:lvlJc w:val="left"/>
      <w:pPr>
        <w:ind w:left="6063" w:hanging="294"/>
      </w:pPr>
      <w:rPr>
        <w:rFonts w:hint="default"/>
        <w:lang w:val="pt-BR" w:eastAsia="pt-BR" w:bidi="pt-BR"/>
      </w:rPr>
    </w:lvl>
    <w:lvl w:ilvl="7" w:tplc="06647ED2">
      <w:numFmt w:val="bullet"/>
      <w:lvlText w:val="•"/>
      <w:lvlJc w:val="left"/>
      <w:pPr>
        <w:ind w:left="7054" w:hanging="294"/>
      </w:pPr>
      <w:rPr>
        <w:rFonts w:hint="default"/>
        <w:lang w:val="pt-BR" w:eastAsia="pt-BR" w:bidi="pt-BR"/>
      </w:rPr>
    </w:lvl>
    <w:lvl w:ilvl="8" w:tplc="BB66BC4C">
      <w:numFmt w:val="bullet"/>
      <w:lvlText w:val="•"/>
      <w:lvlJc w:val="left"/>
      <w:pPr>
        <w:ind w:left="8045" w:hanging="294"/>
      </w:pPr>
      <w:rPr>
        <w:rFonts w:hint="default"/>
        <w:lang w:val="pt-BR" w:eastAsia="pt-BR" w:bidi="pt-BR"/>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8777CB"/>
    <w:rsid w:val="004A4D71"/>
    <w:rsid w:val="005F5A90"/>
    <w:rsid w:val="008777CB"/>
    <w:rsid w:val="00BA286B"/>
    <w:rsid w:val="00CA1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2"/>
    </w:pPr>
    <w:rPr>
      <w:sz w:val="16"/>
      <w:szCs w:val="16"/>
    </w:rPr>
  </w:style>
  <w:style w:type="paragraph" w:styleId="PargrafodaLista">
    <w:name w:val="List Paragraph"/>
    <w:basedOn w:val="Normal"/>
    <w:uiPriority w:val="1"/>
    <w:qFormat/>
    <w:pPr>
      <w:ind w:left="112"/>
    </w:pPr>
  </w:style>
  <w:style w:type="paragraph" w:customStyle="1" w:styleId="TableParagraph">
    <w:name w:val="Table Paragraph"/>
    <w:basedOn w:val="Normal"/>
    <w:uiPriority w:val="1"/>
    <w:qFormat/>
    <w:pPr>
      <w:spacing w:line="164" w:lineRule="exact"/>
      <w:ind w:left="69"/>
    </w:pPr>
  </w:style>
  <w:style w:type="paragraph" w:styleId="Textodebalo">
    <w:name w:val="Balloon Text"/>
    <w:basedOn w:val="Normal"/>
    <w:link w:val="TextodebaloChar"/>
    <w:uiPriority w:val="99"/>
    <w:semiHidden/>
    <w:unhideWhenUsed/>
    <w:rsid w:val="00BA286B"/>
    <w:rPr>
      <w:rFonts w:ascii="Tahoma" w:hAnsi="Tahoma" w:cs="Tahoma"/>
      <w:sz w:val="16"/>
      <w:szCs w:val="16"/>
    </w:rPr>
  </w:style>
  <w:style w:type="character" w:customStyle="1" w:styleId="TextodebaloChar">
    <w:name w:val="Texto de balão Char"/>
    <w:basedOn w:val="Fontepargpadro"/>
    <w:link w:val="Textodebalo"/>
    <w:uiPriority w:val="99"/>
    <w:semiHidden/>
    <w:rsid w:val="00BA286B"/>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4078</Words>
  <Characters>22025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PCDT</vt:lpstr>
    </vt:vector>
  </TitlesOfParts>
  <Company/>
  <LinksUpToDate>false</LinksUpToDate>
  <CharactersWithSpaces>26051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PCDT</dc:title>
  <dc:creator>JMSD</dc:creator>
  <cp:lastModifiedBy>Marina Porto Ferreira Junqueira</cp:lastModifiedBy>
  <cp:revision>3</cp:revision>
  <dcterms:created xsi:type="dcterms:W3CDTF">2019-07-22T12:30:00Z</dcterms:created>
  <dcterms:modified xsi:type="dcterms:W3CDTF">2019-07-22T16:07:00Z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Microsoft® Word 2010</vt:lpwstr>
  </property>
  <property fmtid="{D5CDD505-2E9C-101B-9397-08002B2CF9AE}" pid="4" name="LastSaved">
    <vt:filetime>2019-07-22T00:00:00Z</vt:filetime>
  </property>
</Properties>
</file>