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Default="00963F10" w:rsidP="00963F10">
      <w:pPr>
        <w:pStyle w:val="Corpodetexto"/>
        <w:spacing w:before="64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B37910F" wp14:editId="6DC49CED">
            <wp:extent cx="4690745" cy="461010"/>
            <wp:effectExtent l="0" t="0" r="0" b="0"/>
            <wp:docPr id="17" name="Imagem 17" descr="papel timbrad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papel timbrado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99" w:rsidRDefault="00963F10">
      <w:pPr>
        <w:pStyle w:val="Corpodetexto"/>
        <w:spacing w:before="64"/>
        <w:ind w:left="4936"/>
      </w:pPr>
      <w:r>
        <w:t>ANEXO</w:t>
      </w:r>
    </w:p>
    <w:p w:rsidR="006F6599" w:rsidRDefault="006F6599">
      <w:pPr>
        <w:pStyle w:val="Corpodetexto"/>
        <w:ind w:left="0"/>
      </w:pPr>
    </w:p>
    <w:p w:rsidR="006F6599" w:rsidRDefault="00963F10">
      <w:pPr>
        <w:ind w:left="3983" w:right="2641" w:hanging="1330"/>
        <w:rPr>
          <w:sz w:val="19"/>
        </w:rPr>
      </w:pPr>
      <w:r>
        <w:rPr>
          <w:sz w:val="24"/>
        </w:rPr>
        <w:t>P</w:t>
      </w:r>
      <w:r>
        <w:rPr>
          <w:sz w:val="19"/>
        </w:rPr>
        <w:t xml:space="preserve">ROTOCOLO </w:t>
      </w:r>
      <w:r>
        <w:rPr>
          <w:sz w:val="24"/>
        </w:rPr>
        <w:t>C</w:t>
      </w:r>
      <w:r>
        <w:rPr>
          <w:sz w:val="19"/>
        </w:rPr>
        <w:t xml:space="preserve">LÍNICO E </w:t>
      </w:r>
      <w:r>
        <w:rPr>
          <w:sz w:val="24"/>
        </w:rPr>
        <w:t>D</w:t>
      </w:r>
      <w:r>
        <w:rPr>
          <w:sz w:val="19"/>
        </w:rPr>
        <w:t xml:space="preserve">IRETRIZES </w:t>
      </w:r>
      <w:r>
        <w:rPr>
          <w:sz w:val="24"/>
        </w:rPr>
        <w:t>T</w:t>
      </w:r>
      <w:r>
        <w:rPr>
          <w:sz w:val="19"/>
        </w:rPr>
        <w:t xml:space="preserve">ERAPÊUTICAS </w:t>
      </w:r>
      <w:r>
        <w:rPr>
          <w:sz w:val="24"/>
        </w:rPr>
        <w:t>H</w:t>
      </w:r>
      <w:r>
        <w:rPr>
          <w:sz w:val="19"/>
        </w:rPr>
        <w:t xml:space="preserve">EPATITE </w:t>
      </w:r>
      <w:r>
        <w:rPr>
          <w:sz w:val="24"/>
        </w:rPr>
        <w:t>A</w:t>
      </w:r>
      <w:r>
        <w:rPr>
          <w:sz w:val="19"/>
        </w:rPr>
        <w:t>UTOIMUNE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685"/>
          <w:tab w:val="left" w:pos="686"/>
        </w:tabs>
        <w:spacing w:line="274" w:lineRule="exact"/>
        <w:ind w:firstLine="0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NTRODUÇÃO</w:t>
      </w:r>
    </w:p>
    <w:p w:rsidR="006F6599" w:rsidRDefault="00963F10">
      <w:pPr>
        <w:pStyle w:val="Corpodetexto"/>
        <w:spacing w:line="237" w:lineRule="auto"/>
        <w:ind w:right="251" w:firstLine="852"/>
        <w:jc w:val="both"/>
      </w:pPr>
      <w:r>
        <w:t xml:space="preserve">Em 1950, Waldenström descreveu uma série de casos de mulheres jovens com uma forma de hepatite grave associada a </w:t>
      </w:r>
      <w:r>
        <w:rPr>
          <w:i/>
        </w:rPr>
        <w:t xml:space="preserve">rash </w:t>
      </w:r>
      <w:r>
        <w:t>acneiforme, aranhas vasculares, amenorreia e marcada elevação das concentrações séricas de gamaglobulina. Es</w:t>
      </w:r>
      <w:r>
        <w:t>tabelecida sua origem imunológica, a doença passou a ser conhecida como “hepatite lupoide” ou “hepatite autoimune crônica ativa”. Em dois encontros internacionais - em 1992, em Brighton no Reino Unido, e, em 1994, em Los Angeles nos Estados Unidos -, espec</w:t>
      </w:r>
      <w:r>
        <w:t xml:space="preserve">ialistas reconheceram que os termos crônica e ativa eram desnecessários, pois a doença é </w:t>
      </w:r>
      <w:r>
        <w:rPr>
          <w:i/>
        </w:rPr>
        <w:t xml:space="preserve">a priori </w:t>
      </w:r>
      <w:r>
        <w:t>crônica, mas nem sempre é ativa, em razão de seu caráter flutuante. Desse modo, foi recomendado o uso da expressão hepatite autoimune (HAI) para sua designaçã</w:t>
      </w:r>
      <w:r>
        <w:t>o</w:t>
      </w:r>
      <w:r>
        <w:rPr>
          <w:position w:val="9"/>
          <w:sz w:val="16"/>
        </w:rPr>
        <w:t>1</w:t>
      </w:r>
      <w:r>
        <w:t>.</w:t>
      </w:r>
    </w:p>
    <w:p w:rsidR="006F6599" w:rsidRDefault="00963F10">
      <w:pPr>
        <w:pStyle w:val="Corpodetexto"/>
        <w:spacing w:before="10" w:line="235" w:lineRule="auto"/>
        <w:ind w:right="250" w:firstLine="852"/>
        <w:jc w:val="both"/>
      </w:pPr>
      <w:r>
        <w:t>A prevalência da HAI, baseada em estatísticas internacionais realizadas na Europa setentrional, situa-se em cerca de 17 casos por 100.000 habitantes, com uma incidência anual de 1,9 caso por 100.000 habitantes</w:t>
      </w:r>
      <w:r>
        <w:rPr>
          <w:position w:val="9"/>
          <w:sz w:val="16"/>
        </w:rPr>
        <w:t>1</w:t>
      </w:r>
      <w:r>
        <w:t>. No Brasil, a incidência não é plenamente</w:t>
      </w:r>
      <w:r>
        <w:t xml:space="preserve"> conhecida. Em um Inquérito Nacional sobre Hepatite Autoimune, apresentado no XVI Congresso Brasileiro de Hepatologia em 2001, sua prevalência foi de 3,3%</w:t>
      </w:r>
      <w:r>
        <w:rPr>
          <w:position w:val="9"/>
          <w:sz w:val="16"/>
        </w:rPr>
        <w:t xml:space="preserve">2 </w:t>
      </w:r>
      <w:r>
        <w:t>entre as causas de hepatopatia crônica. As principais características da HAI são um quadro histopato</w:t>
      </w:r>
      <w:r>
        <w:t>lógico de hepatite de interface (periportal ou perisseptal), hipergamaglobulinemia, presença de autoanticorpos tissulares e responsividade à terapia imunossupressora na maioria dos casos</w:t>
      </w:r>
      <w:r>
        <w:rPr>
          <w:position w:val="9"/>
          <w:sz w:val="16"/>
        </w:rPr>
        <w:t>1</w:t>
      </w:r>
      <w:r>
        <w:t>. Na HAI tipo 1, os principais anticorpos são fator antinuclear (FAN), antimúsculo liso (AML), pANCA e anti-SLA/LP. Anti-LKM1 e o anticitosol hepático 1 (ALC-1), isoladamente ou em associação, caracterizam a HAI tipo 2</w:t>
      </w:r>
      <w:r>
        <w:rPr>
          <w:position w:val="9"/>
          <w:sz w:val="16"/>
        </w:rPr>
        <w:t>3</w:t>
      </w:r>
      <w:r>
        <w:t>.</w:t>
      </w:r>
    </w:p>
    <w:p w:rsidR="006F6599" w:rsidRDefault="00963F10">
      <w:pPr>
        <w:pStyle w:val="Corpodetexto"/>
        <w:spacing w:line="235" w:lineRule="auto"/>
        <w:ind w:right="248" w:firstLine="852"/>
        <w:jc w:val="both"/>
      </w:pPr>
      <w:r>
        <w:t xml:space="preserve">Em aproximadamente 50% dos casos, o início da doença é insidioso, com os pacientes apresentando fadiga, náusea, anorexia, perda de peso, dor ou desconforto abdominais, icterícia, </w:t>
      </w:r>
      <w:r>
        <w:rPr>
          <w:i/>
        </w:rPr>
        <w:t xml:space="preserve">rash </w:t>
      </w:r>
      <w:r>
        <w:t>cutâneo, artralgias e mialgias. Ao exame físico, podem estar presentes h</w:t>
      </w:r>
      <w:r>
        <w:t>epatoesplenomegalia, ascite, eritema palmar, aranhas vasculares, edema periférico e encefalopatia</w:t>
      </w:r>
      <w:r>
        <w:rPr>
          <w:position w:val="9"/>
          <w:sz w:val="16"/>
        </w:rPr>
        <w:t>1,4</w:t>
      </w:r>
      <w:r>
        <w:t>. Cerca de 30% dos pacientes apresentam um quadro agudo, com icterícia intensa, sendo essenciais a identificação precoce e o tratamento adequado para evitar</w:t>
      </w:r>
      <w:r>
        <w:t xml:space="preserve"> progressão para insuficiência hepática. O restante dos casos são assintomáticos, sendo identificados pelo achado incidental de aumento dos níveis séricos de aminotransferases/transaminases (AST/TGO e</w:t>
      </w:r>
      <w:r>
        <w:rPr>
          <w:spacing w:val="-1"/>
        </w:rPr>
        <w:t xml:space="preserve"> </w:t>
      </w:r>
      <w:r>
        <w:t>ALT/TGP)</w:t>
      </w:r>
      <w:r>
        <w:rPr>
          <w:position w:val="9"/>
          <w:sz w:val="16"/>
        </w:rPr>
        <w:t>1</w:t>
      </w:r>
      <w:r>
        <w:t>.</w:t>
      </w:r>
    </w:p>
    <w:p w:rsidR="006F6599" w:rsidRDefault="00963F10">
      <w:pPr>
        <w:pStyle w:val="Corpodetexto"/>
        <w:spacing w:before="10" w:line="232" w:lineRule="auto"/>
        <w:ind w:right="250" w:firstLine="852"/>
        <w:jc w:val="both"/>
      </w:pPr>
      <w:r>
        <w:t>A história natural e o prognóstico da HAI de</w:t>
      </w:r>
      <w:r>
        <w:t>pendem do grau de atividade da doença e da presença ou não de cirrose</w:t>
      </w:r>
      <w:r>
        <w:rPr>
          <w:position w:val="9"/>
          <w:sz w:val="16"/>
        </w:rPr>
        <w:t>4</w:t>
      </w:r>
      <w:r>
        <w:t>. Elevação persistente de aminotransferases/transaminases séricas (ALT/TGP ou AST/TGO) acima de 10 vezes o limite superior da normalidade, ou de 5 vezes das mesmas enzimas juntamente com</w:t>
      </w:r>
      <w:r>
        <w:t xml:space="preserve"> a elevação de 2 vezes o valor normal de gamaglobulina, associam-se a aumento na mortalidade, que pode atingir 90% em 10 anos</w:t>
      </w:r>
      <w:r>
        <w:rPr>
          <w:position w:val="9"/>
          <w:sz w:val="16"/>
        </w:rPr>
        <w:t>5,6</w:t>
      </w:r>
      <w:r>
        <w:t>. A mortalidade chega a 40% nos primeiros seis meses nos portadores de doença grave que não receberam terapia imunossupressora</w:t>
      </w:r>
      <w:r>
        <w:rPr>
          <w:position w:val="9"/>
          <w:sz w:val="16"/>
        </w:rPr>
        <w:t>6</w:t>
      </w:r>
      <w:r>
        <w:t>.</w:t>
      </w:r>
      <w:r>
        <w:t xml:space="preserve"> A mortalidade em pacientes com cirrose não tratados é de 58% em 5 anos, sendo que a presença desta doença parece não influenciar na resposta</w:t>
      </w:r>
      <w:r>
        <w:rPr>
          <w:spacing w:val="-10"/>
        </w:rPr>
        <w:t xml:space="preserve"> </w:t>
      </w:r>
      <w:r>
        <w:t>terapêutica</w:t>
      </w:r>
      <w:r>
        <w:rPr>
          <w:position w:val="9"/>
          <w:sz w:val="16"/>
        </w:rPr>
        <w:t>7</w:t>
      </w:r>
      <w:r>
        <w:t>.</w:t>
      </w:r>
    </w:p>
    <w:p w:rsidR="006F6599" w:rsidRDefault="00963F10">
      <w:pPr>
        <w:pStyle w:val="Corpodetexto"/>
        <w:ind w:right="253" w:firstLine="852"/>
        <w:jc w:val="both"/>
      </w:pPr>
      <w:r>
        <w:t>A identificação de fatores de risco e da doença em seu estágio inicial e o encaminhamento ágil e ade</w:t>
      </w:r>
      <w:r>
        <w:t>quado para o atendimento especializado dão à Atenção Básica um caráter essencial para um melhor resultado terapêutico e prognóstico dos casos.</w:t>
      </w:r>
    </w:p>
    <w:p w:rsidR="006F6599" w:rsidRDefault="00963F10">
      <w:pPr>
        <w:pStyle w:val="Corpodetexto"/>
        <w:ind w:right="251" w:firstLine="852"/>
        <w:jc w:val="both"/>
      </w:pPr>
      <w:r>
        <w:t>Este Protocolo visa a estabelecer os critérios diagnósticos e terapêuticos da hepatite autoimune. A metodologia d</w:t>
      </w:r>
      <w:r>
        <w:t xml:space="preserve">e busca e avaliação das evidências estão detalhadas no </w:t>
      </w:r>
      <w:r>
        <w:rPr>
          <w:b/>
        </w:rPr>
        <w:t>Apêndice 1</w:t>
      </w:r>
      <w:r>
        <w:t>.</w:t>
      </w:r>
    </w:p>
    <w:p w:rsidR="006F6599" w:rsidRDefault="006F6599">
      <w:pPr>
        <w:pStyle w:val="Corpodetexto"/>
        <w:spacing w:before="4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ind w:right="563" w:firstLine="0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19"/>
        </w:rPr>
        <w:t xml:space="preserve">LASSIFICAÇÃO ESTATÍSTICA INTERNACIONAL DE DOENÇAS E PROBLEMAS RELACIONADOS À SAÚDE </w:t>
      </w:r>
      <w:r>
        <w:rPr>
          <w:b/>
          <w:sz w:val="24"/>
        </w:rPr>
        <w:t>(</w:t>
      </w:r>
      <w:r>
        <w:rPr>
          <w:b/>
          <w:sz w:val="19"/>
        </w:rPr>
        <w:t>CID</w:t>
      </w:r>
      <w:r>
        <w:rPr>
          <w:b/>
          <w:sz w:val="24"/>
        </w:rPr>
        <w:t>-10)</w:t>
      </w:r>
    </w:p>
    <w:p w:rsidR="006F6599" w:rsidRDefault="00963F10">
      <w:pPr>
        <w:pStyle w:val="Corpodetexto"/>
        <w:spacing w:line="271" w:lineRule="exact"/>
        <w:ind w:left="1105"/>
      </w:pPr>
      <w:r>
        <w:t>- K75.4 Hepatite autoimune</w:t>
      </w:r>
    </w:p>
    <w:p w:rsidR="006F6599" w:rsidRDefault="006F6599">
      <w:pPr>
        <w:spacing w:line="271" w:lineRule="exact"/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spacing w:before="65" w:line="274" w:lineRule="exact"/>
        <w:ind w:left="469" w:hanging="216"/>
        <w:rPr>
          <w:b/>
          <w:sz w:val="19"/>
        </w:rPr>
      </w:pPr>
      <w:r>
        <w:lastRenderedPageBreak/>
        <w:pict>
          <v:rect id="_x0000_s1027" style="position:absolute;left:0;text-align:left;margin-left:203.8pt;margin-top:658.8pt;width:3.95pt;height:.35pt;z-index:-49648;mso-position-horizontal-relative:page;mso-position-vertical-relative:page" fillcolor="black" stroked="f">
            <w10:wrap anchorx="page" anchory="page"/>
          </v:rect>
        </w:pict>
      </w:r>
      <w:r>
        <w:rPr>
          <w:b/>
          <w:sz w:val="24"/>
        </w:rPr>
        <w:t>D</w:t>
      </w:r>
      <w:r>
        <w:rPr>
          <w:b/>
          <w:sz w:val="19"/>
        </w:rPr>
        <w:t>IAGNÓSTICO</w:t>
      </w:r>
    </w:p>
    <w:p w:rsidR="006F6599" w:rsidRDefault="00963F10">
      <w:pPr>
        <w:pStyle w:val="Corpodetexto"/>
        <w:spacing w:line="237" w:lineRule="auto"/>
        <w:ind w:right="249" w:firstLine="852"/>
        <w:jc w:val="both"/>
      </w:pPr>
      <w:r>
        <w:t>O diagnóstico da HAI é feito pela soma de</w:t>
      </w:r>
      <w:r>
        <w:t xml:space="preserve"> informações clínicas, bioquímicas, histopatológicas e de resposta ao tratamento. Devem ser afastadas causas virais, tóxicas e metabólicas antes que se possa firmar o diagnóstico. Corroboram o diagnóstico aumento expressivo nas concentrações séricas de gam</w:t>
      </w:r>
      <w:r>
        <w:t>aglobulinas, grau de elevação das AST/TGO e ALT/TGP superior ao grau de elevação da fosfatase alcalina, presença de FAN, AML ou anti-LKM1 positivos, ausência de anticorpo antimitocondrial e exame histopatológico com hepatite de interface sem lesões biliare</w:t>
      </w:r>
      <w:r>
        <w:t>s, granulomas ou alterações proeminentes sugestivas de outra doença</w:t>
      </w:r>
      <w:r>
        <w:rPr>
          <w:position w:val="9"/>
          <w:sz w:val="16"/>
        </w:rPr>
        <w:t>8</w:t>
      </w:r>
      <w:r>
        <w:t xml:space="preserve">. Em uma revisão sistemática com meta-análise, FAN apresentou sensibilidade de 65,0% (IC95%: 61,9% a 68,0%), especificidade de 75,1% (IC95%: 73,7% a 76,4%) e </w:t>
      </w:r>
      <w:r>
        <w:rPr>
          <w:i/>
        </w:rPr>
        <w:t xml:space="preserve">odds ratio </w:t>
      </w:r>
      <w:r>
        <w:t>de 7,38 (IC95%: 4,3</w:t>
      </w:r>
      <w:r>
        <w:t>4 a 12,54) para o diagnóstico de HAI enquanto AML apresentou, para os mesmos parâmetros, valores de</w:t>
      </w:r>
      <w:r>
        <w:rPr>
          <w:spacing w:val="36"/>
        </w:rPr>
        <w:t xml:space="preserve"> </w:t>
      </w:r>
      <w:r>
        <w:t>59,3%</w:t>
      </w:r>
      <w:r>
        <w:rPr>
          <w:spacing w:val="39"/>
        </w:rPr>
        <w:t xml:space="preserve"> </w:t>
      </w:r>
      <w:r>
        <w:t>(IC95%:</w:t>
      </w:r>
      <w:r>
        <w:rPr>
          <w:spacing w:val="38"/>
        </w:rPr>
        <w:t xml:space="preserve"> </w:t>
      </w:r>
      <w:r>
        <w:t>56,4%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62,1%),</w:t>
      </w:r>
      <w:r>
        <w:rPr>
          <w:spacing w:val="37"/>
        </w:rPr>
        <w:t xml:space="preserve"> </w:t>
      </w:r>
      <w:r>
        <w:t>92,6%</w:t>
      </w:r>
      <w:r>
        <w:rPr>
          <w:spacing w:val="37"/>
        </w:rPr>
        <w:t xml:space="preserve"> </w:t>
      </w:r>
      <w:r>
        <w:t>(IC95%:</w:t>
      </w:r>
      <w:r>
        <w:rPr>
          <w:spacing w:val="37"/>
        </w:rPr>
        <w:t xml:space="preserve"> </w:t>
      </w:r>
      <w:r>
        <w:t>91,7%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93,4%)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31,55</w:t>
      </w:r>
      <w:r>
        <w:rPr>
          <w:spacing w:val="38"/>
        </w:rPr>
        <w:t xml:space="preserve"> </w:t>
      </w:r>
      <w:r>
        <w:t>(IC95%:</w:t>
      </w:r>
      <w:r>
        <w:rPr>
          <w:spacing w:val="38"/>
        </w:rPr>
        <w:t xml:space="preserve"> </w:t>
      </w:r>
      <w:r>
        <w:t>17,15</w:t>
      </w:r>
      <w:r>
        <w:rPr>
          <w:spacing w:val="40"/>
        </w:rPr>
        <w:t xml:space="preserve"> </w:t>
      </w:r>
      <w:r>
        <w:t>a</w:t>
      </w:r>
    </w:p>
    <w:p w:rsidR="006F6599" w:rsidRDefault="00963F10">
      <w:pPr>
        <w:pStyle w:val="Corpodetexto"/>
        <w:spacing w:before="5" w:line="232" w:lineRule="auto"/>
        <w:ind w:right="251"/>
        <w:jc w:val="both"/>
      </w:pPr>
      <w:r>
        <w:t>58,06)</w:t>
      </w:r>
      <w:r>
        <w:rPr>
          <w:position w:val="9"/>
          <w:sz w:val="16"/>
        </w:rPr>
        <w:t>9</w:t>
      </w:r>
      <w:r>
        <w:t>. Revisão sistemática com meta-análise identificou que idosos (i.e., maiores de 60 a 65 anos) possuem maior chance de apresentarem HAI assintomática, associada à cirrose e com HLA-DR4 positivo em comparação a pacientes mais jovens</w:t>
      </w:r>
      <w:r>
        <w:rPr>
          <w:position w:val="9"/>
          <w:sz w:val="16"/>
        </w:rPr>
        <w:t>10</w:t>
      </w:r>
      <w:r>
        <w:t>.</w:t>
      </w:r>
    </w:p>
    <w:p w:rsidR="006F6599" w:rsidRDefault="00963F10">
      <w:pPr>
        <w:pStyle w:val="Corpodetexto"/>
        <w:spacing w:before="7" w:line="235" w:lineRule="auto"/>
        <w:ind w:right="249" w:firstLine="708"/>
        <w:jc w:val="both"/>
      </w:pPr>
      <w:r>
        <w:t>Em 1992, foi realizado um painel com 27 especialistas em HAI em que os critérios diagnósticos foram discutidos, tendo sido criado um escore diagnóstico, com a finalidade de padronização da doença</w:t>
      </w:r>
      <w:r>
        <w:rPr>
          <w:position w:val="9"/>
          <w:sz w:val="16"/>
        </w:rPr>
        <w:t>11</w:t>
      </w:r>
      <w:r>
        <w:t>. Esse escore foi estudado em uma série de contextos. Com b</w:t>
      </w:r>
      <w:r>
        <w:t xml:space="preserve">ase nesses estudos, em 1998 nova reunião do </w:t>
      </w:r>
      <w:r>
        <w:rPr>
          <w:i/>
        </w:rPr>
        <w:t xml:space="preserve">International Autoimmune Hepatitis Group </w:t>
      </w:r>
      <w:r>
        <w:t>(IAIHG) foi realizada, sendo os critérios revisados e o escore levemente modificado – escore revisado e adaptado para o diagnóstico de hepatite autoimune (ERDHAI) –, princ</w:t>
      </w:r>
      <w:r>
        <w:t>ipalmente com a finalidade de excluir com maior precisão as doenças colestáticas. Em 2008, foram publicados os critérios diagnósticos simplificados de HAI</w:t>
      </w:r>
      <w:r>
        <w:rPr>
          <w:position w:val="9"/>
          <w:sz w:val="16"/>
        </w:rPr>
        <w:t>12</w:t>
      </w:r>
      <w:r>
        <w:t>. Desde então, esses novos critérios têm sido validados em adultos e crianças no mundo todo</w:t>
      </w:r>
      <w:r>
        <w:rPr>
          <w:position w:val="9"/>
          <w:sz w:val="16"/>
        </w:rPr>
        <w:t>12-18</w:t>
      </w:r>
      <w:r>
        <w:t>. Os</w:t>
      </w:r>
      <w:r>
        <w:t xml:space="preserve"> critérios simplificados apresentam elevada acurácia frente ao ERDHAI e têm sido recomendados por diretrizes europeias</w:t>
      </w:r>
      <w:r>
        <w:rPr>
          <w:position w:val="9"/>
          <w:sz w:val="16"/>
        </w:rPr>
        <w:t>19</w:t>
      </w:r>
      <w:r>
        <w:t>. Ambos podem ser empregados de maneira complementar para o diagnóstico de HAI tendo em vista que o ERDHAI é melhor quando aplicado a pa</w:t>
      </w:r>
      <w:r>
        <w:t>cientes com poucos achados ou com achados atípicos de HAI e os critérios simplificados são mais úteis que os revisados para a exclusão de HAI em pacientes com outras doenças autoimunes concomitantes</w:t>
      </w:r>
      <w:r>
        <w:rPr>
          <w:position w:val="9"/>
          <w:sz w:val="16"/>
        </w:rPr>
        <w:t>14</w:t>
      </w:r>
      <w:r>
        <w:t>. Dessa forma, recomenda-se o uso do ERDHAI (</w:t>
      </w:r>
      <w:r>
        <w:rPr>
          <w:b/>
        </w:rPr>
        <w:t>Tabela 1</w:t>
      </w:r>
      <w:r>
        <w:t>) p</w:t>
      </w:r>
      <w:r>
        <w:t>ara o diagnóstico de pacientes com suspeita de HAI sem outras doenças autoimunes concomitantes e o emprego dos critérios simplificados para os pacientes com doenças autoimunes</w:t>
      </w:r>
      <w:r>
        <w:rPr>
          <w:spacing w:val="-9"/>
        </w:rPr>
        <w:t xml:space="preserve"> </w:t>
      </w:r>
      <w:r>
        <w:t>conhecidas.</w:t>
      </w:r>
    </w:p>
    <w:p w:rsidR="006F6599" w:rsidRDefault="00963F10">
      <w:pPr>
        <w:pStyle w:val="Corpodetexto"/>
        <w:spacing w:before="8"/>
        <w:ind w:left="945" w:right="1439"/>
        <w:jc w:val="center"/>
      </w:pPr>
      <w:r>
        <w:t>Os critérios modificados e que continuam válidos podem ser vistos na</w:t>
      </w:r>
      <w:r>
        <w:t xml:space="preserve"> </w:t>
      </w:r>
      <w:r>
        <w:rPr>
          <w:b/>
        </w:rPr>
        <w:t>Tabela 2</w:t>
      </w:r>
      <w:r>
        <w:t>.</w:t>
      </w:r>
    </w:p>
    <w:p w:rsidR="006F6599" w:rsidRDefault="006F6599">
      <w:pPr>
        <w:pStyle w:val="Corpodetexto"/>
        <w:spacing w:before="8"/>
        <w:ind w:left="0"/>
        <w:rPr>
          <w:sz w:val="22"/>
        </w:rPr>
      </w:pPr>
    </w:p>
    <w:p w:rsidR="006F6599" w:rsidRDefault="00963F10">
      <w:pPr>
        <w:pStyle w:val="Corpodetexto"/>
        <w:jc w:val="both"/>
        <w:rPr>
          <w:sz w:val="16"/>
        </w:rPr>
      </w:pPr>
      <w:r>
        <w:rPr>
          <w:b/>
        </w:rPr>
        <w:t xml:space="preserve">Tabela 1 - </w:t>
      </w:r>
      <w:r>
        <w:t>Escore revisado e adaptado para o diagnóstico de hepatite autoimune (ERDHAI)</w:t>
      </w:r>
      <w:r>
        <w:rPr>
          <w:position w:val="9"/>
          <w:sz w:val="16"/>
        </w:rPr>
        <w:t>20</w:t>
      </w:r>
    </w:p>
    <w:p w:rsidR="006F6599" w:rsidRDefault="006F6599">
      <w:pPr>
        <w:pStyle w:val="Corpodetexto"/>
        <w:spacing w:before="8"/>
        <w:ind w:left="0"/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5644"/>
        <w:gridCol w:w="1336"/>
        <w:gridCol w:w="1861"/>
      </w:tblGrid>
      <w:tr w:rsidR="006F6599">
        <w:trPr>
          <w:trHeight w:val="552"/>
        </w:trPr>
        <w:tc>
          <w:tcPr>
            <w:tcW w:w="5644" w:type="dxa"/>
            <w:tcBorders>
              <w:top w:val="single" w:sz="6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2197" w:right="1925"/>
              <w:jc w:val="center"/>
              <w:rPr>
                <w:sz w:val="24"/>
              </w:rPr>
            </w:pPr>
            <w:r>
              <w:rPr>
                <w:sz w:val="24"/>
              </w:rPr>
              <w:t>PARÂMETRO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ESCORE</w:t>
            </w: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NOTAS</w:t>
            </w:r>
          </w:p>
          <w:p w:rsidR="006F6599" w:rsidRDefault="00963F10">
            <w:pPr>
              <w:pStyle w:val="TableParagraph"/>
              <w:spacing w:line="264" w:lineRule="exact"/>
              <w:ind w:left="50" w:right="51"/>
              <w:jc w:val="center"/>
              <w:rPr>
                <w:sz w:val="24"/>
              </w:rPr>
            </w:pPr>
            <w:r>
              <w:rPr>
                <w:sz w:val="24"/>
              </w:rPr>
              <w:t>EXPLICATIVAS</w:t>
            </w:r>
          </w:p>
        </w:tc>
      </w:tr>
      <w:tr w:rsidR="006F6599">
        <w:trPr>
          <w:trHeight w:val="275"/>
        </w:trPr>
        <w:tc>
          <w:tcPr>
            <w:tcW w:w="5644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Sexo feminino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5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Relação fosfatase alcalina/AST (TGO) (ou ALT/TGP)</w:t>
            </w:r>
          </w:p>
        </w:tc>
        <w:tc>
          <w:tcPr>
            <w:tcW w:w="1336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F6599" w:rsidRDefault="00963F10">
            <w:pPr>
              <w:pStyle w:val="TableParagraph"/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6F6599">
        <w:trPr>
          <w:trHeight w:val="276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&lt; 1,5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1,5-3,0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65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&gt; 3,0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46" w:lineRule="exact"/>
              <w:ind w:left="323" w:right="50"/>
              <w:jc w:val="center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18"/>
              </w:rPr>
            </w:pPr>
          </w:p>
        </w:tc>
      </w:tr>
      <w:tr w:rsidR="006F6599">
        <w:trPr>
          <w:trHeight w:val="286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Gamaglobulina ou IgG (n</w:t>
            </w:r>
            <w:r>
              <w:rPr>
                <w:position w:val="9"/>
                <w:sz w:val="16"/>
              </w:rPr>
              <w:t xml:space="preserve">o </w:t>
            </w:r>
            <w:r>
              <w:rPr>
                <w:sz w:val="24"/>
              </w:rPr>
              <w:t>de vezes acima do normal)</w:t>
            </w:r>
          </w:p>
        </w:tc>
        <w:tc>
          <w:tcPr>
            <w:tcW w:w="1336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&gt; 2,0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1,5-2,0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1,0-1,5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&lt; 1,0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FAN, AML ou anti-LKM1</w:t>
            </w:r>
          </w:p>
        </w:tc>
        <w:tc>
          <w:tcPr>
            <w:tcW w:w="1336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F6599" w:rsidRDefault="00963F1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6F6599">
        <w:trPr>
          <w:trHeight w:val="276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&gt; 1:80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1:80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6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0"/>
        </w:trPr>
        <w:tc>
          <w:tcPr>
            <w:tcW w:w="5644" w:type="dxa"/>
          </w:tcPr>
          <w:p w:rsidR="006F6599" w:rsidRDefault="00963F10">
            <w:pPr>
              <w:pStyle w:val="TableParagraph"/>
              <w:spacing w:line="251" w:lineRule="exact"/>
              <w:ind w:left="69"/>
              <w:rPr>
                <w:sz w:val="24"/>
              </w:rPr>
            </w:pPr>
            <w:r>
              <w:rPr>
                <w:sz w:val="24"/>
              </w:rPr>
              <w:t>1:40</w:t>
            </w:r>
          </w:p>
        </w:tc>
        <w:tc>
          <w:tcPr>
            <w:tcW w:w="1336" w:type="dxa"/>
          </w:tcPr>
          <w:p w:rsidR="006F6599" w:rsidRDefault="00963F10">
            <w:pPr>
              <w:pStyle w:val="TableParagraph"/>
              <w:spacing w:line="251" w:lineRule="exact"/>
              <w:ind w:left="324" w:right="50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86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F6599" w:rsidRDefault="006F6599">
      <w:pPr>
        <w:rPr>
          <w:sz w:val="20"/>
        </w:rPr>
        <w:sectPr w:rsidR="006F6599">
          <w:pgSz w:w="11910" w:h="16850"/>
          <w:pgMar w:top="134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6100"/>
        <w:gridCol w:w="1087"/>
        <w:gridCol w:w="1669"/>
      </w:tblGrid>
      <w:tr w:rsidR="006F6599">
        <w:trPr>
          <w:trHeight w:val="271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1" w:lineRule="exact"/>
              <w:ind w:left="84"/>
              <w:rPr>
                <w:sz w:val="24"/>
              </w:rPr>
            </w:pPr>
            <w:r>
              <w:rPr>
                <w:sz w:val="24"/>
              </w:rPr>
              <w:lastRenderedPageBreak/>
              <w:t>&lt; 1:40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1" w:lineRule="exact"/>
              <w:ind w:left="3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Antimitocôndria positivo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Marcadores de hepatites virais</w:t>
            </w:r>
          </w:p>
        </w:tc>
        <w:tc>
          <w:tcPr>
            <w:tcW w:w="1087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</w:tcPr>
          <w:p w:rsidR="006F6599" w:rsidRDefault="00963F10">
            <w:pPr>
              <w:pStyle w:val="TableParagraph"/>
              <w:spacing w:line="256" w:lineRule="exact"/>
              <w:ind w:left="68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Reagente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Não reagente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Consumo de fármacos hepatotóxicos atual ou recente</w:t>
            </w:r>
          </w:p>
        </w:tc>
        <w:tc>
          <w:tcPr>
            <w:tcW w:w="1087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Presente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Ausente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Consumo médio de álcool</w:t>
            </w:r>
          </w:p>
        </w:tc>
        <w:tc>
          <w:tcPr>
            <w:tcW w:w="1087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&lt; 25 g/dia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&gt; 60 g/dia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Histologia hepática</w:t>
            </w:r>
          </w:p>
        </w:tc>
        <w:tc>
          <w:tcPr>
            <w:tcW w:w="1087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Infiltrado periportal com necrose em saca-bocado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Infiltrado linfoplasmocitário predominante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Hepatócitos em roseta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Nenhum dos critérios acima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Alterações biliares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6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Outras alterações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46" w:lineRule="exact"/>
              <w:ind w:left="263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18"/>
              </w:rPr>
            </w:pPr>
          </w:p>
        </w:tc>
      </w:tr>
      <w:tr w:rsidR="006F6599">
        <w:trPr>
          <w:trHeight w:val="28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Outra doença autoimune (própria ou em familiar de 1</w:t>
            </w:r>
            <w:r>
              <w:rPr>
                <w:position w:val="9"/>
                <w:sz w:val="16"/>
              </w:rPr>
              <w:t xml:space="preserve">o </w:t>
            </w:r>
            <w:r>
              <w:rPr>
                <w:sz w:val="24"/>
              </w:rPr>
              <w:t>grau)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66" w:lineRule="exact"/>
              <w:ind w:left="236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Parâmetros opcionais</w:t>
            </w:r>
          </w:p>
        </w:tc>
        <w:tc>
          <w:tcPr>
            <w:tcW w:w="1087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Positividade de outro anticorpo associado a HAI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669" w:type="dxa"/>
          </w:tcPr>
          <w:p w:rsidR="006F6599" w:rsidRDefault="00963F10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d,e</w:t>
            </w: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HLA DR3, DR7 ou DR13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669" w:type="dxa"/>
          </w:tcPr>
          <w:p w:rsidR="006F6599" w:rsidRDefault="00963F10">
            <w:pPr>
              <w:pStyle w:val="TableParagraph"/>
              <w:spacing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d,f</w:t>
            </w:r>
          </w:p>
        </w:tc>
      </w:tr>
      <w:tr w:rsidR="006F6599">
        <w:trPr>
          <w:trHeight w:val="276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Resposta ao tratamento imunossupressor</w:t>
            </w:r>
          </w:p>
        </w:tc>
        <w:tc>
          <w:tcPr>
            <w:tcW w:w="1087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</w:tcPr>
          <w:p w:rsidR="006F6599" w:rsidRDefault="00963F10"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</w:tr>
      <w:tr w:rsidR="006F6599">
        <w:trPr>
          <w:trHeight w:val="275"/>
        </w:trPr>
        <w:tc>
          <w:tcPr>
            <w:tcW w:w="6100" w:type="dxa"/>
          </w:tcPr>
          <w:p w:rsidR="006F6599" w:rsidRDefault="00963F10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Completa</w:t>
            </w:r>
          </w:p>
        </w:tc>
        <w:tc>
          <w:tcPr>
            <w:tcW w:w="1087" w:type="dxa"/>
          </w:tcPr>
          <w:p w:rsidR="006F6599" w:rsidRDefault="00963F1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669" w:type="dxa"/>
          </w:tcPr>
          <w:p w:rsidR="006F6599" w:rsidRDefault="00963F10"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6F6599">
        <w:trPr>
          <w:trHeight w:val="281"/>
        </w:trPr>
        <w:tc>
          <w:tcPr>
            <w:tcW w:w="6100" w:type="dxa"/>
            <w:tcBorders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Recaída com a diminuição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61" w:lineRule="exact"/>
              <w:ind w:left="236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61" w:lineRule="exact"/>
              <w:ind w:left="70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 w:rsidR="006F6599" w:rsidRDefault="00963F10">
      <w:pPr>
        <w:pStyle w:val="Corpodetexto"/>
        <w:spacing w:before="9"/>
        <w:ind w:left="0"/>
        <w:rPr>
          <w:sz w:val="14"/>
        </w:rPr>
      </w:pPr>
      <w:r>
        <w:pict>
          <v:rect id="_x0000_s1026" style="position:absolute;margin-left:336.8pt;margin-top:312.15pt;width:3.95pt;height:.35pt;z-index:-49624;mso-position-horizontal-relative:page;mso-position-vertical-relative:page" fillcolor="black" stroked="f">
            <w10:wrap anchorx="page" anchory="page"/>
          </v:rect>
        </w:pic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39"/>
        </w:tabs>
        <w:spacing w:before="90"/>
        <w:ind w:right="255" w:firstLine="0"/>
        <w:jc w:val="both"/>
        <w:rPr>
          <w:sz w:val="24"/>
        </w:rPr>
      </w:pPr>
      <w:r>
        <w:rPr>
          <w:sz w:val="24"/>
        </w:rPr>
        <w:t>É calculado com a divisão do número de vezes acima do limite superior da normalidade da fosfatase alcalina pelo número de vezes acima do limite superior da normalidade das aminotransferases/transaminases.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49"/>
        </w:tabs>
        <w:ind w:right="255" w:firstLine="0"/>
        <w:jc w:val="both"/>
        <w:rPr>
          <w:sz w:val="24"/>
        </w:rPr>
      </w:pPr>
      <w:r>
        <w:rPr>
          <w:sz w:val="24"/>
        </w:rPr>
        <w:t>Consideram-se os títulos medidos por imunofluorescê</w:t>
      </w:r>
      <w:r>
        <w:rPr>
          <w:sz w:val="24"/>
        </w:rPr>
        <w:t>ncia indireta em tecidos de roedores ou para FAN em células Hep-2. Títulos baixos em crianças podem ter significado, devendo ser atribuído pelo menos 1 ponto (especialmente de</w:t>
      </w:r>
      <w:r>
        <w:rPr>
          <w:spacing w:val="-3"/>
          <w:sz w:val="24"/>
        </w:rPr>
        <w:t xml:space="preserve"> </w:t>
      </w:r>
      <w:r>
        <w:rPr>
          <w:sz w:val="24"/>
        </w:rPr>
        <w:t>anti-LKM1).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34"/>
        </w:tabs>
        <w:ind w:right="250" w:firstLine="0"/>
        <w:jc w:val="both"/>
        <w:rPr>
          <w:sz w:val="24"/>
        </w:rPr>
      </w:pPr>
      <w:r>
        <w:rPr>
          <w:sz w:val="24"/>
        </w:rPr>
        <w:t xml:space="preserve">Consideram-se os resultados laboratoriais não reagentes de anti-HAV </w:t>
      </w:r>
      <w:r>
        <w:rPr>
          <w:sz w:val="24"/>
        </w:rPr>
        <w:t>IgM, HBsAg, anti-HBc total, anti-HCV e HCV-RNA qualitativo. Se há suspeita de uma etiologia viral, pode ser necesssária a exclusão de citomegalovírus e de vírus</w:t>
      </w:r>
      <w:r>
        <w:rPr>
          <w:spacing w:val="-5"/>
          <w:sz w:val="24"/>
        </w:rPr>
        <w:t xml:space="preserve"> </w:t>
      </w:r>
      <w:r>
        <w:rPr>
          <w:sz w:val="24"/>
        </w:rPr>
        <w:t>Epstein-Barr.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14"/>
        </w:tabs>
        <w:ind w:left="513" w:hanging="260"/>
        <w:jc w:val="both"/>
        <w:rPr>
          <w:sz w:val="24"/>
        </w:rPr>
      </w:pPr>
      <w:r>
        <w:rPr>
          <w:sz w:val="24"/>
        </w:rPr>
        <w:t>São válidos para pontuação apenas se FAN, AML e anti-LKM1 forem</w:t>
      </w:r>
      <w:r>
        <w:rPr>
          <w:spacing w:val="-6"/>
          <w:sz w:val="24"/>
        </w:rPr>
        <w:t xml:space="preserve"> </w:t>
      </w:r>
      <w:r>
        <w:rPr>
          <w:sz w:val="24"/>
        </w:rPr>
        <w:t>negativos.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01"/>
        </w:tabs>
        <w:ind w:left="500" w:hanging="247"/>
        <w:jc w:val="both"/>
        <w:rPr>
          <w:sz w:val="24"/>
        </w:rPr>
      </w:pPr>
      <w:r>
        <w:rPr>
          <w:sz w:val="24"/>
        </w:rPr>
        <w:t>Incluem anti-SLA/LP, p-ANCA, anti-ASGPR, anti-LC1 e</w:t>
      </w:r>
      <w:r>
        <w:rPr>
          <w:spacing w:val="-2"/>
          <w:sz w:val="24"/>
        </w:rPr>
        <w:t xml:space="preserve"> </w:t>
      </w:r>
      <w:r>
        <w:rPr>
          <w:sz w:val="24"/>
        </w:rPr>
        <w:t>antissulfatide.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25"/>
        </w:tabs>
        <w:spacing w:before="12" w:line="228" w:lineRule="auto"/>
        <w:ind w:right="251" w:firstLine="0"/>
        <w:jc w:val="both"/>
        <w:rPr>
          <w:sz w:val="24"/>
        </w:rPr>
      </w:pPr>
      <w:r>
        <w:rPr>
          <w:sz w:val="24"/>
        </w:rPr>
        <w:t>HLA DR7 e DR13 foram incluídos no escore original de acordo com resultados de estudo realizado em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</w:t>
      </w:r>
      <w:r>
        <w:rPr>
          <w:position w:val="9"/>
          <w:sz w:val="16"/>
        </w:rPr>
        <w:t>21</w:t>
      </w:r>
      <w:r>
        <w:rPr>
          <w:sz w:val="24"/>
        </w:rPr>
        <w:t>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22"/>
        </w:tabs>
        <w:spacing w:before="1"/>
        <w:ind w:right="250" w:firstLine="0"/>
        <w:jc w:val="both"/>
        <w:rPr>
          <w:sz w:val="24"/>
        </w:rPr>
      </w:pPr>
      <w:r>
        <w:rPr>
          <w:sz w:val="24"/>
        </w:rPr>
        <w:t xml:space="preserve">Se o paciente ainda não foi tratado, desconsiderar e utilizar ponto de corte </w:t>
      </w:r>
      <w:r>
        <w:rPr>
          <w:sz w:val="24"/>
        </w:rPr>
        <w:t>pré-tratamento (ver a seguir), incluindo a pontuação apropriada após o início da</w:t>
      </w:r>
      <w:r>
        <w:rPr>
          <w:spacing w:val="-3"/>
          <w:sz w:val="24"/>
        </w:rPr>
        <w:t xml:space="preserve"> </w:t>
      </w:r>
      <w:r>
        <w:rPr>
          <w:sz w:val="24"/>
        </w:rPr>
        <w:t>terapia.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58"/>
        </w:tabs>
        <w:ind w:right="253" w:firstLine="0"/>
        <w:jc w:val="both"/>
        <w:rPr>
          <w:sz w:val="24"/>
        </w:rPr>
      </w:pPr>
      <w:r>
        <w:rPr>
          <w:sz w:val="24"/>
        </w:rPr>
        <w:t>Considera-se resposta completa a ocorrência de pelo menos uma das seguintes situações: 1) melhora importante dos sintomas associada à normalização de AST/TGO, ALT/TGP</w:t>
      </w:r>
      <w:r>
        <w:rPr>
          <w:sz w:val="24"/>
        </w:rPr>
        <w:t>, bilirrubinas e gamaglobulinas no prazo de 1 ano do início do tratamento e mantido por 6 meses; 2) melhora dos sintomas em 50% de AST, ALT e bilirrubinas no primeiro mês de tratamento e AST e ALT permanecendo no máximo 2 vezes o limite superior da normali</w:t>
      </w:r>
      <w:r>
        <w:rPr>
          <w:sz w:val="24"/>
        </w:rPr>
        <w:t>dade durante os primeiros 6 meses da terapia de manutenção; 3) biópsia durante este período mostrando no máximo atividade</w:t>
      </w:r>
      <w:r>
        <w:rPr>
          <w:spacing w:val="-12"/>
          <w:sz w:val="24"/>
        </w:rPr>
        <w:t xml:space="preserve"> </w:t>
      </w:r>
      <w:r>
        <w:rPr>
          <w:sz w:val="24"/>
        </w:rPr>
        <w:t>mínima.</w:t>
      </w:r>
    </w:p>
    <w:p w:rsidR="006F6599" w:rsidRDefault="00963F10">
      <w:pPr>
        <w:pStyle w:val="PargrafodaLista"/>
        <w:numPr>
          <w:ilvl w:val="0"/>
          <w:numId w:val="14"/>
        </w:numPr>
        <w:tabs>
          <w:tab w:val="left" w:pos="501"/>
        </w:tabs>
        <w:ind w:right="250" w:firstLine="0"/>
        <w:jc w:val="both"/>
        <w:rPr>
          <w:sz w:val="24"/>
        </w:rPr>
      </w:pPr>
      <w:r>
        <w:rPr>
          <w:sz w:val="24"/>
        </w:rPr>
        <w:t>Considera-se recaída a ocorrência de uma das seguintes situações após resposta completa: 1) aumento de AST ou ALT 2 vezes acim</w:t>
      </w:r>
      <w:r>
        <w:rPr>
          <w:sz w:val="24"/>
        </w:rPr>
        <w:t>a do limite superior da normalidade; 2) biópsia hepática mostrando doença ativa; 3) retorno de sintomas que necessitem aumento da imunossupressão acompanhado de elevação de AST ou</w:t>
      </w:r>
      <w:r>
        <w:rPr>
          <w:spacing w:val="-3"/>
          <w:sz w:val="24"/>
        </w:rPr>
        <w:t xml:space="preserve"> </w:t>
      </w:r>
      <w:r>
        <w:rPr>
          <w:sz w:val="24"/>
        </w:rPr>
        <w:t>ALT.</w:t>
      </w:r>
    </w:p>
    <w:p w:rsidR="006F6599" w:rsidRDefault="00963F10">
      <w:pPr>
        <w:pStyle w:val="Corpodetexto"/>
        <w:spacing w:before="1"/>
        <w:ind w:left="819"/>
      </w:pPr>
      <w:r>
        <w:t>A partir do escore obtido, o diagnóstico de HAI é feito da seguinte for</w:t>
      </w:r>
      <w:r>
        <w:t>ma:</w:t>
      </w:r>
    </w:p>
    <w:p w:rsidR="006F6599" w:rsidRDefault="006F6599">
      <w:pPr>
        <w:sectPr w:rsidR="006F6599">
          <w:pgSz w:w="11910" w:h="16850"/>
          <w:pgMar w:top="1140" w:right="880" w:bottom="280" w:left="880" w:header="720" w:footer="720" w:gutter="0"/>
          <w:cols w:space="720"/>
        </w:sectPr>
      </w:pPr>
    </w:p>
    <w:p w:rsidR="006F6599" w:rsidRDefault="00963F10">
      <w:pPr>
        <w:pStyle w:val="PargrafodaLista"/>
        <w:numPr>
          <w:ilvl w:val="1"/>
          <w:numId w:val="14"/>
        </w:numPr>
        <w:tabs>
          <w:tab w:val="left" w:pos="1066"/>
        </w:tabs>
        <w:spacing w:before="64"/>
        <w:rPr>
          <w:sz w:val="24"/>
        </w:rPr>
      </w:pPr>
      <w:r>
        <w:rPr>
          <w:sz w:val="24"/>
        </w:rPr>
        <w:lastRenderedPageBreak/>
        <w:t>Pacientes que ainda não tenham sido tratados com</w:t>
      </w:r>
      <w:r>
        <w:rPr>
          <w:spacing w:val="-3"/>
          <w:sz w:val="24"/>
        </w:rPr>
        <w:t xml:space="preserve"> </w:t>
      </w:r>
      <w:r>
        <w:rPr>
          <w:sz w:val="24"/>
        </w:rPr>
        <w:t>imunossupressores:</w:t>
      </w:r>
    </w:p>
    <w:p w:rsidR="006F6599" w:rsidRDefault="00963F10">
      <w:pPr>
        <w:pStyle w:val="PargrafodaLista"/>
        <w:numPr>
          <w:ilvl w:val="0"/>
          <w:numId w:val="13"/>
        </w:numPr>
        <w:tabs>
          <w:tab w:val="left" w:pos="959"/>
        </w:tabs>
        <w:ind w:hanging="139"/>
        <w:jc w:val="left"/>
        <w:rPr>
          <w:sz w:val="24"/>
        </w:rPr>
      </w:pPr>
      <w:r>
        <w:rPr>
          <w:sz w:val="24"/>
        </w:rPr>
        <w:t>ERDHAI de 10 a 15 (diagnóstico provável de</w:t>
      </w:r>
      <w:r>
        <w:rPr>
          <w:spacing w:val="-6"/>
          <w:sz w:val="24"/>
        </w:rPr>
        <w:t xml:space="preserve"> </w:t>
      </w:r>
      <w:r>
        <w:rPr>
          <w:sz w:val="24"/>
        </w:rPr>
        <w:t>HAI);</w:t>
      </w:r>
    </w:p>
    <w:p w:rsidR="006F6599" w:rsidRDefault="00963F10">
      <w:pPr>
        <w:pStyle w:val="PargrafodaLista"/>
        <w:numPr>
          <w:ilvl w:val="0"/>
          <w:numId w:val="13"/>
        </w:numPr>
        <w:tabs>
          <w:tab w:val="left" w:pos="959"/>
        </w:tabs>
        <w:ind w:hanging="139"/>
        <w:jc w:val="left"/>
        <w:rPr>
          <w:sz w:val="24"/>
        </w:rPr>
      </w:pPr>
      <w:r>
        <w:rPr>
          <w:sz w:val="24"/>
        </w:rPr>
        <w:t>ERDHAI acima de 15 (diagnóstico definido de</w:t>
      </w:r>
      <w:r>
        <w:rPr>
          <w:spacing w:val="-4"/>
          <w:sz w:val="24"/>
        </w:rPr>
        <w:t xml:space="preserve"> </w:t>
      </w:r>
      <w:r>
        <w:rPr>
          <w:sz w:val="24"/>
        </w:rPr>
        <w:t>HAI).</w:t>
      </w:r>
    </w:p>
    <w:p w:rsidR="006F6599" w:rsidRDefault="00963F10">
      <w:pPr>
        <w:pStyle w:val="PargrafodaLista"/>
        <w:numPr>
          <w:ilvl w:val="1"/>
          <w:numId w:val="14"/>
        </w:numPr>
        <w:tabs>
          <w:tab w:val="left" w:pos="1080"/>
        </w:tabs>
        <w:ind w:left="1079" w:hanging="260"/>
        <w:rPr>
          <w:sz w:val="24"/>
        </w:rPr>
      </w:pPr>
      <w:r>
        <w:rPr>
          <w:sz w:val="24"/>
        </w:rPr>
        <w:t>Pacientes já tratados com</w:t>
      </w:r>
      <w:r>
        <w:rPr>
          <w:spacing w:val="-1"/>
          <w:sz w:val="24"/>
        </w:rPr>
        <w:t xml:space="preserve"> </w:t>
      </w:r>
      <w:r>
        <w:rPr>
          <w:sz w:val="24"/>
        </w:rPr>
        <w:t>imunossupressores:</w:t>
      </w:r>
    </w:p>
    <w:p w:rsidR="006F6599" w:rsidRDefault="00963F10">
      <w:pPr>
        <w:pStyle w:val="PargrafodaLista"/>
        <w:numPr>
          <w:ilvl w:val="0"/>
          <w:numId w:val="13"/>
        </w:numPr>
        <w:tabs>
          <w:tab w:val="left" w:pos="959"/>
        </w:tabs>
        <w:ind w:hanging="139"/>
        <w:jc w:val="left"/>
        <w:rPr>
          <w:sz w:val="24"/>
        </w:rPr>
      </w:pPr>
      <w:r>
        <w:rPr>
          <w:sz w:val="24"/>
        </w:rPr>
        <w:t>ERDHAI de 12 a 17 (diagnóstico provável de</w:t>
      </w:r>
      <w:r>
        <w:rPr>
          <w:spacing w:val="-6"/>
          <w:sz w:val="24"/>
        </w:rPr>
        <w:t xml:space="preserve"> </w:t>
      </w:r>
      <w:r>
        <w:rPr>
          <w:sz w:val="24"/>
        </w:rPr>
        <w:t>HAI);</w:t>
      </w:r>
    </w:p>
    <w:p w:rsidR="006F6599" w:rsidRDefault="00963F10">
      <w:pPr>
        <w:pStyle w:val="PargrafodaLista"/>
        <w:numPr>
          <w:ilvl w:val="0"/>
          <w:numId w:val="13"/>
        </w:numPr>
        <w:tabs>
          <w:tab w:val="left" w:pos="959"/>
        </w:tabs>
        <w:ind w:hanging="139"/>
        <w:jc w:val="left"/>
        <w:rPr>
          <w:sz w:val="24"/>
        </w:rPr>
      </w:pPr>
      <w:r>
        <w:rPr>
          <w:sz w:val="24"/>
        </w:rPr>
        <w:t>ERDHAI acima de 17 (diagnóstico definido de</w:t>
      </w:r>
      <w:r>
        <w:rPr>
          <w:spacing w:val="-4"/>
          <w:sz w:val="24"/>
        </w:rPr>
        <w:t xml:space="preserve"> </w:t>
      </w:r>
      <w:r>
        <w:rPr>
          <w:sz w:val="24"/>
        </w:rPr>
        <w:t>HAI).</w:t>
      </w:r>
    </w:p>
    <w:p w:rsidR="006F6599" w:rsidRDefault="00963F10">
      <w:pPr>
        <w:pStyle w:val="Corpodetexto"/>
        <w:ind w:right="252" w:firstLine="566"/>
        <w:jc w:val="both"/>
      </w:pPr>
      <w:r>
        <w:t>Em pacientes sem resposta prévia a imunossupressores não se exclui a possibilidade do diagnóstico; recomenda-se, contudo, investigação complementar para excl</w:t>
      </w:r>
      <w:r>
        <w:t>usão de outras doenças, especialmente se houver alterações colestáticas no perfil bioquímico.</w:t>
      </w:r>
    </w:p>
    <w:p w:rsidR="006F6599" w:rsidRDefault="006F6599">
      <w:pPr>
        <w:pStyle w:val="Corpodetexto"/>
        <w:spacing w:before="10"/>
        <w:ind w:left="0"/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650"/>
        <w:gridCol w:w="2408"/>
        <w:gridCol w:w="1733"/>
      </w:tblGrid>
      <w:tr w:rsidR="006F6599">
        <w:trPr>
          <w:trHeight w:val="549"/>
        </w:trPr>
        <w:tc>
          <w:tcPr>
            <w:tcW w:w="9791" w:type="dxa"/>
            <w:gridSpan w:val="3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b/>
                <w:sz w:val="24"/>
              </w:rPr>
              <w:t xml:space="preserve">Tabela 2 - </w:t>
            </w:r>
            <w:r>
              <w:rPr>
                <w:sz w:val="24"/>
              </w:rPr>
              <w:t>Critérios simplificados para diagnóstico de HAI (12)</w:t>
            </w:r>
          </w:p>
        </w:tc>
      </w:tr>
      <w:tr w:rsidR="006F6599">
        <w:trPr>
          <w:trHeight w:val="277"/>
        </w:trPr>
        <w:tc>
          <w:tcPr>
            <w:tcW w:w="5650" w:type="dxa"/>
            <w:tcBorders>
              <w:top w:val="single" w:sz="4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58" w:lineRule="exact"/>
              <w:ind w:left="2020" w:right="2108"/>
              <w:jc w:val="center"/>
              <w:rPr>
                <w:sz w:val="24"/>
              </w:rPr>
            </w:pPr>
            <w:r>
              <w:rPr>
                <w:sz w:val="24"/>
              </w:rPr>
              <w:t>PARÂMETRO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58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PONTO DE CORTE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 w:rsidR="006F6599">
        <w:trPr>
          <w:trHeight w:val="275"/>
        </w:trPr>
        <w:tc>
          <w:tcPr>
            <w:tcW w:w="5650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FAN positivo ou AML positivo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6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≥1:40</w:t>
            </w:r>
          </w:p>
        </w:tc>
        <w:tc>
          <w:tcPr>
            <w:tcW w:w="1733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</w:t>
            </w:r>
          </w:p>
        </w:tc>
      </w:tr>
      <w:tr w:rsidR="006F6599">
        <w:trPr>
          <w:trHeight w:val="275"/>
        </w:trPr>
        <w:tc>
          <w:tcPr>
            <w:tcW w:w="5650" w:type="dxa"/>
          </w:tcPr>
          <w:p w:rsidR="006F6599" w:rsidRDefault="00963F10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FAN positivo ou AML positivo</w:t>
            </w: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≥1:80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563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</w:tr>
      <w:tr w:rsidR="006F6599">
        <w:trPr>
          <w:trHeight w:val="275"/>
        </w:trPr>
        <w:tc>
          <w:tcPr>
            <w:tcW w:w="5650" w:type="dxa"/>
          </w:tcPr>
          <w:p w:rsidR="006F6599" w:rsidRDefault="00963F10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ou anti-LKM positivo</w:t>
            </w: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≥1:40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</w:tr>
      <w:tr w:rsidR="006F6599">
        <w:trPr>
          <w:trHeight w:val="275"/>
        </w:trPr>
        <w:tc>
          <w:tcPr>
            <w:tcW w:w="5650" w:type="dxa"/>
          </w:tcPr>
          <w:p w:rsidR="006F6599" w:rsidRDefault="00963F10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ou anti-SLA/LP positivo</w:t>
            </w: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qualquer valor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</w:tr>
      <w:tr w:rsidR="006F6599">
        <w:trPr>
          <w:trHeight w:val="276"/>
        </w:trPr>
        <w:tc>
          <w:tcPr>
            <w:tcW w:w="5650" w:type="dxa"/>
          </w:tcPr>
          <w:p w:rsidR="006F6599" w:rsidRDefault="00963F10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IgG ou gama-globulina</w:t>
            </w: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&gt;limite normal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</w:t>
            </w:r>
          </w:p>
        </w:tc>
      </w:tr>
      <w:tr w:rsidR="006F6599">
        <w:trPr>
          <w:trHeight w:val="276"/>
        </w:trPr>
        <w:tc>
          <w:tcPr>
            <w:tcW w:w="5650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&gt; 1,1 vez o limite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</w:tr>
      <w:tr w:rsidR="006F6599">
        <w:trPr>
          <w:trHeight w:val="273"/>
        </w:trPr>
        <w:tc>
          <w:tcPr>
            <w:tcW w:w="5650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4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1733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278"/>
        </w:trPr>
        <w:tc>
          <w:tcPr>
            <w:tcW w:w="5650" w:type="dxa"/>
          </w:tcPr>
          <w:p w:rsidR="006F6599" w:rsidRDefault="00963F10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Biópsia hepática (evidência de hepatite é indispensável)</w:t>
            </w: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8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Compatível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8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</w:t>
            </w:r>
          </w:p>
        </w:tc>
      </w:tr>
      <w:tr w:rsidR="006F6599">
        <w:trPr>
          <w:trHeight w:val="276"/>
        </w:trPr>
        <w:tc>
          <w:tcPr>
            <w:tcW w:w="5650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Típica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</w:tr>
      <w:tr w:rsidR="006F6599">
        <w:trPr>
          <w:trHeight w:val="275"/>
        </w:trPr>
        <w:tc>
          <w:tcPr>
            <w:tcW w:w="5650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Atípica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F6599">
        <w:trPr>
          <w:trHeight w:val="276"/>
        </w:trPr>
        <w:tc>
          <w:tcPr>
            <w:tcW w:w="5650" w:type="dxa"/>
          </w:tcPr>
          <w:p w:rsidR="006F6599" w:rsidRDefault="00963F10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Hepatite viral</w:t>
            </w:r>
          </w:p>
        </w:tc>
        <w:tc>
          <w:tcPr>
            <w:tcW w:w="2408" w:type="dxa"/>
          </w:tcPr>
          <w:p w:rsidR="006F6599" w:rsidRDefault="00963F10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733" w:type="dxa"/>
          </w:tcPr>
          <w:p w:rsidR="006F6599" w:rsidRDefault="00963F10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F6599">
        <w:trPr>
          <w:trHeight w:val="276"/>
        </w:trPr>
        <w:tc>
          <w:tcPr>
            <w:tcW w:w="5650" w:type="dxa"/>
            <w:tcBorders>
              <w:bottom w:val="single" w:sz="4" w:space="0" w:color="000000"/>
            </w:tcBorders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56" w:lineRule="exact"/>
              <w:ind w:left="66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</w:tr>
    </w:tbl>
    <w:p w:rsidR="006F6599" w:rsidRDefault="006F6599">
      <w:pPr>
        <w:pStyle w:val="Corpodetexto"/>
        <w:spacing w:before="10"/>
        <w:ind w:left="0"/>
        <w:rPr>
          <w:sz w:val="23"/>
        </w:rPr>
      </w:pPr>
    </w:p>
    <w:p w:rsidR="006F6599" w:rsidRDefault="00963F10">
      <w:pPr>
        <w:pStyle w:val="Corpodetexto"/>
        <w:spacing w:line="228" w:lineRule="auto"/>
        <w:ind w:right="416" w:firstLine="566"/>
      </w:pPr>
      <w:r>
        <w:t>A doença é considerada provável se o paciente atingir 6 pontos e definitiva, se alcançar 7 ou mais pontos</w:t>
      </w:r>
      <w:r>
        <w:rPr>
          <w:position w:val="9"/>
          <w:sz w:val="16"/>
        </w:rPr>
        <w:t>12</w:t>
      </w:r>
      <w:r>
        <w:t>.</w:t>
      </w:r>
    </w:p>
    <w:p w:rsidR="006F6599" w:rsidRDefault="006F6599">
      <w:pPr>
        <w:pStyle w:val="Corpodetexto"/>
        <w:spacing w:before="6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spacing w:line="266" w:lineRule="exact"/>
        <w:ind w:left="469" w:hanging="216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RITÉRIOS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INCLUSÃO</w:t>
      </w:r>
    </w:p>
    <w:p w:rsidR="006F6599" w:rsidRDefault="00963F10">
      <w:pPr>
        <w:pStyle w:val="Corpodetexto"/>
        <w:spacing w:line="281" w:lineRule="exact"/>
        <w:ind w:left="973"/>
      </w:pPr>
      <w:r>
        <w:t>Serão incluídos neste Protocolo os pacientes que apresentem as duas condições abaixo</w:t>
      </w:r>
      <w:r>
        <w:rPr>
          <w:position w:val="9"/>
          <w:sz w:val="16"/>
        </w:rPr>
        <w:t>22</w:t>
      </w:r>
      <w:r>
        <w:t>: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400"/>
        </w:tabs>
        <w:ind w:right="256" w:firstLine="0"/>
        <w:jc w:val="left"/>
        <w:rPr>
          <w:sz w:val="24"/>
        </w:rPr>
      </w:pPr>
      <w:r>
        <w:rPr>
          <w:sz w:val="24"/>
        </w:rPr>
        <w:t>diagnóstico definido ou provável de HAI segundo a escala ERDHAI ou, se houver outras doenças autoimunes concomitantes, os critérios simplificados;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spacing w:line="268" w:lineRule="exact"/>
        <w:ind w:left="392" w:hanging="139"/>
        <w:jc w:val="left"/>
        <w:rPr>
          <w:sz w:val="24"/>
        </w:rPr>
      </w:pPr>
      <w:r>
        <w:rPr>
          <w:sz w:val="24"/>
        </w:rPr>
        <w:t>pelo menos um dos i</w:t>
      </w:r>
      <w:r>
        <w:rPr>
          <w:sz w:val="24"/>
        </w:rPr>
        <w:t>tens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6F6599" w:rsidRDefault="00963F10">
      <w:pPr>
        <w:pStyle w:val="PargrafodaLista"/>
        <w:numPr>
          <w:ilvl w:val="0"/>
          <w:numId w:val="11"/>
        </w:numPr>
        <w:tabs>
          <w:tab w:val="left" w:pos="973"/>
          <w:tab w:val="left" w:pos="974"/>
        </w:tabs>
        <w:spacing w:line="284" w:lineRule="exact"/>
        <w:ind w:firstLine="0"/>
        <w:rPr>
          <w:sz w:val="24"/>
        </w:rPr>
      </w:pPr>
      <w:r>
        <w:rPr>
          <w:sz w:val="24"/>
        </w:rPr>
        <w:t>AST/TGO 10 vezes acima do valor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position w:val="9"/>
          <w:sz w:val="16"/>
        </w:rPr>
        <w:t>6</w:t>
      </w:r>
      <w:r>
        <w:rPr>
          <w:sz w:val="24"/>
        </w:rPr>
        <w:t>;</w:t>
      </w:r>
    </w:p>
    <w:p w:rsidR="006F6599" w:rsidRDefault="00963F10">
      <w:pPr>
        <w:pStyle w:val="PargrafodaLista"/>
        <w:numPr>
          <w:ilvl w:val="0"/>
          <w:numId w:val="11"/>
        </w:numPr>
        <w:tabs>
          <w:tab w:val="left" w:pos="973"/>
          <w:tab w:val="left" w:pos="974"/>
        </w:tabs>
        <w:spacing w:before="11" w:line="228" w:lineRule="auto"/>
        <w:ind w:right="260" w:firstLine="0"/>
        <w:rPr>
          <w:sz w:val="24"/>
        </w:rPr>
      </w:pPr>
      <w:r>
        <w:rPr>
          <w:sz w:val="24"/>
        </w:rPr>
        <w:t>AST/TGP 5 vezes acima do valor normal associado a gamaglobulina 2 vezes acima do valor normal</w:t>
      </w:r>
      <w:r>
        <w:rPr>
          <w:position w:val="9"/>
          <w:sz w:val="16"/>
        </w:rPr>
        <w:t>6</w:t>
      </w:r>
      <w:r>
        <w:rPr>
          <w:sz w:val="24"/>
        </w:rPr>
        <w:t>;</w:t>
      </w:r>
    </w:p>
    <w:p w:rsidR="006F6599" w:rsidRDefault="00963F10">
      <w:pPr>
        <w:pStyle w:val="PargrafodaLista"/>
        <w:numPr>
          <w:ilvl w:val="0"/>
          <w:numId w:val="11"/>
        </w:numPr>
        <w:tabs>
          <w:tab w:val="left" w:pos="973"/>
          <w:tab w:val="left" w:pos="974"/>
        </w:tabs>
        <w:spacing w:line="270" w:lineRule="exact"/>
        <w:ind w:firstLine="0"/>
        <w:rPr>
          <w:sz w:val="24"/>
        </w:rPr>
      </w:pPr>
      <w:r>
        <w:rPr>
          <w:sz w:val="24"/>
        </w:rPr>
        <w:t>pontuação no índice de atividade histológica maior ou igual a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position w:val="9"/>
          <w:sz w:val="16"/>
        </w:rPr>
        <w:t>19,23</w:t>
      </w:r>
      <w:r>
        <w:rPr>
          <w:sz w:val="24"/>
        </w:rPr>
        <w:t>;</w:t>
      </w:r>
    </w:p>
    <w:p w:rsidR="006F6599" w:rsidRDefault="00963F10">
      <w:pPr>
        <w:pStyle w:val="PargrafodaLista"/>
        <w:numPr>
          <w:ilvl w:val="0"/>
          <w:numId w:val="11"/>
        </w:numPr>
        <w:tabs>
          <w:tab w:val="left" w:pos="973"/>
          <w:tab w:val="left" w:pos="974"/>
        </w:tabs>
        <w:spacing w:line="276" w:lineRule="exact"/>
        <w:ind w:firstLine="0"/>
        <w:rPr>
          <w:sz w:val="24"/>
        </w:rPr>
      </w:pPr>
      <w:r>
        <w:rPr>
          <w:sz w:val="24"/>
        </w:rPr>
        <w:t>hepatite de interface, necrose em ponte ou multilobular à</w:t>
      </w:r>
      <w:r>
        <w:rPr>
          <w:spacing w:val="-5"/>
          <w:sz w:val="24"/>
        </w:rPr>
        <w:t xml:space="preserve"> </w:t>
      </w:r>
      <w:r>
        <w:rPr>
          <w:sz w:val="24"/>
        </w:rPr>
        <w:t>histologia</w:t>
      </w:r>
      <w:r>
        <w:rPr>
          <w:position w:val="9"/>
          <w:sz w:val="16"/>
        </w:rPr>
        <w:t>24</w:t>
      </w:r>
      <w:r>
        <w:rPr>
          <w:sz w:val="24"/>
        </w:rPr>
        <w:t>;</w:t>
      </w:r>
    </w:p>
    <w:p w:rsidR="006F6599" w:rsidRDefault="00963F10">
      <w:pPr>
        <w:pStyle w:val="PargrafodaLista"/>
        <w:numPr>
          <w:ilvl w:val="0"/>
          <w:numId w:val="11"/>
        </w:numPr>
        <w:tabs>
          <w:tab w:val="left" w:pos="973"/>
          <w:tab w:val="left" w:pos="974"/>
        </w:tabs>
        <w:spacing w:line="284" w:lineRule="exact"/>
        <w:ind w:firstLine="0"/>
        <w:rPr>
          <w:sz w:val="24"/>
        </w:rPr>
      </w:pPr>
      <w:r>
        <w:rPr>
          <w:sz w:val="24"/>
        </w:rPr>
        <w:t>cirrose com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inflamatória</w:t>
      </w:r>
      <w:r>
        <w:rPr>
          <w:position w:val="9"/>
          <w:sz w:val="16"/>
        </w:rPr>
        <w:t>25</w:t>
      </w:r>
      <w:r>
        <w:rPr>
          <w:sz w:val="24"/>
        </w:rPr>
        <w:t>;</w:t>
      </w:r>
    </w:p>
    <w:p w:rsidR="006F6599" w:rsidRDefault="00963F10">
      <w:pPr>
        <w:pStyle w:val="PargrafodaLista"/>
        <w:numPr>
          <w:ilvl w:val="0"/>
          <w:numId w:val="11"/>
        </w:numPr>
        <w:tabs>
          <w:tab w:val="left" w:pos="973"/>
          <w:tab w:val="left" w:pos="974"/>
        </w:tabs>
        <w:ind w:firstLine="0"/>
        <w:rPr>
          <w:sz w:val="24"/>
        </w:rPr>
      </w:pPr>
      <w:r>
        <w:rPr>
          <w:sz w:val="24"/>
        </w:rPr>
        <w:t>sintomas constitucionais</w:t>
      </w:r>
      <w:r>
        <w:rPr>
          <w:spacing w:val="-1"/>
          <w:sz w:val="24"/>
        </w:rPr>
        <w:t xml:space="preserve"> </w:t>
      </w:r>
      <w:r>
        <w:rPr>
          <w:sz w:val="24"/>
        </w:rPr>
        <w:t>incapacitantes.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spacing w:line="274" w:lineRule="exact"/>
        <w:ind w:left="469" w:hanging="216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RITÉRIOS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EXCLUSÃO</w:t>
      </w:r>
    </w:p>
    <w:p w:rsidR="006F6599" w:rsidRDefault="00963F10">
      <w:pPr>
        <w:pStyle w:val="Corpodetexto"/>
        <w:spacing w:line="274" w:lineRule="exact"/>
        <w:ind w:left="973"/>
      </w:pPr>
      <w:r>
        <w:t>Serão excluídos deste Protocolo os pacientes que apresentarem: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439"/>
        </w:tabs>
        <w:spacing w:before="3" w:line="276" w:lineRule="auto"/>
        <w:ind w:right="252" w:firstLine="0"/>
        <w:jc w:val="left"/>
        <w:rPr>
          <w:sz w:val="24"/>
        </w:rPr>
      </w:pPr>
      <w:r>
        <w:rPr>
          <w:sz w:val="24"/>
        </w:rPr>
        <w:t>biópsia hepática com ausência de infiltrado inflamatório (ausência de atividade), mesmo com cirrose, pois não há evidência de benefício de terapia imunossupressora nestes</w:t>
      </w:r>
      <w:r>
        <w:rPr>
          <w:spacing w:val="-8"/>
          <w:sz w:val="24"/>
        </w:rPr>
        <w:t xml:space="preserve"> </w:t>
      </w:r>
      <w:r>
        <w:rPr>
          <w:sz w:val="24"/>
        </w:rPr>
        <w:t>casos;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spacing w:line="275" w:lineRule="exact"/>
        <w:ind w:left="392" w:hanging="139"/>
        <w:jc w:val="left"/>
        <w:rPr>
          <w:sz w:val="24"/>
        </w:rPr>
      </w:pPr>
      <w:r>
        <w:rPr>
          <w:sz w:val="24"/>
        </w:rPr>
        <w:t>diagnóstico de colangite biliar primária ou de colangite esclerosante</w:t>
      </w:r>
      <w:r>
        <w:rPr>
          <w:spacing w:val="-8"/>
          <w:sz w:val="24"/>
        </w:rPr>
        <w:t xml:space="preserve"> </w:t>
      </w:r>
      <w:r>
        <w:rPr>
          <w:sz w:val="24"/>
        </w:rPr>
        <w:t>primária</w:t>
      </w:r>
      <w:r>
        <w:rPr>
          <w:sz w:val="24"/>
        </w:rPr>
        <w:t>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spacing w:before="38"/>
        <w:ind w:left="392" w:hanging="139"/>
        <w:jc w:val="left"/>
        <w:rPr>
          <w:sz w:val="24"/>
        </w:rPr>
      </w:pPr>
      <w:r>
        <w:rPr>
          <w:sz w:val="24"/>
        </w:rPr>
        <w:t>evidência de causas infecciosas, tóxicas ou metabólicas;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>contraindicação ou intolerância ao uso de prednisona ou</w:t>
      </w:r>
      <w:r>
        <w:rPr>
          <w:spacing w:val="-1"/>
          <w:sz w:val="24"/>
        </w:rPr>
        <w:t xml:space="preserve"> </w:t>
      </w:r>
      <w:r>
        <w:rPr>
          <w:sz w:val="24"/>
        </w:rPr>
        <w:t>azatioprina.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ind w:left="469" w:hanging="216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ASOS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ESPECIAIS</w:t>
      </w:r>
    </w:p>
    <w:p w:rsidR="006F6599" w:rsidRDefault="00963F10">
      <w:pPr>
        <w:pStyle w:val="Ttulo1"/>
        <w:spacing w:line="240" w:lineRule="auto"/>
      </w:pPr>
      <w:r>
        <w:t>Crianças</w:t>
      </w:r>
    </w:p>
    <w:p w:rsidR="006F6599" w:rsidRDefault="006F6599">
      <w:pPr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Corpodetexto"/>
        <w:spacing w:before="66" w:line="271" w:lineRule="auto"/>
        <w:ind w:right="248" w:firstLine="566"/>
        <w:jc w:val="both"/>
      </w:pPr>
      <w:r>
        <w:lastRenderedPageBreak/>
        <w:t>O tratamento preconizado para crianças é semelhante ao dos adultos, tanto com prednisona em monoterapia quanto com prednisona e azatioprina, porém o tratamento tem sido menos estudado nessa faixa etária. Com a intenção de diminuir os efeitos deletérios sob</w:t>
      </w:r>
      <w:r>
        <w:t>re o crescimento, o desenvolvimento ósseo e a aparência física, é comum o uso de corticosteroide em dias alternados</w:t>
      </w:r>
      <w:r>
        <w:rPr>
          <w:position w:val="9"/>
          <w:sz w:val="16"/>
        </w:rPr>
        <w:t>26</w:t>
      </w:r>
      <w:r>
        <w:t>. Pacientes pediátricos podem apresentar gravidade maior do que os adultos, com menor probabilidade de remissão sustentada sem o uso de med</w:t>
      </w:r>
      <w:r>
        <w:t>icamentos e maiores taxas de recidiva. Os princípios do tratamento de crianças com HAI são semelhantes aos dos</w:t>
      </w:r>
      <w:r>
        <w:rPr>
          <w:spacing w:val="-1"/>
        </w:rPr>
        <w:t xml:space="preserve"> </w:t>
      </w:r>
      <w:r>
        <w:t>adultos</w:t>
      </w:r>
      <w:r>
        <w:rPr>
          <w:position w:val="9"/>
          <w:sz w:val="16"/>
        </w:rPr>
        <w:t>19</w:t>
      </w:r>
      <w:r>
        <w:t>.</w:t>
      </w:r>
    </w:p>
    <w:p w:rsidR="006F6599" w:rsidRDefault="006F6599">
      <w:pPr>
        <w:pStyle w:val="Corpodetexto"/>
        <w:ind w:left="0"/>
        <w:rPr>
          <w:sz w:val="25"/>
        </w:rPr>
      </w:pPr>
    </w:p>
    <w:p w:rsidR="006F6599" w:rsidRDefault="00963F10">
      <w:pPr>
        <w:pStyle w:val="Ttulo1"/>
      </w:pPr>
      <w:r>
        <w:t>Mulheres pós-menopáusicas e pacientes idosos</w:t>
      </w:r>
    </w:p>
    <w:p w:rsidR="006F6599" w:rsidRDefault="00963F10">
      <w:pPr>
        <w:pStyle w:val="Corpodetexto"/>
        <w:ind w:right="253" w:firstLine="720"/>
        <w:jc w:val="both"/>
      </w:pPr>
      <w:r>
        <w:t xml:space="preserve">Este grupo não difere quanto ao benefício alcançado com a terapia ou quanto à gravidade </w:t>
      </w:r>
      <w:r>
        <w:t>da apresentação clínica, tendo as mesmas indicações de tratamento dos outros pacientes. Entretanto, apresentam risco aumentado para osteopenia, osteoporose e fraturas com o uso de corticosteroide, especialmente se prolongado. Os esquemas de manutenção deve</w:t>
      </w:r>
      <w:r>
        <w:t>m ser realizados com doses baixas de corticosteroide ou com azatioprina, caso ocorram múltiplas recaídas. Também deve ser oferecida profilaxia para osteoporose quando os pacientes estiverem recebendo mais de 5 mg de prednisona por mais de três meses, confo</w:t>
      </w:r>
      <w:r>
        <w:t>rme o Protocolo Clínico e Diretrizes Terapêuticas do Ministério da Saúde da Osteoporose vigente.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Ttulo1"/>
        <w:spacing w:line="266" w:lineRule="exact"/>
      </w:pPr>
      <w:r>
        <w:t>Portadores de cirrose</w:t>
      </w:r>
    </w:p>
    <w:p w:rsidR="006F6599" w:rsidRDefault="00963F10">
      <w:pPr>
        <w:pStyle w:val="Corpodetexto"/>
        <w:ind w:right="249" w:firstLine="720"/>
        <w:jc w:val="both"/>
      </w:pPr>
      <w:r>
        <w:t>Pacientes com cirrose respondem ao tratamento tão bem quanto os não cirróticos</w:t>
      </w:r>
      <w:r>
        <w:rPr>
          <w:position w:val="9"/>
          <w:sz w:val="16"/>
        </w:rPr>
        <w:t>7</w:t>
      </w:r>
      <w:r>
        <w:t>. Os com ascite e encefalopatia hepática têm pior prognós</w:t>
      </w:r>
      <w:r>
        <w:t>tico, mas a estabilização pode ser obtida com terapia específica para a descompensação hepática associada a imunossupressores. A decisão de transplante deve ser adiada, se possível por duas semanas, a fim de se observar a resposta terapêutica. Pode haver m</w:t>
      </w:r>
      <w:r>
        <w:t>aior incidência de efeitos adversos do corticosteroide, secundários a hipoalbuminemia e hiperbilirrubinemia, motivo pelo qual preconizam-se doses baixas de corticosteroide ou a sua associação com</w:t>
      </w:r>
      <w:r>
        <w:rPr>
          <w:spacing w:val="1"/>
        </w:rPr>
        <w:t xml:space="preserve"> </w:t>
      </w:r>
      <w:r>
        <w:t>azatioprina.</w:t>
      </w:r>
    </w:p>
    <w:p w:rsidR="006F6599" w:rsidRDefault="006F6599">
      <w:pPr>
        <w:pStyle w:val="Corpodetexto"/>
        <w:spacing w:before="7"/>
        <w:ind w:left="0"/>
        <w:rPr>
          <w:sz w:val="23"/>
        </w:rPr>
      </w:pPr>
    </w:p>
    <w:p w:rsidR="006F6599" w:rsidRDefault="00963F10">
      <w:pPr>
        <w:pStyle w:val="Ttulo1"/>
      </w:pPr>
      <w:r>
        <w:t>Gestantes</w:t>
      </w:r>
    </w:p>
    <w:p w:rsidR="006F6599" w:rsidRDefault="00963F10">
      <w:pPr>
        <w:pStyle w:val="Corpodetexto"/>
        <w:spacing w:line="237" w:lineRule="auto"/>
        <w:ind w:right="253" w:firstLine="720"/>
        <w:jc w:val="both"/>
      </w:pPr>
      <w:r>
        <w:t>Pacientes com HAI e com cirrose não têm contraindicação para gestação, embora haja maior risco de parto prematuro, baixo peso ao nascimento e necessidade de cesariana. Pacientes com quadros avançados de cirrose podem ter complicações durante a gestação pel</w:t>
      </w:r>
      <w:r>
        <w:t>as alterações hemodinâmicas que ocorrem; está indicada contracepção se estiverem menstruando. A maioria das mulheres com cirrose avançada já apresenta amenorreia, não necessitando de anticoncepção. Existe preocupação com o potencial teratogênico da azatiop</w:t>
      </w:r>
      <w:r>
        <w:t>rina. Mesmo que esse risco seja baixo, recomenda-se, durante a gestação, monoterapia com corticosteroide, que elimina essa apreensão</w:t>
      </w:r>
      <w:r>
        <w:rPr>
          <w:position w:val="9"/>
          <w:sz w:val="16"/>
        </w:rPr>
        <w:t>26</w:t>
      </w:r>
      <w:r>
        <w:t>.</w:t>
      </w:r>
    </w:p>
    <w:p w:rsidR="006F6599" w:rsidRDefault="006F6599">
      <w:pPr>
        <w:pStyle w:val="Corpodetexto"/>
        <w:spacing w:before="7"/>
        <w:ind w:left="0"/>
      </w:pPr>
    </w:p>
    <w:p w:rsidR="006F6599" w:rsidRDefault="00963F10">
      <w:pPr>
        <w:pStyle w:val="Ttulo1"/>
      </w:pPr>
      <w:r>
        <w:t>Pacientes com HAI de apresentação aguda</w:t>
      </w:r>
    </w:p>
    <w:p w:rsidR="006F6599" w:rsidRDefault="00963F10">
      <w:pPr>
        <w:pStyle w:val="Corpodetexto"/>
        <w:ind w:right="255" w:firstLine="720"/>
        <w:jc w:val="both"/>
      </w:pPr>
      <w:r>
        <w:t>Os pacientes podem se apresentar com hepatite aguda e, raramente, com HAI fulminante. Devem ser tratados prontamente com corticosteroide, sendo a taxa de resposta semelhante à de outros pacientes com HAI.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Ttulo1"/>
      </w:pPr>
      <w:r>
        <w:t>Pacientes com sobreposição de manifestação (</w:t>
      </w:r>
      <w:r>
        <w:rPr>
          <w:i/>
        </w:rPr>
        <w:t>overla</w:t>
      </w:r>
      <w:r>
        <w:rPr>
          <w:i/>
        </w:rPr>
        <w:t>p</w:t>
      </w:r>
      <w:r>
        <w:t>)</w:t>
      </w:r>
    </w:p>
    <w:p w:rsidR="006F6599" w:rsidRDefault="00963F10">
      <w:pPr>
        <w:pStyle w:val="Corpodetexto"/>
        <w:ind w:right="247" w:firstLine="720"/>
        <w:jc w:val="both"/>
      </w:pPr>
      <w:r>
        <w:t>Algumas características da HAI, como hipergamaglobulinemia, autoanticorpos e hepatite de interface podem estar presentes em outras doenças hepáticas. Em alguns casos, pode haver sobreposição de manifestações em que duas doenças possam coexistir. Há dive</w:t>
      </w:r>
      <w:r>
        <w:t>rsos relatos de sobreposição de HAI com doenças colestáticas, principalmente cirrose biliar primária (CBP) - anteriormente conhecida por cirrose biliar primária - e colangite esclerosante primária (CEP). Inexiste uma nomenclatura unificada internacionalmen</w:t>
      </w:r>
      <w:r>
        <w:t xml:space="preserve">te para essas situações, sendo  frequentemente denominadas de HAI/CBP, CBP com anticorpo antimitocondrial (AMA) negativo, HAI com AMA positivo, HAI colestática, HAI/CEP, colangite autoimune e colangiopatia autoimune. Essas síndromes são denominadas de HAI </w:t>
      </w:r>
      <w:r>
        <w:t>com</w:t>
      </w:r>
      <w:r>
        <w:rPr>
          <w:spacing w:val="-2"/>
        </w:rPr>
        <w:t xml:space="preserve"> </w:t>
      </w:r>
      <w:r>
        <w:rPr>
          <w:i/>
        </w:rPr>
        <w:t>overlap</w:t>
      </w:r>
      <w:r>
        <w:t>.</w:t>
      </w:r>
    </w:p>
    <w:p w:rsidR="006F6599" w:rsidRDefault="006F6599">
      <w:pPr>
        <w:jc w:val="both"/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Corpodetexto"/>
        <w:spacing w:before="66" w:line="271" w:lineRule="auto"/>
        <w:ind w:right="247" w:firstLine="566"/>
        <w:jc w:val="both"/>
      </w:pPr>
      <w:r>
        <w:lastRenderedPageBreak/>
        <w:t>Em sua publicação mais recente, o IAIHG sugere que pacientes com doenças autoimunes do fígado devam ser categorizados de acordo com suas características predominantes como doentes de HAI, CBP ou CEP e que indivíduos com achados d</w:t>
      </w:r>
      <w:r>
        <w:t>e sobreposição devam ser classificados como doentes de uma destas três entidades diagnósticas distintas</w:t>
      </w:r>
      <w:r>
        <w:rPr>
          <w:position w:val="9"/>
          <w:sz w:val="16"/>
        </w:rPr>
        <w:t>27</w:t>
      </w:r>
      <w:r>
        <w:t>. O escore ERDHAI não é apropriado para a identificação do subgrupo de pacientes ditos com “overlap”</w:t>
      </w:r>
      <w:r>
        <w:rPr>
          <w:position w:val="9"/>
          <w:sz w:val="16"/>
        </w:rPr>
        <w:t>27</w:t>
      </w:r>
      <w:r>
        <w:t>. O IAIHG afirma que pacientes com achados histol</w:t>
      </w:r>
      <w:r>
        <w:t>ógicos compatíveis com HAI e que também apresentem evidência histológica clara de lesão de ducto biliar ou granulomas bem definidos não devem ser considerados como doentes de HAI</w:t>
      </w:r>
      <w:r>
        <w:rPr>
          <w:position w:val="9"/>
          <w:sz w:val="16"/>
        </w:rPr>
        <w:t>20,27</w:t>
      </w:r>
      <w:r>
        <w:t>. Pacientes com AMA positivo em altos títulos devem ser considerados, seg</w:t>
      </w:r>
      <w:r>
        <w:t>undo o conhecimento atual, como doentes de CBP e deverão receber tratamento para esta condição</w:t>
      </w:r>
      <w:r>
        <w:rPr>
          <w:position w:val="9"/>
          <w:sz w:val="16"/>
        </w:rPr>
        <w:t>20,27</w:t>
      </w:r>
      <w:r>
        <w:t>. À histologia, a presença de degeneração do epitélio dos ductos biliares, obliteração focal de ductos biliares e formação de granulomas é altamente sugestiv</w:t>
      </w:r>
      <w:r>
        <w:t>a de CBP</w:t>
      </w:r>
      <w:r>
        <w:rPr>
          <w:position w:val="9"/>
          <w:sz w:val="16"/>
        </w:rPr>
        <w:t>27</w:t>
      </w:r>
      <w:r>
        <w:t xml:space="preserve">. Já pacientes AMA negativos, com elevação da fosfatase alcalina ≥3 vezes o limite superior normal, achados histológicos de inflamação da tríade portal com infiltração de linfócitos nos ductos biliares e proliferação ductal  têm quadro altamente </w:t>
      </w:r>
      <w:r>
        <w:t>sugestivo de</w:t>
      </w:r>
      <w:r>
        <w:rPr>
          <w:spacing w:val="-3"/>
        </w:rPr>
        <w:t xml:space="preserve"> </w:t>
      </w:r>
      <w:r>
        <w:t>CEP</w:t>
      </w:r>
      <w:r>
        <w:rPr>
          <w:position w:val="9"/>
          <w:sz w:val="16"/>
        </w:rPr>
        <w:t>27</w:t>
      </w:r>
      <w:r>
        <w:t>.</w:t>
      </w:r>
    </w:p>
    <w:p w:rsidR="006F6599" w:rsidRDefault="00963F10">
      <w:pPr>
        <w:pStyle w:val="Corpodetexto"/>
        <w:spacing w:line="266" w:lineRule="auto"/>
        <w:ind w:right="250" w:firstLine="566"/>
        <w:jc w:val="both"/>
      </w:pPr>
      <w:r>
        <w:t>De qualquer forma, essas sobreposições são raras. Aproximadamente, 2% a 19% dos pacientes com CBP e 7% a 14% dos pacientes com CEP apresentam características de HAI</w:t>
      </w:r>
      <w:r>
        <w:rPr>
          <w:position w:val="9"/>
          <w:sz w:val="16"/>
        </w:rPr>
        <w:t>27</w:t>
      </w:r>
      <w:r>
        <w:t>. Segundo o IAIHG, não há recomendação baseada em evidências para o tr</w:t>
      </w:r>
      <w:r>
        <w:t>atamento de pacientes com HAI e características concomitantes de CBP ou de</w:t>
      </w:r>
      <w:r>
        <w:rPr>
          <w:spacing w:val="-4"/>
        </w:rPr>
        <w:t xml:space="preserve"> </w:t>
      </w:r>
      <w:r>
        <w:t>CEP</w:t>
      </w:r>
      <w:r>
        <w:rPr>
          <w:position w:val="9"/>
          <w:sz w:val="16"/>
        </w:rPr>
        <w:t>27</w:t>
      </w:r>
      <w:r>
        <w:t>.</w:t>
      </w:r>
    </w:p>
    <w:p w:rsidR="006F6599" w:rsidRDefault="006F6599">
      <w:pPr>
        <w:pStyle w:val="Corpodetexto"/>
        <w:ind w:left="0"/>
        <w:rPr>
          <w:sz w:val="28"/>
        </w:rPr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spacing w:before="234" w:line="274" w:lineRule="exact"/>
        <w:ind w:left="469" w:hanging="216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RATAMENTO</w:t>
      </w:r>
    </w:p>
    <w:p w:rsidR="006F6599" w:rsidRDefault="00963F10">
      <w:pPr>
        <w:pStyle w:val="Corpodetexto"/>
        <w:ind w:right="260" w:firstLine="720"/>
        <w:jc w:val="both"/>
      </w:pPr>
      <w:r>
        <w:t>Este PCDT versa exclusivamente sobre o tratamento de HAI; pacientes com formas variantes (“overlap”, sobreposição ou imbricamento), ou com CBP ou CEP não são</w:t>
      </w:r>
      <w:r>
        <w:rPr>
          <w:spacing w:val="-9"/>
        </w:rPr>
        <w:t xml:space="preserve"> </w:t>
      </w:r>
      <w:r>
        <w:t>incl</w:t>
      </w:r>
      <w:r>
        <w:t>uídos.</w:t>
      </w:r>
    </w:p>
    <w:p w:rsidR="006F6599" w:rsidRDefault="00963F10">
      <w:pPr>
        <w:pStyle w:val="Corpodetexto"/>
        <w:spacing w:line="237" w:lineRule="auto"/>
        <w:ind w:right="253" w:firstLine="720"/>
        <w:jc w:val="both"/>
      </w:pPr>
      <w:r>
        <w:t>Três ensaios clínicos clássicos avaliaram a utilidade da terapia imunossupressora para HAI. O primeiro, publicado em 1971, avaliou 49 pacientes com o diagnóstico de “hepatite crônica ativa”. Os pacientes foram randomizados para receber prednisolona (15 mg)</w:t>
      </w:r>
      <w:r>
        <w:t xml:space="preserve"> ou permanecer em acompanhamento sem tratamento. Houve diminuição significativa dos níveis da bilirrubina sérica e das globulinas totais com aumento dos níveis de albumina sérica dos que receberam prednisolona em relação aos controles. Após 6 anos de acomp</w:t>
      </w:r>
      <w:r>
        <w:t>anhamento, morreram 3 (13,6%) dos 22 pacientes do grupo prednisolona e 15 (55,6%) dos 27 do grupo controle (p &lt; 0,01)</w:t>
      </w:r>
      <w:r>
        <w:rPr>
          <w:position w:val="9"/>
          <w:sz w:val="16"/>
        </w:rPr>
        <w:t>27</w:t>
      </w:r>
      <w:r>
        <w:t>.</w:t>
      </w:r>
    </w:p>
    <w:p w:rsidR="006F6599" w:rsidRDefault="00963F10">
      <w:pPr>
        <w:pStyle w:val="Corpodetexto"/>
        <w:spacing w:before="5" w:line="237" w:lineRule="auto"/>
        <w:ind w:right="251" w:firstLine="720"/>
        <w:jc w:val="both"/>
      </w:pPr>
      <w:r>
        <w:t>Um segundo estudo realizado em 63 pacientes com “doença hepática crônica ativa acentuada” comparou o tratamento com prednisona (20 mg/d</w:t>
      </w:r>
      <w:r>
        <w:t>ia), prednisona (10 mg/dia) associada a azatioprina (50 mg/dia), azatioprina (100 mg/dia) ou placebo. O estudo foi duplo-cego, mas não deixou claro se os grupos foram randomizados. Houve aumento na sobrevida, resolução dos exames de bioquímica hepática e m</w:t>
      </w:r>
      <w:r>
        <w:t>elhora histológica nos pacientes que receberam prednisona ou associação de prednisona e azatioprina em relação ao grupo azatioprina em monoterapia e ao grupo placebo</w:t>
      </w:r>
      <w:r>
        <w:rPr>
          <w:position w:val="9"/>
          <w:sz w:val="16"/>
        </w:rPr>
        <w:t>6</w:t>
      </w:r>
      <w:r>
        <w:t>.</w:t>
      </w:r>
    </w:p>
    <w:p w:rsidR="006F6599" w:rsidRDefault="00963F10">
      <w:pPr>
        <w:pStyle w:val="Corpodetexto"/>
        <w:spacing w:before="4" w:line="237" w:lineRule="auto"/>
        <w:ind w:right="249" w:firstLine="720"/>
        <w:jc w:val="both"/>
      </w:pPr>
      <w:r>
        <w:t>Um terceiro estudo randomizado com 47 pacientes comparou a eficácia de prednisona (15 mg</w:t>
      </w:r>
      <w:r>
        <w:t>/dia) em relação a azatioprina (75 mg/dia) na terapia de manutenção de pacientes com “hepatite crônica ativa” após tratamento de indução com prednisona (30 mg/dia) e azatioprina (112,5 mg/dia) por 4 semanas. O estudo foi interrompido após 2 anos de seguime</w:t>
      </w:r>
      <w:r>
        <w:t>nto, pois a sobrevida no grupo prednisona naquele momento era de 95% e no grupo azatioprina, de 72%. Os autores não calcularam a significância estatística exata, pois os dados não tinham uma distribuição normal</w:t>
      </w:r>
      <w:r>
        <w:rPr>
          <w:position w:val="9"/>
          <w:sz w:val="16"/>
        </w:rPr>
        <w:t>25</w:t>
      </w:r>
      <w:r>
        <w:t>. Analisando-se os resultados desses estudos</w:t>
      </w:r>
      <w:r>
        <w:t>, fica claro o benefício de prednisona em monoterapia ou associada a azatioprina, mas não de azatioprina isoladamente, em aumentar a expectativa de vida desses</w:t>
      </w:r>
      <w:r>
        <w:rPr>
          <w:spacing w:val="-1"/>
        </w:rPr>
        <w:t xml:space="preserve"> </w:t>
      </w:r>
      <w:r>
        <w:t>pacientes.</w:t>
      </w:r>
    </w:p>
    <w:p w:rsidR="006F6599" w:rsidRDefault="00963F10">
      <w:pPr>
        <w:pStyle w:val="Corpodetexto"/>
        <w:spacing w:before="8"/>
        <w:ind w:right="256" w:firstLine="720"/>
        <w:jc w:val="both"/>
      </w:pPr>
      <w:r>
        <w:t>Havia dúvida quanto ao impacto da insuficiência hepática na biotransformação de predn</w:t>
      </w:r>
      <w:r>
        <w:t>isona a prednisolona, que é o seu metabólito ativo, o que poderia diminuir sua eficácia em pacientes hepatopatas. Um estudo avaliou os parâmetros farmacocinéticos de prednisona em comparação com os mesmos parâmetros em voluntários sadios. Não foi encontrad</w:t>
      </w:r>
      <w:r>
        <w:t>a</w:t>
      </w:r>
      <w:r>
        <w:rPr>
          <w:spacing w:val="32"/>
        </w:rPr>
        <w:t xml:space="preserve"> </w:t>
      </w:r>
      <w:r>
        <w:t>nenhuma</w:t>
      </w:r>
    </w:p>
    <w:p w:rsidR="006F6599" w:rsidRDefault="006F6599">
      <w:pPr>
        <w:jc w:val="both"/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Corpodetexto"/>
        <w:spacing w:before="68"/>
        <w:ind w:right="248"/>
      </w:pPr>
      <w:r>
        <w:lastRenderedPageBreak/>
        <w:t>diferença no metabolismo de prednisona em pacientes com doença hepática crônica ativa</w:t>
      </w:r>
      <w:r>
        <w:rPr>
          <w:position w:val="9"/>
          <w:sz w:val="16"/>
        </w:rPr>
        <w:t>28</w:t>
      </w:r>
      <w:r>
        <w:t>, concluindo-se que ela pode ser utilizada com segurança em pacientes com HAI.</w:t>
      </w:r>
    </w:p>
    <w:p w:rsidR="006F6599" w:rsidRDefault="00963F10">
      <w:pPr>
        <w:pStyle w:val="Corpodetexto"/>
        <w:spacing w:before="7" w:line="232" w:lineRule="auto"/>
        <w:ind w:right="250" w:firstLine="427"/>
        <w:jc w:val="both"/>
      </w:pPr>
      <w:r>
        <w:t>A prednisona usada isoladamente ou em dose baixa associada a azati</w:t>
      </w:r>
      <w:r>
        <w:t>oprina é a base da indução do tratamento de HAI</w:t>
      </w:r>
      <w:r>
        <w:rPr>
          <w:position w:val="9"/>
          <w:sz w:val="16"/>
        </w:rPr>
        <w:t>26</w:t>
      </w:r>
      <w:r>
        <w:t>. Ambos os esquemas de tratamento são equivalentemente eficazes na indução da remissão, sendo que a terapia combinada permite uso de metade das doses de prednisona. A associação de prednisona e azatioprina é</w:t>
      </w:r>
      <w:r>
        <w:t xml:space="preserve"> preferida pela menor frequência de efeitos adversos secundários ao corticosteroide (incidência de 10% </w:t>
      </w:r>
      <w:r>
        <w:rPr>
          <w:i/>
        </w:rPr>
        <w:t xml:space="preserve">versus </w:t>
      </w:r>
      <w:r>
        <w:t>44%)</w:t>
      </w:r>
      <w:r>
        <w:rPr>
          <w:position w:val="9"/>
          <w:sz w:val="16"/>
        </w:rPr>
        <w:t>29</w:t>
      </w:r>
      <w:r>
        <w:t>. O uso de azatioprina isoladamente é uma alternativa (</w:t>
      </w:r>
      <w:r>
        <w:rPr>
          <w:b/>
        </w:rPr>
        <w:t>Tabela 3</w:t>
      </w:r>
      <w:r>
        <w:t>) como forma de tratamento de manutenção, para pacientes com resposta incompl</w:t>
      </w:r>
      <w:r>
        <w:t>eta ao tratamento indutor de remissão ou com múltiplas</w:t>
      </w:r>
      <w:r>
        <w:rPr>
          <w:spacing w:val="-6"/>
        </w:rPr>
        <w:t xml:space="preserve"> </w:t>
      </w:r>
      <w:r>
        <w:t>recaídas</w:t>
      </w:r>
      <w:r>
        <w:rPr>
          <w:position w:val="9"/>
          <w:sz w:val="16"/>
        </w:rPr>
        <w:t>26</w:t>
      </w:r>
      <w:r>
        <w:t>.</w:t>
      </w:r>
    </w:p>
    <w:p w:rsidR="006F6599" w:rsidRDefault="006F6599">
      <w:pPr>
        <w:pStyle w:val="Corpodetexto"/>
        <w:spacing w:before="5"/>
        <w:ind w:left="0"/>
        <w:rPr>
          <w:sz w:val="25"/>
        </w:rPr>
      </w:pPr>
    </w:p>
    <w:p w:rsidR="006F6599" w:rsidRDefault="00963F10">
      <w:pPr>
        <w:pStyle w:val="Corpodetexto"/>
        <w:spacing w:before="1" w:after="9" w:line="228" w:lineRule="auto"/>
        <w:rPr>
          <w:sz w:val="16"/>
        </w:rPr>
      </w:pPr>
      <w:r>
        <w:rPr>
          <w:b/>
        </w:rPr>
        <w:t xml:space="preserve">Tabela 3 - </w:t>
      </w:r>
      <w:r>
        <w:t>Indicações ideais para monoterapia com prednisona ou associação de prednisona e azatioprina</w:t>
      </w:r>
      <w:r>
        <w:rPr>
          <w:position w:val="9"/>
          <w:sz w:val="16"/>
        </w:rPr>
        <w:t>26</w:t>
      </w:r>
    </w:p>
    <w:tbl>
      <w:tblPr>
        <w:tblStyle w:val="TableNormal"/>
        <w:tblW w:w="0" w:type="auto"/>
        <w:tblInd w:w="1265" w:type="dxa"/>
        <w:tblLayout w:type="fixed"/>
        <w:tblLook w:val="01E0" w:firstRow="1" w:lastRow="1" w:firstColumn="1" w:lastColumn="1" w:noHBand="0" w:noVBand="0"/>
      </w:tblPr>
      <w:tblGrid>
        <w:gridCol w:w="3542"/>
        <w:gridCol w:w="4072"/>
      </w:tblGrid>
      <w:tr w:rsidR="006F6599">
        <w:trPr>
          <w:trHeight w:val="277"/>
        </w:trPr>
        <w:tc>
          <w:tcPr>
            <w:tcW w:w="3542" w:type="dxa"/>
            <w:tcBorders>
              <w:top w:val="single" w:sz="6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PREDNISONA E AZATIOPRINA</w:t>
            </w:r>
          </w:p>
        </w:tc>
        <w:tc>
          <w:tcPr>
            <w:tcW w:w="4072" w:type="dxa"/>
            <w:tcBorders>
              <w:top w:val="single" w:sz="6" w:space="0" w:color="000000"/>
              <w:bottom w:val="single" w:sz="6" w:space="0" w:color="000000"/>
            </w:tcBorders>
          </w:tcPr>
          <w:p w:rsidR="006F6599" w:rsidRDefault="00963F10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PREDNISONA EM MONOTERAPIA</w:t>
            </w:r>
          </w:p>
        </w:tc>
      </w:tr>
      <w:tr w:rsidR="006F6599">
        <w:trPr>
          <w:trHeight w:val="273"/>
        </w:trPr>
        <w:tc>
          <w:tcPr>
            <w:tcW w:w="3542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sz w:val="24"/>
              </w:rPr>
              <w:t>Mulheres pós-menopáusicas</w:t>
            </w:r>
          </w:p>
        </w:tc>
        <w:tc>
          <w:tcPr>
            <w:tcW w:w="4072" w:type="dxa"/>
            <w:tcBorders>
              <w:top w:val="single" w:sz="6" w:space="0" w:color="000000"/>
            </w:tcBorders>
          </w:tcPr>
          <w:p w:rsidR="006F6599" w:rsidRDefault="00963F10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Citopenias</w:t>
            </w:r>
          </w:p>
        </w:tc>
      </w:tr>
      <w:tr w:rsidR="006F6599">
        <w:trPr>
          <w:trHeight w:val="276"/>
        </w:trPr>
        <w:tc>
          <w:tcPr>
            <w:tcW w:w="3542" w:type="dxa"/>
          </w:tcPr>
          <w:p w:rsidR="006F6599" w:rsidRDefault="00963F10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Osteoporose</w:t>
            </w:r>
          </w:p>
        </w:tc>
        <w:tc>
          <w:tcPr>
            <w:tcW w:w="4072" w:type="dxa"/>
          </w:tcPr>
          <w:p w:rsidR="006F6599" w:rsidRDefault="00963F1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Gestação</w:t>
            </w:r>
          </w:p>
        </w:tc>
      </w:tr>
      <w:tr w:rsidR="006F6599">
        <w:trPr>
          <w:trHeight w:val="275"/>
        </w:trPr>
        <w:tc>
          <w:tcPr>
            <w:tcW w:w="3542" w:type="dxa"/>
          </w:tcPr>
          <w:p w:rsidR="006F6599" w:rsidRDefault="00963F10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4072" w:type="dxa"/>
          </w:tcPr>
          <w:p w:rsidR="006F6599" w:rsidRDefault="00963F1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Doença maligna atual</w:t>
            </w:r>
          </w:p>
        </w:tc>
      </w:tr>
      <w:tr w:rsidR="006F6599">
        <w:trPr>
          <w:trHeight w:val="276"/>
        </w:trPr>
        <w:tc>
          <w:tcPr>
            <w:tcW w:w="3542" w:type="dxa"/>
          </w:tcPr>
          <w:p w:rsidR="006F6599" w:rsidRDefault="00963F10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Hipertensão arterial sistêmica</w:t>
            </w:r>
          </w:p>
        </w:tc>
        <w:tc>
          <w:tcPr>
            <w:tcW w:w="4072" w:type="dxa"/>
          </w:tcPr>
          <w:p w:rsidR="006F6599" w:rsidRDefault="00963F1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Curto período de tratamento (&lt; 6 meses)</w:t>
            </w:r>
          </w:p>
        </w:tc>
      </w:tr>
      <w:tr w:rsidR="006F6599">
        <w:trPr>
          <w:trHeight w:val="822"/>
        </w:trPr>
        <w:tc>
          <w:tcPr>
            <w:tcW w:w="3542" w:type="dxa"/>
          </w:tcPr>
          <w:p w:rsidR="006F6599" w:rsidRDefault="00963F1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Labilidade emocional/depressão Obesidade</w:t>
            </w:r>
          </w:p>
          <w:p w:rsidR="006F6599" w:rsidRDefault="00963F10">
            <w:pPr>
              <w:pStyle w:val="TableParagraph"/>
              <w:tabs>
                <w:tab w:val="left" w:pos="7614"/>
              </w:tabs>
              <w:spacing w:line="256" w:lineRule="exact"/>
              <w:ind w:left="-15" w:right="-40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Acne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72" w:type="dxa"/>
          </w:tcPr>
          <w:p w:rsidR="006F6599" w:rsidRDefault="00963F10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Deficiência de tiopurina-metiltransferase</w:t>
            </w:r>
          </w:p>
        </w:tc>
      </w:tr>
    </w:tbl>
    <w:p w:rsidR="006F6599" w:rsidRDefault="006F6599">
      <w:pPr>
        <w:pStyle w:val="Corpodetexto"/>
        <w:spacing w:before="2"/>
        <w:ind w:left="0"/>
        <w:rPr>
          <w:sz w:val="25"/>
        </w:rPr>
      </w:pPr>
    </w:p>
    <w:p w:rsidR="006F6599" w:rsidRDefault="00963F10">
      <w:pPr>
        <w:pStyle w:val="Corpodetexto"/>
        <w:spacing w:before="1"/>
        <w:ind w:right="250" w:firstLine="720"/>
        <w:jc w:val="both"/>
      </w:pPr>
      <w:r>
        <w:t xml:space="preserve">O tratamento é iniciado conforme as doses preconizadas na </w:t>
      </w:r>
      <w:r>
        <w:rPr>
          <w:b/>
        </w:rPr>
        <w:t xml:space="preserve">Tabela 3 </w:t>
      </w:r>
      <w:r>
        <w:t>e mantido até a remissão, falha terapêutica, resposta incompleta ou toxicidade por medicamentos.</w:t>
      </w:r>
    </w:p>
    <w:p w:rsidR="006F6599" w:rsidRDefault="006F6599">
      <w:pPr>
        <w:pStyle w:val="Corpodetexto"/>
        <w:spacing w:before="4"/>
        <w:ind w:left="0"/>
      </w:pPr>
    </w:p>
    <w:p w:rsidR="006F6599" w:rsidRDefault="00963F10">
      <w:pPr>
        <w:pStyle w:val="Ttulo1"/>
        <w:spacing w:before="1"/>
      </w:pPr>
      <w:r>
        <w:t>Remissão</w:t>
      </w:r>
    </w:p>
    <w:p w:rsidR="006F6599" w:rsidRDefault="00963F10">
      <w:pPr>
        <w:pStyle w:val="Corpodetexto"/>
        <w:ind w:right="252" w:firstLine="720"/>
        <w:jc w:val="both"/>
      </w:pPr>
      <w:r>
        <w:t>Caracteriza-se por ausência de sintomas, normalização dos níveis de bilirrubinas e</w:t>
      </w:r>
      <w:r>
        <w:t xml:space="preserve"> gamaglobulina, ALT/TGP e AST/TGO abaixo do limite superior da normalidade e melhora histológica com no máximo infiltrado portal e ausência de hepatite de interface. As melhoras clínica e bioquímica precedem a melhora histológica em 3 a 6 meses, sendo esse</w:t>
      </w:r>
      <w:r>
        <w:t>ncial a comprovação da remissão histológica antes da interrupção do tratamento.</w:t>
      </w:r>
    </w:p>
    <w:p w:rsidR="006F6599" w:rsidRDefault="006F6599">
      <w:pPr>
        <w:pStyle w:val="Corpodetexto"/>
        <w:spacing w:before="2"/>
        <w:ind w:left="0"/>
      </w:pPr>
    </w:p>
    <w:p w:rsidR="006F6599" w:rsidRDefault="00963F10">
      <w:pPr>
        <w:pStyle w:val="Ttulo1"/>
      </w:pPr>
      <w:r>
        <w:t>Falha terapêutica</w:t>
      </w:r>
    </w:p>
    <w:p w:rsidR="006F6599" w:rsidRDefault="00963F10">
      <w:pPr>
        <w:pStyle w:val="Corpodetexto"/>
        <w:spacing w:line="237" w:lineRule="auto"/>
        <w:ind w:right="251" w:firstLine="720"/>
        <w:jc w:val="both"/>
      </w:pPr>
      <w:r>
        <w:t>Caracteriza-se por aumento de AST/TGO em dois terços do valor pré-tratamento, piora da atividade histológica ou surgimento de encefalopatia ou de ascite a de</w:t>
      </w:r>
      <w:r>
        <w:t>speito de adequada adesão ao tratamento. Os pacientes devem ser tratados com as doses preconizadas para falha do tratamento de indução da remissão (ver item 8.2). Apenas 20% alcançarão remissão histológica, sendo que os demais necessitarão de tratamento co</w:t>
      </w:r>
      <w:r>
        <w:t>ntinuado. Não havendo resposta adequada, com insuficiência hepática irreversível, deverá ser indicado transplante hepático, com resultados excelentes e sobrevida de 10 anos de 75%. Pode haver recorrência pós-transplante em 40% dos casos, sendo mais histoló</w:t>
      </w:r>
      <w:r>
        <w:t>gica do que</w:t>
      </w:r>
      <w:r>
        <w:rPr>
          <w:spacing w:val="-1"/>
        </w:rPr>
        <w:t xml:space="preserve"> </w:t>
      </w:r>
      <w:r>
        <w:t>clínica</w:t>
      </w:r>
      <w:r>
        <w:rPr>
          <w:position w:val="9"/>
          <w:sz w:val="16"/>
        </w:rPr>
        <w:t>3</w:t>
      </w:r>
      <w:r>
        <w:t>.</w:t>
      </w:r>
    </w:p>
    <w:p w:rsidR="006F6599" w:rsidRDefault="006F6599">
      <w:pPr>
        <w:pStyle w:val="Corpodetexto"/>
        <w:spacing w:before="10"/>
        <w:ind w:left="0"/>
      </w:pPr>
    </w:p>
    <w:p w:rsidR="006F6599" w:rsidRDefault="00963F10">
      <w:pPr>
        <w:pStyle w:val="Ttulo1"/>
      </w:pPr>
      <w:r>
        <w:t>Resposta incompleta</w:t>
      </w:r>
    </w:p>
    <w:p w:rsidR="006F6599" w:rsidRDefault="00963F10">
      <w:pPr>
        <w:pStyle w:val="Corpodetexto"/>
        <w:spacing w:before="5" w:line="232" w:lineRule="auto"/>
        <w:ind w:right="253" w:firstLine="720"/>
        <w:jc w:val="both"/>
      </w:pPr>
      <w:r>
        <w:t>Corresponde a melhoras clínica, bioquímica e histológica, contudo sem resposta completa após 3 anos de tratamento contínuo. Os pacientes devem ser mantidos em tratamento de manutenção com prednisona (dose baixa) ou azatioprina (ver item</w:t>
      </w:r>
      <w:r>
        <w:rPr>
          <w:spacing w:val="-3"/>
        </w:rPr>
        <w:t xml:space="preserve"> </w:t>
      </w:r>
      <w:r>
        <w:t>7.2)</w:t>
      </w:r>
      <w:r>
        <w:rPr>
          <w:position w:val="9"/>
          <w:sz w:val="16"/>
        </w:rPr>
        <w:t>31,32</w:t>
      </w:r>
      <w:r>
        <w:t>.</w:t>
      </w:r>
    </w:p>
    <w:p w:rsidR="006F6599" w:rsidRDefault="006F6599">
      <w:pPr>
        <w:pStyle w:val="Corpodetexto"/>
        <w:spacing w:before="7"/>
        <w:ind w:left="0"/>
      </w:pPr>
    </w:p>
    <w:p w:rsidR="006F6599" w:rsidRDefault="00963F10">
      <w:pPr>
        <w:pStyle w:val="Ttulo1"/>
      </w:pPr>
      <w:r>
        <w:t>Toxicid</w:t>
      </w:r>
      <w:r>
        <w:t>ade por medicamento</w:t>
      </w:r>
    </w:p>
    <w:p w:rsidR="006F6599" w:rsidRDefault="00963F10">
      <w:pPr>
        <w:pStyle w:val="Corpodetexto"/>
        <w:ind w:right="253" w:firstLine="720"/>
        <w:jc w:val="both"/>
      </w:pPr>
      <w:r>
        <w:t>Há necessidade de redução ou interrupção temporária ou definitiva do uso do medicamento. A prednisona é o fármaco que mais frequentemente causa toxicidade. Se o paciente ainda não estiver em uso de azatioprina e houver condições de fazê</w:t>
      </w:r>
      <w:r>
        <w:t>-lo, ela pode ser utilizada para redução da dose do corticosteroide. Quando os efeitos adversos são intensos, reduz-se à dose mínima possível para</w:t>
      </w:r>
      <w:r>
        <w:rPr>
          <w:spacing w:val="22"/>
        </w:rPr>
        <w:t xml:space="preserve"> </w:t>
      </w:r>
      <w:r>
        <w:t>tentar</w:t>
      </w:r>
      <w:r>
        <w:rPr>
          <w:spacing w:val="24"/>
        </w:rPr>
        <w:t xml:space="preserve"> </w:t>
      </w:r>
      <w:r>
        <w:t>evitá-los,</w:t>
      </w:r>
      <w:r>
        <w:rPr>
          <w:spacing w:val="24"/>
        </w:rPr>
        <w:t xml:space="preserve"> </w:t>
      </w:r>
      <w:r>
        <w:t>sendo</w:t>
      </w:r>
      <w:r>
        <w:rPr>
          <w:spacing w:val="2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alguns</w:t>
      </w:r>
      <w:r>
        <w:rPr>
          <w:spacing w:val="24"/>
        </w:rPr>
        <w:t xml:space="preserve"> </w:t>
      </w:r>
      <w:r>
        <w:t>casos</w:t>
      </w:r>
      <w:r>
        <w:rPr>
          <w:spacing w:val="25"/>
        </w:rPr>
        <w:t xml:space="preserve"> </w:t>
      </w:r>
      <w:r>
        <w:t>necessário</w:t>
      </w:r>
      <w:r>
        <w:rPr>
          <w:spacing w:val="24"/>
        </w:rPr>
        <w:t xml:space="preserve"> </w:t>
      </w:r>
      <w:r>
        <w:t>interromper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tratamento.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presença</w:t>
      </w:r>
      <w:r>
        <w:rPr>
          <w:spacing w:val="24"/>
        </w:rPr>
        <w:t xml:space="preserve"> </w:t>
      </w:r>
      <w:r>
        <w:t>de</w:t>
      </w:r>
    </w:p>
    <w:p w:rsidR="006F6599" w:rsidRDefault="006F6599">
      <w:pPr>
        <w:jc w:val="both"/>
        <w:sectPr w:rsidR="006F6599">
          <w:pgSz w:w="11910" w:h="16850"/>
          <w:pgMar w:top="1040" w:right="880" w:bottom="280" w:left="880" w:header="720" w:footer="720" w:gutter="0"/>
          <w:cols w:space="720"/>
        </w:sectPr>
      </w:pPr>
    </w:p>
    <w:p w:rsidR="006F6599" w:rsidRDefault="00963F10">
      <w:pPr>
        <w:pStyle w:val="Corpodetexto"/>
        <w:spacing w:before="64"/>
        <w:ind w:right="416"/>
      </w:pPr>
      <w:r>
        <w:lastRenderedPageBreak/>
        <w:t xml:space="preserve">hepatite colestática, pancreatite, </w:t>
      </w:r>
      <w:r>
        <w:rPr>
          <w:i/>
        </w:rPr>
        <w:t xml:space="preserve">rash </w:t>
      </w:r>
      <w:r>
        <w:t>ou citopenia importante secundários a azatioprina, a interrupção do fármaco é mandatória.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Ttulo1"/>
      </w:pPr>
      <w:r>
        <w:t>Recaída</w:t>
      </w:r>
    </w:p>
    <w:p w:rsidR="006F6599" w:rsidRDefault="00963F10">
      <w:pPr>
        <w:pStyle w:val="Corpodetexto"/>
        <w:ind w:right="249" w:firstLine="720"/>
        <w:jc w:val="both"/>
      </w:pPr>
      <w:r>
        <w:t>Pacientes com recaída após a retirada da imunossupressão que se segue à remissão histológica devem ser novamente enca</w:t>
      </w:r>
      <w:r>
        <w:t>minhados para tratamento de indução da remissão (</w:t>
      </w:r>
      <w:r>
        <w:rPr>
          <w:b/>
        </w:rPr>
        <w:t>Tabela 4</w:t>
      </w:r>
      <w:r>
        <w:t>). A recaída é caracterizada pela recrudescência dos sintomas clínicos com aumento de ALT/TGP duas vezes acima do limite superior da normalidade. A taxa de recaída é da ordem de 20% após comprovada r</w:t>
      </w:r>
      <w:r>
        <w:t>emissão histológica e chega a 80% quando há atividade periportal no momento da retirada da imunossupressão, o que enfatiza a necessidade de comprovação histológica da remissão antes de se suspender a imunossupressão. Após uma segunda recaída, a probabilida</w:t>
      </w:r>
      <w:r>
        <w:t>de de se alcançar remissão duradoura sem imunossupressão é muito baixa, devendo-se manter o paciente em regime de doses baixas de prednisona ou em monoterapia com azatioprina (ver item</w:t>
      </w:r>
      <w:r>
        <w:rPr>
          <w:spacing w:val="-6"/>
        </w:rPr>
        <w:t xml:space="preserve"> </w:t>
      </w:r>
      <w:r>
        <w:t>7.2).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Ttulo1"/>
      </w:pPr>
      <w:r>
        <w:t>Outras opções terapêuticas</w:t>
      </w:r>
    </w:p>
    <w:p w:rsidR="006F6599" w:rsidRDefault="00963F10">
      <w:pPr>
        <w:spacing w:line="274" w:lineRule="exact"/>
        <w:ind w:left="253"/>
        <w:rPr>
          <w:i/>
          <w:sz w:val="24"/>
        </w:rPr>
      </w:pPr>
      <w:r>
        <w:rPr>
          <w:i/>
          <w:sz w:val="24"/>
        </w:rPr>
        <w:t>Micofenolato/ciclosporina/tacrolimo</w:t>
      </w:r>
    </w:p>
    <w:p w:rsidR="006F6599" w:rsidRDefault="00963F10">
      <w:pPr>
        <w:pStyle w:val="Corpodetexto"/>
        <w:spacing w:before="5" w:line="235" w:lineRule="auto"/>
        <w:ind w:right="251" w:firstLine="720"/>
        <w:jc w:val="both"/>
      </w:pPr>
      <w:r>
        <w:t>A</w:t>
      </w:r>
      <w:r>
        <w:t>té 20% dos pacientes não respondem ou são intolerantes ao tratamento de primeira linha. Uma série de casos prospectiva com 59 pacientes</w:t>
      </w:r>
      <w:r>
        <w:rPr>
          <w:position w:val="9"/>
          <w:sz w:val="16"/>
        </w:rPr>
        <w:t xml:space="preserve">33 </w:t>
      </w:r>
      <w:r>
        <w:t>avaliou a resposta destes pacientes ao uso de micofenolato. Ao total, 59,3% dos pacientes tiveram resposta completa. N</w:t>
      </w:r>
      <w:r>
        <w:t>enhum dos pacientes foi não respondedor. Ciclosporina e tacrolimo foram avaliados somente em séries de casos e pequenas coortes em adultos e crianças</w:t>
      </w:r>
      <w:r>
        <w:rPr>
          <w:position w:val="9"/>
          <w:sz w:val="16"/>
        </w:rPr>
        <w:t>34-36</w:t>
      </w:r>
      <w:r>
        <w:t>. A melhor e mais recente evidência sobre tratamento de segunda linha da HAI provém de uma revisão sis</w:t>
      </w:r>
      <w:r>
        <w:t>temática com meta-análise de estudos observacionais que conclui por benefício da associação de micofenolato mofetila mais prednisona na remissão histológica da doença</w:t>
      </w:r>
      <w:r>
        <w:rPr>
          <w:position w:val="9"/>
          <w:sz w:val="16"/>
        </w:rPr>
        <w:t>37</w:t>
      </w:r>
      <w:r>
        <w:t xml:space="preserve">. Porém, o uso desses medicamentos para essa indicação deve ser analisada pela Comissão </w:t>
      </w:r>
      <w:r>
        <w:t>Nacional de Incorporação de Tecnologias no SUS (CONITEC) em termos de eficácia, efetividade e custo-efetividade.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ind w:left="253"/>
        <w:rPr>
          <w:i/>
          <w:sz w:val="24"/>
        </w:rPr>
      </w:pPr>
      <w:r>
        <w:rPr>
          <w:i/>
          <w:sz w:val="24"/>
        </w:rPr>
        <w:t>Budesonida</w:t>
      </w:r>
    </w:p>
    <w:p w:rsidR="006F6599" w:rsidRDefault="00963F10">
      <w:pPr>
        <w:pStyle w:val="Corpodetexto"/>
        <w:spacing w:before="5" w:line="235" w:lineRule="auto"/>
        <w:ind w:right="247" w:firstLine="708"/>
        <w:jc w:val="both"/>
      </w:pPr>
      <w:r>
        <w:t>Um ensaio clínico randomizado, de fase IIb, com 6 meses de acompanhamento, comparou budesonida 3 mg duas a três vezes ao dia, com prednisona 10-40 mg ao dia, ambas associadas a azatioprina 1-2 mg/kg/dia. O desfecho principal, que era normalização de aminot</w:t>
      </w:r>
      <w:r>
        <w:t>ransferases/transaminases sem efeitos adversos específicos de esteroide, foi obtido em 47% do grupo budesonida e 18,4% do grupo prednisona (P&lt;0,001)</w:t>
      </w:r>
      <w:r>
        <w:rPr>
          <w:position w:val="9"/>
          <w:sz w:val="16"/>
        </w:rPr>
        <w:t>38</w:t>
      </w:r>
      <w:r>
        <w:t>. Contudo, estudo clínico randomizado (ECR) envolvendo crianças e adolescentes que comparou budesonida e a</w:t>
      </w:r>
      <w:r>
        <w:t xml:space="preserve">zatioprina </w:t>
      </w:r>
      <w:r>
        <w:rPr>
          <w:i/>
        </w:rPr>
        <w:t xml:space="preserve">versus </w:t>
      </w:r>
      <w:r>
        <w:t>prednisona e azatioprina encontrou taxas idênticas de remissão bioquímica</w:t>
      </w:r>
      <w:r>
        <w:rPr>
          <w:position w:val="9"/>
          <w:sz w:val="16"/>
        </w:rPr>
        <w:t>39</w:t>
      </w:r>
      <w:r>
        <w:t>. Ademais, a eficácia e tolerância de longo prazo da budesonida ainda não foram adequadamente avaliadas</w:t>
      </w:r>
      <w:r>
        <w:rPr>
          <w:position w:val="9"/>
          <w:sz w:val="16"/>
        </w:rPr>
        <w:t>19</w:t>
      </w:r>
      <w:r>
        <w:t>.</w:t>
      </w:r>
    </w:p>
    <w:p w:rsidR="006F6599" w:rsidRDefault="006F6599">
      <w:pPr>
        <w:pStyle w:val="Corpodetexto"/>
        <w:spacing w:before="5"/>
        <w:ind w:left="0"/>
        <w:rPr>
          <w:sz w:val="23"/>
        </w:rPr>
      </w:pPr>
    </w:p>
    <w:p w:rsidR="006F6599" w:rsidRDefault="00963F10">
      <w:pPr>
        <w:spacing w:before="1"/>
        <w:ind w:left="253"/>
        <w:rPr>
          <w:i/>
          <w:sz w:val="24"/>
        </w:rPr>
      </w:pPr>
      <w:r>
        <w:rPr>
          <w:i/>
          <w:sz w:val="24"/>
        </w:rPr>
        <w:t>Ácido ursodesoxicólico (AUDC)</w:t>
      </w:r>
    </w:p>
    <w:p w:rsidR="006F6599" w:rsidRDefault="00963F10">
      <w:pPr>
        <w:pStyle w:val="Corpodetexto"/>
        <w:spacing w:before="4" w:line="235" w:lineRule="auto"/>
        <w:ind w:right="249" w:firstLine="720"/>
        <w:jc w:val="both"/>
      </w:pPr>
      <w:r>
        <w:t>Um ensaio clínico randomi</w:t>
      </w:r>
      <w:r>
        <w:t>zado duplo-cego de fase III testou o AUDC mais corticoesteroides contra placebo mais corticoesteroides em pacientes com HAI tipo 1 e história de falha terapêutica, recorrência repetida ou de resposta incompleta ao tratamento. O desfecho primário foi reduçã</w:t>
      </w:r>
      <w:r>
        <w:t xml:space="preserve">o ou suspensão de corticoesteroides. O AUDC se mostrou idêntico a placebo e por isso é contraindicado por diretriz da </w:t>
      </w:r>
      <w:r>
        <w:rPr>
          <w:i/>
        </w:rPr>
        <w:t xml:space="preserve">American Association for the Study of Liver Diseases (AASLD) </w:t>
      </w:r>
      <w:r>
        <w:t>para o tratamento de resgate da HAI</w:t>
      </w:r>
      <w:r>
        <w:rPr>
          <w:position w:val="9"/>
          <w:sz w:val="16"/>
        </w:rPr>
        <w:t>35,40</w:t>
      </w:r>
      <w:r>
        <w:t>. Os autores do ensaio clínico conclu</w:t>
      </w:r>
      <w:r>
        <w:t>em que a terapia adjuvante com o AUDC reduziu a AST/TGO e fosfatase alcalina, porém a magnitude desse efeito foi pequena e de relevância clínica</w:t>
      </w:r>
      <w:r>
        <w:rPr>
          <w:spacing w:val="-4"/>
        </w:rPr>
        <w:t xml:space="preserve"> </w:t>
      </w:r>
      <w:r>
        <w:t>duvidosa</w:t>
      </w:r>
      <w:r>
        <w:rPr>
          <w:position w:val="9"/>
          <w:sz w:val="16"/>
        </w:rPr>
        <w:t>40</w:t>
      </w:r>
      <w:r>
        <w:t>.</w:t>
      </w:r>
    </w:p>
    <w:p w:rsidR="006F6599" w:rsidRDefault="006F6599">
      <w:pPr>
        <w:pStyle w:val="Corpodetexto"/>
        <w:ind w:left="0"/>
        <w:rPr>
          <w:sz w:val="28"/>
        </w:rPr>
      </w:pPr>
    </w:p>
    <w:p w:rsidR="006F6599" w:rsidRDefault="00963F10">
      <w:pPr>
        <w:pStyle w:val="PargrafodaLista"/>
        <w:numPr>
          <w:ilvl w:val="1"/>
          <w:numId w:val="15"/>
        </w:numPr>
        <w:tabs>
          <w:tab w:val="left" w:pos="973"/>
          <w:tab w:val="left" w:pos="974"/>
        </w:tabs>
        <w:spacing w:before="244" w:line="274" w:lineRule="exact"/>
        <w:rPr>
          <w:b/>
          <w:sz w:val="19"/>
        </w:rPr>
      </w:pPr>
      <w:r>
        <w:rPr>
          <w:b/>
          <w:sz w:val="24"/>
        </w:rPr>
        <w:t>F</w:t>
      </w:r>
      <w:r>
        <w:rPr>
          <w:b/>
          <w:sz w:val="19"/>
        </w:rPr>
        <w:t>ÁRMACOS</w:t>
      </w:r>
    </w:p>
    <w:p w:rsidR="006F6599" w:rsidRDefault="00963F10">
      <w:pPr>
        <w:pStyle w:val="PargrafodaLista"/>
        <w:numPr>
          <w:ilvl w:val="2"/>
          <w:numId w:val="15"/>
        </w:numPr>
        <w:tabs>
          <w:tab w:val="left" w:pos="1245"/>
        </w:tabs>
        <w:spacing w:line="274" w:lineRule="exact"/>
        <w:ind w:hanging="139"/>
        <w:jc w:val="left"/>
        <w:rPr>
          <w:sz w:val="24"/>
        </w:rPr>
      </w:pPr>
      <w:r>
        <w:rPr>
          <w:sz w:val="24"/>
        </w:rPr>
        <w:t>Prednisona: comprimidos de 5 e 20</w:t>
      </w:r>
      <w:r>
        <w:rPr>
          <w:spacing w:val="-3"/>
          <w:sz w:val="24"/>
        </w:rPr>
        <w:t xml:space="preserve"> </w:t>
      </w:r>
      <w:r>
        <w:rPr>
          <w:sz w:val="24"/>
        </w:rPr>
        <w:t>mg;</w:t>
      </w:r>
    </w:p>
    <w:p w:rsidR="006F6599" w:rsidRDefault="00963F10">
      <w:pPr>
        <w:pStyle w:val="PargrafodaLista"/>
        <w:numPr>
          <w:ilvl w:val="2"/>
          <w:numId w:val="15"/>
        </w:numPr>
        <w:tabs>
          <w:tab w:val="left" w:pos="1245"/>
        </w:tabs>
        <w:ind w:hanging="139"/>
        <w:jc w:val="left"/>
        <w:rPr>
          <w:sz w:val="24"/>
        </w:rPr>
      </w:pPr>
      <w:r>
        <w:rPr>
          <w:sz w:val="24"/>
        </w:rPr>
        <w:t>Azatioprina: comprimidos de 50</w:t>
      </w:r>
      <w:r>
        <w:rPr>
          <w:spacing w:val="-2"/>
          <w:sz w:val="24"/>
        </w:rPr>
        <w:t xml:space="preserve"> </w:t>
      </w:r>
      <w:r>
        <w:rPr>
          <w:sz w:val="24"/>
        </w:rPr>
        <w:t>mg.</w:t>
      </w:r>
    </w:p>
    <w:p w:rsidR="006F6599" w:rsidRDefault="006F6599">
      <w:pPr>
        <w:rPr>
          <w:sz w:val="24"/>
        </w:rPr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PargrafodaLista"/>
        <w:numPr>
          <w:ilvl w:val="1"/>
          <w:numId w:val="15"/>
        </w:numPr>
        <w:tabs>
          <w:tab w:val="left" w:pos="602"/>
        </w:tabs>
        <w:spacing w:before="65" w:line="274" w:lineRule="exact"/>
        <w:ind w:left="601" w:hanging="348"/>
        <w:rPr>
          <w:b/>
          <w:sz w:val="19"/>
        </w:rPr>
      </w:pPr>
      <w:r>
        <w:rPr>
          <w:b/>
          <w:sz w:val="24"/>
        </w:rPr>
        <w:lastRenderedPageBreak/>
        <w:t>E</w:t>
      </w:r>
      <w:r>
        <w:rPr>
          <w:b/>
          <w:sz w:val="19"/>
        </w:rPr>
        <w:t>SQUEMAS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ADMINISTRAÇÃO</w:t>
      </w:r>
    </w:p>
    <w:p w:rsidR="006F6599" w:rsidRDefault="00963F10">
      <w:pPr>
        <w:pStyle w:val="Corpodetexto"/>
        <w:spacing w:line="274" w:lineRule="exact"/>
        <w:ind w:left="973"/>
      </w:pPr>
      <w:r>
        <w:t>Os esquemas de administração de imunossupressores são os seguintes:</w:t>
      </w:r>
    </w:p>
    <w:p w:rsidR="006F6599" w:rsidRDefault="00963F10">
      <w:pPr>
        <w:pStyle w:val="Ttulo1"/>
        <w:spacing w:before="5"/>
      </w:pPr>
      <w:r>
        <w:t>Indução da remissão</w:t>
      </w:r>
    </w:p>
    <w:p w:rsidR="006F6599" w:rsidRDefault="00963F10">
      <w:pPr>
        <w:pStyle w:val="Corpodetexto"/>
        <w:spacing w:before="4" w:line="232" w:lineRule="auto"/>
        <w:ind w:right="254" w:firstLine="708"/>
        <w:jc w:val="both"/>
      </w:pPr>
      <w:r>
        <w:t xml:space="preserve">Em adultos, utilizam-se as doses preconizadas na </w:t>
      </w:r>
      <w:r>
        <w:rPr>
          <w:b/>
        </w:rPr>
        <w:t>Tabela 4</w:t>
      </w:r>
      <w:r>
        <w:t>. Em crianças, as doses iniciais recomendadas são de 2 mg/kg de prednisona (dose máxima de 60 mg/dia), sendo possível a associação de azatioprina como medida para redução da dose de corticosteroide</w:t>
      </w:r>
      <w:r>
        <w:rPr>
          <w:position w:val="9"/>
          <w:sz w:val="16"/>
        </w:rPr>
        <w:t>26</w:t>
      </w:r>
      <w:r>
        <w:t>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Corpodetexto"/>
        <w:tabs>
          <w:tab w:val="left" w:pos="9374"/>
        </w:tabs>
        <w:spacing w:after="22"/>
      </w:pPr>
      <w:r>
        <w:rPr>
          <w:b/>
        </w:rPr>
        <w:t>Tabe</w:t>
      </w:r>
      <w:r>
        <w:rPr>
          <w:b/>
          <w:u w:val="single"/>
        </w:rPr>
        <w:t xml:space="preserve">la 4 - </w:t>
      </w:r>
      <w:r>
        <w:rPr>
          <w:u w:val="single"/>
        </w:rPr>
        <w:t xml:space="preserve">Doses do Tratamento de Indução da Remissão </w:t>
      </w:r>
      <w:r>
        <w:rPr>
          <w:u w:val="single"/>
        </w:rPr>
        <w:t>em</w:t>
      </w:r>
      <w:r>
        <w:rPr>
          <w:spacing w:val="-12"/>
          <w:u w:val="single"/>
        </w:rPr>
        <w:t xml:space="preserve"> </w:t>
      </w:r>
      <w:r>
        <w:rPr>
          <w:u w:val="single"/>
        </w:rPr>
        <w:t>Adultos</w:t>
      </w:r>
      <w:r>
        <w:rPr>
          <w:u w:val="single"/>
        </w:rPr>
        <w:tab/>
      </w: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2726"/>
        <w:gridCol w:w="1610"/>
        <w:gridCol w:w="2428"/>
        <w:gridCol w:w="1853"/>
      </w:tblGrid>
      <w:tr w:rsidR="006F6599">
        <w:trPr>
          <w:trHeight w:val="549"/>
        </w:trPr>
        <w:tc>
          <w:tcPr>
            <w:tcW w:w="2726" w:type="dxa"/>
          </w:tcPr>
          <w:p w:rsidR="006F6599" w:rsidRDefault="00963F10">
            <w:pPr>
              <w:pStyle w:val="TableParagraph"/>
              <w:spacing w:line="266" w:lineRule="exact"/>
              <w:ind w:left="186" w:right="206"/>
              <w:jc w:val="center"/>
              <w:rPr>
                <w:sz w:val="24"/>
              </w:rPr>
            </w:pPr>
            <w:r>
              <w:rPr>
                <w:sz w:val="24"/>
              </w:rPr>
              <w:t>Semanas em tratamento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  <w:p w:rsidR="006F6599" w:rsidRDefault="00963F10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combinado</w:t>
            </w:r>
          </w:p>
        </w:tc>
        <w:tc>
          <w:tcPr>
            <w:tcW w:w="4281" w:type="dxa"/>
            <w:gridSpan w:val="2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66" w:lineRule="exact"/>
              <w:ind w:left="793"/>
              <w:rPr>
                <w:sz w:val="24"/>
              </w:rPr>
            </w:pPr>
            <w:r>
              <w:rPr>
                <w:sz w:val="24"/>
              </w:rPr>
              <w:t>Prednisona em monoterapia</w:t>
            </w:r>
          </w:p>
        </w:tc>
      </w:tr>
      <w:tr w:rsidR="006F6599">
        <w:trPr>
          <w:trHeight w:val="551"/>
        </w:trPr>
        <w:tc>
          <w:tcPr>
            <w:tcW w:w="4336" w:type="dxa"/>
            <w:gridSpan w:val="2"/>
          </w:tcPr>
          <w:p w:rsidR="006F6599" w:rsidRDefault="00963F10">
            <w:pPr>
              <w:pStyle w:val="TableParagraph"/>
              <w:spacing w:line="268" w:lineRule="exact"/>
              <w:ind w:left="2278"/>
              <w:rPr>
                <w:sz w:val="24"/>
              </w:rPr>
            </w:pPr>
            <w:r>
              <w:rPr>
                <w:sz w:val="24"/>
              </w:rPr>
              <w:t>Prednisona (mg/dia)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86" w:right="281"/>
              <w:jc w:val="center"/>
              <w:rPr>
                <w:sz w:val="24"/>
              </w:rPr>
            </w:pPr>
            <w:r>
              <w:rPr>
                <w:sz w:val="24"/>
              </w:rPr>
              <w:t>Azatioprina (mg/dia)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285" w:right="460"/>
              <w:jc w:val="center"/>
              <w:rPr>
                <w:sz w:val="24"/>
              </w:rPr>
            </w:pPr>
            <w:r>
              <w:rPr>
                <w:sz w:val="24"/>
              </w:rPr>
              <w:t>Prednisona</w:t>
            </w:r>
          </w:p>
          <w:p w:rsidR="006F6599" w:rsidRDefault="00963F10">
            <w:pPr>
              <w:pStyle w:val="TableParagraph"/>
              <w:spacing w:line="264" w:lineRule="exact"/>
              <w:ind w:left="284" w:right="460"/>
              <w:jc w:val="center"/>
              <w:rPr>
                <w:sz w:val="24"/>
              </w:rPr>
            </w:pPr>
            <w:r>
              <w:rPr>
                <w:sz w:val="24"/>
              </w:rPr>
              <w:t>(mg/dia)</w:t>
            </w:r>
          </w:p>
        </w:tc>
      </w:tr>
      <w:tr w:rsidR="006F6599">
        <w:trPr>
          <w:trHeight w:val="411"/>
        </w:trPr>
        <w:tc>
          <w:tcPr>
            <w:tcW w:w="2726" w:type="dxa"/>
          </w:tcPr>
          <w:p w:rsidR="006F6599" w:rsidRDefault="00963F10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541" w:right="58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86" w:right="278"/>
              <w:jc w:val="center"/>
              <w:rPr>
                <w:sz w:val="24"/>
              </w:rPr>
            </w:pPr>
            <w:r>
              <w:rPr>
                <w:sz w:val="24"/>
              </w:rPr>
              <w:t>50-150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6F6599" w:rsidRDefault="00963F10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F6599">
        <w:trPr>
          <w:trHeight w:val="464"/>
        </w:trPr>
        <w:tc>
          <w:tcPr>
            <w:tcW w:w="2726" w:type="dxa"/>
          </w:tcPr>
          <w:p w:rsidR="006F6599" w:rsidRDefault="00963F10">
            <w:pPr>
              <w:pStyle w:val="TableParagraph"/>
              <w:spacing w:before="133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</w:tcPr>
          <w:p w:rsidR="006F6599" w:rsidRDefault="00963F10">
            <w:pPr>
              <w:pStyle w:val="TableParagraph"/>
              <w:spacing w:before="133"/>
              <w:ind w:left="541" w:right="5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28" w:type="dxa"/>
          </w:tcPr>
          <w:p w:rsidR="006F6599" w:rsidRDefault="00963F10">
            <w:pPr>
              <w:pStyle w:val="TableParagraph"/>
              <w:spacing w:before="133"/>
              <w:ind w:left="86" w:right="278"/>
              <w:jc w:val="center"/>
              <w:rPr>
                <w:sz w:val="24"/>
              </w:rPr>
            </w:pPr>
            <w:r>
              <w:rPr>
                <w:sz w:val="24"/>
              </w:rPr>
              <w:t>50-150</w:t>
            </w:r>
          </w:p>
        </w:tc>
        <w:tc>
          <w:tcPr>
            <w:tcW w:w="1853" w:type="dxa"/>
          </w:tcPr>
          <w:p w:rsidR="006F6599" w:rsidRDefault="00963F10">
            <w:pPr>
              <w:pStyle w:val="TableParagraph"/>
              <w:spacing w:before="133"/>
              <w:ind w:left="7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F6599">
        <w:trPr>
          <w:trHeight w:val="464"/>
        </w:trPr>
        <w:tc>
          <w:tcPr>
            <w:tcW w:w="2726" w:type="dxa"/>
          </w:tcPr>
          <w:p w:rsidR="006F6599" w:rsidRDefault="00963F10">
            <w:pPr>
              <w:pStyle w:val="TableParagraph"/>
              <w:spacing w:before="45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0" w:type="dxa"/>
          </w:tcPr>
          <w:p w:rsidR="006F6599" w:rsidRDefault="00963F10">
            <w:pPr>
              <w:pStyle w:val="TableParagraph"/>
              <w:spacing w:before="45"/>
              <w:ind w:left="541" w:right="5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28" w:type="dxa"/>
          </w:tcPr>
          <w:p w:rsidR="006F6599" w:rsidRDefault="00963F10">
            <w:pPr>
              <w:pStyle w:val="TableParagraph"/>
              <w:spacing w:before="45"/>
              <w:ind w:left="86" w:right="278"/>
              <w:jc w:val="center"/>
              <w:rPr>
                <w:sz w:val="24"/>
              </w:rPr>
            </w:pPr>
            <w:r>
              <w:rPr>
                <w:sz w:val="24"/>
              </w:rPr>
              <w:t>50-150</w:t>
            </w:r>
          </w:p>
        </w:tc>
        <w:tc>
          <w:tcPr>
            <w:tcW w:w="1853" w:type="dxa"/>
          </w:tcPr>
          <w:p w:rsidR="006F6599" w:rsidRDefault="00963F10">
            <w:pPr>
              <w:pStyle w:val="TableParagraph"/>
              <w:spacing w:before="45"/>
              <w:ind w:left="7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F6599">
        <w:trPr>
          <w:trHeight w:val="759"/>
        </w:trPr>
        <w:tc>
          <w:tcPr>
            <w:tcW w:w="2726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before="133"/>
              <w:ind w:left="83" w:right="104"/>
              <w:rPr>
                <w:sz w:val="24"/>
              </w:rPr>
            </w:pPr>
            <w:r>
              <w:rPr>
                <w:sz w:val="24"/>
              </w:rPr>
              <w:t>Manutenção até o desfecho do tratamento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before="133"/>
              <w:ind w:left="541" w:right="589"/>
              <w:jc w:val="center"/>
              <w:rPr>
                <w:sz w:val="24"/>
              </w:rPr>
            </w:pPr>
            <w:r>
              <w:rPr>
                <w:sz w:val="24"/>
              </w:rPr>
              <w:t>5-15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before="133"/>
              <w:ind w:left="86" w:right="278"/>
              <w:jc w:val="center"/>
              <w:rPr>
                <w:sz w:val="24"/>
              </w:rPr>
            </w:pPr>
            <w:r>
              <w:rPr>
                <w:sz w:val="24"/>
              </w:rPr>
              <w:t>50-150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6F6599" w:rsidRDefault="00963F10">
            <w:pPr>
              <w:pStyle w:val="TableParagraph"/>
              <w:spacing w:before="133"/>
              <w:ind w:left="7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6F6599" w:rsidRDefault="006F6599">
      <w:pPr>
        <w:pStyle w:val="Corpodetexto"/>
        <w:spacing w:before="8"/>
        <w:ind w:left="0"/>
        <w:rPr>
          <w:sz w:val="23"/>
        </w:rPr>
      </w:pPr>
    </w:p>
    <w:p w:rsidR="006F6599" w:rsidRDefault="00963F10">
      <w:pPr>
        <w:pStyle w:val="Ttulo1"/>
      </w:pPr>
      <w:r>
        <w:t>Esquema para falha do tratamento de indução da remissão</w:t>
      </w:r>
    </w:p>
    <w:p w:rsidR="006F6599" w:rsidRDefault="00963F10">
      <w:pPr>
        <w:pStyle w:val="Corpodetexto"/>
        <w:ind w:right="252" w:firstLine="720"/>
        <w:jc w:val="both"/>
      </w:pPr>
      <w:r>
        <w:t>Deve-se iniciar com prednisona em monoterapia (60 mg/dia) ou prednisona (30 mg/dia) associada à azatioprina (150 mg/dia). As doses são reduzidas mensalmente enquanto houver melhora laboratorial (reduç</w:t>
      </w:r>
      <w:r>
        <w:t>ão de 10 mg/mês para prednisona e de 50 mg/mês para azatioprina) até atingir-se a dose de 10 mg/dia de prednisona e de 50 mg/dia de azatioprina ou 20 mg/dia de prednisona em monoterapia, quando os pacientes devem ser tratados como os que se encontram em es</w:t>
      </w:r>
      <w:r>
        <w:t>quemas de tratamento padrão.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Ttulo1"/>
      </w:pPr>
      <w:r>
        <w:t>Esquema para resposta incompleta ou a partir da segunda recaída</w:t>
      </w:r>
    </w:p>
    <w:p w:rsidR="006F6599" w:rsidRDefault="00963F10">
      <w:pPr>
        <w:pStyle w:val="Corpodetexto"/>
        <w:ind w:right="250" w:firstLine="708"/>
        <w:jc w:val="both"/>
      </w:pPr>
      <w:r>
        <w:t>A manutenção com prednisona em doses baixas é preconizada para resposta incompleta ou a partir da segunda recaída. Após remissão clínica e bioquímica com a terapia de indução, reduz-se a dose de prednisona (2,5 mg/dia ou 5 mg a cada 2 dias) enquanto houver</w:t>
      </w:r>
      <w:r>
        <w:t xml:space="preserve"> estabilidade clínico- laboratorial até encontrar-se a dose mínima eficaz para manter o paciente assintomático e  AST/TGO 5 vezes abaixo do limite superior da normalidade. A maior vantagem da monoterapia com corticosteroide em doses baixas é a prevenção da</w:t>
      </w:r>
      <w:r>
        <w:t xml:space="preserve"> teratogenicidade de azatioprina em mulheres em idade</w:t>
      </w:r>
      <w:r>
        <w:rPr>
          <w:spacing w:val="-2"/>
        </w:rPr>
        <w:t xml:space="preserve"> </w:t>
      </w:r>
      <w:r>
        <w:t>fértil.</w:t>
      </w:r>
    </w:p>
    <w:p w:rsidR="006F6599" w:rsidRDefault="00963F10">
      <w:pPr>
        <w:pStyle w:val="Corpodetexto"/>
        <w:ind w:right="254" w:firstLine="708"/>
        <w:jc w:val="both"/>
      </w:pPr>
      <w:r>
        <w:t>A manutenção com azatioprina em monoterapia tem as mesmas indicações da manutenção com prednisona em doses baixas. Após remissão clínica e bioquímica com a terapia de indução, a dose de azatiopr</w:t>
      </w:r>
      <w:r>
        <w:t>ina é aumentada gradualmente (até 2 mg/kg/dia), permitindo redução da dose de corticosteroide. A maior vantagem da monoterapia com azatioprina é a prevenção dos efeitos adversos dos corticosteroides, em especial nas pacientes pós-menopáusicas.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PargrafodaLista"/>
        <w:numPr>
          <w:ilvl w:val="1"/>
          <w:numId w:val="15"/>
        </w:numPr>
        <w:tabs>
          <w:tab w:val="left" w:pos="650"/>
        </w:tabs>
        <w:spacing w:line="274" w:lineRule="exact"/>
        <w:ind w:left="649" w:hanging="396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EMPO DE TR</w:t>
      </w:r>
      <w:r>
        <w:rPr>
          <w:b/>
          <w:sz w:val="19"/>
        </w:rPr>
        <w:t xml:space="preserve">ATAMENTO </w:t>
      </w:r>
      <w:r>
        <w:rPr>
          <w:b/>
          <w:sz w:val="24"/>
        </w:rPr>
        <w:t xml:space="preserve">– </w:t>
      </w:r>
      <w:r>
        <w:rPr>
          <w:b/>
          <w:sz w:val="19"/>
        </w:rPr>
        <w:t>CRITÉRIOS DE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INTERRUPÇÃO</w:t>
      </w:r>
    </w:p>
    <w:p w:rsidR="006F6599" w:rsidRDefault="00963F10">
      <w:pPr>
        <w:pStyle w:val="Corpodetexto"/>
        <w:ind w:right="255" w:firstLine="720"/>
        <w:jc w:val="both"/>
      </w:pPr>
      <w:r>
        <w:t>O tratamento não tem duração pré-determinada, havendo reduções de dose ou interrupção de acordo com a resposta do paciente.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PargrafodaLista"/>
        <w:numPr>
          <w:ilvl w:val="1"/>
          <w:numId w:val="15"/>
        </w:numPr>
        <w:tabs>
          <w:tab w:val="left" w:pos="1021"/>
          <w:tab w:val="left" w:pos="1022"/>
        </w:tabs>
        <w:spacing w:line="274" w:lineRule="exact"/>
        <w:ind w:left="1021" w:hanging="768"/>
        <w:rPr>
          <w:b/>
          <w:sz w:val="19"/>
        </w:rPr>
      </w:pPr>
      <w:r>
        <w:rPr>
          <w:b/>
          <w:sz w:val="24"/>
        </w:rPr>
        <w:t>B</w:t>
      </w:r>
      <w:r>
        <w:rPr>
          <w:b/>
          <w:sz w:val="19"/>
        </w:rPr>
        <w:t>ENEFÍCIOS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ESPERADOS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spacing w:line="274" w:lineRule="exact"/>
        <w:ind w:left="392" w:hanging="139"/>
        <w:jc w:val="left"/>
        <w:rPr>
          <w:sz w:val="24"/>
        </w:rPr>
      </w:pPr>
      <w:r>
        <w:rPr>
          <w:sz w:val="24"/>
        </w:rPr>
        <w:t>Aumento da expectativa de</w:t>
      </w:r>
      <w:r>
        <w:rPr>
          <w:spacing w:val="-3"/>
          <w:sz w:val="24"/>
        </w:rPr>
        <w:t xml:space="preserve"> </w:t>
      </w:r>
      <w:r>
        <w:rPr>
          <w:sz w:val="24"/>
        </w:rPr>
        <w:t>vida;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>melhora da qualidade de</w:t>
      </w:r>
      <w:r>
        <w:rPr>
          <w:spacing w:val="-5"/>
          <w:sz w:val="24"/>
        </w:rPr>
        <w:t xml:space="preserve"> </w:t>
      </w:r>
      <w:r>
        <w:rPr>
          <w:sz w:val="24"/>
        </w:rPr>
        <w:t>vida;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 xml:space="preserve">melhora dos </w:t>
      </w:r>
      <w:r>
        <w:rPr>
          <w:sz w:val="24"/>
        </w:rPr>
        <w:t>sintomas</w:t>
      </w:r>
      <w:r>
        <w:rPr>
          <w:spacing w:val="-2"/>
          <w:sz w:val="24"/>
        </w:rPr>
        <w:t xml:space="preserve"> </w:t>
      </w:r>
      <w:r>
        <w:rPr>
          <w:sz w:val="24"/>
        </w:rPr>
        <w:t>clínicos;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>diminuição da atividade inflamatória ao exame da amostra de biópsia</w:t>
      </w:r>
      <w:r>
        <w:rPr>
          <w:spacing w:val="-5"/>
          <w:sz w:val="24"/>
        </w:rPr>
        <w:t xml:space="preserve"> </w:t>
      </w:r>
      <w:r>
        <w:rPr>
          <w:sz w:val="24"/>
        </w:rPr>
        <w:t>hepática;</w:t>
      </w:r>
    </w:p>
    <w:p w:rsidR="006F6599" w:rsidRDefault="006F6599">
      <w:pPr>
        <w:rPr>
          <w:sz w:val="24"/>
        </w:rPr>
        <w:sectPr w:rsidR="006F6599">
          <w:pgSz w:w="11910" w:h="16850"/>
          <w:pgMar w:top="1340" w:right="880" w:bottom="280" w:left="880" w:header="720" w:footer="720" w:gutter="0"/>
          <w:cols w:space="720"/>
        </w:sectPr>
      </w:pP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spacing w:before="64"/>
        <w:ind w:left="392" w:hanging="139"/>
        <w:jc w:val="left"/>
        <w:rPr>
          <w:sz w:val="24"/>
        </w:rPr>
      </w:pPr>
      <w:r>
        <w:rPr>
          <w:sz w:val="24"/>
        </w:rPr>
        <w:lastRenderedPageBreak/>
        <w:t>normalização dos níveis das</w:t>
      </w:r>
      <w:r>
        <w:rPr>
          <w:spacing w:val="-1"/>
          <w:sz w:val="24"/>
        </w:rPr>
        <w:t xml:space="preserve"> </w:t>
      </w:r>
      <w:r>
        <w:rPr>
          <w:sz w:val="24"/>
        </w:rPr>
        <w:t>aminotransferases/transaminases;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>prevenção de</w:t>
      </w:r>
      <w:r>
        <w:rPr>
          <w:spacing w:val="-2"/>
          <w:sz w:val="24"/>
        </w:rPr>
        <w:t xml:space="preserve"> </w:t>
      </w:r>
      <w:r>
        <w:rPr>
          <w:sz w:val="24"/>
        </w:rPr>
        <w:t>recaídas.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spacing w:line="274" w:lineRule="exact"/>
        <w:ind w:left="469" w:hanging="216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ONITORIZAÇÃO</w:t>
      </w:r>
    </w:p>
    <w:p w:rsidR="006F6599" w:rsidRDefault="00963F10">
      <w:pPr>
        <w:pStyle w:val="Corpodetexto"/>
        <w:spacing w:line="237" w:lineRule="auto"/>
        <w:ind w:right="251" w:firstLine="720"/>
        <w:jc w:val="both"/>
      </w:pPr>
      <w:r>
        <w:t xml:space="preserve">Para pacientes em uso de corticosteroide, recomenda-se a avaliação regular da pressão arterial e realizar dosagens de potássio e sódio séricos e glicemia de jejum para identificação e tratamento de potenciais efeitos adversos sobre o metabolismo glicídico </w:t>
      </w:r>
      <w:r>
        <w:t>e equilíbrio hidro- eletrolítico. Para pacientes em uso de corticosteroide por períodos superiores a seis semanas, recomenda-se avaliação oftalmológica</w:t>
      </w:r>
      <w:r>
        <w:rPr>
          <w:position w:val="9"/>
          <w:sz w:val="16"/>
        </w:rPr>
        <w:t>41</w:t>
      </w:r>
      <w:r>
        <w:t>.</w:t>
      </w:r>
    </w:p>
    <w:p w:rsidR="006F6599" w:rsidRDefault="00963F10">
      <w:pPr>
        <w:pStyle w:val="Corpodetexto"/>
        <w:spacing w:line="237" w:lineRule="auto"/>
        <w:ind w:right="249" w:firstLine="720"/>
        <w:jc w:val="both"/>
      </w:pPr>
      <w:r>
        <w:t>A azatioprina se transforma rapidamente, depois de ingerida, em 6-mercaptopurina que por sua vez é me</w:t>
      </w:r>
      <w:r>
        <w:t xml:space="preserve">tabolizada por três vias, duas catabólicas e uma anabólica. A via catabólica de metilação se efetua pela ação da enzima TPMT (tiopurina metil-transferase) e a outra de oxidação pela xantina oxidase (XO). A via anabólica se inicia pela ação da enzima HGPRT </w:t>
      </w:r>
      <w:r>
        <w:t>(hipoxantina- fosfo-ribosil-transferase) sobre a 6-mercaptopurina e leva a formação dos metabólitos ativos 6-TGN (6-tioguanínicos) que são os responsáveis pela ação imunossupressora e mielotóxica da azatioprina. Pacientes que geneticamente não apresentam a</w:t>
      </w:r>
      <w:r>
        <w:t>tividade da enzima TPMT, ou a tem em nível muito baixo, são intolerantes à azatioprina em razão da maior oferta de 6-mercaptopurina para se formar 6TGN. Esses pacientes são extremamente sensíveis ao uso da azatioprina, mesmo com doses baixas, e a mielotoxi</w:t>
      </w:r>
      <w:r>
        <w:t>cidade nessas situações se manifesta precocemente, após poucos dias de uso</w:t>
      </w:r>
      <w:r>
        <w:rPr>
          <w:position w:val="9"/>
          <w:sz w:val="16"/>
        </w:rPr>
        <w:t>42,43</w:t>
      </w:r>
      <w:r>
        <w:t>. Desta forma deve-se realizar hemograma completo semanalmente no primeiro mês, quinzenalmente no segundo e no terceiro meses e, após, mensalmente</w:t>
      </w:r>
      <w:r>
        <w:rPr>
          <w:position w:val="9"/>
          <w:sz w:val="16"/>
        </w:rPr>
        <w:t>44</w:t>
      </w:r>
      <w:r>
        <w:t xml:space="preserve">. A redução de dose ou suspensão da azatioprina devem ser feitas a critério médico. A determinação de 6-TGN poderá vir a ser útil para monitorizar a dose a ser ministrada e propiciar aumento de sua eficácia, sobretudo para os doentes com alta atividade da </w:t>
      </w:r>
      <w:r>
        <w:t>TPMT. Isso tem ainda fundamento limitado, mas algumas evidências demonstram que cerca de 30% dos pacientes sob uso prolongado de azatioprina não formam, em nível detectável pela metodologia atual (HPLC), os metabólitos ativos desse imunossupressor.</w:t>
      </w:r>
    </w:p>
    <w:p w:rsidR="006F6599" w:rsidRDefault="00963F10">
      <w:pPr>
        <w:pStyle w:val="Corpodetexto"/>
        <w:spacing w:before="17"/>
        <w:ind w:right="247" w:firstLine="720"/>
        <w:jc w:val="both"/>
      </w:pPr>
      <w:r>
        <w:t>A hepat</w:t>
      </w:r>
      <w:r>
        <w:t>otoxicidade da azatioprina é incomum e parece estar relacionada ao metabólito 6- metil-mercaptopurina. Deve ser realizado controle de AST/TGO e ALT/TGP na mesma periodicidade dos hemogramas nos primeiros 6 meses e, após, trimestralmente. Caracterizada hepa</w:t>
      </w:r>
      <w:r>
        <w:t>totoxicidade, reavaliar continuidade do tratamento.</w:t>
      </w:r>
    </w:p>
    <w:p w:rsidR="006F6599" w:rsidRDefault="00963F10">
      <w:pPr>
        <w:pStyle w:val="Corpodetexto"/>
        <w:spacing w:before="4" w:line="235" w:lineRule="auto"/>
        <w:ind w:right="248" w:firstLine="720"/>
        <w:jc w:val="both"/>
      </w:pPr>
      <w:r>
        <w:t>Se após 3 a 6 meses de tratamento com corticoesteroide não houver resposta clínica ou laboratorial, a hipótese de colangite esclerosante primária deverá ser investigada por meio de exame de imagem apropri</w:t>
      </w:r>
      <w:r>
        <w:t>ado</w:t>
      </w:r>
      <w:r>
        <w:rPr>
          <w:position w:val="9"/>
          <w:sz w:val="16"/>
        </w:rPr>
        <w:t>34</w:t>
      </w:r>
      <w:r>
        <w:t xml:space="preserve">. Deve-se ter em mente também que pacientes anti-SLA positivos têm maior risco de recaída após suspensão do tratamento: </w:t>
      </w:r>
      <w:r>
        <w:rPr>
          <w:i/>
        </w:rPr>
        <w:t xml:space="preserve">odds ratio </w:t>
      </w:r>
      <w:r>
        <w:t>de 2,24 (IC95%: 1,38 a 3,64)</w:t>
      </w:r>
      <w:r>
        <w:rPr>
          <w:position w:val="9"/>
          <w:sz w:val="16"/>
        </w:rPr>
        <w:t>45</w:t>
      </w:r>
      <w:r>
        <w:t>. Um revisão sistemática qualitativa identificou que 19% a 40% dos pacientes podem atingir</w:t>
      </w:r>
      <w:r>
        <w:t xml:space="preserve"> um estado de remissão livre de corticosteroide ou azatioprina após 3 anos de tratamento</w:t>
      </w:r>
      <w:r>
        <w:rPr>
          <w:position w:val="9"/>
          <w:sz w:val="16"/>
        </w:rPr>
        <w:t>46</w:t>
      </w:r>
      <w:r>
        <w:t>. Fatores que favorecem esse estado são: idade ≥40 anos; ausência de cirrose ao diagnóstico; ausência de doenças autoimunes concomitantes; resposta terapêutica dentro</w:t>
      </w:r>
      <w:r>
        <w:t xml:space="preserve"> dos primeiros 5 meses de tratamento; escore ERDHAI &lt;17 pontos ao diagnóstico; boa adesão ao tratamento; bioquímica hepática normal e ausência de plasmócitos ao exame anatomopatológico do fígado à suspensão do tratamento</w:t>
      </w:r>
      <w:r>
        <w:rPr>
          <w:position w:val="9"/>
          <w:sz w:val="16"/>
        </w:rPr>
        <w:t>46</w:t>
      </w:r>
      <w:r>
        <w:t>. Contudo, sabe-se que remissão bi</w:t>
      </w:r>
      <w:r>
        <w:t>oquímica pode preceder a remissão histológica em 3 a 8 meses; logo, sugere-se que o tratamento seja mantido por este período após normalização das aminotransferases/transaminases</w:t>
      </w:r>
      <w:r>
        <w:rPr>
          <w:position w:val="9"/>
          <w:sz w:val="16"/>
        </w:rPr>
        <w:t>47</w:t>
      </w:r>
      <w:r>
        <w:t>.</w:t>
      </w:r>
    </w:p>
    <w:p w:rsidR="006F6599" w:rsidRDefault="00963F10">
      <w:pPr>
        <w:pStyle w:val="Corpodetexto"/>
        <w:spacing w:line="232" w:lineRule="auto"/>
        <w:ind w:right="251" w:firstLine="720"/>
        <w:jc w:val="both"/>
      </w:pPr>
      <w:r>
        <w:t>Recomenda-se rastreamento semestral de carcinoma hepatocelular (CHC) com u</w:t>
      </w:r>
      <w:r>
        <w:t>ltrassonografia de abdome para pacientes cirróticos com HAI, apesar do risco de CHC nesta população ser menor que nos cirróticos por hepatites virais crônicas ou CBP</w:t>
      </w:r>
      <w:r>
        <w:rPr>
          <w:position w:val="9"/>
          <w:sz w:val="16"/>
        </w:rPr>
        <w:t>19,48</w:t>
      </w:r>
      <w:r>
        <w:t>.</w:t>
      </w:r>
    </w:p>
    <w:p w:rsidR="006F6599" w:rsidRDefault="006F6599">
      <w:pPr>
        <w:pStyle w:val="Corpodetexto"/>
        <w:spacing w:before="6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470"/>
        </w:tabs>
        <w:spacing w:line="274" w:lineRule="exact"/>
        <w:ind w:left="469" w:hanging="216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EGULAÇÃO</w:t>
      </w:r>
      <w:r>
        <w:rPr>
          <w:b/>
          <w:sz w:val="24"/>
        </w:rPr>
        <w:t>/</w:t>
      </w:r>
      <w:r>
        <w:rPr>
          <w:b/>
          <w:sz w:val="19"/>
        </w:rPr>
        <w:t>CONTROLE</w:t>
      </w:r>
      <w:r>
        <w:rPr>
          <w:b/>
          <w:sz w:val="24"/>
        </w:rPr>
        <w:t>/</w:t>
      </w:r>
      <w:r>
        <w:rPr>
          <w:b/>
          <w:sz w:val="19"/>
        </w:rPr>
        <w:t>AVALIAÇÃO PELO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G</w:t>
      </w:r>
      <w:r>
        <w:rPr>
          <w:b/>
          <w:sz w:val="19"/>
        </w:rPr>
        <w:t>ESTOR</w:t>
      </w:r>
    </w:p>
    <w:p w:rsidR="006F6599" w:rsidRDefault="00963F10">
      <w:pPr>
        <w:pStyle w:val="Corpodetexto"/>
        <w:ind w:right="253" w:firstLine="720"/>
        <w:jc w:val="both"/>
      </w:pPr>
      <w:r>
        <w:t>Devem ser observados os critérios de inclusão e exclusão de pacientes neste Protocolo, a duração e a monitorização do tratamento, bem como a verificação periódica das doses prescritas e dispensadas e a adequação de uso do medicamento.</w:t>
      </w:r>
    </w:p>
    <w:p w:rsidR="006F6599" w:rsidRDefault="006F6599">
      <w:pPr>
        <w:jc w:val="both"/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Corpodetexto"/>
        <w:spacing w:before="64"/>
        <w:ind w:right="258" w:firstLine="720"/>
        <w:jc w:val="both"/>
      </w:pPr>
      <w:r>
        <w:lastRenderedPageBreak/>
        <w:t>Verific</w:t>
      </w:r>
      <w:r>
        <w:t>ar na Relação Nacional de Medicamentos Essenciais (RENAME) vigente em qual componente da Assistência Farmacêutica se encontram os medicamentos preconizados neste Protocolo.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590"/>
        </w:tabs>
        <w:spacing w:line="274" w:lineRule="exact"/>
        <w:ind w:left="589" w:hanging="336"/>
        <w:jc w:val="both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ERMO DE ESCLARECIMENTO E RESPONSABILIDADE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TER</w:t>
      </w:r>
    </w:p>
    <w:p w:rsidR="006F6599" w:rsidRDefault="00963F10">
      <w:pPr>
        <w:pStyle w:val="Corpodetexto"/>
        <w:ind w:right="416" w:firstLine="720"/>
      </w:pPr>
      <w:r>
        <w:t>Deve-se cientificar o paciente, o</w:t>
      </w:r>
      <w:r>
        <w:t>u seu responsável legal, sobre os potenciais riscos, benefícios e efeitos adversos relacionados ao uso dos medicamentos preconizados neste Protocolo, levando-se em consideração as informações contidas no TER.</w:t>
      </w:r>
    </w:p>
    <w:p w:rsidR="006F6599" w:rsidRDefault="006F6599">
      <w:pPr>
        <w:pStyle w:val="Corpodetexto"/>
        <w:spacing w:before="2"/>
        <w:ind w:left="0"/>
      </w:pPr>
    </w:p>
    <w:p w:rsidR="006F6599" w:rsidRDefault="00963F10">
      <w:pPr>
        <w:pStyle w:val="PargrafodaLista"/>
        <w:numPr>
          <w:ilvl w:val="0"/>
          <w:numId w:val="15"/>
        </w:numPr>
        <w:tabs>
          <w:tab w:val="left" w:pos="590"/>
        </w:tabs>
        <w:spacing w:line="274" w:lineRule="exact"/>
        <w:ind w:left="589" w:hanging="336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EFERÊNCIAS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8" w:firstLine="0"/>
        <w:jc w:val="both"/>
        <w:rPr>
          <w:sz w:val="24"/>
        </w:rPr>
      </w:pPr>
      <w:r w:rsidRPr="00963F10">
        <w:rPr>
          <w:sz w:val="24"/>
          <w:lang w:val="en-US"/>
        </w:rPr>
        <w:t>McFarlane IG. Definition and class</w:t>
      </w:r>
      <w:r w:rsidRPr="00963F10">
        <w:rPr>
          <w:sz w:val="24"/>
          <w:lang w:val="en-US"/>
        </w:rPr>
        <w:t xml:space="preserve">ification of autoimmune hepatitis. </w:t>
      </w:r>
      <w:r>
        <w:rPr>
          <w:sz w:val="24"/>
        </w:rPr>
        <w:t>Semin Liver Dis. novembro de</w:t>
      </w:r>
      <w:r>
        <w:rPr>
          <w:spacing w:val="-2"/>
          <w:sz w:val="24"/>
        </w:rPr>
        <w:t xml:space="preserve"> </w:t>
      </w:r>
      <w:r>
        <w:rPr>
          <w:sz w:val="24"/>
        </w:rPr>
        <w:t>2002;22(4):317–24.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0" w:firstLine="0"/>
        <w:jc w:val="both"/>
        <w:rPr>
          <w:sz w:val="24"/>
        </w:rPr>
      </w:pPr>
      <w:r>
        <w:rPr>
          <w:sz w:val="24"/>
        </w:rPr>
        <w:t>Sociedade Brasileira de Hepatologia. Inquérito Nacional sobre Hepatite Autoimune (HAI) - 1997-1999. Disponível e</w:t>
      </w:r>
      <w:hyperlink r:id="rId7">
        <w:r>
          <w:rPr>
            <w:sz w:val="24"/>
          </w:rPr>
          <w:t>m: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http://www.sbhepatologia.org.br/nacional/inquer.htm</w:t>
        </w:r>
      </w:hyperlink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firstLine="0"/>
        <w:jc w:val="both"/>
        <w:rPr>
          <w:sz w:val="24"/>
        </w:rPr>
      </w:pPr>
      <w:r>
        <w:rPr>
          <w:sz w:val="24"/>
        </w:rPr>
        <w:t>Krawitt EL. Autoimmune hepatitis. N Engl J Med. 5 de janeiro de</w:t>
      </w:r>
      <w:r>
        <w:rPr>
          <w:spacing w:val="-6"/>
          <w:sz w:val="24"/>
        </w:rPr>
        <w:t xml:space="preserve"> </w:t>
      </w:r>
      <w:r>
        <w:rPr>
          <w:sz w:val="24"/>
        </w:rPr>
        <w:t>2006;354(1):54–66.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7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Manns MP, Strassburg CP. Autoimmune hepatitis: clinical challenges. </w:t>
      </w:r>
      <w:r>
        <w:rPr>
          <w:sz w:val="24"/>
        </w:rPr>
        <w:t>Gastroenterology. maio de</w:t>
      </w:r>
      <w:r>
        <w:rPr>
          <w:spacing w:val="-1"/>
          <w:sz w:val="24"/>
        </w:rPr>
        <w:t xml:space="preserve"> </w:t>
      </w:r>
      <w:r>
        <w:rPr>
          <w:sz w:val="24"/>
        </w:rPr>
        <w:t>2001;120(6):1502–17.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8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Geall MG, Schoenfield LJ, Summerskill WH. Classification and treatment of chronic active liver disease. </w:t>
      </w:r>
      <w:r>
        <w:rPr>
          <w:sz w:val="24"/>
        </w:rPr>
        <w:t>Gastroenterology. 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1968;55(6):724–9.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47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Soloway RD, Summerskill WH, Baggenstoss AH, Geall MG, Gitnićk GL, Elveback IR, et al. Clinical, biochemical, and histological remission of severe chronic active liver disease: a controlled study of treatments and early prognosis. </w:t>
      </w:r>
      <w:r>
        <w:rPr>
          <w:sz w:val="24"/>
        </w:rPr>
        <w:t>Gastroenterology. novembro</w:t>
      </w:r>
      <w:r>
        <w:rPr>
          <w:sz w:val="24"/>
        </w:rPr>
        <w:t xml:space="preserve"> de 1972;63(5):820–33.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9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Roberts SK, Therneau TM, Czaja AJ. Prognosis of histological cirrhosis in type 1 autoimmune hepatitis. </w:t>
      </w:r>
      <w:r>
        <w:rPr>
          <w:sz w:val="24"/>
        </w:rPr>
        <w:t>Gastroenterology. março de</w:t>
      </w:r>
      <w:r>
        <w:rPr>
          <w:spacing w:val="-2"/>
          <w:sz w:val="24"/>
        </w:rPr>
        <w:t xml:space="preserve"> </w:t>
      </w:r>
      <w:r>
        <w:rPr>
          <w:sz w:val="24"/>
        </w:rPr>
        <w:t>1996;110(3):848–57.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1" w:firstLine="0"/>
        <w:jc w:val="both"/>
        <w:rPr>
          <w:sz w:val="24"/>
        </w:rPr>
      </w:pPr>
      <w:r>
        <w:rPr>
          <w:sz w:val="24"/>
        </w:rPr>
        <w:t xml:space="preserve">Bittencourt PL, Cançado ELR, Couto CA, Levy C, Porta G, Silva AEB, et al. </w:t>
      </w:r>
      <w:r w:rsidRPr="00963F10">
        <w:rPr>
          <w:sz w:val="24"/>
          <w:lang w:val="en-US"/>
        </w:rPr>
        <w:t>Brazilian</w:t>
      </w:r>
      <w:r w:rsidRPr="00963F10">
        <w:rPr>
          <w:sz w:val="24"/>
          <w:lang w:val="en-US"/>
        </w:rPr>
        <w:t xml:space="preserve"> society of hepatology recommendations for the diagnosis and management of autoimmune diseases of the liver. </w:t>
      </w:r>
      <w:r>
        <w:rPr>
          <w:sz w:val="24"/>
        </w:rPr>
        <w:t>Arq Gastroenterol. dezembro de 2015;52 Suppl</w:t>
      </w:r>
      <w:r>
        <w:rPr>
          <w:spacing w:val="-4"/>
          <w:sz w:val="24"/>
        </w:rPr>
        <w:t xml:space="preserve"> </w:t>
      </w:r>
      <w:r>
        <w:rPr>
          <w:sz w:val="24"/>
        </w:rPr>
        <w:t>1:15–46.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3" w:firstLine="0"/>
        <w:jc w:val="both"/>
        <w:rPr>
          <w:sz w:val="24"/>
        </w:rPr>
      </w:pPr>
      <w:r w:rsidRPr="00963F10">
        <w:rPr>
          <w:sz w:val="24"/>
          <w:lang w:val="en-US"/>
        </w:rPr>
        <w:t>Zhang W-C, Zhao F-R, Chen J, Chen W-X. Meta-analysis: diagnostic accuracy of antinuclear anti</w:t>
      </w:r>
      <w:r w:rsidRPr="00963F10">
        <w:rPr>
          <w:sz w:val="24"/>
          <w:lang w:val="en-US"/>
        </w:rPr>
        <w:t xml:space="preserve">bodies, smooth muscle antibodies and antibodies to a soluble liver antigen/liver pancreas in autoimmune hepatitis. </w:t>
      </w:r>
      <w:r>
        <w:rPr>
          <w:sz w:val="24"/>
        </w:rPr>
        <w:t>PloS One.</w:t>
      </w:r>
      <w:r>
        <w:rPr>
          <w:spacing w:val="1"/>
          <w:sz w:val="24"/>
        </w:rPr>
        <w:t xml:space="preserve"> </w:t>
      </w:r>
      <w:r>
        <w:rPr>
          <w:sz w:val="24"/>
        </w:rPr>
        <w:t>2014;9(3):e92267.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3" w:firstLine="0"/>
        <w:jc w:val="both"/>
        <w:rPr>
          <w:sz w:val="24"/>
        </w:rPr>
      </w:pPr>
      <w:r w:rsidRPr="00963F10">
        <w:rPr>
          <w:sz w:val="24"/>
          <w:lang w:val="en-US"/>
        </w:rPr>
        <w:t>Chen J, Eslick GD, Weltman M. Systematic review with meta-analysis: clinical manifestations and management of aut</w:t>
      </w:r>
      <w:r w:rsidRPr="00963F10">
        <w:rPr>
          <w:sz w:val="24"/>
          <w:lang w:val="en-US"/>
        </w:rPr>
        <w:t xml:space="preserve">oimmune hepatitis in the elderly. </w:t>
      </w:r>
      <w:r>
        <w:rPr>
          <w:sz w:val="24"/>
        </w:rPr>
        <w:t>Aliment Pharmacol Ther. janeiro de</w:t>
      </w:r>
      <w:r>
        <w:rPr>
          <w:spacing w:val="-3"/>
          <w:sz w:val="24"/>
        </w:rPr>
        <w:t xml:space="preserve"> </w:t>
      </w:r>
      <w:r>
        <w:rPr>
          <w:sz w:val="24"/>
        </w:rPr>
        <w:t>2014;39(2):117–24.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60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Johnson PJ, McFarlane IG. Meeting report: International Autoimmune Hepatitis Group. </w:t>
      </w:r>
      <w:r>
        <w:rPr>
          <w:sz w:val="24"/>
        </w:rPr>
        <w:t>Hepatol Baltim Md. outubro de</w:t>
      </w:r>
      <w:r>
        <w:rPr>
          <w:spacing w:val="-3"/>
          <w:sz w:val="24"/>
        </w:rPr>
        <w:t xml:space="preserve"> </w:t>
      </w:r>
      <w:r>
        <w:rPr>
          <w:sz w:val="24"/>
        </w:rPr>
        <w:t>1993;18(4):998–1005.</w:t>
      </w:r>
    </w:p>
    <w:p w:rsidR="006F6599" w:rsidRPr="00963F10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7" w:firstLine="0"/>
        <w:jc w:val="both"/>
        <w:rPr>
          <w:sz w:val="24"/>
          <w:lang w:val="en-US"/>
        </w:rPr>
      </w:pPr>
      <w:r>
        <w:rPr>
          <w:sz w:val="24"/>
        </w:rPr>
        <w:t>Elke M. Hennes, Zeniya M, Czaja A</w:t>
      </w:r>
      <w:r>
        <w:rPr>
          <w:sz w:val="24"/>
        </w:rPr>
        <w:t xml:space="preserve">J, Parés A, Dalekos GN, Krawitt EL, et al. </w:t>
      </w:r>
      <w:r w:rsidRPr="00963F10">
        <w:rPr>
          <w:sz w:val="24"/>
          <w:lang w:val="en-US"/>
        </w:rPr>
        <w:t>Simplified criteria for the diagnosis of autoimmune hepatitis. Hepatol Baltim Md. julho de</w:t>
      </w:r>
      <w:r w:rsidRPr="00963F10">
        <w:rPr>
          <w:spacing w:val="-12"/>
          <w:sz w:val="24"/>
          <w:lang w:val="en-US"/>
        </w:rPr>
        <w:t xml:space="preserve"> </w:t>
      </w:r>
      <w:r w:rsidRPr="00963F10">
        <w:rPr>
          <w:sz w:val="24"/>
          <w:lang w:val="en-US"/>
        </w:rPr>
        <w:t>2008;48(1):169–76.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1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Kim BH, Kim YJ, Jeong S-H, Tak WY, Ahn SH, </w:t>
      </w:r>
      <w:r w:rsidRPr="00963F10">
        <w:rPr>
          <w:spacing w:val="-3"/>
          <w:sz w:val="24"/>
          <w:lang w:val="en-US"/>
        </w:rPr>
        <w:t xml:space="preserve">Lee </w:t>
      </w:r>
      <w:r w:rsidRPr="00963F10">
        <w:rPr>
          <w:sz w:val="24"/>
          <w:lang w:val="en-US"/>
        </w:rPr>
        <w:t>YJ, et al. Clinical features of autoimmune hepatitis and</w:t>
      </w:r>
      <w:r w:rsidRPr="00963F10">
        <w:rPr>
          <w:sz w:val="24"/>
          <w:lang w:val="en-US"/>
        </w:rPr>
        <w:t xml:space="preserve"> comparison of two diagnostic criteria in Korea: a nationwide, multicenter study. </w:t>
      </w:r>
      <w:r>
        <w:rPr>
          <w:sz w:val="24"/>
        </w:rPr>
        <w:t>J Gastroenterol Hepatol. janeiro de</w:t>
      </w:r>
      <w:r>
        <w:rPr>
          <w:spacing w:val="-1"/>
          <w:sz w:val="24"/>
        </w:rPr>
        <w:t xml:space="preserve"> </w:t>
      </w:r>
      <w:r>
        <w:rPr>
          <w:sz w:val="24"/>
        </w:rPr>
        <w:t>2013;28(1):128–34.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0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Czaja AJ. Performance parameters of the diagnostic scoring systems for autoimmune hepatitis. </w:t>
      </w:r>
      <w:r>
        <w:rPr>
          <w:sz w:val="24"/>
        </w:rPr>
        <w:t>Hepatol Baltim Md. novembro de</w:t>
      </w:r>
      <w:r>
        <w:rPr>
          <w:spacing w:val="-3"/>
          <w:sz w:val="24"/>
        </w:rPr>
        <w:t xml:space="preserve"> </w:t>
      </w:r>
      <w:r>
        <w:rPr>
          <w:sz w:val="24"/>
        </w:rPr>
        <w:t>2008;48(5):1540–8.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7" w:firstLine="0"/>
        <w:jc w:val="both"/>
        <w:rPr>
          <w:sz w:val="24"/>
        </w:rPr>
      </w:pPr>
      <w:r w:rsidRPr="00963F10">
        <w:rPr>
          <w:sz w:val="24"/>
          <w:lang w:val="en-US"/>
        </w:rPr>
        <w:t>Mileti E, Rosenthal P, Peters MG. Validation and modification of simplified diagnostic criteria for autoimmune he</w:t>
      </w:r>
      <w:r w:rsidRPr="00963F10">
        <w:rPr>
          <w:sz w:val="24"/>
          <w:lang w:val="en-US"/>
        </w:rPr>
        <w:t xml:space="preserve">patitis in children. </w:t>
      </w:r>
      <w:r>
        <w:rPr>
          <w:sz w:val="24"/>
        </w:rPr>
        <w:t>Clin Gastroenterol Hepatol Off Clin Pract J Am Gastroenterol Assoc. abril de</w:t>
      </w:r>
      <w:r>
        <w:rPr>
          <w:spacing w:val="1"/>
          <w:sz w:val="24"/>
        </w:rPr>
        <w:t xml:space="preserve"> </w:t>
      </w:r>
      <w:r>
        <w:rPr>
          <w:sz w:val="24"/>
        </w:rPr>
        <w:t>2012;10(4):417-421.e1-2.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49" w:firstLine="0"/>
        <w:jc w:val="both"/>
        <w:rPr>
          <w:sz w:val="24"/>
        </w:rPr>
      </w:pPr>
      <w:r w:rsidRPr="00963F10">
        <w:rPr>
          <w:sz w:val="24"/>
          <w:lang w:val="en-US"/>
        </w:rPr>
        <w:t>Muratori P, Granito A, Pappas G, Muratori L. Validation of simplified diagnostic criteria for autoimmune hepatitis in Italian patient</w:t>
      </w:r>
      <w:r w:rsidRPr="00963F10">
        <w:rPr>
          <w:sz w:val="24"/>
          <w:lang w:val="en-US"/>
        </w:rPr>
        <w:t xml:space="preserve">s. </w:t>
      </w:r>
      <w:r>
        <w:rPr>
          <w:sz w:val="24"/>
        </w:rPr>
        <w:t>Hepatol Baltim Md. maio de 2009;49(5):1782–1783; author reply</w:t>
      </w:r>
      <w:r>
        <w:rPr>
          <w:spacing w:val="-5"/>
          <w:sz w:val="24"/>
        </w:rPr>
        <w:t xml:space="preserve"> </w:t>
      </w:r>
      <w:r>
        <w:rPr>
          <w:sz w:val="24"/>
        </w:rPr>
        <w:t>1783.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spacing w:before="1"/>
        <w:ind w:right="250" w:firstLine="0"/>
        <w:jc w:val="both"/>
        <w:rPr>
          <w:sz w:val="24"/>
        </w:rPr>
      </w:pPr>
      <w:r>
        <w:rPr>
          <w:sz w:val="24"/>
        </w:rPr>
        <w:t xml:space="preserve">Qiu D, Wang Q, Wang H, Xie Q, Zang G, Jiang H, et al. </w:t>
      </w:r>
      <w:r w:rsidRPr="00963F10">
        <w:rPr>
          <w:sz w:val="24"/>
          <w:lang w:val="en-US"/>
        </w:rPr>
        <w:t xml:space="preserve">Validation of the simplified criteria for diagnosis of autoimmune hepatitis in Chinese patients. </w:t>
      </w:r>
      <w:r>
        <w:rPr>
          <w:sz w:val="24"/>
        </w:rPr>
        <w:t>J Hepatol. fevereiro de 2011;54(2)</w:t>
      </w:r>
      <w:r>
        <w:rPr>
          <w:sz w:val="24"/>
        </w:rPr>
        <w:t>:340– 7.</w:t>
      </w:r>
    </w:p>
    <w:p w:rsidR="006F6599" w:rsidRDefault="006F6599">
      <w:pPr>
        <w:jc w:val="both"/>
        <w:rPr>
          <w:sz w:val="24"/>
        </w:rPr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spacing w:before="64"/>
        <w:ind w:right="251" w:firstLine="0"/>
        <w:jc w:val="both"/>
        <w:rPr>
          <w:sz w:val="24"/>
        </w:rPr>
      </w:pPr>
      <w:r>
        <w:rPr>
          <w:sz w:val="24"/>
        </w:rPr>
        <w:lastRenderedPageBreak/>
        <w:t xml:space="preserve">Candia R, Norero B, Agüero C, Díaz </w:t>
      </w:r>
      <w:r>
        <w:rPr>
          <w:spacing w:val="-3"/>
          <w:sz w:val="24"/>
        </w:rPr>
        <w:t xml:space="preserve">L, </w:t>
      </w:r>
      <w:r>
        <w:rPr>
          <w:sz w:val="24"/>
        </w:rPr>
        <w:t xml:space="preserve">Ortega JP, Wolff R, et al. </w:t>
      </w:r>
      <w:r w:rsidRPr="00963F10">
        <w:rPr>
          <w:sz w:val="24"/>
          <w:lang w:val="en-US"/>
        </w:rPr>
        <w:t xml:space="preserve">Validation of the Simplified Criteria for the Diagnosis of Autoimmune Hepatitis in Chilean-Hispanic Patients. </w:t>
      </w:r>
      <w:r>
        <w:rPr>
          <w:sz w:val="24"/>
        </w:rPr>
        <w:t>Ann Hepatol. outubro de</w:t>
      </w:r>
      <w:r>
        <w:rPr>
          <w:spacing w:val="-3"/>
          <w:sz w:val="24"/>
        </w:rPr>
        <w:t xml:space="preserve"> </w:t>
      </w:r>
      <w:r>
        <w:rPr>
          <w:sz w:val="24"/>
        </w:rPr>
        <w:t>2017;16(5):772–9.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4" w:firstLine="0"/>
        <w:jc w:val="both"/>
        <w:rPr>
          <w:sz w:val="24"/>
        </w:rPr>
      </w:pPr>
      <w:r w:rsidRPr="00963F10">
        <w:rPr>
          <w:sz w:val="24"/>
          <w:lang w:val="en-US"/>
        </w:rPr>
        <w:t>European Associa</w:t>
      </w:r>
      <w:r w:rsidRPr="00963F10">
        <w:rPr>
          <w:sz w:val="24"/>
          <w:lang w:val="en-US"/>
        </w:rPr>
        <w:t xml:space="preserve">tion for the Study of the Liver. EASL Clinical Practice Guidelines: Autoimmune hepatitis. </w:t>
      </w:r>
      <w:r>
        <w:rPr>
          <w:sz w:val="24"/>
        </w:rPr>
        <w:t>J Hepatol.</w:t>
      </w:r>
      <w:r>
        <w:rPr>
          <w:spacing w:val="-1"/>
          <w:sz w:val="24"/>
        </w:rPr>
        <w:t xml:space="preserve"> </w:t>
      </w:r>
      <w:r>
        <w:rPr>
          <w:sz w:val="24"/>
        </w:rPr>
        <w:t>2015;63(4):971–1004.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6" w:firstLine="0"/>
        <w:jc w:val="both"/>
        <w:rPr>
          <w:sz w:val="24"/>
        </w:rPr>
      </w:pPr>
      <w:r>
        <w:rPr>
          <w:sz w:val="24"/>
        </w:rPr>
        <w:t xml:space="preserve">Alvarez F, Berg PA, Bianchi FB, Bianchi L, Burroughs AK, Cancado EL, et al. </w:t>
      </w:r>
      <w:r w:rsidRPr="00963F10">
        <w:rPr>
          <w:sz w:val="24"/>
          <w:lang w:val="en-US"/>
        </w:rPr>
        <w:t>International Autoimmune Hepatitis Group Report: review of</w:t>
      </w:r>
      <w:r w:rsidRPr="00963F10">
        <w:rPr>
          <w:sz w:val="24"/>
          <w:lang w:val="en-US"/>
        </w:rPr>
        <w:t xml:space="preserve"> criteria for diagnosis of autoimmune hepatitis. </w:t>
      </w:r>
      <w:r>
        <w:rPr>
          <w:sz w:val="24"/>
        </w:rPr>
        <w:t>J Hepatol. novembro de</w:t>
      </w:r>
      <w:r>
        <w:rPr>
          <w:spacing w:val="-1"/>
          <w:sz w:val="24"/>
        </w:rPr>
        <w:t xml:space="preserve"> </w:t>
      </w:r>
      <w:r>
        <w:rPr>
          <w:sz w:val="24"/>
        </w:rPr>
        <w:t>1999;31(5):929–38.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49" w:firstLine="0"/>
        <w:jc w:val="both"/>
        <w:rPr>
          <w:sz w:val="24"/>
        </w:rPr>
      </w:pPr>
      <w:r w:rsidRPr="00963F10">
        <w:rPr>
          <w:sz w:val="24"/>
          <w:lang w:val="en-US"/>
        </w:rPr>
        <w:t>Czaja AJ, Souto EO, Bittencourt PL, Cancado ELR, Porta G, Goldberg AC, et al. Clinical distinctions and pathogenic implications of type 1 autoimmune hepatitis in Bra</w:t>
      </w:r>
      <w:r w:rsidRPr="00963F10">
        <w:rPr>
          <w:sz w:val="24"/>
          <w:lang w:val="en-US"/>
        </w:rPr>
        <w:t xml:space="preserve">zil and the United States. </w:t>
      </w:r>
      <w:r>
        <w:rPr>
          <w:sz w:val="24"/>
        </w:rPr>
        <w:t>J Hepatol. setembro de</w:t>
      </w:r>
      <w:r>
        <w:rPr>
          <w:spacing w:val="1"/>
          <w:sz w:val="24"/>
        </w:rPr>
        <w:t xml:space="preserve"> </w:t>
      </w:r>
      <w:r>
        <w:rPr>
          <w:sz w:val="24"/>
        </w:rPr>
        <w:t>2002;37(3):302–8.</w:t>
      </w:r>
    </w:p>
    <w:p w:rsidR="006F6599" w:rsidRPr="00963F10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8" w:firstLine="0"/>
        <w:jc w:val="both"/>
        <w:rPr>
          <w:sz w:val="24"/>
          <w:lang w:val="en-US"/>
        </w:rPr>
      </w:pPr>
      <w:r w:rsidRPr="00963F10">
        <w:rPr>
          <w:sz w:val="24"/>
          <w:lang w:val="en-US"/>
        </w:rPr>
        <w:t>Czaja AJ, Freese DK, American Association for the Study of Liver Disease. Diagnosis and treatment of autoimmune hepatitis. Hepatol Baltim Md. agosto de</w:t>
      </w:r>
      <w:r w:rsidRPr="00963F10">
        <w:rPr>
          <w:spacing w:val="-4"/>
          <w:sz w:val="24"/>
          <w:lang w:val="en-US"/>
        </w:rPr>
        <w:t xml:space="preserve"> </w:t>
      </w:r>
      <w:r w:rsidRPr="00963F10">
        <w:rPr>
          <w:sz w:val="24"/>
          <w:lang w:val="en-US"/>
        </w:rPr>
        <w:t>2002;36(2):479–97.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spacing w:before="1"/>
        <w:ind w:right="258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Knodell RG, Ishak KG, Black WC, Chen TS, Craig R, Kaplowitz N, et al. Formulation and application of a numerical scoring system for assessing histological activity in asymptomatic chronic active hepatitis. </w:t>
      </w:r>
      <w:r>
        <w:rPr>
          <w:sz w:val="24"/>
        </w:rPr>
        <w:t>Hepatol Baltim Md. outubro de</w:t>
      </w:r>
      <w:r>
        <w:rPr>
          <w:spacing w:val="-6"/>
          <w:sz w:val="24"/>
        </w:rPr>
        <w:t xml:space="preserve"> </w:t>
      </w:r>
      <w:r>
        <w:rPr>
          <w:sz w:val="24"/>
        </w:rPr>
        <w:t>1981;1(5):431–5.</w:t>
      </w:r>
    </w:p>
    <w:p w:rsidR="006F6599" w:rsidRPr="00963F10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60" w:firstLine="0"/>
        <w:jc w:val="both"/>
        <w:rPr>
          <w:sz w:val="24"/>
          <w:lang w:val="en-US"/>
        </w:rPr>
      </w:pPr>
      <w:r w:rsidRPr="00963F10">
        <w:rPr>
          <w:sz w:val="24"/>
          <w:lang w:val="en-US"/>
        </w:rPr>
        <w:t>Sch</w:t>
      </w:r>
      <w:r w:rsidRPr="00963F10">
        <w:rPr>
          <w:sz w:val="24"/>
          <w:lang w:val="en-US"/>
        </w:rPr>
        <w:t>alm SW, Korman MG, Summerskill WH, Czaja AJ, Baggenstoss AH. Severe chronic active liver disease. Prognostic significance of initial morphologic patterns. Am J Dig Dis. novembro de</w:t>
      </w:r>
      <w:r w:rsidRPr="00963F10">
        <w:rPr>
          <w:spacing w:val="-2"/>
          <w:sz w:val="24"/>
          <w:lang w:val="en-US"/>
        </w:rPr>
        <w:t xml:space="preserve"> </w:t>
      </w:r>
      <w:r w:rsidRPr="00963F10">
        <w:rPr>
          <w:sz w:val="24"/>
          <w:lang w:val="en-US"/>
        </w:rPr>
        <w:t>1977;22(11):973–80.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2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Murray-Lyon IM, Stern RB, Williams R. Controlled trial </w:t>
      </w:r>
      <w:r w:rsidRPr="00963F10">
        <w:rPr>
          <w:sz w:val="24"/>
          <w:lang w:val="en-US"/>
        </w:rPr>
        <w:t xml:space="preserve">of prednisone and azathioprine in active chronic hepatitis. </w:t>
      </w:r>
      <w:r>
        <w:rPr>
          <w:sz w:val="24"/>
        </w:rPr>
        <w:t>Lancet Lond Engl. 7 de abril de</w:t>
      </w:r>
      <w:r>
        <w:rPr>
          <w:spacing w:val="-2"/>
          <w:sz w:val="24"/>
        </w:rPr>
        <w:t xml:space="preserve"> </w:t>
      </w:r>
      <w:r>
        <w:rPr>
          <w:sz w:val="24"/>
        </w:rPr>
        <w:t>1973;1(7806):735–7.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0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Lamers MMH, van Oijen MGH, Pronk M, Drenth JPH. Treatment options for autoimmune hepatitis: a systematic review of randomized controlled trials. </w:t>
      </w:r>
      <w:r>
        <w:rPr>
          <w:sz w:val="24"/>
        </w:rPr>
        <w:t>J Hepatol. julho de 2010;53(1):191– 8.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3"/>
          <w:tab w:val="left" w:pos="974"/>
        </w:tabs>
        <w:spacing w:before="3" w:line="276" w:lineRule="auto"/>
        <w:ind w:right="377" w:firstLine="0"/>
        <w:rPr>
          <w:sz w:val="24"/>
        </w:rPr>
      </w:pPr>
      <w:r w:rsidRPr="00963F10">
        <w:rPr>
          <w:sz w:val="24"/>
          <w:lang w:val="en-US"/>
        </w:rPr>
        <w:t>Boberg KM, Chapman RW, Hirschfield GM, Lohse AW, Manns MP, Schrumpf E, e</w:t>
      </w:r>
      <w:r w:rsidRPr="00963F10">
        <w:rPr>
          <w:sz w:val="24"/>
          <w:lang w:val="en-US"/>
        </w:rPr>
        <w:t xml:space="preserve">t al. Overlap syndromes: the International Autoimmune Hepatitis Group (IAIHG) position statement on a controversial issue. </w:t>
      </w:r>
      <w:r>
        <w:rPr>
          <w:sz w:val="24"/>
        </w:rPr>
        <w:t>J Hepatol. fevereiro de</w:t>
      </w:r>
      <w:r>
        <w:rPr>
          <w:spacing w:val="-1"/>
          <w:sz w:val="24"/>
        </w:rPr>
        <w:t xml:space="preserve"> </w:t>
      </w:r>
      <w:r>
        <w:rPr>
          <w:sz w:val="24"/>
        </w:rPr>
        <w:t>2011;54(2):374–85.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6" w:firstLine="0"/>
        <w:jc w:val="both"/>
        <w:rPr>
          <w:sz w:val="24"/>
        </w:rPr>
      </w:pPr>
      <w:r w:rsidRPr="00963F10">
        <w:rPr>
          <w:sz w:val="24"/>
          <w:lang w:val="en-US"/>
        </w:rPr>
        <w:t>Cook GC, Mulligan R, Sherlock S. Controlled prospective trial of corticosteroid therapy in</w:t>
      </w:r>
      <w:r w:rsidRPr="00963F10">
        <w:rPr>
          <w:sz w:val="24"/>
          <w:lang w:val="en-US"/>
        </w:rPr>
        <w:t xml:space="preserve"> active chronic hepatitis. </w:t>
      </w:r>
      <w:r>
        <w:rPr>
          <w:sz w:val="24"/>
        </w:rPr>
        <w:t>Q J Med. abril de</w:t>
      </w:r>
      <w:r>
        <w:rPr>
          <w:spacing w:val="-2"/>
          <w:sz w:val="24"/>
        </w:rPr>
        <w:t xml:space="preserve"> </w:t>
      </w:r>
      <w:r>
        <w:rPr>
          <w:sz w:val="24"/>
        </w:rPr>
        <w:t>1971;40(158):159–85.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8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Schalm SW, Summerskill WH, Go VL. Prednisone for chronic active liver disease: pharmacokinetics, including conversion to prednisolone. </w:t>
      </w:r>
      <w:r>
        <w:rPr>
          <w:sz w:val="24"/>
        </w:rPr>
        <w:t>Gastroenterology. maio de 1977;72(5 Pt 1):910–3.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2" w:firstLine="0"/>
        <w:jc w:val="both"/>
        <w:rPr>
          <w:sz w:val="24"/>
        </w:rPr>
      </w:pPr>
      <w:r w:rsidRPr="00963F10">
        <w:rPr>
          <w:sz w:val="24"/>
          <w:lang w:val="en-US"/>
        </w:rPr>
        <w:t>Summer</w:t>
      </w:r>
      <w:r w:rsidRPr="00963F10">
        <w:rPr>
          <w:sz w:val="24"/>
          <w:lang w:val="en-US"/>
        </w:rPr>
        <w:t xml:space="preserve">skill WH, Korman MG, Ammon HV, Baggenstoss AH. Prednisone for chronic active liver disease: dose titration, standard dose, and combination with azathioprine compared. </w:t>
      </w:r>
      <w:r>
        <w:rPr>
          <w:sz w:val="24"/>
        </w:rPr>
        <w:t>Gut. novembro de</w:t>
      </w:r>
      <w:r>
        <w:rPr>
          <w:spacing w:val="-2"/>
          <w:sz w:val="24"/>
        </w:rPr>
        <w:t xml:space="preserve"> </w:t>
      </w:r>
      <w:r>
        <w:rPr>
          <w:sz w:val="24"/>
        </w:rPr>
        <w:t>1975;16(11):876–83.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8" w:firstLine="0"/>
        <w:jc w:val="both"/>
        <w:rPr>
          <w:sz w:val="24"/>
        </w:rPr>
      </w:pPr>
      <w:r w:rsidRPr="00963F10">
        <w:rPr>
          <w:sz w:val="24"/>
          <w:lang w:val="en-US"/>
        </w:rPr>
        <w:t>Stellon AJ, Keating JJ, Johnson PJ, McFarlane IG, Wi</w:t>
      </w:r>
      <w:r w:rsidRPr="00963F10">
        <w:rPr>
          <w:sz w:val="24"/>
          <w:lang w:val="en-US"/>
        </w:rPr>
        <w:t xml:space="preserve">lliams R. Maintenance of remission in autoimmune chronic active hepatitis with azathioprine after corticosteroid withdrawal. </w:t>
      </w:r>
      <w:r>
        <w:rPr>
          <w:sz w:val="24"/>
        </w:rPr>
        <w:t>Hepatol Baltim Md. agosto de</w:t>
      </w:r>
      <w:r>
        <w:rPr>
          <w:spacing w:val="-2"/>
          <w:sz w:val="24"/>
        </w:rPr>
        <w:t xml:space="preserve"> </w:t>
      </w:r>
      <w:r>
        <w:rPr>
          <w:sz w:val="24"/>
        </w:rPr>
        <w:t>1988;8(4):781–4.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1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Johnson PJ, McFarlane IG, Williams R. Azathioprine for long-term maintenance of remission in autoimmune hepatitis. </w:t>
      </w:r>
      <w:r>
        <w:rPr>
          <w:sz w:val="24"/>
        </w:rPr>
        <w:t>N Engl J Med. 12 de outubro de</w:t>
      </w:r>
      <w:r>
        <w:rPr>
          <w:spacing w:val="-4"/>
          <w:sz w:val="24"/>
        </w:rPr>
        <w:t xml:space="preserve"> </w:t>
      </w:r>
      <w:r>
        <w:rPr>
          <w:sz w:val="24"/>
        </w:rPr>
        <w:t>1995;333(15):958–63.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48" w:firstLine="0"/>
        <w:jc w:val="both"/>
        <w:rPr>
          <w:sz w:val="24"/>
        </w:rPr>
      </w:pPr>
      <w:r>
        <w:rPr>
          <w:sz w:val="24"/>
        </w:rPr>
        <w:t xml:space="preserve">Zachou K, Gatselis N, Papadamou G, Rigopoulou EI, Dalekos GN. </w:t>
      </w:r>
      <w:r w:rsidRPr="00963F10">
        <w:rPr>
          <w:sz w:val="24"/>
          <w:lang w:val="en-US"/>
        </w:rPr>
        <w:t>Mycophenolate for the treat</w:t>
      </w:r>
      <w:r w:rsidRPr="00963F10">
        <w:rPr>
          <w:sz w:val="24"/>
          <w:lang w:val="en-US"/>
        </w:rPr>
        <w:t xml:space="preserve">ment of autoimmune hepatitis: prospective assessment of its efficacy and safety for induction and maintenance of remission in a large cohort of treatment-naïve patients. </w:t>
      </w:r>
      <w:r>
        <w:rPr>
          <w:sz w:val="24"/>
        </w:rPr>
        <w:t>J Hepatol. setembro de 2011;55(3):636–46.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4" w:firstLine="0"/>
        <w:jc w:val="both"/>
        <w:rPr>
          <w:sz w:val="24"/>
        </w:rPr>
      </w:pPr>
      <w:r>
        <w:rPr>
          <w:sz w:val="24"/>
        </w:rPr>
        <w:t xml:space="preserve">Selvarajah V, Montano-Loza AJ, Czaja AJ. </w:t>
      </w:r>
      <w:r w:rsidRPr="00963F10">
        <w:rPr>
          <w:sz w:val="24"/>
          <w:lang w:val="en-US"/>
        </w:rPr>
        <w:t>Sys</w:t>
      </w:r>
      <w:r w:rsidRPr="00963F10">
        <w:rPr>
          <w:sz w:val="24"/>
          <w:lang w:val="en-US"/>
        </w:rPr>
        <w:t xml:space="preserve">tematic review: managing suboptimal treatment responses in autoimmune hepatitis with conventional and nonstandard drugs. </w:t>
      </w:r>
      <w:r>
        <w:rPr>
          <w:sz w:val="24"/>
        </w:rPr>
        <w:t>Aliment Pharmacol Ther. outubro de</w:t>
      </w:r>
      <w:r>
        <w:rPr>
          <w:spacing w:val="-1"/>
          <w:sz w:val="24"/>
        </w:rPr>
        <w:t xml:space="preserve"> </w:t>
      </w:r>
      <w:r>
        <w:rPr>
          <w:sz w:val="24"/>
        </w:rPr>
        <w:t>2012;36(8):691–707.</w:t>
      </w:r>
    </w:p>
    <w:p w:rsidR="006F6599" w:rsidRPr="00963F10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4" w:firstLine="0"/>
        <w:jc w:val="both"/>
        <w:rPr>
          <w:sz w:val="24"/>
          <w:lang w:val="en-US"/>
        </w:rPr>
      </w:pPr>
      <w:r>
        <w:rPr>
          <w:sz w:val="24"/>
        </w:rPr>
        <w:t xml:space="preserve">Manns MP, Czaja AJ, Gorham JD, Krawitt EL, Mieli-Vergani G, Vergani D, et al. </w:t>
      </w:r>
      <w:r w:rsidRPr="00963F10">
        <w:rPr>
          <w:sz w:val="24"/>
          <w:lang w:val="en-US"/>
        </w:rPr>
        <w:t>Di</w:t>
      </w:r>
      <w:r w:rsidRPr="00963F10">
        <w:rPr>
          <w:sz w:val="24"/>
          <w:lang w:val="en-US"/>
        </w:rPr>
        <w:t>agnosis and management of autoimmune hepatitis. Hepatol Baltim Md. junho de 2010;51(6):2193–213.</w:t>
      </w:r>
    </w:p>
    <w:p w:rsidR="006F6599" w:rsidRPr="00963F10" w:rsidRDefault="006F6599">
      <w:pPr>
        <w:jc w:val="both"/>
        <w:rPr>
          <w:sz w:val="24"/>
          <w:lang w:val="en-US"/>
        </w:rPr>
        <w:sectPr w:rsidR="006F6599" w:rsidRPr="00963F10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spacing w:before="64"/>
        <w:ind w:right="250" w:firstLine="0"/>
        <w:jc w:val="both"/>
        <w:rPr>
          <w:sz w:val="24"/>
        </w:rPr>
      </w:pPr>
      <w:r w:rsidRPr="00963F10">
        <w:rPr>
          <w:sz w:val="24"/>
          <w:lang w:val="en-US"/>
        </w:rPr>
        <w:lastRenderedPageBreak/>
        <w:t>Zizzo A.N., Valentino P.L., Shah P.S., Kamath B.M. Second-line Agents in Pediatric Patients with Autoimmune Hepatitis: A Systematic Review and Me</w:t>
      </w:r>
      <w:r w:rsidRPr="00963F10">
        <w:rPr>
          <w:sz w:val="24"/>
          <w:lang w:val="en-US"/>
        </w:rPr>
        <w:t xml:space="preserve">ta-analysis. </w:t>
      </w:r>
      <w:r>
        <w:rPr>
          <w:sz w:val="24"/>
        </w:rPr>
        <w:t>J Pediatr Gastroenterol Nutr. 2017;65(1):6–15.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3"/>
          <w:tab w:val="left" w:pos="974"/>
        </w:tabs>
        <w:spacing w:before="3" w:line="276" w:lineRule="auto"/>
        <w:ind w:right="379" w:firstLine="0"/>
        <w:rPr>
          <w:sz w:val="24"/>
        </w:rPr>
      </w:pPr>
      <w:r>
        <w:rPr>
          <w:sz w:val="24"/>
        </w:rPr>
        <w:t xml:space="preserve">De Lemos-Bonotto M, Valle-Tovo C, Costabeber AM, Mattos AA, Azeredo-da-Silva ALF. </w:t>
      </w:r>
      <w:r w:rsidRPr="00963F10">
        <w:rPr>
          <w:sz w:val="24"/>
          <w:lang w:val="en-US"/>
        </w:rPr>
        <w:t xml:space="preserve">A systematic review and meta-analysis of second-line immunosuppressants for autoimmune hepatitis treatment. </w:t>
      </w:r>
      <w:r>
        <w:rPr>
          <w:sz w:val="24"/>
        </w:rPr>
        <w:t xml:space="preserve">Eur J </w:t>
      </w:r>
      <w:r>
        <w:rPr>
          <w:sz w:val="24"/>
        </w:rPr>
        <w:t>Gastroenterol Hepatol. fevereiro de</w:t>
      </w:r>
      <w:r>
        <w:rPr>
          <w:spacing w:val="-1"/>
          <w:sz w:val="24"/>
        </w:rPr>
        <w:t xml:space="preserve"> </w:t>
      </w:r>
      <w:r>
        <w:rPr>
          <w:sz w:val="24"/>
        </w:rPr>
        <w:t>2018;30(2):212–6.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4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Manns MP, Woynarowski M, Kreisel W, Lurie Y, Rust C, Zuckerman E, et al. Budesonide induces remission more effectively than prednisone in a controlled trial of patients with autoimmune hepatitis. </w:t>
      </w:r>
      <w:r>
        <w:rPr>
          <w:sz w:val="24"/>
        </w:rPr>
        <w:t>Gastro</w:t>
      </w:r>
      <w:r>
        <w:rPr>
          <w:sz w:val="24"/>
        </w:rPr>
        <w:t>enterology. outubro de</w:t>
      </w:r>
      <w:r>
        <w:rPr>
          <w:spacing w:val="-1"/>
          <w:sz w:val="24"/>
        </w:rPr>
        <w:t xml:space="preserve"> </w:t>
      </w:r>
      <w:r>
        <w:rPr>
          <w:sz w:val="24"/>
        </w:rPr>
        <w:t>2010;139(4):1198–206.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4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Woynarowski M, Nemeth A, Baruch Y, Koletzko S, Melter M, Rodeck B, et al. Budesonide versus prednisone with azathioprine for the treatment of autoimmune hepatitis in children and adolescents. </w:t>
      </w:r>
      <w:r>
        <w:rPr>
          <w:sz w:val="24"/>
        </w:rPr>
        <w:t>J Pediatr. novembro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2013;163(5):1347–1353.e1.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2" w:firstLine="0"/>
        <w:jc w:val="both"/>
        <w:rPr>
          <w:sz w:val="24"/>
        </w:rPr>
      </w:pPr>
      <w:r>
        <w:rPr>
          <w:sz w:val="24"/>
        </w:rPr>
        <w:t xml:space="preserve">Czaja AJ, Carpenter HA, Lindor KD. </w:t>
      </w:r>
      <w:r w:rsidRPr="00963F10">
        <w:rPr>
          <w:sz w:val="24"/>
          <w:lang w:val="en-US"/>
        </w:rPr>
        <w:t xml:space="preserve">Ursodeoxycholic acid as adjunctive therapy for problematic type 1 autoimmune hepatitis: a randomized placebo-controlled treatment trial. </w:t>
      </w:r>
      <w:r>
        <w:rPr>
          <w:sz w:val="24"/>
        </w:rPr>
        <w:t>Hepatol Baltim Md. dezembro de</w:t>
      </w:r>
      <w:r>
        <w:rPr>
          <w:spacing w:val="-1"/>
          <w:sz w:val="24"/>
        </w:rPr>
        <w:t xml:space="preserve"> </w:t>
      </w:r>
      <w:r>
        <w:rPr>
          <w:sz w:val="24"/>
        </w:rPr>
        <w:t>1999;30(6):1381–6.</w:t>
      </w:r>
    </w:p>
    <w:p w:rsidR="006F6599" w:rsidRPr="00963F10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3" w:firstLine="0"/>
        <w:jc w:val="both"/>
        <w:rPr>
          <w:sz w:val="24"/>
          <w:lang w:val="en-US"/>
        </w:rPr>
      </w:pPr>
      <w:r w:rsidRPr="00963F10">
        <w:rPr>
          <w:sz w:val="24"/>
          <w:lang w:val="en-US"/>
        </w:rPr>
        <w:t>Unit</w:t>
      </w:r>
      <w:r w:rsidRPr="00963F10">
        <w:rPr>
          <w:sz w:val="24"/>
          <w:lang w:val="en-US"/>
        </w:rPr>
        <w:t>ed States Pharmacopeial Convention. USP DI. Volume 1, Volume 1,. Greenwood Village, CO: Thomson/MICROMEDEX;</w:t>
      </w:r>
      <w:r w:rsidRPr="00963F10">
        <w:rPr>
          <w:spacing w:val="-1"/>
          <w:sz w:val="24"/>
          <w:lang w:val="en-US"/>
        </w:rPr>
        <w:t xml:space="preserve"> </w:t>
      </w:r>
      <w:r w:rsidRPr="00963F10">
        <w:rPr>
          <w:sz w:val="24"/>
          <w:lang w:val="en-US"/>
        </w:rPr>
        <w:t>2007.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7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Chocair PR, Duley JA, Simmonds HA, Cameron JS. The importance of thiopurine methyltransferase activity for the use of azathioprine in transplant recipients. </w:t>
      </w:r>
      <w:r>
        <w:rPr>
          <w:sz w:val="24"/>
        </w:rPr>
        <w:t>Transplantation. maio de</w:t>
      </w:r>
      <w:r>
        <w:rPr>
          <w:spacing w:val="-1"/>
          <w:sz w:val="24"/>
        </w:rPr>
        <w:t xml:space="preserve"> </w:t>
      </w:r>
      <w:r>
        <w:rPr>
          <w:sz w:val="24"/>
        </w:rPr>
        <w:t>1992;53(5):1051–6.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9" w:firstLine="0"/>
        <w:jc w:val="both"/>
        <w:rPr>
          <w:sz w:val="24"/>
        </w:rPr>
      </w:pPr>
      <w:r w:rsidRPr="00963F10">
        <w:rPr>
          <w:sz w:val="24"/>
          <w:lang w:val="en-US"/>
        </w:rPr>
        <w:t>Elion GB. Nobel Lecture. The purine path to chemotherap</w:t>
      </w:r>
      <w:r w:rsidRPr="00963F10">
        <w:rPr>
          <w:sz w:val="24"/>
          <w:lang w:val="en-US"/>
        </w:rPr>
        <w:t xml:space="preserve">y. </w:t>
      </w:r>
      <w:r>
        <w:rPr>
          <w:sz w:val="24"/>
        </w:rPr>
        <w:t>Biosci Rep. outubro de 1989;9(5):509–29.</w:t>
      </w:r>
    </w:p>
    <w:p w:rsidR="006F6599" w:rsidRPr="00963F10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firstLine="0"/>
        <w:jc w:val="both"/>
        <w:rPr>
          <w:sz w:val="24"/>
          <w:lang w:val="en-US"/>
        </w:rPr>
      </w:pPr>
      <w:r w:rsidRPr="00963F10">
        <w:rPr>
          <w:sz w:val="24"/>
          <w:lang w:val="en-US"/>
        </w:rPr>
        <w:t>Physicians’ desk reference. Montvale, N.J.: Physicians’ Desk Reference</w:t>
      </w:r>
      <w:r w:rsidRPr="00963F10">
        <w:rPr>
          <w:spacing w:val="-8"/>
          <w:sz w:val="24"/>
          <w:lang w:val="en-US"/>
        </w:rPr>
        <w:t xml:space="preserve"> </w:t>
      </w:r>
      <w:r w:rsidRPr="00963F10">
        <w:rPr>
          <w:sz w:val="24"/>
          <w:lang w:val="en-US"/>
        </w:rPr>
        <w:t>Inc.;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0" w:firstLine="0"/>
        <w:jc w:val="both"/>
        <w:rPr>
          <w:sz w:val="24"/>
        </w:rPr>
      </w:pPr>
      <w:r w:rsidRPr="00963F10">
        <w:rPr>
          <w:sz w:val="24"/>
          <w:lang w:val="en-US"/>
        </w:rPr>
        <w:t>Chen Z-X, Shao J-G, Shen Y, Zhang J, Hua Y, Wang L-J, et al. Prognostic Implications of Antibodies to Soluble Liver Antigen in Autoimmu</w:t>
      </w:r>
      <w:r w:rsidRPr="00963F10">
        <w:rPr>
          <w:sz w:val="24"/>
          <w:lang w:val="en-US"/>
        </w:rPr>
        <w:t xml:space="preserve">ne Hepatitis: A PRISMA-Compliant Meta- Analysis. </w:t>
      </w:r>
      <w:r>
        <w:rPr>
          <w:sz w:val="24"/>
        </w:rPr>
        <w:t>Medicine (Baltimore). junho de</w:t>
      </w:r>
      <w:r>
        <w:rPr>
          <w:spacing w:val="-3"/>
          <w:sz w:val="24"/>
        </w:rPr>
        <w:t xml:space="preserve"> </w:t>
      </w:r>
      <w:r>
        <w:rPr>
          <w:sz w:val="24"/>
        </w:rPr>
        <w:t>2015;94(23):e953.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2" w:firstLine="0"/>
        <w:jc w:val="both"/>
        <w:rPr>
          <w:sz w:val="24"/>
        </w:rPr>
      </w:pPr>
      <w:r w:rsidRPr="00963F10">
        <w:rPr>
          <w:sz w:val="24"/>
          <w:lang w:val="en-US"/>
        </w:rPr>
        <w:t xml:space="preserve">Czaja A.J. Review article: Permanent drug withdrawal is desirable and achievable for autoimmune hepatitis. </w:t>
      </w:r>
      <w:r>
        <w:rPr>
          <w:sz w:val="24"/>
        </w:rPr>
        <w:t>Aliment Pharmacol Ther.</w:t>
      </w:r>
      <w:r>
        <w:rPr>
          <w:spacing w:val="-2"/>
          <w:sz w:val="24"/>
        </w:rPr>
        <w:t xml:space="preserve"> </w:t>
      </w:r>
      <w:r>
        <w:rPr>
          <w:sz w:val="24"/>
        </w:rPr>
        <w:t>2014;39(10):1043–58.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3"/>
          <w:tab w:val="left" w:pos="974"/>
        </w:tabs>
        <w:spacing w:before="2" w:line="276" w:lineRule="auto"/>
        <w:ind w:right="1310" w:firstLine="0"/>
        <w:rPr>
          <w:sz w:val="24"/>
        </w:rPr>
      </w:pPr>
      <w:r w:rsidRPr="00963F10">
        <w:rPr>
          <w:sz w:val="24"/>
          <w:lang w:val="en-US"/>
        </w:rPr>
        <w:t>Feldma</w:t>
      </w:r>
      <w:r w:rsidRPr="00963F10">
        <w:rPr>
          <w:sz w:val="24"/>
          <w:lang w:val="en-US"/>
        </w:rPr>
        <w:t xml:space="preserve">n M, Friedman LS, Brandt LJ, organizadores. Sleisenger and Fordtran’s gastrointestinal and liver disease: pathophysiology/diagnosis/management. </w:t>
      </w:r>
      <w:r>
        <w:rPr>
          <w:sz w:val="24"/>
        </w:rPr>
        <w:t>Tenth edition. Philadelphia, PA: Saunders/Elsevier; 2016. 2370 p.</w:t>
      </w:r>
    </w:p>
    <w:p w:rsidR="006F6599" w:rsidRDefault="00963F10">
      <w:pPr>
        <w:pStyle w:val="PargrafodaLista"/>
        <w:numPr>
          <w:ilvl w:val="0"/>
          <w:numId w:val="10"/>
        </w:numPr>
        <w:tabs>
          <w:tab w:val="left" w:pos="974"/>
        </w:tabs>
        <w:ind w:right="256" w:firstLine="0"/>
        <w:jc w:val="both"/>
        <w:rPr>
          <w:sz w:val="24"/>
        </w:rPr>
      </w:pPr>
      <w:r w:rsidRPr="00963F10">
        <w:rPr>
          <w:sz w:val="24"/>
          <w:lang w:val="en-US"/>
        </w:rPr>
        <w:t>Tansel A, Katz LH, El-Serag HB, Thrift AP, Par</w:t>
      </w:r>
      <w:r w:rsidRPr="00963F10">
        <w:rPr>
          <w:sz w:val="24"/>
          <w:lang w:val="en-US"/>
        </w:rPr>
        <w:t xml:space="preserve">epally M, Shakhatreh MH, et al. Incidence and Determinants of Hepatocellular Carcinoma in Autoimmune Hepatitis: A Systematic Review and Meta-analysis. </w:t>
      </w:r>
      <w:r>
        <w:rPr>
          <w:sz w:val="24"/>
        </w:rPr>
        <w:t>Clin Gastroenterol Hepatol Off Clin Pract J Am Gastroenterol Assoc. agosto de 2017;15(8):1207–1217.e4.</w:t>
      </w:r>
    </w:p>
    <w:p w:rsidR="006F6599" w:rsidRDefault="006F6599">
      <w:pPr>
        <w:jc w:val="both"/>
        <w:rPr>
          <w:sz w:val="24"/>
        </w:rPr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p w:rsidR="006F6599" w:rsidRDefault="00963F10">
      <w:pPr>
        <w:spacing w:before="64"/>
        <w:ind w:left="2656"/>
        <w:rPr>
          <w:sz w:val="19"/>
        </w:rPr>
      </w:pPr>
      <w:r>
        <w:rPr>
          <w:sz w:val="24"/>
        </w:rPr>
        <w:lastRenderedPageBreak/>
        <w:t>T</w:t>
      </w:r>
      <w:r>
        <w:rPr>
          <w:sz w:val="19"/>
        </w:rPr>
        <w:t>ERMO DE ESCLARECIMENTO E RESPONSABILIDADE</w:t>
      </w:r>
    </w:p>
    <w:p w:rsidR="006F6599" w:rsidRDefault="006F6599">
      <w:pPr>
        <w:pStyle w:val="Corpodetexto"/>
        <w:ind w:left="0"/>
      </w:pPr>
    </w:p>
    <w:p w:rsidR="006F6599" w:rsidRDefault="00963F10">
      <w:pPr>
        <w:ind w:left="945" w:right="381"/>
        <w:jc w:val="center"/>
        <w:rPr>
          <w:sz w:val="19"/>
        </w:rPr>
      </w:pPr>
      <w:r>
        <w:rPr>
          <w:sz w:val="24"/>
        </w:rPr>
        <w:t>P</w:t>
      </w:r>
      <w:r>
        <w:rPr>
          <w:sz w:val="19"/>
        </w:rPr>
        <w:t>REDNISONA E AZATIOPRINA</w:t>
      </w:r>
    </w:p>
    <w:p w:rsidR="006F6599" w:rsidRDefault="006F6599">
      <w:pPr>
        <w:pStyle w:val="Corpodetexto"/>
        <w:ind w:left="0"/>
        <w:rPr>
          <w:sz w:val="26"/>
        </w:rPr>
      </w:pPr>
    </w:p>
    <w:p w:rsidR="006F6599" w:rsidRDefault="006F6599">
      <w:pPr>
        <w:pStyle w:val="Corpodetexto"/>
        <w:ind w:left="0"/>
        <w:rPr>
          <w:sz w:val="22"/>
        </w:rPr>
      </w:pPr>
    </w:p>
    <w:p w:rsidR="006F6599" w:rsidRDefault="00963F10">
      <w:pPr>
        <w:pStyle w:val="Corpodetexto"/>
        <w:tabs>
          <w:tab w:val="left" w:pos="6555"/>
        </w:tabs>
        <w:ind w:right="253" w:firstLine="56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 do(a) paciente), declaro ter sido informado(a) claramente sobre os benefícios, riscos, contraindicações e principais efeitos adversos relacionados ao uso de </w:t>
      </w:r>
      <w:r>
        <w:rPr>
          <w:b/>
        </w:rPr>
        <w:t xml:space="preserve">prednisona </w:t>
      </w:r>
      <w:r>
        <w:t xml:space="preserve">e </w:t>
      </w:r>
      <w:r>
        <w:rPr>
          <w:b/>
        </w:rPr>
        <w:t>azatioprina</w:t>
      </w:r>
      <w:r>
        <w:t xml:space="preserve">, indicadas para o tratamento da </w:t>
      </w:r>
      <w:r>
        <w:rPr>
          <w:b/>
        </w:rPr>
        <w:t>hepatite autoimune</w:t>
      </w:r>
      <w:r>
        <w:t>.</w:t>
      </w:r>
    </w:p>
    <w:p w:rsidR="006F6599" w:rsidRDefault="00963F10">
      <w:pPr>
        <w:pStyle w:val="Corpodetexto"/>
        <w:ind w:left="819"/>
      </w:pPr>
      <w:r>
        <w:t>Os termos médicos foram explicados e todas as dúvidas foram resolvidas pelo médico</w:t>
      </w:r>
    </w:p>
    <w:p w:rsidR="006F6599" w:rsidRDefault="00963F10">
      <w:pPr>
        <w:pStyle w:val="Corpodetexto"/>
        <w:tabs>
          <w:tab w:val="left" w:pos="486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3"/>
        </w:rPr>
        <w:t xml:space="preserve"> </w:t>
      </w:r>
      <w:r>
        <w:t>prescreve).</w:t>
      </w:r>
    </w:p>
    <w:p w:rsidR="006F6599" w:rsidRDefault="00963F10">
      <w:pPr>
        <w:pStyle w:val="Corpodetexto"/>
        <w:ind w:right="254" w:firstLine="566"/>
        <w:jc w:val="both"/>
      </w:pPr>
      <w:r>
        <w:t>Assim, declaro que fui claramente informado(a) de que o medica</w:t>
      </w:r>
      <w:r>
        <w:t>mento que passo a receber pode trazer as seguintes melhoras: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spacing w:before="1"/>
        <w:ind w:left="392" w:hanging="139"/>
        <w:rPr>
          <w:sz w:val="24"/>
        </w:rPr>
      </w:pPr>
      <w:r>
        <w:rPr>
          <w:sz w:val="24"/>
        </w:rPr>
        <w:t>aumento da expectativa de</w:t>
      </w:r>
      <w:r>
        <w:rPr>
          <w:spacing w:val="-2"/>
          <w:sz w:val="24"/>
        </w:rPr>
        <w:t xml:space="preserve"> </w:t>
      </w:r>
      <w:r>
        <w:rPr>
          <w:sz w:val="24"/>
        </w:rPr>
        <w:t>vida;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rPr>
          <w:sz w:val="24"/>
        </w:rPr>
      </w:pPr>
      <w:r>
        <w:rPr>
          <w:sz w:val="24"/>
        </w:rPr>
        <w:t>melhora da qualidade de</w:t>
      </w:r>
      <w:r>
        <w:rPr>
          <w:spacing w:val="-4"/>
          <w:sz w:val="24"/>
        </w:rPr>
        <w:t xml:space="preserve"> </w:t>
      </w:r>
      <w:r>
        <w:rPr>
          <w:sz w:val="24"/>
        </w:rPr>
        <w:t>vida;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rPr>
          <w:sz w:val="24"/>
        </w:rPr>
      </w:pPr>
      <w:r>
        <w:rPr>
          <w:sz w:val="24"/>
        </w:rPr>
        <w:t>melhora dos sintomas</w:t>
      </w:r>
      <w:r>
        <w:rPr>
          <w:spacing w:val="-2"/>
          <w:sz w:val="24"/>
        </w:rPr>
        <w:t xml:space="preserve"> </w:t>
      </w:r>
      <w:r>
        <w:rPr>
          <w:sz w:val="24"/>
        </w:rPr>
        <w:t>clínicos;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rPr>
          <w:sz w:val="24"/>
        </w:rPr>
      </w:pPr>
      <w:r>
        <w:rPr>
          <w:sz w:val="24"/>
        </w:rPr>
        <w:t>diminuição da atividade inflamatória à biópsia</w:t>
      </w:r>
      <w:r>
        <w:rPr>
          <w:spacing w:val="-4"/>
          <w:sz w:val="24"/>
        </w:rPr>
        <w:t xml:space="preserve"> </w:t>
      </w:r>
      <w:r>
        <w:rPr>
          <w:sz w:val="24"/>
        </w:rPr>
        <w:t>hepática;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rPr>
          <w:sz w:val="24"/>
        </w:rPr>
      </w:pPr>
      <w:r>
        <w:rPr>
          <w:sz w:val="24"/>
        </w:rPr>
        <w:t>normalização dos níveis das enzimas (aminotra</w:t>
      </w:r>
      <w:r>
        <w:rPr>
          <w:sz w:val="24"/>
        </w:rPr>
        <w:t>nsferases/transaminases);</w:t>
      </w:r>
    </w:p>
    <w:p w:rsidR="006F6599" w:rsidRDefault="00963F10">
      <w:pPr>
        <w:pStyle w:val="PargrafodaLista"/>
        <w:numPr>
          <w:ilvl w:val="0"/>
          <w:numId w:val="12"/>
        </w:numPr>
        <w:tabs>
          <w:tab w:val="left" w:pos="393"/>
        </w:tabs>
        <w:ind w:left="392" w:hanging="139"/>
        <w:rPr>
          <w:sz w:val="24"/>
        </w:rPr>
      </w:pPr>
      <w:r>
        <w:rPr>
          <w:sz w:val="24"/>
        </w:rPr>
        <w:t>prevenção de</w:t>
      </w:r>
      <w:r>
        <w:rPr>
          <w:spacing w:val="-2"/>
          <w:sz w:val="24"/>
        </w:rPr>
        <w:t xml:space="preserve"> </w:t>
      </w:r>
      <w:r>
        <w:rPr>
          <w:sz w:val="24"/>
        </w:rPr>
        <w:t>recaídas.</w:t>
      </w:r>
    </w:p>
    <w:p w:rsidR="006F6599" w:rsidRDefault="00963F10">
      <w:pPr>
        <w:pStyle w:val="Corpodetexto"/>
        <w:ind w:right="260" w:firstLine="566"/>
        <w:jc w:val="both"/>
      </w:pPr>
      <w:r>
        <w:t>Fui também claramente informado(a) a respeito das seguintes contraindicações, potenciais efeitos adversos e riscos do uso dos medicamentos:</w:t>
      </w:r>
    </w:p>
    <w:p w:rsidR="006F6599" w:rsidRDefault="00963F10">
      <w:pPr>
        <w:pStyle w:val="PargrafodaLista"/>
        <w:numPr>
          <w:ilvl w:val="0"/>
          <w:numId w:val="9"/>
        </w:numPr>
        <w:tabs>
          <w:tab w:val="left" w:pos="419"/>
        </w:tabs>
        <w:ind w:right="248" w:firstLine="0"/>
        <w:rPr>
          <w:sz w:val="24"/>
        </w:rPr>
      </w:pPr>
      <w:r>
        <w:rPr>
          <w:b/>
          <w:sz w:val="24"/>
        </w:rPr>
        <w:t>azatioprina</w:t>
      </w:r>
      <w:r>
        <w:rPr>
          <w:sz w:val="24"/>
        </w:rPr>
        <w:t xml:space="preserve">: na gravidez, há evidências de riscos ao feto, mas um benefício potencial pode ser maior do que os riscos. Caso engravide, devo avisar imediatamente o médico; para </w:t>
      </w:r>
      <w:r>
        <w:rPr>
          <w:b/>
          <w:sz w:val="24"/>
        </w:rPr>
        <w:t>prednisona</w:t>
      </w:r>
      <w:r>
        <w:rPr>
          <w:sz w:val="24"/>
        </w:rPr>
        <w:t>, não se sabe ao certo os riscos do uso na gravidez; portanto, caso engravide, de</w:t>
      </w:r>
      <w:r>
        <w:rPr>
          <w:sz w:val="24"/>
        </w:rPr>
        <w:t>ve avisar imediatamente o médico</w:t>
      </w:r>
    </w:p>
    <w:p w:rsidR="006F6599" w:rsidRDefault="00963F10">
      <w:pPr>
        <w:pStyle w:val="PargrafodaLista"/>
        <w:numPr>
          <w:ilvl w:val="0"/>
          <w:numId w:val="9"/>
        </w:numPr>
        <w:tabs>
          <w:tab w:val="left" w:pos="398"/>
        </w:tabs>
        <w:spacing w:before="1"/>
        <w:ind w:right="249" w:firstLine="0"/>
        <w:rPr>
          <w:sz w:val="24"/>
        </w:rPr>
      </w:pPr>
      <w:r>
        <w:rPr>
          <w:b/>
          <w:sz w:val="24"/>
        </w:rPr>
        <w:t>principais efeitos adversos da prednisona</w:t>
      </w:r>
      <w:r>
        <w:rPr>
          <w:sz w:val="24"/>
        </w:rPr>
        <w:t>: os mais comuns são dor de cabeça, vertigem, pressão alta, aumento da glicose no sangue, barriga inchada, suor excessivo, manchas roxas na pele, crescimento excessivo de pêlo, reten</w:t>
      </w:r>
      <w:r>
        <w:rPr>
          <w:sz w:val="24"/>
        </w:rPr>
        <w:t>ção de sódio e líquidos, bolinhas vermelhas na pele, cansaço excessivo, convulsões, aumento de peso, catarata, perda de cabelo, aumento da pressão intraocular, perda de massa muscular, dificuldade da cicatrização, alterações no período menstrual, gordura n</w:t>
      </w:r>
      <w:r>
        <w:rPr>
          <w:sz w:val="24"/>
        </w:rPr>
        <w:t>a região abdominal e no pescoço, olhos salientes ou estrias vermelhas.</w:t>
      </w:r>
    </w:p>
    <w:p w:rsidR="006F6599" w:rsidRDefault="00963F10">
      <w:pPr>
        <w:pStyle w:val="PargrafodaLista"/>
        <w:numPr>
          <w:ilvl w:val="0"/>
          <w:numId w:val="9"/>
        </w:numPr>
        <w:tabs>
          <w:tab w:val="left" w:pos="395"/>
        </w:tabs>
        <w:ind w:right="252" w:firstLine="0"/>
        <w:rPr>
          <w:sz w:val="24"/>
        </w:rPr>
      </w:pPr>
      <w:r>
        <w:rPr>
          <w:b/>
          <w:sz w:val="24"/>
        </w:rPr>
        <w:t>principais efeitos adversos da azatioprina</w:t>
      </w:r>
      <w:r>
        <w:rPr>
          <w:sz w:val="24"/>
        </w:rPr>
        <w:t>: efeitos adversos comuns: febre, calafrios, diminuição de apetite, vermelhidão de pele, queda de cabelo, aftas, dores articulares, problemas n</w:t>
      </w:r>
      <w:r>
        <w:rPr>
          <w:sz w:val="24"/>
        </w:rPr>
        <w:t>os olhos (retinopatia), falta de ar, pressão baixa e reações de hipersensibilidade; hematológicos: anemia, diminuição das células brancas, vermelhas e plaquetas do sangue; gastrointestinais: náusea, vômitos, diarreia, dor abdominal, fezes com sangue, toxic</w:t>
      </w:r>
      <w:r>
        <w:rPr>
          <w:sz w:val="24"/>
        </w:rPr>
        <w:t>idade para o</w:t>
      </w:r>
      <w:r>
        <w:rPr>
          <w:spacing w:val="-7"/>
          <w:sz w:val="24"/>
        </w:rPr>
        <w:t xml:space="preserve"> </w:t>
      </w:r>
      <w:r>
        <w:rPr>
          <w:sz w:val="24"/>
        </w:rPr>
        <w:t>fígado;;</w:t>
      </w:r>
    </w:p>
    <w:p w:rsidR="006F6599" w:rsidRDefault="00963F10">
      <w:pPr>
        <w:pStyle w:val="Corpodetexto"/>
        <w:ind w:right="259"/>
        <w:jc w:val="both"/>
      </w:pPr>
      <w:r>
        <w:t>- os medicamentos são contraindicados em caso de hipersensibilidade (alergia) conhecida ao fármaco ou componentes da fórmula.</w:t>
      </w:r>
    </w:p>
    <w:p w:rsidR="006F6599" w:rsidRDefault="00963F10">
      <w:pPr>
        <w:spacing w:before="1"/>
        <w:ind w:left="253" w:right="252" w:firstLine="708"/>
        <w:jc w:val="both"/>
        <w:rPr>
          <w:i/>
          <w:sz w:val="24"/>
        </w:rPr>
      </w:pPr>
      <w:r>
        <w:rPr>
          <w:i/>
          <w:sz w:val="24"/>
        </w:rPr>
        <w:t>Estou ciente de que o(s) medicamento(s) somente pode(m) ser utilizado(s) por mim, comprometendo-me a devolvê</w:t>
      </w:r>
      <w:r>
        <w:rPr>
          <w:i/>
          <w:sz w:val="24"/>
        </w:rPr>
        <w:t>-lo(s) caso não queira ou não possa utilizá-lo(s) ou se o tratamento for interrompido. Sei também que continuarei ser assistido(a), inclusive em caso de desistir de usar o(s) medicamento(s).</w:t>
      </w:r>
    </w:p>
    <w:p w:rsidR="006F6599" w:rsidRDefault="00963F10">
      <w:pPr>
        <w:pStyle w:val="Corpodetexto"/>
        <w:tabs>
          <w:tab w:val="left" w:pos="8289"/>
        </w:tabs>
        <w:ind w:right="262" w:firstLine="566"/>
        <w:jc w:val="both"/>
      </w:pPr>
      <w:r>
        <w:t>Autorizo o Ministério da Saúde e as Secretarias de Saúde a fazere</w:t>
      </w:r>
      <w:r>
        <w:t xml:space="preserve">m uso de informações relativas ao meu tratamento, desde que assegurado o anonimato.  ( 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tab/>
        <w:t>( )</w:t>
      </w:r>
      <w:r>
        <w:rPr>
          <w:spacing w:val="-1"/>
        </w:rPr>
        <w:t xml:space="preserve"> </w:t>
      </w:r>
      <w:r>
        <w:t>Não</w:t>
      </w:r>
    </w:p>
    <w:p w:rsidR="006F6599" w:rsidRDefault="006F6599">
      <w:pPr>
        <w:pStyle w:val="Corpodetexto"/>
        <w:spacing w:before="11"/>
        <w:ind w:left="0"/>
        <w:rPr>
          <w:sz w:val="23"/>
        </w:rPr>
      </w:pPr>
    </w:p>
    <w:p w:rsidR="006F6599" w:rsidRDefault="00963F10">
      <w:pPr>
        <w:pStyle w:val="Corpodetexto"/>
        <w:tabs>
          <w:tab w:val="left" w:pos="1139"/>
        </w:tabs>
        <w:ind w:left="819" w:right="3396"/>
      </w:pPr>
      <w:r>
        <w:t>O meu tratamento constará do(s) seguinte(s) medicamento(s): (</w:t>
      </w:r>
      <w:r>
        <w:tab/>
        <w:t>)</w:t>
      </w:r>
      <w:r>
        <w:rPr>
          <w:spacing w:val="-3"/>
        </w:rPr>
        <w:t xml:space="preserve"> </w:t>
      </w:r>
      <w:r>
        <w:t>azatioprina</w:t>
      </w:r>
    </w:p>
    <w:p w:rsidR="006F6599" w:rsidRDefault="00963F10">
      <w:pPr>
        <w:pStyle w:val="Corpodetexto"/>
        <w:tabs>
          <w:tab w:val="left" w:pos="1139"/>
        </w:tabs>
        <w:ind w:left="819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prednisona</w:t>
      </w:r>
    </w:p>
    <w:p w:rsidR="006F6599" w:rsidRDefault="006F6599">
      <w:pPr>
        <w:pStyle w:val="Corpodetexto"/>
        <w:spacing w:before="8"/>
        <w:ind w:left="0"/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6F6599">
        <w:trPr>
          <w:trHeight w:val="275"/>
        </w:trPr>
        <w:tc>
          <w:tcPr>
            <w:tcW w:w="9324" w:type="dxa"/>
          </w:tcPr>
          <w:p w:rsidR="006F6599" w:rsidRDefault="00963F10">
            <w:pPr>
              <w:pStyle w:val="TableParagraph"/>
              <w:tabs>
                <w:tab w:val="left" w:pos="428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z w:val="24"/>
              </w:rPr>
              <w:tab/>
              <w:t>Data:</w:t>
            </w:r>
          </w:p>
        </w:tc>
      </w:tr>
      <w:tr w:rsidR="006F6599">
        <w:trPr>
          <w:trHeight w:val="277"/>
        </w:trPr>
        <w:tc>
          <w:tcPr>
            <w:tcW w:w="9324" w:type="dxa"/>
          </w:tcPr>
          <w:p w:rsidR="006F6599" w:rsidRDefault="00963F1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Nome do paciente:</w:t>
            </w:r>
          </w:p>
        </w:tc>
      </w:tr>
      <w:tr w:rsidR="006F6599">
        <w:trPr>
          <w:trHeight w:val="275"/>
        </w:trPr>
        <w:tc>
          <w:tcPr>
            <w:tcW w:w="9324" w:type="dxa"/>
          </w:tcPr>
          <w:p w:rsidR="006F6599" w:rsidRDefault="00963F1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Cartão Nacional de Saúde:</w:t>
            </w:r>
          </w:p>
        </w:tc>
      </w:tr>
    </w:tbl>
    <w:p w:rsidR="006F6599" w:rsidRDefault="006F6599">
      <w:pPr>
        <w:spacing w:line="255" w:lineRule="exact"/>
        <w:rPr>
          <w:sz w:val="24"/>
        </w:rPr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1983"/>
        <w:gridCol w:w="1800"/>
      </w:tblGrid>
      <w:tr w:rsidR="006F6599">
        <w:trPr>
          <w:trHeight w:val="277"/>
        </w:trPr>
        <w:tc>
          <w:tcPr>
            <w:tcW w:w="9323" w:type="dxa"/>
            <w:gridSpan w:val="3"/>
          </w:tcPr>
          <w:p w:rsidR="006F6599" w:rsidRDefault="00963F1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Nome do responsável legal:</w:t>
            </w:r>
          </w:p>
        </w:tc>
      </w:tr>
      <w:tr w:rsidR="006F6599">
        <w:trPr>
          <w:trHeight w:val="275"/>
        </w:trPr>
        <w:tc>
          <w:tcPr>
            <w:tcW w:w="9323" w:type="dxa"/>
            <w:gridSpan w:val="3"/>
          </w:tcPr>
          <w:p w:rsidR="006F6599" w:rsidRDefault="00963F1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Documento de identificação do responsável legal:</w:t>
            </w:r>
          </w:p>
        </w:tc>
      </w:tr>
      <w:tr w:rsidR="006F6599">
        <w:trPr>
          <w:trHeight w:val="551"/>
        </w:trPr>
        <w:tc>
          <w:tcPr>
            <w:tcW w:w="9323" w:type="dxa"/>
            <w:gridSpan w:val="3"/>
          </w:tcPr>
          <w:p w:rsidR="006F6599" w:rsidRDefault="006F6599">
            <w:pPr>
              <w:pStyle w:val="TableParagraph"/>
              <w:spacing w:before="6"/>
              <w:ind w:left="0"/>
            </w:pPr>
          </w:p>
          <w:p w:rsidR="006F6599" w:rsidRDefault="00963F10">
            <w:pPr>
              <w:pStyle w:val="TableParagraph"/>
              <w:spacing w:line="272" w:lineRule="exact"/>
              <w:ind w:left="2409"/>
              <w:rPr>
                <w:sz w:val="24"/>
              </w:rPr>
            </w:pPr>
            <w:r>
              <w:rPr>
                <w:sz w:val="24"/>
              </w:rPr>
              <w:t>Assinatura do paciente ou do responsável legal</w:t>
            </w:r>
          </w:p>
        </w:tc>
      </w:tr>
      <w:tr w:rsidR="006F6599">
        <w:trPr>
          <w:trHeight w:val="275"/>
        </w:trPr>
        <w:tc>
          <w:tcPr>
            <w:tcW w:w="5540" w:type="dxa"/>
          </w:tcPr>
          <w:p w:rsidR="006F6599" w:rsidRDefault="00963F1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Médico responsável:</w:t>
            </w:r>
          </w:p>
        </w:tc>
        <w:tc>
          <w:tcPr>
            <w:tcW w:w="1983" w:type="dxa"/>
          </w:tcPr>
          <w:p w:rsidR="006F6599" w:rsidRDefault="00963F1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1800" w:type="dxa"/>
          </w:tcPr>
          <w:p w:rsidR="006F6599" w:rsidRDefault="00963F1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6F6599">
        <w:trPr>
          <w:trHeight w:val="829"/>
        </w:trPr>
        <w:tc>
          <w:tcPr>
            <w:tcW w:w="9323" w:type="dxa"/>
            <w:gridSpan w:val="3"/>
          </w:tcPr>
          <w:p w:rsidR="006F6599" w:rsidRDefault="006F6599">
            <w:pPr>
              <w:pStyle w:val="TableParagraph"/>
              <w:spacing w:before="9"/>
              <w:ind w:left="0"/>
            </w:pPr>
          </w:p>
          <w:p w:rsidR="006F6599" w:rsidRDefault="00963F10">
            <w:pPr>
              <w:pStyle w:val="TableParagraph"/>
              <w:tabs>
                <w:tab w:val="left" w:pos="6177"/>
              </w:tabs>
              <w:spacing w:line="270" w:lineRule="atLeast"/>
              <w:ind w:left="3201" w:right="3092" w:hanging="94"/>
              <w:rPr>
                <w:sz w:val="24"/>
              </w:rPr>
            </w:pPr>
            <w:r>
              <w:rPr>
                <w:sz w:val="24"/>
              </w:rPr>
              <w:t>Assinatura e carimbo do médico 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F6599" w:rsidRDefault="00963F10">
      <w:pPr>
        <w:pStyle w:val="Corpodetexto"/>
        <w:spacing w:line="260" w:lineRule="exact"/>
      </w:pPr>
      <w:r>
        <w:t>NOTA: Verificar na Relação Nacional de Medicamentos Essenciais (RENAME) vigente em qual</w:t>
      </w:r>
    </w:p>
    <w:p w:rsidR="006F6599" w:rsidRDefault="00963F10">
      <w:pPr>
        <w:pStyle w:val="Corpodetexto"/>
      </w:pPr>
      <w:r>
        <w:t>componente da Assistência Farmacêutica se encontram os medicamentos referidos.</w:t>
      </w:r>
    </w:p>
    <w:p w:rsidR="006F6599" w:rsidRDefault="006F6599">
      <w:pPr>
        <w:sectPr w:rsidR="006F6599">
          <w:pgSz w:w="11910" w:h="16850"/>
          <w:pgMar w:top="1140" w:right="880" w:bottom="280" w:left="880" w:header="720" w:footer="720" w:gutter="0"/>
          <w:cols w:space="720"/>
        </w:sectPr>
      </w:pPr>
    </w:p>
    <w:p w:rsidR="006F6599" w:rsidRDefault="00963F10">
      <w:pPr>
        <w:pStyle w:val="Corpodetexto"/>
        <w:spacing w:before="64"/>
        <w:ind w:left="945" w:right="948"/>
        <w:jc w:val="center"/>
      </w:pPr>
      <w:r>
        <w:lastRenderedPageBreak/>
        <w:t>APÊNDICE 1</w:t>
      </w:r>
    </w:p>
    <w:p w:rsidR="006F6599" w:rsidRDefault="006F6599">
      <w:pPr>
        <w:pStyle w:val="Corpodetexto"/>
        <w:ind w:left="0"/>
      </w:pPr>
    </w:p>
    <w:p w:rsidR="006F6599" w:rsidRDefault="00963F10">
      <w:pPr>
        <w:ind w:left="2415"/>
        <w:rPr>
          <w:sz w:val="19"/>
        </w:rPr>
      </w:pPr>
      <w:r>
        <w:rPr>
          <w:sz w:val="24"/>
        </w:rPr>
        <w:t>M</w:t>
      </w:r>
      <w:r>
        <w:rPr>
          <w:sz w:val="19"/>
        </w:rPr>
        <w:t>ETODOLOGIA DE BUSCA E AVALIAÇÃO DE LITERATURA</w:t>
      </w:r>
    </w:p>
    <w:p w:rsidR="006F6599" w:rsidRDefault="006F6599">
      <w:pPr>
        <w:pStyle w:val="Corpodetexto"/>
        <w:ind w:left="0"/>
        <w:rPr>
          <w:sz w:val="26"/>
        </w:rPr>
      </w:pPr>
    </w:p>
    <w:p w:rsidR="006F6599" w:rsidRDefault="006F6599">
      <w:pPr>
        <w:pStyle w:val="Corpodetexto"/>
        <w:spacing w:before="5"/>
        <w:ind w:left="0"/>
        <w:rPr>
          <w:sz w:val="22"/>
        </w:rPr>
      </w:pPr>
    </w:p>
    <w:p w:rsidR="006F6599" w:rsidRDefault="00963F10">
      <w:pPr>
        <w:pStyle w:val="PargrafodaLista"/>
        <w:numPr>
          <w:ilvl w:val="0"/>
          <w:numId w:val="8"/>
        </w:numPr>
        <w:tabs>
          <w:tab w:val="left" w:pos="1021"/>
          <w:tab w:val="left" w:pos="1022"/>
        </w:tabs>
        <w:spacing w:line="280" w:lineRule="auto"/>
        <w:ind w:right="250" w:firstLine="0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EVANTAMENTO D</w:t>
      </w:r>
      <w:r>
        <w:rPr>
          <w:b/>
          <w:sz w:val="19"/>
        </w:rPr>
        <w:t>E INFORMAÇÕES PARA PLANEJAMENTO DA REUNIÃO DE ESCOPO COM 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ESPECIALISTAS</w:t>
      </w:r>
    </w:p>
    <w:p w:rsidR="006F6599" w:rsidRDefault="00963F10">
      <w:pPr>
        <w:pStyle w:val="Corpodetexto"/>
        <w:spacing w:line="245" w:lineRule="exact"/>
        <w:ind w:left="961"/>
      </w:pPr>
      <w:r>
        <w:t>Foram consultados a Relação Nacional de Medicamentos Essenciais (RENAME), sítio da</w:t>
      </w:r>
    </w:p>
    <w:p w:rsidR="006F6599" w:rsidRDefault="00963F10">
      <w:pPr>
        <w:pStyle w:val="Corpodetexto"/>
        <w:ind w:right="251"/>
        <w:jc w:val="both"/>
      </w:pPr>
      <w:r>
        <w:t xml:space="preserve">Comissão Nacional de Incorporação de Tecnologias no SUS (CONITEC), Sistema de Gerenciamento da Tabela de Procedimentos, Medicamentos e OPM do SUS (SIGTAP) e o Protocolo Clínico e Diretriz Terapêutica (PCDT) de Hepatite autoimune vigente para identificação </w:t>
      </w:r>
      <w:r>
        <w:t>das tecnologias disponíveis e tecnologias demandadas ou recentemente incorporadas.</w:t>
      </w:r>
    </w:p>
    <w:p w:rsidR="006F6599" w:rsidRDefault="00963F10">
      <w:pPr>
        <w:pStyle w:val="Corpodetexto"/>
        <w:ind w:left="961"/>
      </w:pPr>
      <w:r>
        <w:t>A partir das consultas realizadas foi possível identificar:</w:t>
      </w:r>
    </w:p>
    <w:p w:rsidR="006F6599" w:rsidRDefault="00963F10">
      <w:pPr>
        <w:pStyle w:val="PargrafodaLista"/>
        <w:numPr>
          <w:ilvl w:val="0"/>
          <w:numId w:val="7"/>
        </w:numPr>
        <w:tabs>
          <w:tab w:val="left" w:pos="434"/>
        </w:tabs>
        <w:spacing w:before="1"/>
        <w:ind w:right="251" w:firstLine="0"/>
        <w:jc w:val="left"/>
        <w:rPr>
          <w:sz w:val="24"/>
        </w:rPr>
      </w:pPr>
      <w:r>
        <w:rPr>
          <w:sz w:val="24"/>
        </w:rPr>
        <w:t>O tratamento no SUS segue o orientado no PCDT de Hepatite Autoimune, conforme Portaria SAS/MS nº 457, de 21 de ma</w:t>
      </w:r>
      <w:r>
        <w:rPr>
          <w:sz w:val="24"/>
        </w:rPr>
        <w:t>io de</w:t>
      </w:r>
      <w:r>
        <w:rPr>
          <w:spacing w:val="-4"/>
          <w:sz w:val="24"/>
        </w:rPr>
        <w:t xml:space="preserve"> </w:t>
      </w:r>
      <w:r>
        <w:rPr>
          <w:sz w:val="24"/>
        </w:rPr>
        <w:t>2012;</w:t>
      </w:r>
    </w:p>
    <w:p w:rsidR="006F6599" w:rsidRDefault="00963F10">
      <w:pPr>
        <w:pStyle w:val="PargrafodaLista"/>
        <w:numPr>
          <w:ilvl w:val="0"/>
          <w:numId w:val="7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>Os medicamentos atualmente disponíveis são: prednisona e</w:t>
      </w:r>
      <w:r>
        <w:rPr>
          <w:spacing w:val="-4"/>
          <w:sz w:val="24"/>
        </w:rPr>
        <w:t xml:space="preserve"> </w:t>
      </w:r>
      <w:r>
        <w:rPr>
          <w:sz w:val="24"/>
        </w:rPr>
        <w:t>azatioprina;</w:t>
      </w:r>
    </w:p>
    <w:p w:rsidR="006F6599" w:rsidRDefault="00963F10">
      <w:pPr>
        <w:pStyle w:val="PargrafodaLista"/>
        <w:numPr>
          <w:ilvl w:val="0"/>
          <w:numId w:val="7"/>
        </w:numPr>
        <w:tabs>
          <w:tab w:val="left" w:pos="393"/>
        </w:tabs>
        <w:ind w:left="392" w:hanging="139"/>
        <w:jc w:val="left"/>
        <w:rPr>
          <w:sz w:val="24"/>
        </w:rPr>
      </w:pPr>
      <w:r>
        <w:rPr>
          <w:sz w:val="24"/>
        </w:rPr>
        <w:t>Não há solicitação de nenhuma nova tecnologia na</w:t>
      </w:r>
      <w:r>
        <w:rPr>
          <w:spacing w:val="-5"/>
          <w:sz w:val="24"/>
        </w:rPr>
        <w:t xml:space="preserve"> </w:t>
      </w:r>
      <w:r>
        <w:rPr>
          <w:sz w:val="24"/>
        </w:rPr>
        <w:t>CONITEC.</w:t>
      </w:r>
    </w:p>
    <w:p w:rsidR="006F6599" w:rsidRDefault="00963F10">
      <w:pPr>
        <w:pStyle w:val="Corpodetexto"/>
        <w:ind w:right="249" w:firstLine="708"/>
        <w:jc w:val="both"/>
      </w:pPr>
      <w:r>
        <w:t>Na enquete pública realizada pelo Ministério da Saúde sobre os PCDT foi identificada a seguinte contribuição na atualização do PCDT:</w:t>
      </w:r>
    </w:p>
    <w:p w:rsidR="006F6599" w:rsidRDefault="00963F10">
      <w:pPr>
        <w:pStyle w:val="PargrafodaLista"/>
        <w:numPr>
          <w:ilvl w:val="0"/>
          <w:numId w:val="7"/>
        </w:numPr>
        <w:tabs>
          <w:tab w:val="left" w:pos="475"/>
        </w:tabs>
        <w:ind w:right="256" w:firstLine="0"/>
        <w:jc w:val="left"/>
        <w:rPr>
          <w:sz w:val="24"/>
        </w:rPr>
      </w:pPr>
      <w:r>
        <w:rPr>
          <w:sz w:val="24"/>
        </w:rPr>
        <w:t>Inclusão do ácido ursodesoxicólico para os pacientes com síndrome de imbricamento em combinação com cirrose biliar</w:t>
      </w:r>
      <w:r>
        <w:rPr>
          <w:spacing w:val="-1"/>
          <w:sz w:val="24"/>
        </w:rPr>
        <w:t xml:space="preserve"> </w:t>
      </w:r>
      <w:r>
        <w:rPr>
          <w:sz w:val="24"/>
        </w:rPr>
        <w:t>primária</w:t>
      </w:r>
      <w:r>
        <w:rPr>
          <w:sz w:val="24"/>
        </w:rPr>
        <w:t>.</w:t>
      </w:r>
    </w:p>
    <w:p w:rsidR="006F6599" w:rsidRDefault="006F6599">
      <w:pPr>
        <w:pStyle w:val="Corpodetexto"/>
        <w:spacing w:before="5"/>
        <w:ind w:left="0"/>
      </w:pPr>
    </w:p>
    <w:p w:rsidR="006F6599" w:rsidRDefault="00963F10">
      <w:pPr>
        <w:pStyle w:val="PargrafodaLista"/>
        <w:numPr>
          <w:ilvl w:val="0"/>
          <w:numId w:val="8"/>
        </w:numPr>
        <w:tabs>
          <w:tab w:val="left" w:pos="422"/>
        </w:tabs>
        <w:spacing w:line="274" w:lineRule="exact"/>
        <w:ind w:left="421" w:hanging="168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EUNIÃO COM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ESPECIALISTAS</w:t>
      </w:r>
    </w:p>
    <w:p w:rsidR="006F6599" w:rsidRDefault="00963F10">
      <w:pPr>
        <w:pStyle w:val="Corpodetexto"/>
        <w:ind w:right="253" w:firstLine="720"/>
        <w:jc w:val="both"/>
      </w:pPr>
      <w:r>
        <w:t>Foi realizada reunião com o consultor especialista e metodologistas do comitê elaborador dos PCDT na qual foram apresentados os resultados do levantamento de informações realizadas pelos metodologistas. O consultor especialista</w:t>
      </w:r>
      <w:r>
        <w:t xml:space="preserve"> não indicou a necessidade de avaliação da inclusão de nenhum</w:t>
      </w:r>
      <w:r>
        <w:rPr>
          <w:spacing w:val="-2"/>
        </w:rPr>
        <w:t xml:space="preserve"> </w:t>
      </w:r>
      <w:r>
        <w:t>medicamento.</w:t>
      </w:r>
    </w:p>
    <w:p w:rsidR="006F6599" w:rsidRDefault="00963F10">
      <w:pPr>
        <w:pStyle w:val="Corpodetexto"/>
        <w:ind w:right="253" w:firstLine="708"/>
        <w:jc w:val="both"/>
      </w:pPr>
      <w:r>
        <w:t>Sendo assim, foi estabelecido que o protocolo destina-se a pacientes com hepatite autoimune e tem por objetivo revisar práticas diagnósticas e terapêuticas a partir da data da busca do PCDT vigente.</w:t>
      </w:r>
    </w:p>
    <w:p w:rsidR="006F6599" w:rsidRDefault="006F6599">
      <w:pPr>
        <w:pStyle w:val="Corpodetexto"/>
        <w:spacing w:before="3"/>
        <w:ind w:left="0"/>
      </w:pPr>
    </w:p>
    <w:p w:rsidR="006F6599" w:rsidRDefault="00963F10">
      <w:pPr>
        <w:pStyle w:val="PargrafodaLista"/>
        <w:numPr>
          <w:ilvl w:val="0"/>
          <w:numId w:val="8"/>
        </w:numPr>
        <w:tabs>
          <w:tab w:val="left" w:pos="470"/>
        </w:tabs>
        <w:spacing w:line="274" w:lineRule="exact"/>
        <w:ind w:left="469" w:hanging="216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z w:val="19"/>
        </w:rPr>
        <w:t xml:space="preserve">USCAS NA LITERATURA PARA ATUALIZAÇÃO DO </w:t>
      </w:r>
      <w:r>
        <w:rPr>
          <w:b/>
          <w:sz w:val="24"/>
        </w:rPr>
        <w:t>PCDT</w:t>
      </w:r>
    </w:p>
    <w:p w:rsidR="006F6599" w:rsidRDefault="00963F10">
      <w:pPr>
        <w:pStyle w:val="Corpodetexto"/>
        <w:ind w:right="257" w:firstLine="708"/>
        <w:jc w:val="both"/>
      </w:pPr>
      <w:r>
        <w:t>A fim de g</w:t>
      </w:r>
      <w:r>
        <w:t>uiar a revisão do PCDT vigente foi realizada busca na literatura sobre intervenções terapêuticas baseadas em evidências definida pela pergunta PICO descrita no Quadro 1.</w:t>
      </w:r>
    </w:p>
    <w:p w:rsidR="006F6599" w:rsidRDefault="00963F10">
      <w:pPr>
        <w:spacing w:after="6"/>
        <w:ind w:left="253"/>
        <w:rPr>
          <w:sz w:val="24"/>
        </w:rPr>
      </w:pPr>
      <w:r>
        <w:rPr>
          <w:b/>
          <w:sz w:val="24"/>
        </w:rPr>
        <w:t xml:space="preserve">Quadro 1 - </w:t>
      </w:r>
      <w:r>
        <w:rPr>
          <w:sz w:val="24"/>
        </w:rPr>
        <w:t>Pergunta PICO</w:t>
      </w: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6634"/>
      </w:tblGrid>
      <w:tr w:rsidR="006F6599">
        <w:trPr>
          <w:trHeight w:val="275"/>
        </w:trPr>
        <w:tc>
          <w:tcPr>
            <w:tcW w:w="1829" w:type="dxa"/>
          </w:tcPr>
          <w:p w:rsidR="006F6599" w:rsidRDefault="0096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População</w:t>
            </w:r>
          </w:p>
        </w:tc>
        <w:tc>
          <w:tcPr>
            <w:tcW w:w="6634" w:type="dxa"/>
          </w:tcPr>
          <w:p w:rsidR="006F6599" w:rsidRDefault="00963F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Pacientes com hepatite autoimune</w:t>
            </w:r>
          </w:p>
        </w:tc>
      </w:tr>
      <w:tr w:rsidR="006F6599">
        <w:trPr>
          <w:trHeight w:val="276"/>
        </w:trPr>
        <w:tc>
          <w:tcPr>
            <w:tcW w:w="1829" w:type="dxa"/>
          </w:tcPr>
          <w:p w:rsidR="006F6599" w:rsidRDefault="0096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6634" w:type="dxa"/>
          </w:tcPr>
          <w:p w:rsidR="006F6599" w:rsidRDefault="00963F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Trata</w:t>
            </w:r>
            <w:r>
              <w:rPr>
                <w:sz w:val="24"/>
              </w:rPr>
              <w:t>mento clínico</w:t>
            </w:r>
          </w:p>
        </w:tc>
      </w:tr>
      <w:tr w:rsidR="006F6599">
        <w:trPr>
          <w:trHeight w:val="277"/>
        </w:trPr>
        <w:tc>
          <w:tcPr>
            <w:tcW w:w="1829" w:type="dxa"/>
          </w:tcPr>
          <w:p w:rsidR="006F6599" w:rsidRDefault="00963F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Comparação</w:t>
            </w:r>
          </w:p>
        </w:tc>
        <w:tc>
          <w:tcPr>
            <w:tcW w:w="6634" w:type="dxa"/>
          </w:tcPr>
          <w:p w:rsidR="006F6599" w:rsidRDefault="00963F1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Tratamento consagrado: corticoesteroides com ou sem azatioprina.</w:t>
            </w:r>
          </w:p>
        </w:tc>
      </w:tr>
      <w:tr w:rsidR="006F6599">
        <w:trPr>
          <w:trHeight w:val="275"/>
        </w:trPr>
        <w:tc>
          <w:tcPr>
            <w:tcW w:w="1829" w:type="dxa"/>
          </w:tcPr>
          <w:p w:rsidR="006F6599" w:rsidRDefault="0096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Desfechos</w:t>
            </w:r>
          </w:p>
        </w:tc>
        <w:tc>
          <w:tcPr>
            <w:tcW w:w="6634" w:type="dxa"/>
          </w:tcPr>
          <w:p w:rsidR="006F6599" w:rsidRDefault="00963F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Melhora clínica ou clínico-laboratorial</w:t>
            </w:r>
          </w:p>
        </w:tc>
      </w:tr>
      <w:tr w:rsidR="006F6599">
        <w:trPr>
          <w:trHeight w:val="275"/>
        </w:trPr>
        <w:tc>
          <w:tcPr>
            <w:tcW w:w="1829" w:type="dxa"/>
          </w:tcPr>
          <w:p w:rsidR="006F6599" w:rsidRDefault="0096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Tipos de estudos</w:t>
            </w:r>
          </w:p>
        </w:tc>
        <w:tc>
          <w:tcPr>
            <w:tcW w:w="6634" w:type="dxa"/>
          </w:tcPr>
          <w:p w:rsidR="006F6599" w:rsidRDefault="00963F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Meta-análises, revisões sistemáticas (RS) e ECR</w:t>
            </w:r>
          </w:p>
        </w:tc>
      </w:tr>
    </w:tbl>
    <w:p w:rsidR="006F6599" w:rsidRDefault="006F6599">
      <w:pPr>
        <w:pStyle w:val="Corpodetexto"/>
        <w:spacing w:before="3"/>
        <w:ind w:left="0"/>
        <w:rPr>
          <w:sz w:val="23"/>
        </w:rPr>
      </w:pPr>
    </w:p>
    <w:p w:rsidR="006F6599" w:rsidRDefault="00963F10">
      <w:pPr>
        <w:pStyle w:val="Corpodetexto"/>
        <w:ind w:right="258" w:firstLine="708"/>
        <w:jc w:val="both"/>
      </w:pPr>
      <w:r>
        <w:t>O Quadro 2 apresenta as estratégias de buscas realizadas, bem como o número de artigos localizados e o número de selecionados.</w:t>
      </w:r>
    </w:p>
    <w:p w:rsidR="006F6599" w:rsidRDefault="006F6599">
      <w:pPr>
        <w:pStyle w:val="Corpodetexto"/>
        <w:ind w:left="0"/>
      </w:pPr>
    </w:p>
    <w:p w:rsidR="006F6599" w:rsidRDefault="00963F10">
      <w:pPr>
        <w:spacing w:after="9"/>
        <w:ind w:left="253"/>
        <w:rPr>
          <w:sz w:val="24"/>
        </w:rPr>
      </w:pPr>
      <w:r>
        <w:rPr>
          <w:b/>
          <w:sz w:val="24"/>
        </w:rPr>
        <w:t xml:space="preserve">Quadro 2 - </w:t>
      </w:r>
      <w:r>
        <w:rPr>
          <w:sz w:val="24"/>
        </w:rPr>
        <w:t>Buscas sobre intervenções terapêuticas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457"/>
        <w:gridCol w:w="1841"/>
        <w:gridCol w:w="2891"/>
      </w:tblGrid>
      <w:tr w:rsidR="006F6599">
        <w:trPr>
          <w:trHeight w:val="275"/>
        </w:trPr>
        <w:tc>
          <w:tcPr>
            <w:tcW w:w="1563" w:type="dxa"/>
            <w:tcBorders>
              <w:left w:val="single" w:sz="6" w:space="0" w:color="000000"/>
            </w:tcBorders>
          </w:tcPr>
          <w:p w:rsidR="006F6599" w:rsidRDefault="00963F10">
            <w:pPr>
              <w:pStyle w:val="TableParagraph"/>
              <w:spacing w:line="256" w:lineRule="exact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3457" w:type="dxa"/>
          </w:tcPr>
          <w:p w:rsidR="006F6599" w:rsidRDefault="00963F10">
            <w:pPr>
              <w:pStyle w:val="TableParagraph"/>
              <w:spacing w:line="256" w:lineRule="exact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</w:p>
        </w:tc>
        <w:tc>
          <w:tcPr>
            <w:tcW w:w="1841" w:type="dxa"/>
          </w:tcPr>
          <w:p w:rsidR="006F6599" w:rsidRDefault="00963F10">
            <w:pPr>
              <w:pStyle w:val="TableParagraph"/>
              <w:spacing w:line="256" w:lineRule="exact"/>
              <w:ind w:left="29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Localizados</w:t>
            </w:r>
          </w:p>
        </w:tc>
        <w:tc>
          <w:tcPr>
            <w:tcW w:w="2891" w:type="dxa"/>
          </w:tcPr>
          <w:p w:rsidR="006F6599" w:rsidRDefault="00963F10">
            <w:pPr>
              <w:pStyle w:val="TableParagraph"/>
              <w:spacing w:line="25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Selecionados</w:t>
            </w:r>
          </w:p>
        </w:tc>
      </w:tr>
      <w:tr w:rsidR="006F6599">
        <w:trPr>
          <w:trHeight w:val="1380"/>
        </w:trPr>
        <w:tc>
          <w:tcPr>
            <w:tcW w:w="1563" w:type="dxa"/>
            <w:tcBorders>
              <w:left w:val="single" w:sz="6" w:space="0" w:color="000000"/>
            </w:tcBorders>
          </w:tcPr>
          <w:p w:rsidR="006F6599" w:rsidRDefault="00963F10">
            <w:pPr>
              <w:pStyle w:val="TableParagraph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Medline (via PubMed)</w:t>
            </w:r>
          </w:p>
          <w:p w:rsidR="006F6599" w:rsidRDefault="006F659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F6599" w:rsidRDefault="00963F10">
            <w:pPr>
              <w:pStyle w:val="TableParagraph"/>
              <w:spacing w:line="270" w:lineRule="atLeas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Data da busca:</w:t>
            </w:r>
          </w:p>
        </w:tc>
        <w:tc>
          <w:tcPr>
            <w:tcW w:w="3457" w:type="dxa"/>
          </w:tcPr>
          <w:p w:rsidR="006F6599" w:rsidRDefault="00963F10"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"Hepatitis, Autoimmune"[Mesh] OR "Hepatitis, Autoimmune"[All Fields] AND ((Meta-</w:t>
            </w:r>
          </w:p>
          <w:p w:rsidR="006F6599" w:rsidRDefault="00963F10">
            <w:pPr>
              <w:pStyle w:val="TableParagraph"/>
              <w:spacing w:line="270" w:lineRule="atLeast"/>
              <w:ind w:left="198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>Analysis[ptyp] OR systematic[sb] OR Randomized</w:t>
            </w:r>
          </w:p>
        </w:tc>
        <w:tc>
          <w:tcPr>
            <w:tcW w:w="1841" w:type="dxa"/>
          </w:tcPr>
          <w:p w:rsidR="006F6599" w:rsidRDefault="00963F10">
            <w:pPr>
              <w:pStyle w:val="TableParagraph"/>
              <w:spacing w:line="268" w:lineRule="exact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1" w:type="dxa"/>
          </w:tcPr>
          <w:p w:rsidR="006F6599" w:rsidRDefault="00963F1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F6599" w:rsidRDefault="00963F10">
            <w:pPr>
              <w:pStyle w:val="TableParagraph"/>
              <w:ind w:left="369" w:right="358"/>
              <w:jc w:val="center"/>
              <w:rPr>
                <w:sz w:val="24"/>
              </w:rPr>
            </w:pPr>
            <w:r>
              <w:rPr>
                <w:sz w:val="24"/>
              </w:rPr>
              <w:t>Motivo das exclusões: 1 relato de caso</w:t>
            </w:r>
          </w:p>
          <w:p w:rsidR="006F6599" w:rsidRDefault="00963F10">
            <w:pPr>
              <w:pStyle w:val="TableParagraph"/>
              <w:spacing w:line="270" w:lineRule="atLeas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1 estudo de fisiopatogenia 9 estudos que não</w:t>
            </w:r>
          </w:p>
        </w:tc>
      </w:tr>
    </w:tbl>
    <w:p w:rsidR="006F6599" w:rsidRDefault="006F6599">
      <w:pPr>
        <w:spacing w:line="270" w:lineRule="atLeast"/>
        <w:jc w:val="center"/>
        <w:rPr>
          <w:sz w:val="24"/>
        </w:rPr>
        <w:sectPr w:rsidR="006F6599">
          <w:pgSz w:w="11910" w:h="1685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457"/>
        <w:gridCol w:w="1841"/>
        <w:gridCol w:w="2891"/>
      </w:tblGrid>
      <w:tr w:rsidR="006F6599">
        <w:trPr>
          <w:trHeight w:val="1106"/>
        </w:trPr>
        <w:tc>
          <w:tcPr>
            <w:tcW w:w="1563" w:type="dxa"/>
            <w:tcBorders>
              <w:left w:val="single" w:sz="6" w:space="0" w:color="000000"/>
            </w:tcBorders>
          </w:tcPr>
          <w:p w:rsidR="006F6599" w:rsidRDefault="00963F10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02/05/2017</w:t>
            </w:r>
          </w:p>
        </w:tc>
        <w:tc>
          <w:tcPr>
            <w:tcW w:w="3457" w:type="dxa"/>
          </w:tcPr>
          <w:p w:rsidR="006F6599" w:rsidRDefault="00963F10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Controlled Trial[ptyp])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"2012/05/17"[PDat] : "2017/05/15"[PDat]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F6599" w:rsidRDefault="00963F10">
            <w:pPr>
              <w:pStyle w:val="TableParagraph"/>
              <w:spacing w:line="27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"humans"[MeSH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Terms])</w:t>
            </w:r>
          </w:p>
        </w:tc>
        <w:tc>
          <w:tcPr>
            <w:tcW w:w="184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1" w:type="dxa"/>
          </w:tcPr>
          <w:p w:rsidR="006F6599" w:rsidRDefault="00963F10">
            <w:pPr>
              <w:pStyle w:val="TableParagraph"/>
              <w:ind w:left="1171" w:hanging="766"/>
              <w:rPr>
                <w:sz w:val="24"/>
              </w:rPr>
            </w:pPr>
            <w:r>
              <w:rPr>
                <w:sz w:val="24"/>
              </w:rPr>
              <w:t>respondiam à questão PICO</w:t>
            </w:r>
          </w:p>
        </w:tc>
      </w:tr>
      <w:tr w:rsidR="006F6599">
        <w:trPr>
          <w:trHeight w:val="3036"/>
        </w:trPr>
        <w:tc>
          <w:tcPr>
            <w:tcW w:w="1563" w:type="dxa"/>
            <w:tcBorders>
              <w:left w:val="single" w:sz="6" w:space="0" w:color="000000"/>
            </w:tcBorders>
          </w:tcPr>
          <w:p w:rsidR="006F6599" w:rsidRDefault="00963F10">
            <w:pPr>
              <w:pStyle w:val="TableParagraph"/>
              <w:spacing w:line="260" w:lineRule="exact"/>
              <w:ind w:left="398"/>
              <w:rPr>
                <w:sz w:val="24"/>
              </w:rPr>
            </w:pPr>
            <w:r>
              <w:rPr>
                <w:sz w:val="24"/>
              </w:rPr>
              <w:t>Embase</w:t>
            </w:r>
          </w:p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  <w:p w:rsidR="006F6599" w:rsidRDefault="00963F10">
            <w:pPr>
              <w:pStyle w:val="TableParagraph"/>
              <w:ind w:left="232" w:right="221" w:hanging="1"/>
              <w:jc w:val="center"/>
              <w:rPr>
                <w:sz w:val="24"/>
              </w:rPr>
            </w:pPr>
            <w:r>
              <w:rPr>
                <w:sz w:val="24"/>
              </w:rPr>
              <w:t>Data da busca: 02/05/2017</w:t>
            </w:r>
          </w:p>
        </w:tc>
        <w:tc>
          <w:tcPr>
            <w:tcW w:w="3457" w:type="dxa"/>
          </w:tcPr>
          <w:p w:rsidR="006F6599" w:rsidRDefault="00963F10">
            <w:pPr>
              <w:pStyle w:val="TableParagraph"/>
              <w:spacing w:line="260" w:lineRule="exact"/>
              <w:ind w:left="280"/>
              <w:rPr>
                <w:sz w:val="24"/>
              </w:rPr>
            </w:pPr>
            <w:r>
              <w:rPr>
                <w:sz w:val="24"/>
              </w:rPr>
              <w:t>'autoimmune hepatitis'/exp/mj</w:t>
            </w:r>
          </w:p>
          <w:p w:rsidR="006F6599" w:rsidRDefault="00963F10">
            <w:pPr>
              <w:pStyle w:val="TableParagraph"/>
              <w:ind w:right="97" w:hanging="6"/>
              <w:jc w:val="center"/>
              <w:rPr>
                <w:sz w:val="24"/>
              </w:rPr>
            </w:pPr>
            <w:r>
              <w:rPr>
                <w:sz w:val="24"/>
              </w:rPr>
              <w:t>AND ([systematic review]/lim OR [meta analysis]/lim OR [randomized controlled trial]/lim) AND [humans]/lim AND [2012- 2017]/py</w:t>
            </w:r>
          </w:p>
        </w:tc>
        <w:tc>
          <w:tcPr>
            <w:tcW w:w="1841" w:type="dxa"/>
          </w:tcPr>
          <w:p w:rsidR="006F6599" w:rsidRDefault="00963F10">
            <w:pPr>
              <w:pStyle w:val="TableParagraph"/>
              <w:spacing w:line="260" w:lineRule="exact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91" w:type="dxa"/>
          </w:tcPr>
          <w:p w:rsidR="006F6599" w:rsidRDefault="00963F10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6599" w:rsidRDefault="00963F10">
            <w:pPr>
              <w:pStyle w:val="TableParagraph"/>
              <w:ind w:left="237" w:right="231" w:firstLine="4"/>
              <w:jc w:val="center"/>
              <w:rPr>
                <w:sz w:val="24"/>
              </w:rPr>
            </w:pPr>
            <w:r>
              <w:rPr>
                <w:sz w:val="24"/>
              </w:rPr>
              <w:t>(5 dos quais também encontrados no PubMed)</w:t>
            </w:r>
          </w:p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  <w:p w:rsidR="006F6599" w:rsidRDefault="00963F10">
            <w:pPr>
              <w:pStyle w:val="TableParagraph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Motivo das exclusões: 26 estudos que não respondiam à questão PICO</w:t>
            </w:r>
          </w:p>
          <w:p w:rsidR="006F6599" w:rsidRDefault="00963F10">
            <w:pPr>
              <w:pStyle w:val="TableParagraph"/>
              <w:ind w:left="141" w:firstLine="302"/>
              <w:rPr>
                <w:sz w:val="24"/>
              </w:rPr>
            </w:pPr>
            <w:r>
              <w:rPr>
                <w:sz w:val="24"/>
              </w:rPr>
              <w:t>3 estudos publicados</w:t>
            </w:r>
          </w:p>
          <w:p w:rsidR="006F6599" w:rsidRDefault="00963F10">
            <w:pPr>
              <w:pStyle w:val="TableParagraph"/>
              <w:spacing w:before="1" w:line="270" w:lineRule="atLeas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somente como resumos em anais de congresso</w:t>
            </w:r>
          </w:p>
        </w:tc>
      </w:tr>
      <w:tr w:rsidR="006F6599">
        <w:trPr>
          <w:trHeight w:val="1655"/>
        </w:trPr>
        <w:tc>
          <w:tcPr>
            <w:tcW w:w="1563" w:type="dxa"/>
            <w:tcBorders>
              <w:left w:val="single" w:sz="6" w:space="0" w:color="000000"/>
            </w:tcBorders>
          </w:tcPr>
          <w:p w:rsidR="006F6599" w:rsidRDefault="00963F10">
            <w:pPr>
              <w:pStyle w:val="TableParagraph"/>
              <w:spacing w:line="260" w:lineRule="exact"/>
              <w:ind w:left="321"/>
              <w:rPr>
                <w:sz w:val="24"/>
              </w:rPr>
            </w:pPr>
            <w:r>
              <w:rPr>
                <w:sz w:val="24"/>
              </w:rPr>
              <w:t>Cochrane</w:t>
            </w:r>
          </w:p>
          <w:p w:rsidR="006F6599" w:rsidRDefault="00963F10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  <w:p w:rsidR="006F6599" w:rsidRDefault="00963F10">
            <w:pPr>
              <w:pStyle w:val="TableParagraph"/>
              <w:spacing w:line="270" w:lineRule="atLeast"/>
              <w:ind w:left="232" w:right="221" w:hanging="1"/>
              <w:jc w:val="center"/>
              <w:rPr>
                <w:sz w:val="24"/>
              </w:rPr>
            </w:pPr>
            <w:r>
              <w:rPr>
                <w:sz w:val="24"/>
              </w:rPr>
              <w:t>Data da busca: 02/05/2017</w:t>
            </w:r>
          </w:p>
        </w:tc>
        <w:tc>
          <w:tcPr>
            <w:tcW w:w="3457" w:type="dxa"/>
          </w:tcPr>
          <w:p w:rsidR="006F6599" w:rsidRDefault="00963F10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''autoimmune hepatitis' in Title,</w:t>
            </w:r>
          </w:p>
          <w:p w:rsidR="006F6599" w:rsidRDefault="00963F10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Abstract, Keywords , Publication Year from 2012 to 2017 in Cochrane Reviews'</w:t>
            </w:r>
          </w:p>
        </w:tc>
        <w:tc>
          <w:tcPr>
            <w:tcW w:w="1841" w:type="dxa"/>
          </w:tcPr>
          <w:p w:rsidR="006F6599" w:rsidRDefault="00963F10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91" w:type="dxa"/>
          </w:tcPr>
          <w:p w:rsidR="006F6599" w:rsidRDefault="00963F10">
            <w:pPr>
              <w:pStyle w:val="TableParagraph"/>
              <w:spacing w:line="260" w:lineRule="exact"/>
              <w:ind w:left="363" w:right="360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6F6599" w:rsidRDefault="006F6599">
      <w:pPr>
        <w:pStyle w:val="Corpodetexto"/>
        <w:spacing w:before="9"/>
        <w:ind w:left="0"/>
        <w:rPr>
          <w:sz w:val="14"/>
        </w:rPr>
      </w:pPr>
    </w:p>
    <w:p w:rsidR="006F6599" w:rsidRDefault="00963F10">
      <w:pPr>
        <w:pStyle w:val="Corpodetexto"/>
        <w:spacing w:before="90"/>
        <w:ind w:left="961"/>
      </w:pPr>
      <w:r>
        <w:t xml:space="preserve">Os artigos selecionados encontram-se na </w:t>
      </w:r>
      <w:r>
        <w:rPr>
          <w:b/>
        </w:rPr>
        <w:t>Tabela A</w:t>
      </w:r>
      <w:r>
        <w:t>.</w:t>
      </w:r>
    </w:p>
    <w:p w:rsidR="006F6599" w:rsidRDefault="00963F10">
      <w:pPr>
        <w:pStyle w:val="Corpodetexto"/>
        <w:ind w:right="252" w:firstLine="708"/>
        <w:jc w:val="both"/>
      </w:pPr>
      <w:r>
        <w:t xml:space="preserve">A fim de guiar a revisão do PCDT vigente, foi realizada busca na literatura sobre diagnóstico nos consensos e guidelines internacionais. O Quadro 3 apresenta as estratégias de buscas realizadas, bem como o </w:t>
      </w:r>
      <w:r>
        <w:t>número de artigos localizados e o número de</w:t>
      </w:r>
      <w:r>
        <w:rPr>
          <w:spacing w:val="-5"/>
        </w:rPr>
        <w:t xml:space="preserve"> </w:t>
      </w:r>
      <w:r>
        <w:t>selecionados.</w:t>
      </w:r>
    </w:p>
    <w:p w:rsidR="006F6599" w:rsidRDefault="006F6599">
      <w:pPr>
        <w:pStyle w:val="Corpodetexto"/>
        <w:ind w:left="0"/>
      </w:pPr>
    </w:p>
    <w:p w:rsidR="006F6599" w:rsidRDefault="00963F10">
      <w:pPr>
        <w:spacing w:after="9"/>
        <w:ind w:left="253"/>
        <w:rPr>
          <w:sz w:val="24"/>
        </w:rPr>
      </w:pPr>
      <w:r>
        <w:rPr>
          <w:b/>
          <w:sz w:val="24"/>
        </w:rPr>
        <w:t xml:space="preserve">Quadro 3 - </w:t>
      </w:r>
      <w:r>
        <w:rPr>
          <w:sz w:val="24"/>
        </w:rPr>
        <w:t xml:space="preserve">Busca por consensos e </w:t>
      </w:r>
      <w:r>
        <w:rPr>
          <w:i/>
          <w:sz w:val="24"/>
        </w:rPr>
        <w:t xml:space="preserve">guidelines internacionais </w:t>
      </w:r>
      <w:r>
        <w:rPr>
          <w:sz w:val="24"/>
        </w:rPr>
        <w:t>sobre diagnóstico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714"/>
        <w:gridCol w:w="1699"/>
        <w:gridCol w:w="3114"/>
      </w:tblGrid>
      <w:tr w:rsidR="006F6599">
        <w:trPr>
          <w:trHeight w:val="275"/>
        </w:trPr>
        <w:tc>
          <w:tcPr>
            <w:tcW w:w="1385" w:type="dxa"/>
          </w:tcPr>
          <w:p w:rsidR="006F6599" w:rsidRDefault="00963F10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3714" w:type="dxa"/>
          </w:tcPr>
          <w:p w:rsidR="006F6599" w:rsidRDefault="00963F10">
            <w:pPr>
              <w:pStyle w:val="TableParagraph"/>
              <w:spacing w:line="256" w:lineRule="exact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</w:p>
        </w:tc>
        <w:tc>
          <w:tcPr>
            <w:tcW w:w="1699" w:type="dxa"/>
          </w:tcPr>
          <w:p w:rsidR="006F6599" w:rsidRDefault="00963F10">
            <w:pPr>
              <w:pStyle w:val="TableParagraph"/>
              <w:spacing w:line="256" w:lineRule="exact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Localizados</w:t>
            </w:r>
          </w:p>
        </w:tc>
        <w:tc>
          <w:tcPr>
            <w:tcW w:w="3114" w:type="dxa"/>
          </w:tcPr>
          <w:p w:rsidR="006F6599" w:rsidRDefault="00963F10">
            <w:pPr>
              <w:pStyle w:val="TableParagraph"/>
              <w:spacing w:line="256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Selecionados</w:t>
            </w:r>
          </w:p>
        </w:tc>
      </w:tr>
      <w:tr w:rsidR="006F6599">
        <w:trPr>
          <w:trHeight w:val="3312"/>
        </w:trPr>
        <w:tc>
          <w:tcPr>
            <w:tcW w:w="1385" w:type="dxa"/>
          </w:tcPr>
          <w:p w:rsidR="006F6599" w:rsidRDefault="00963F10">
            <w:pPr>
              <w:pStyle w:val="TableParagraph"/>
              <w:ind w:left="247" w:right="232" w:hanging="3"/>
              <w:jc w:val="center"/>
              <w:rPr>
                <w:sz w:val="24"/>
              </w:rPr>
            </w:pPr>
            <w:r>
              <w:rPr>
                <w:sz w:val="24"/>
              </w:rPr>
              <w:t>Medline (via PubMed)</w:t>
            </w:r>
          </w:p>
          <w:p w:rsidR="006F6599" w:rsidRDefault="006F659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F6599" w:rsidRDefault="00963F10">
            <w:pPr>
              <w:pStyle w:val="TableParagraph"/>
              <w:ind w:left="146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Data da busca: 02/05/2017</w:t>
            </w:r>
          </w:p>
        </w:tc>
        <w:tc>
          <w:tcPr>
            <w:tcW w:w="3714" w:type="dxa"/>
          </w:tcPr>
          <w:p w:rsidR="006F6599" w:rsidRDefault="00963F10">
            <w:pPr>
              <w:pStyle w:val="TableParagraph"/>
              <w:ind w:left="230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"Hepatitis, Autoimmune"</w:t>
            </w:r>
            <w:r>
              <w:rPr>
                <w:sz w:val="24"/>
              </w:rPr>
              <w:t>[Mesh] OR "Hepatitis, Autoimmune"[All Fields] AND ((Practice Guideline[ptyp] OR Guideline[ptyp] OR Government Publications[ptyp] OR Consensus Development Conference, NIH[ptyp] OR Consensus Development Conference[ptyp]) AND "2012/05/17"[PDAT] : "2017/05/15"</w:t>
            </w:r>
            <w:r>
              <w:rPr>
                <w:sz w:val="24"/>
              </w:rPr>
              <w:t>[PDAT] AND</w:t>
            </w:r>
          </w:p>
          <w:p w:rsidR="006F6599" w:rsidRDefault="00963F10">
            <w:pPr>
              <w:pStyle w:val="TableParagraph"/>
              <w:spacing w:line="264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"humans"[MeSH Terms])</w:t>
            </w:r>
          </w:p>
        </w:tc>
        <w:tc>
          <w:tcPr>
            <w:tcW w:w="1699" w:type="dxa"/>
          </w:tcPr>
          <w:p w:rsidR="006F6599" w:rsidRDefault="00963F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4" w:type="dxa"/>
          </w:tcPr>
          <w:p w:rsidR="006F6599" w:rsidRDefault="00963F1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F6599" w:rsidRDefault="00963F10">
            <w:pPr>
              <w:pStyle w:val="TableParagraph"/>
              <w:spacing w:before="5" w:line="274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6F6599" w:rsidRDefault="00963F10">
            <w:pPr>
              <w:pStyle w:val="TableParagraph"/>
              <w:ind w:left="343" w:right="335" w:firstLine="3"/>
              <w:jc w:val="center"/>
              <w:rPr>
                <w:sz w:val="24"/>
              </w:rPr>
            </w:pPr>
            <w:r>
              <w:rPr>
                <w:sz w:val="24"/>
              </w:rPr>
              <w:t>- 1 estudo que não tinha hepatite autoimune como foco da diretriz</w:t>
            </w:r>
          </w:p>
        </w:tc>
      </w:tr>
      <w:tr w:rsidR="006F6599">
        <w:trPr>
          <w:trHeight w:val="1379"/>
        </w:trPr>
        <w:tc>
          <w:tcPr>
            <w:tcW w:w="1385" w:type="dxa"/>
          </w:tcPr>
          <w:p w:rsidR="006F6599" w:rsidRDefault="00963F10">
            <w:pPr>
              <w:pStyle w:val="TableParagraph"/>
              <w:ind w:left="161" w:right="14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National Guideline </w:t>
            </w:r>
            <w:r>
              <w:rPr>
                <w:spacing w:val="-1"/>
                <w:sz w:val="24"/>
              </w:rPr>
              <w:t xml:space="preserve">Clearingho </w:t>
            </w:r>
            <w:r>
              <w:rPr>
                <w:sz w:val="24"/>
              </w:rPr>
              <w:t>use</w:t>
            </w:r>
          </w:p>
        </w:tc>
        <w:tc>
          <w:tcPr>
            <w:tcW w:w="3714" w:type="dxa"/>
          </w:tcPr>
          <w:p w:rsidR="006F6599" w:rsidRDefault="00963F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https://www.guideline.gov/search?q</w:t>
              </w:r>
            </w:hyperlink>
          </w:p>
          <w:p w:rsidR="006F6599" w:rsidRDefault="00963F10">
            <w:pPr>
              <w:pStyle w:val="TableParagraph"/>
              <w:ind w:left="148" w:right="134"/>
              <w:jc w:val="center"/>
              <w:rPr>
                <w:sz w:val="24"/>
              </w:rPr>
            </w:pPr>
            <w:hyperlink r:id="rId9">
              <w:r>
                <w:rPr>
                  <w:sz w:val="24"/>
                  <w:u w:val="single"/>
                </w:rPr>
                <w:t>=%22Autoimmune+hepatitis%22&amp;</w:t>
              </w:r>
            </w:hyperlink>
            <w:r>
              <w:rPr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f_dateRangeFrom=2012&amp;f_dateRa</w:t>
              </w:r>
            </w:hyperlink>
            <w:r>
              <w:rPr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ngeTo=2016</w:t>
              </w:r>
            </w:hyperlink>
          </w:p>
        </w:tc>
        <w:tc>
          <w:tcPr>
            <w:tcW w:w="1699" w:type="dxa"/>
          </w:tcPr>
          <w:p w:rsidR="006F6599" w:rsidRDefault="00963F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4" w:type="dxa"/>
          </w:tcPr>
          <w:p w:rsidR="006F6599" w:rsidRDefault="00963F1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F6599" w:rsidRDefault="00963F10">
            <w:pPr>
              <w:pStyle w:val="TableParagraph"/>
              <w:spacing w:before="5" w:line="274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6F6599" w:rsidRDefault="00963F10">
            <w:pPr>
              <w:pStyle w:val="TableParagraph"/>
              <w:spacing w:line="27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- 6 estudos que não tinham hepatite autoimune como foco da diretriz</w:t>
            </w:r>
          </w:p>
        </w:tc>
      </w:tr>
    </w:tbl>
    <w:p w:rsidR="006F6599" w:rsidRDefault="006F6599">
      <w:pPr>
        <w:pStyle w:val="Corpodetexto"/>
        <w:spacing w:before="3"/>
        <w:ind w:left="0"/>
        <w:rPr>
          <w:sz w:val="23"/>
        </w:rPr>
      </w:pPr>
    </w:p>
    <w:p w:rsidR="006F6599" w:rsidRDefault="00963F10">
      <w:pPr>
        <w:pStyle w:val="Corpodetexto"/>
        <w:ind w:right="251" w:firstLine="720"/>
        <w:jc w:val="both"/>
      </w:pPr>
      <w:r>
        <w:t>Para informações adicionais de dados nacionais sobre a doença, também foi realizada uma busca, conforme Quadro 4, que apresenta as estratégias de buscas realizadas, bem como o número de artigos localizados e o número de</w:t>
      </w:r>
      <w:r>
        <w:rPr>
          <w:spacing w:val="-2"/>
        </w:rPr>
        <w:t xml:space="preserve"> </w:t>
      </w:r>
      <w:r>
        <w:t>selecionados.</w:t>
      </w:r>
    </w:p>
    <w:p w:rsidR="006F6599" w:rsidRDefault="006F6599">
      <w:pPr>
        <w:pStyle w:val="Corpodetexto"/>
        <w:ind w:left="0"/>
      </w:pPr>
    </w:p>
    <w:p w:rsidR="006F6599" w:rsidRDefault="00963F10">
      <w:pPr>
        <w:spacing w:before="1"/>
        <w:ind w:left="253"/>
        <w:rPr>
          <w:sz w:val="24"/>
        </w:rPr>
      </w:pPr>
      <w:r>
        <w:rPr>
          <w:b/>
          <w:sz w:val="24"/>
        </w:rPr>
        <w:t xml:space="preserve">Quadro 4 - </w:t>
      </w:r>
      <w:r>
        <w:rPr>
          <w:sz w:val="24"/>
        </w:rPr>
        <w:t xml:space="preserve">Busca por </w:t>
      </w:r>
      <w:r>
        <w:rPr>
          <w:sz w:val="24"/>
        </w:rPr>
        <w:t>dados nacionais sobre a doença</w:t>
      </w:r>
    </w:p>
    <w:p w:rsidR="006F6599" w:rsidRDefault="006F6599">
      <w:pPr>
        <w:rPr>
          <w:sz w:val="24"/>
        </w:rPr>
        <w:sectPr w:rsidR="006F6599">
          <w:pgSz w:w="11910" w:h="16850"/>
          <w:pgMar w:top="114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714"/>
        <w:gridCol w:w="1699"/>
        <w:gridCol w:w="3087"/>
      </w:tblGrid>
      <w:tr w:rsidR="006F6599">
        <w:trPr>
          <w:trHeight w:val="277"/>
        </w:trPr>
        <w:tc>
          <w:tcPr>
            <w:tcW w:w="1361" w:type="dxa"/>
          </w:tcPr>
          <w:p w:rsidR="006F6599" w:rsidRDefault="00963F10">
            <w:pPr>
              <w:pStyle w:val="TableParagraph"/>
              <w:spacing w:line="258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Base</w:t>
            </w:r>
          </w:p>
        </w:tc>
        <w:tc>
          <w:tcPr>
            <w:tcW w:w="3714" w:type="dxa"/>
          </w:tcPr>
          <w:p w:rsidR="006F6599" w:rsidRDefault="00963F10">
            <w:pPr>
              <w:pStyle w:val="TableParagraph"/>
              <w:spacing w:line="258" w:lineRule="exact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</w:p>
        </w:tc>
        <w:tc>
          <w:tcPr>
            <w:tcW w:w="1699" w:type="dxa"/>
          </w:tcPr>
          <w:p w:rsidR="006F6599" w:rsidRDefault="00963F10">
            <w:pPr>
              <w:pStyle w:val="TableParagraph"/>
              <w:spacing w:line="258" w:lineRule="exact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Localizados</w:t>
            </w:r>
          </w:p>
        </w:tc>
        <w:tc>
          <w:tcPr>
            <w:tcW w:w="3087" w:type="dxa"/>
          </w:tcPr>
          <w:p w:rsidR="006F6599" w:rsidRDefault="00963F10">
            <w:pPr>
              <w:pStyle w:val="TableParagraph"/>
              <w:spacing w:line="258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Selecionados</w:t>
            </w:r>
          </w:p>
        </w:tc>
      </w:tr>
      <w:tr w:rsidR="006F6599">
        <w:trPr>
          <w:trHeight w:val="1931"/>
        </w:trPr>
        <w:tc>
          <w:tcPr>
            <w:tcW w:w="1361" w:type="dxa"/>
          </w:tcPr>
          <w:p w:rsidR="006F6599" w:rsidRDefault="00963F10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MEDLINE</w:t>
            </w:r>
          </w:p>
          <w:p w:rsidR="006F6599" w:rsidRDefault="00963F10">
            <w:pPr>
              <w:pStyle w:val="TableParagraph"/>
              <w:ind w:left="235" w:right="220" w:firstLine="3"/>
              <w:jc w:val="center"/>
              <w:rPr>
                <w:sz w:val="24"/>
              </w:rPr>
            </w:pPr>
            <w:r>
              <w:rPr>
                <w:sz w:val="24"/>
              </w:rPr>
              <w:t>(via PubMed)</w:t>
            </w:r>
          </w:p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  <w:p w:rsidR="006F6599" w:rsidRDefault="00963F10">
            <w:pPr>
              <w:pStyle w:val="TableParagraph"/>
              <w:spacing w:line="270" w:lineRule="atLeast"/>
              <w:ind w:left="134" w:right="120" w:firstLine="4"/>
              <w:jc w:val="center"/>
              <w:rPr>
                <w:sz w:val="24"/>
              </w:rPr>
            </w:pPr>
            <w:r>
              <w:rPr>
                <w:sz w:val="24"/>
              </w:rPr>
              <w:t>Data da busca: 24/04/2017</w:t>
            </w:r>
          </w:p>
        </w:tc>
        <w:tc>
          <w:tcPr>
            <w:tcW w:w="3714" w:type="dxa"/>
          </w:tcPr>
          <w:p w:rsidR="006F6599" w:rsidRDefault="00963F10">
            <w:pPr>
              <w:pStyle w:val="TableParagraph"/>
              <w:spacing w:line="260" w:lineRule="exact"/>
              <w:ind w:left="283"/>
              <w:rPr>
                <w:sz w:val="24"/>
              </w:rPr>
            </w:pPr>
            <w:r>
              <w:rPr>
                <w:sz w:val="24"/>
              </w:rPr>
              <w:t>"Hepatitis, Autoimmune"[Mesh]</w:t>
            </w:r>
          </w:p>
          <w:p w:rsidR="006F6599" w:rsidRDefault="00963F10">
            <w:pPr>
              <w:pStyle w:val="TableParagraph"/>
              <w:ind w:left="527" w:right="520" w:hanging="1"/>
              <w:jc w:val="center"/>
              <w:rPr>
                <w:sz w:val="24"/>
              </w:rPr>
            </w:pPr>
            <w:r>
              <w:rPr>
                <w:sz w:val="24"/>
              </w:rPr>
              <w:t>AND "Brazil"[Mesh] AND "2012/05/17"[PDAT] : "2017/05/15"[PDAT] AND</w:t>
            </w:r>
          </w:p>
          <w:p w:rsidR="006F6599" w:rsidRDefault="00963F10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"humans"[MeSH Terms]</w:t>
            </w:r>
          </w:p>
        </w:tc>
        <w:tc>
          <w:tcPr>
            <w:tcW w:w="1699" w:type="dxa"/>
          </w:tcPr>
          <w:p w:rsidR="006F6599" w:rsidRDefault="00963F10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7" w:type="dxa"/>
          </w:tcPr>
          <w:p w:rsidR="006F6599" w:rsidRDefault="00963F10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F6599" w:rsidRDefault="00963F10">
            <w:pPr>
              <w:pStyle w:val="TableParagraph"/>
              <w:spacing w:before="5" w:line="274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6F6599" w:rsidRDefault="00963F10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- 3 estudos que não respondiam à questão PICO</w:t>
            </w:r>
          </w:p>
        </w:tc>
      </w:tr>
    </w:tbl>
    <w:p w:rsidR="006F6599" w:rsidRDefault="006F6599">
      <w:pPr>
        <w:pStyle w:val="Corpodetexto"/>
        <w:spacing w:before="9"/>
        <w:ind w:left="0"/>
        <w:rPr>
          <w:sz w:val="14"/>
        </w:rPr>
      </w:pPr>
    </w:p>
    <w:p w:rsidR="006F6599" w:rsidRDefault="00963F10">
      <w:pPr>
        <w:pStyle w:val="Corpodetexto"/>
        <w:spacing w:before="90"/>
        <w:ind w:right="416" w:firstLine="720"/>
      </w:pPr>
      <w:r>
        <w:t>Após a Consulta Pública número 62/2017, foram incorporadas mais três referências ao PCDT</w:t>
      </w:r>
      <w:r>
        <w:rPr>
          <w:spacing w:val="58"/>
        </w:rPr>
        <w:t xml:space="preserve"> </w:t>
      </w:r>
      <w:r>
        <w:t>(27,37,47).</w:t>
      </w:r>
    </w:p>
    <w:p w:rsidR="006F6599" w:rsidRDefault="006F6599">
      <w:pPr>
        <w:sectPr w:rsidR="006F6599">
          <w:pgSz w:w="11910" w:h="16850"/>
          <w:pgMar w:top="1140" w:right="880" w:bottom="280" w:left="88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277"/>
        </w:trPr>
        <w:tc>
          <w:tcPr>
            <w:tcW w:w="14791" w:type="dxa"/>
            <w:gridSpan w:val="8"/>
          </w:tcPr>
          <w:p w:rsidR="006F6599" w:rsidRDefault="00963F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Tabela A - </w:t>
            </w:r>
            <w:r>
              <w:rPr>
                <w:sz w:val="24"/>
              </w:rPr>
              <w:t>Características dos estudos incluídos</w:t>
            </w:r>
          </w:p>
        </w:tc>
      </w:tr>
      <w:tr w:rsidR="006F6599">
        <w:trPr>
          <w:trHeight w:val="551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Autor, ano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Desenho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População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Controle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Desfecho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Resultados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Limitações e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comentários</w:t>
            </w:r>
          </w:p>
        </w:tc>
      </w:tr>
      <w:tr w:rsidR="006F6599">
        <w:trPr>
          <w:trHeight w:val="1932"/>
        </w:trPr>
        <w:tc>
          <w:tcPr>
            <w:tcW w:w="1491" w:type="dxa"/>
          </w:tcPr>
          <w:p w:rsidR="006F6599" w:rsidRDefault="00963F10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Lemos- Bonotto, 2018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76" w:lineRule="auto"/>
              <w:ind w:right="662"/>
              <w:rPr>
                <w:sz w:val="24"/>
              </w:rPr>
            </w:pPr>
            <w:r>
              <w:rPr>
                <w:sz w:val="24"/>
              </w:rPr>
              <w:t>Revisão sistemática com meta-análise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Pacientes com HAI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Ciclosporina, tacrolimo e micofenolato mofetil (MMF)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Predniso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na com ou sem azatiopri na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Remissão laboratorial e histológica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Remissão laboratorial em 78,7% do grupo MMF; remissão histológica em 88,6% do grupo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MMF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Meta-análise fundamentalment e de séries de casos e pequenas coortes</w:t>
            </w:r>
          </w:p>
        </w:tc>
      </w:tr>
      <w:tr w:rsidR="006F6599">
        <w:trPr>
          <w:trHeight w:val="1103"/>
        </w:trPr>
        <w:tc>
          <w:tcPr>
            <w:tcW w:w="1491" w:type="dxa"/>
          </w:tcPr>
          <w:p w:rsidR="006F6599" w:rsidRDefault="00963F1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Bittencourt, 2015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Diretriz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Pacientes com HAI, CBP, CEP</w:t>
            </w:r>
          </w:p>
          <w:p w:rsidR="006F6599" w:rsidRDefault="00963F10">
            <w:pPr>
              <w:pStyle w:val="TableParagraph"/>
              <w:spacing w:line="270" w:lineRule="atLeast"/>
              <w:ind w:left="109" w:right="130"/>
              <w:rPr>
                <w:sz w:val="24"/>
              </w:rPr>
            </w:pPr>
            <w:r>
              <w:rPr>
                <w:sz w:val="24"/>
              </w:rPr>
              <w:t>ou síndromes de imbricamento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Prednisona, azatioprina e budesonida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Remissão clínica,</w:t>
            </w:r>
          </w:p>
          <w:p w:rsidR="006F6599" w:rsidRDefault="00963F10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laboratorial e histológica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Nada digno de nota</w:t>
            </w:r>
          </w:p>
        </w:tc>
      </w:tr>
      <w:tr w:rsidR="006F6599">
        <w:trPr>
          <w:trHeight w:val="2207"/>
        </w:trPr>
        <w:tc>
          <w:tcPr>
            <w:tcW w:w="1491" w:type="dxa"/>
          </w:tcPr>
          <w:p w:rsidR="006F6599" w:rsidRDefault="00963F1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European Association for the Study of the Liver, 2015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Diretriz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Pacientes com HAI ou síndromes de imbricamento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>Prednisona, prednisolona,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azatioprina, budesonida, ciclosporina, tacrolimus e micofenolato</w:t>
            </w:r>
          </w:p>
          <w:p w:rsidR="006F6599" w:rsidRDefault="00963F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mofetil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sz w:val="24"/>
              </w:rPr>
              <w:t>Indução e manutenção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de remissão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Nada digno de nota</w:t>
            </w:r>
          </w:p>
        </w:tc>
      </w:tr>
      <w:tr w:rsidR="006F6599">
        <w:trPr>
          <w:trHeight w:val="3312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Manns, 2010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Diretriz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Pacientes com HAI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Prednisona, prednisolona, azatioprina, budesonida, ciclosporina, metotrexato, ácido ursodesoxicólico</w:t>
            </w:r>
          </w:p>
          <w:p w:rsidR="006F6599" w:rsidRDefault="00963F10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, tacrolimus, micofenolato mofetil e</w:t>
            </w:r>
          </w:p>
          <w:p w:rsidR="006F6599" w:rsidRDefault="00963F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transplante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sz w:val="24"/>
              </w:rPr>
              <w:t>Indução e manutenção de remissão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Nada digno de nota</w:t>
            </w: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277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hepático</w:t>
            </w: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6599">
        <w:trPr>
          <w:trHeight w:val="8005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Chen, 2015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Revisão sistemática com meta-análise</w:t>
            </w:r>
          </w:p>
          <w:p w:rsidR="006F6599" w:rsidRDefault="00963F1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1127" w:firstLine="60"/>
              <w:rPr>
                <w:sz w:val="24"/>
              </w:rPr>
            </w:pPr>
            <w:r>
              <w:rPr>
                <w:sz w:val="24"/>
              </w:rPr>
              <w:t>Período da busca: 07/06/2017</w:t>
            </w:r>
          </w:p>
          <w:p w:rsidR="006F6599" w:rsidRDefault="00963F1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538" w:firstLine="60"/>
              <w:rPr>
                <w:sz w:val="24"/>
              </w:rPr>
            </w:pPr>
            <w:r>
              <w:rPr>
                <w:sz w:val="24"/>
              </w:rPr>
              <w:t>Bases consultadas: EMBASE/Pubmed/OVID</w:t>
            </w:r>
          </w:p>
          <w:p w:rsidR="006F6599" w:rsidRDefault="00963F1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181" w:firstLine="60"/>
              <w:rPr>
                <w:sz w:val="24"/>
              </w:rPr>
            </w:pPr>
            <w:r>
              <w:rPr>
                <w:sz w:val="24"/>
              </w:rPr>
              <w:t>Critérios de elegibilidade: Estudos observacionais; participantes com AIH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teste de anti-SLA; marcadores de gravidade da doença; pelo menos um dos desfechos prognósticos: morte por falência hepática ou transplante hepático, resposta à terapia imunossupressora; amostra mínima de 50 pacientes; em língua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inglesa.</w:t>
            </w:r>
          </w:p>
          <w:p w:rsidR="006F6599" w:rsidRDefault="00963F1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187" w:firstLine="60"/>
              <w:rPr>
                <w:sz w:val="24"/>
              </w:rPr>
            </w:pPr>
            <w:r>
              <w:rPr>
                <w:sz w:val="24"/>
              </w:rPr>
              <w:t>Objetivo: Definir s</w:t>
            </w:r>
            <w:r>
              <w:rPr>
                <w:sz w:val="24"/>
              </w:rPr>
              <w:t>e pacientes com anti-SLA positivos devem 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mantidos indefinidamente em ajuste de medicação para melhora prognóstica.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Pacientes com HAI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 xml:space="preserve">- Primários: Taxa de remissão de AIH com ou sem anti- SLA. Apenas 6 estudos incluiram taxa </w:t>
            </w:r>
            <w:r>
              <w:rPr>
                <w:sz w:val="24"/>
              </w:rPr>
              <w:t>de recaída.</w:t>
            </w:r>
          </w:p>
          <w:p w:rsidR="006F6599" w:rsidRDefault="006F659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6599" w:rsidRDefault="00963F10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Secundarios: 3 estudos como falência hepática, 3 estudos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 frequência de transplante hepático e 4 estudos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 falência hepática ou tranplsante hepático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</w:p>
          <w:p w:rsidR="006F6599" w:rsidRDefault="00963F10">
            <w:pPr>
              <w:pStyle w:val="TableParagraph"/>
              <w:spacing w:before="1" w:line="270" w:lineRule="atLeast"/>
              <w:ind w:left="109" w:right="426"/>
              <w:rPr>
                <w:sz w:val="24"/>
              </w:rPr>
            </w:pPr>
            <w:r>
              <w:rPr>
                <w:sz w:val="24"/>
              </w:rPr>
              <w:t>medida de desfecho.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- Taxa de remissão de doença entre pacientes anti- SLA positivos e negativos não foi estatisticamente significativa. (RR:1,10, IC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 0,75-1,61,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estudos)</w:t>
            </w:r>
          </w:p>
          <w:p w:rsidR="006F6599" w:rsidRDefault="00963F1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- Taxa de recaída de doença em pacientes anti- SLA positivos após retirada de tratamento foi maior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estatisticamente </w:t>
            </w:r>
            <w:r>
              <w:rPr>
                <w:sz w:val="24"/>
              </w:rPr>
              <w:t>significativa). (RR: 2,24,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IC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 1,38-3,64,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estudos)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-Restrição à língua inglesa significa perda de alguns estudos, em particular grupos étnicos se eles tivessem sido publicados em outras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línguas</w:t>
            </w:r>
          </w:p>
          <w:p w:rsidR="006F6599" w:rsidRDefault="00963F10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-Estudos não cobriam Carcinoma Hepatocel</w:t>
            </w:r>
            <w:r>
              <w:rPr>
                <w:sz w:val="24"/>
              </w:rPr>
              <w:t>ular, que é um desfecho da AIH</w:t>
            </w:r>
          </w:p>
        </w:tc>
      </w:tr>
      <w:tr w:rsidR="006F6599">
        <w:trPr>
          <w:trHeight w:val="1103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Zhang, 2014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- Revisão sistemática com meta-análise</w:t>
            </w:r>
          </w:p>
          <w:p w:rsidR="006F6599" w:rsidRDefault="00963F10">
            <w:pPr>
              <w:pStyle w:val="TableParagraph"/>
              <w:spacing w:line="276" w:lineRule="exact"/>
              <w:ind w:right="1048" w:firstLine="120"/>
              <w:rPr>
                <w:sz w:val="24"/>
              </w:rPr>
            </w:pPr>
            <w:r>
              <w:rPr>
                <w:sz w:val="24"/>
              </w:rPr>
              <w:t>- Período da busca: 12/06/2017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 Pacientes com diagnóstico de AIH e outras</w:t>
            </w:r>
          </w:p>
          <w:p w:rsidR="006F6599" w:rsidRDefault="00963F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doenças ""não-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Desempenho diagnóstico na HAI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AAN: LR+ de 3,030 (IC 95%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2,349-3,910);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LR-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0,464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-Possível viés de publicação</w:t>
            </w:r>
          </w:p>
          <w:p w:rsidR="006F6599" w:rsidRDefault="00963F10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-Possível viés de seleção: apenas</w:t>
            </w:r>
          </w:p>
        </w:tc>
      </w:tr>
    </w:tbl>
    <w:p w:rsidR="006F6599" w:rsidRDefault="006F6599">
      <w:pPr>
        <w:spacing w:line="276" w:lineRule="exact"/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9388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67" w:firstLine="120"/>
              <w:rPr>
                <w:sz w:val="24"/>
              </w:rPr>
            </w:pPr>
            <w:r>
              <w:rPr>
                <w:sz w:val="24"/>
              </w:rPr>
              <w:t>Bases consultadas: PubMed, CNKI,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WANFANG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 SInoMed</w:t>
            </w:r>
          </w:p>
          <w:p w:rsidR="006F6599" w:rsidRDefault="00963F10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93" w:firstLine="120"/>
              <w:rPr>
                <w:sz w:val="24"/>
              </w:rPr>
            </w:pPr>
            <w:r>
              <w:rPr>
                <w:sz w:val="24"/>
              </w:rPr>
              <w:t>Critérios de elegibilidade: Estudos que analisaram anticorpos antinucleares, anticorpos de músculo liso e anticorpos de antígenos hepáticos ou pancreáticos solúveis em associação com AIH e publicados até outubro de 2013, em inglês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chinês.</w:t>
            </w:r>
          </w:p>
          <w:p w:rsidR="006F6599" w:rsidRDefault="00963F10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48" w:firstLine="120"/>
              <w:rPr>
                <w:sz w:val="24"/>
              </w:rPr>
            </w:pPr>
            <w:r>
              <w:rPr>
                <w:sz w:val="24"/>
              </w:rPr>
              <w:t>Objetivo: Avali</w:t>
            </w:r>
            <w:r>
              <w:rPr>
                <w:sz w:val="24"/>
              </w:rPr>
              <w:t>ar a acurácia diagnóstica de anticorpos antinucleares, anticorpos de músculo liso e anticorpos de antígenos hepáticos ou hepato- pancreáticos solúveis 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AIH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 xml:space="preserve">AIH"" como cirrose biliar primária, colangite esclerosante primária, colangite autoimune, doenças </w:t>
            </w:r>
            <w:r>
              <w:rPr>
                <w:sz w:val="24"/>
              </w:rPr>
              <w:t>reumáticas e outras doenças hepáticas. (Idade média: grupo AAN 42,43 anos</w:t>
            </w:r>
          </w:p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(74,62%</w:t>
            </w:r>
          </w:p>
          <w:p w:rsidR="006F6599" w:rsidRDefault="00963F10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mulheres); grupo AML 43,47 anos</w:t>
            </w:r>
          </w:p>
          <w:p w:rsidR="006F6599" w:rsidRDefault="00963F1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(74,35%</w:t>
            </w:r>
          </w:p>
          <w:p w:rsidR="006F6599" w:rsidRDefault="00963F10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mulheres) e grupo anti- SLA/LP 36,90</w:t>
            </w:r>
          </w:p>
          <w:p w:rsidR="006F6599" w:rsidRDefault="00963F10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anos (68,31%). Pacientes de diferentes regiões, incluindo China, Japão, IRaque, Alemanha, França, Itália, Turquia, Reino Unido, Áustria e</w:t>
            </w:r>
          </w:p>
          <w:p w:rsidR="006F6599" w:rsidRDefault="00963F1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Suécia.)</w:t>
            </w: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(IC 95% 0,356-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0,604).</w:t>
            </w:r>
          </w:p>
          <w:p w:rsidR="006F6599" w:rsidRDefault="00963F10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Sensibilidade 0,650 (IC 95%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0,619-0,680);</w:t>
            </w:r>
          </w:p>
          <w:p w:rsidR="006F6599" w:rsidRDefault="00963F10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Especificidade 0,751 (IC 95%</w:t>
            </w:r>
          </w:p>
          <w:p w:rsidR="006F6599" w:rsidRDefault="00963F10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0,737-0,764); DOR</w:t>
            </w:r>
          </w:p>
          <w:p w:rsidR="006F6599" w:rsidRDefault="00963F10"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(diagnostic odds ratio) de 7,380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(IC 95% 4,344-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12,539)</w:t>
            </w:r>
          </w:p>
          <w:p w:rsidR="006F6599" w:rsidRDefault="00963F10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- AML: LR+ de 11,740 (IC 95%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7,37-18,678);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LR-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0,449</w:t>
            </w:r>
          </w:p>
          <w:p w:rsidR="006F6599" w:rsidRDefault="00963F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(IC 95% 0,367-</w:t>
            </w:r>
          </w:p>
          <w:p w:rsidR="006F6599" w:rsidRDefault="00963F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0,549).</w:t>
            </w:r>
          </w:p>
          <w:p w:rsidR="006F6599" w:rsidRDefault="00963F1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Sensibilidade de 0,593 (IC 95%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0,564-0,621);</w:t>
            </w:r>
          </w:p>
          <w:p w:rsidR="006F6599" w:rsidRDefault="00963F10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Especificidade de 0,926(IC 95% 0,917-</w:t>
            </w:r>
          </w:p>
          <w:p w:rsidR="006F6599" w:rsidRDefault="00963F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0,934); 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31,553 (IC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17,147-58,060)</w:t>
            </w:r>
          </w:p>
          <w:p w:rsidR="006F6599" w:rsidRDefault="00963F10">
            <w:pPr>
              <w:pStyle w:val="TableParagraph"/>
              <w:ind w:right="138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Anti-SLA/LP: LR+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11,089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(IC 95%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7,601-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16,177); LR-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0,839 (CI 95%</w:t>
            </w:r>
          </w:p>
          <w:p w:rsidR="006F6599" w:rsidRDefault="00963F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0,777-0,905);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estudos em chinês e inglês</w:t>
            </w: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2486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Sensibilidade de 0,194 (IC 95%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0,168-0,222);</w:t>
            </w:r>
          </w:p>
          <w:p w:rsidR="006F6599" w:rsidRDefault="00963F10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Especificidade de 0,989 (IC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 0,985-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0,993) ; DOR de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16,867 (IC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10,956-25,967).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  <w:tr w:rsidR="006F6599">
        <w:trPr>
          <w:trHeight w:val="6900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Chen, 2014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0" w:firstLine="0"/>
              <w:rPr>
                <w:sz w:val="24"/>
              </w:rPr>
            </w:pPr>
            <w:r>
              <w:rPr>
                <w:sz w:val="24"/>
              </w:rPr>
              <w:t>Revisão Sistemática com Meta-análise</w:t>
            </w:r>
          </w:p>
          <w:p w:rsidR="006F6599" w:rsidRDefault="00963F10">
            <w:pPr>
              <w:pStyle w:val="TableParagraph"/>
              <w:numPr>
                <w:ilvl w:val="1"/>
                <w:numId w:val="4"/>
              </w:numPr>
              <w:tabs>
                <w:tab w:val="left" w:pos="367"/>
              </w:tabs>
              <w:ind w:right="1067" w:firstLine="120"/>
              <w:rPr>
                <w:sz w:val="24"/>
              </w:rPr>
            </w:pPr>
            <w:r>
              <w:rPr>
                <w:sz w:val="24"/>
              </w:rPr>
              <w:t>Período da busca: 13/06/2017</w:t>
            </w:r>
          </w:p>
          <w:p w:rsidR="006F6599" w:rsidRDefault="00963F10">
            <w:pPr>
              <w:pStyle w:val="TableParagraph"/>
              <w:numPr>
                <w:ilvl w:val="1"/>
                <w:numId w:val="4"/>
              </w:numPr>
              <w:tabs>
                <w:tab w:val="left" w:pos="367"/>
              </w:tabs>
              <w:ind w:right="855" w:firstLine="120"/>
              <w:rPr>
                <w:sz w:val="24"/>
              </w:rPr>
            </w:pPr>
            <w:r>
              <w:rPr>
                <w:sz w:val="24"/>
              </w:rPr>
              <w:t>Bases consultadas: MEDLINE, PubMed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 EMBASE.</w:t>
            </w:r>
          </w:p>
          <w:p w:rsidR="006F6599" w:rsidRDefault="00963F10">
            <w:pPr>
              <w:pStyle w:val="TableParagraph"/>
              <w:numPr>
                <w:ilvl w:val="1"/>
                <w:numId w:val="4"/>
              </w:numPr>
              <w:tabs>
                <w:tab w:val="left" w:pos="367"/>
              </w:tabs>
              <w:ind w:right="128" w:firstLine="120"/>
              <w:rPr>
                <w:sz w:val="24"/>
              </w:rPr>
            </w:pPr>
            <w:r>
              <w:rPr>
                <w:sz w:val="24"/>
              </w:rPr>
              <w:t>Critérios de elegibilidade: seguindo a diretriz PRISMA. Foram procurados estudos usando termos como "hepatite autoimune em idosos", "hepatite autoimune E idosos", "hepatite autoimune E aging", "hepatite autoimune E pacientes mais velhos", "hepatite autoimu</w:t>
            </w:r>
            <w:r>
              <w:rPr>
                <w:sz w:val="24"/>
              </w:rPr>
              <w:t>ne E envelhecimento", e esses termos foram procurados como texto. Não foi usado restrição de idioma tanto na pesquisa, quanto na seleção. Não foi feita pesquisa por publicações 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publicadas.</w:t>
            </w:r>
          </w:p>
          <w:p w:rsidR="006F6599" w:rsidRDefault="00963F10">
            <w:pPr>
              <w:pStyle w:val="TableParagraph"/>
              <w:numPr>
                <w:ilvl w:val="1"/>
                <w:numId w:val="4"/>
              </w:numPr>
              <w:tabs>
                <w:tab w:val="left" w:pos="367"/>
              </w:tabs>
              <w:spacing w:line="264" w:lineRule="exact"/>
              <w:ind w:firstLine="120"/>
              <w:rPr>
                <w:sz w:val="24"/>
              </w:rPr>
            </w:pPr>
            <w:r>
              <w:rPr>
                <w:sz w:val="24"/>
              </w:rPr>
              <w:t>Objetivo: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Demonstrar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- Pacientes com AIH. 264 idosos</w:t>
            </w:r>
          </w:p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(com idade</w:t>
            </w:r>
            <w:r>
              <w:rPr>
                <w:sz w:val="24"/>
              </w:rPr>
              <w:t xml:space="preserve"> &gt;65</w:t>
            </w:r>
          </w:p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anos em 7</w:t>
            </w:r>
          </w:p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estudos e &gt;60</w:t>
            </w:r>
          </w:p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em 3 estudos).</w:t>
            </w:r>
          </w:p>
          <w:p w:rsidR="006F6599" w:rsidRDefault="00963F10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592 pacientes mais novos (quaisquer pacientes abaixo dessas faixas supracitadas).</w:t>
            </w:r>
          </w:p>
          <w:p w:rsidR="006F6599" w:rsidRDefault="00963F10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Em um estudo, foi criado cinco grupos de comparação com a faixa etária mais avançada, tendo como um braço acima de 60 anos e a faixa mais jovem de 18 a 30 anos,</w:t>
            </w:r>
          </w:p>
          <w:p w:rsidR="006F6599" w:rsidRDefault="00963F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 47 e 31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6599" w:rsidRDefault="00963F10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Comparação de resposta clínica e laboratorial entre p</w:t>
            </w:r>
            <w:r>
              <w:rPr>
                <w:sz w:val="24"/>
              </w:rPr>
              <w:t>acientes jovens e idosos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- Parâmetros Bioquímicos: média comparativa entre idosos e mais novos. TGO: 368 x</w:t>
            </w:r>
          </w:p>
          <w:p w:rsidR="006F6599" w:rsidRDefault="00963F10">
            <w:pPr>
              <w:pStyle w:val="TableParagraph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328u/l p=0.06; TGP 442 x 426 p=0,53;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BT 54 x</w:t>
            </w:r>
          </w:p>
          <w:p w:rsidR="006F6599" w:rsidRDefault="00963F10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47umol/L p=0,30;</w:t>
            </w:r>
          </w:p>
          <w:p w:rsidR="006F6599" w:rsidRDefault="00963F10">
            <w:pPr>
              <w:pStyle w:val="TableParagraph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Gamaglobulina </w:t>
            </w:r>
            <w:r>
              <w:rPr>
                <w:sz w:val="24"/>
              </w:rPr>
              <w:t>30 x 27g/L p=0,39;</w:t>
            </w:r>
          </w:p>
          <w:p w:rsidR="006F6599" w:rsidRDefault="00963F1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Albumina 33 x 38g/L p=0,39.</w:t>
            </w:r>
          </w:p>
          <w:p w:rsidR="006F6599" w:rsidRDefault="00963F1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- Razão de probabilidade de idosos apresentarem a informação escolhida em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relação aos mais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Todos os estudos incluídos na meta-análise eram retrospectivos</w:t>
            </w: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9388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manifestações clinicas e conduta para AIH em pacientes idosos.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pacientes, </w:t>
            </w:r>
            <w:r>
              <w:rPr>
                <w:spacing w:val="-1"/>
                <w:sz w:val="24"/>
              </w:rPr>
              <w:t xml:space="preserve">respectivamente. </w:t>
            </w:r>
            <w:r>
              <w:rPr>
                <w:sz w:val="24"/>
              </w:rPr>
              <w:t>Em outro estudo, apesar de 120 pacientes terem AIH, houve 20 pacientes acima de 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anos,</w:t>
            </w:r>
          </w:p>
          <w:p w:rsidR="006F6599" w:rsidRDefault="00963F10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sendo usado 20 dos pacientes mais jovens para o estudo.</w:t>
            </w:r>
          </w:p>
          <w:p w:rsidR="006F6599" w:rsidRDefault="00963F10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-76% dos pacientes no estudo eram do sexo feminino. Pacientes idosas perfizeram 21% do total de pacientes dos 10 estudos.</w:t>
            </w: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jovens. Cirrose: OR 1,56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1,03-2,43 p=0,34.</w:t>
            </w:r>
          </w:p>
          <w:p w:rsidR="006F6599" w:rsidRDefault="00963F10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HLA DR3 OR 0,45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0,27-0,75 p=0,39.</w:t>
            </w:r>
          </w:p>
          <w:p w:rsidR="006F6599" w:rsidRDefault="00963F10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HLA DR4 OR 2,94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1,21-7,14 p=0,08.</w:t>
            </w:r>
          </w:p>
          <w:p w:rsidR="006F6599" w:rsidRDefault="00963F1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Assintomáticos OR 2,59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1,11-6,05 p=0,19.</w:t>
            </w:r>
          </w:p>
          <w:p w:rsidR="006F6599" w:rsidRDefault="00963F10">
            <w:pPr>
              <w:pStyle w:val="TableParagraph"/>
              <w:spacing w:line="237" w:lineRule="auto"/>
              <w:ind w:right="486"/>
              <w:rPr>
                <w:sz w:val="24"/>
              </w:rPr>
            </w:pPr>
            <w:r>
              <w:rPr>
                <w:sz w:val="24"/>
              </w:rPr>
              <w:t>Recaída OR 0,38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0,23-0,36 p=0,49</w:t>
            </w:r>
          </w:p>
          <w:p w:rsidR="006F6599" w:rsidRDefault="00963F10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Doenças autoimunes OR 1,25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0,76-2,08 p=0,27</w:t>
            </w:r>
          </w:p>
          <w:p w:rsidR="006F6599" w:rsidRDefault="00963F1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Doenças autoimunes da tireoide OR 2,71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 95% 1,18-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6,19 p=0,22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AAN OR 1,24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 95%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0,42-</w:t>
            </w:r>
          </w:p>
          <w:p w:rsidR="006F6599" w:rsidRDefault="00963F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3,66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p=0,007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6901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AML OR 0,73</w:t>
            </w:r>
          </w:p>
          <w:p w:rsidR="006F6599" w:rsidRDefault="00963F10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IC 0,32-1,65 p=0,02</w:t>
            </w:r>
          </w:p>
          <w:p w:rsidR="006F6599" w:rsidRDefault="00963F1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Apresentacão aguda OR 1,83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 95% 0,90-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3,74 p=0,03</w:t>
            </w:r>
          </w:p>
          <w:p w:rsidR="006F6599" w:rsidRDefault="00963F1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Apresentação crônica OR 0,56</w:t>
            </w:r>
          </w:p>
          <w:p w:rsidR="006F6599" w:rsidRDefault="00963F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IC 95% 0,28-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1,12 p=0,08</w:t>
            </w:r>
          </w:p>
          <w:p w:rsidR="006F6599" w:rsidRDefault="00963F10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Resposta completa OR 1,21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0,66-2,22 p=0,88</w:t>
            </w:r>
          </w:p>
          <w:p w:rsidR="006F6599" w:rsidRDefault="00963F1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Resposta parcial OR 1,33 IC 95%</w:t>
            </w:r>
          </w:p>
          <w:p w:rsidR="006F6599" w:rsidRDefault="00963F1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0,44-4,06 p=0,22</w:t>
            </w:r>
          </w:p>
          <w:p w:rsidR="006F6599" w:rsidRDefault="00963F10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Falha de tratamento OR 0,47 IC 95%</w:t>
            </w:r>
          </w:p>
          <w:p w:rsidR="006F6599" w:rsidRDefault="00963F10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0,09-2,41 p=0,24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  <w:tr w:rsidR="006F6599">
        <w:trPr>
          <w:trHeight w:val="2486"/>
        </w:trPr>
        <w:tc>
          <w:tcPr>
            <w:tcW w:w="1491" w:type="dxa"/>
          </w:tcPr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Woynarows ki, 2013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Ensaio clínico randomizado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- 46 pacientes com AIH conforme diagnóstico orientado pelos critérios do grupo internacional de</w:t>
            </w:r>
          </w:p>
          <w:p w:rsidR="006F6599" w:rsidRDefault="00963F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hepatite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146" w:firstLine="60"/>
              <w:rPr>
                <w:sz w:val="24"/>
              </w:rPr>
            </w:pPr>
            <w:r>
              <w:rPr>
                <w:sz w:val="24"/>
              </w:rPr>
              <w:t>Budesonida 3mg/dia ou BID</w:t>
            </w:r>
          </w:p>
          <w:p w:rsidR="006F6599" w:rsidRDefault="00963F10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+ Azatioprina 1- 2mg/kg/dia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Controle: Predniso na 40mg/dia escalona ndo para 10mg/dia</w:t>
            </w:r>
          </w:p>
          <w:p w:rsidR="006F6599" w:rsidRDefault="00963F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6F6599" w:rsidRDefault="00963F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Azatiopri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- Primários: Remissão bioquímica completa (TGO e TGP</w:t>
            </w:r>
          </w:p>
          <w:p w:rsidR="006F6599" w:rsidRDefault="00963F10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em níveis normais) sem efeitos</w:t>
            </w:r>
          </w:p>
          <w:p w:rsidR="006F6599" w:rsidRDefault="00963F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adversos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- Na primeira visita (6 meses), o desfecho primário foi alcançado</w:t>
            </w:r>
            <w:r>
              <w:rPr>
                <w:sz w:val="24"/>
              </w:rPr>
              <w:t xml:space="preserve"> em 3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 19 pacientes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(16%) do grupo</w:t>
            </w:r>
          </w:p>
          <w:p w:rsidR="006F6599" w:rsidRDefault="0096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budesonida e 4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dos 27 (15%)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Potencial viés de seleção: grupos heterogêneos</w:t>
            </w: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9388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autoimune.</w:t>
            </w:r>
          </w:p>
          <w:p w:rsidR="006F6599" w:rsidRDefault="00963F10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(11 homens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 mulheres) com idade na faixa de 9-17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anos.</w:t>
            </w: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na 1- 2mg/kg/ dia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associados aos medicamento s esteroides.</w:t>
            </w:r>
          </w:p>
          <w:p w:rsidR="006F6599" w:rsidRDefault="006F6599">
            <w:pPr>
              <w:pStyle w:val="TableParagraph"/>
              <w:ind w:left="0"/>
              <w:rPr>
                <w:sz w:val="26"/>
              </w:rPr>
            </w:pPr>
          </w:p>
          <w:p w:rsidR="006F6599" w:rsidRDefault="006F659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6F6599" w:rsidRDefault="00963F10">
            <w:pPr>
              <w:pStyle w:val="TableParagraph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6599" w:rsidRDefault="00963F10">
            <w:pPr>
              <w:pStyle w:val="TableParagraph"/>
              <w:spacing w:before="1"/>
              <w:ind w:left="109" w:right="112"/>
              <w:rPr>
                <w:sz w:val="24"/>
              </w:rPr>
            </w:pPr>
            <w:r>
              <w:rPr>
                <w:sz w:val="24"/>
              </w:rPr>
              <w:t>Secundários: Mudança de peso durante os períodos de tratamento e seguimento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dos pacientes do grupo prednisona.</w:t>
            </w:r>
          </w:p>
          <w:p w:rsidR="006F6599" w:rsidRDefault="00963F1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Remissão bioquímica foi atingida em 6</w:t>
            </w:r>
          </w:p>
          <w:p w:rsidR="006F6599" w:rsidRDefault="00963F10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dos 19 (32%) no primeiro grupo e 9 dos 27 (33%)</w:t>
            </w:r>
          </w:p>
          <w:p w:rsidR="006F6599" w:rsidRDefault="00963F1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no segundo grupo. A diferença entre os grupos não foi estatisticamente significativa.</w:t>
            </w:r>
          </w:p>
          <w:p w:rsidR="006F6599" w:rsidRDefault="00963F1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Na segunda visita (12 meses), a remissão bioquímica completa foi alcançada 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F6599" w:rsidRDefault="00963F10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dos 18 (50%) do primeiro grupo e 10 dos 24 (42%)</w:t>
            </w:r>
          </w:p>
          <w:p w:rsidR="006F6599" w:rsidRDefault="00963F1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no segundo grupo. A diferença entre os do</w:t>
            </w:r>
            <w:r>
              <w:rPr>
                <w:sz w:val="24"/>
              </w:rPr>
              <w:t>is grupos não foi estatisticamente significante.</w:t>
            </w:r>
          </w:p>
          <w:p w:rsidR="006F6599" w:rsidRDefault="00963F1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Efeitos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6901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adversos: incluíram face em lua cheia (11% na budesonida, 44% na prednisona; p=0,01), acne (21% vs. 26%</w:t>
            </w:r>
          </w:p>
          <w:p w:rsidR="006F6599" w:rsidRDefault="00963F10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p=não signicativo) e estrias violáceas (5% vs 11%</w:t>
            </w:r>
          </w:p>
          <w:p w:rsidR="006F6599" w:rsidRDefault="00963F10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p=não significativo). O ganho de peso foi significativamen te menor no grupo budesonida (1,2kg</w:t>
            </w:r>
          </w:p>
          <w:p w:rsidR="006F6599" w:rsidRDefault="00963F10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vs 5,1kg p=0,006).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  <w:tr w:rsidR="006F6599">
        <w:trPr>
          <w:trHeight w:val="2486"/>
        </w:trPr>
        <w:tc>
          <w:tcPr>
            <w:tcW w:w="1491" w:type="dxa"/>
          </w:tcPr>
          <w:p w:rsidR="006F6599" w:rsidRDefault="00963F10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Selvarajah, 2012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Sistemática</w:t>
            </w:r>
          </w:p>
          <w:p w:rsidR="006F6599" w:rsidRDefault="00963F10">
            <w:pPr>
              <w:pStyle w:val="TableParagraph"/>
              <w:numPr>
                <w:ilvl w:val="1"/>
                <w:numId w:val="2"/>
              </w:numPr>
              <w:tabs>
                <w:tab w:val="left" w:pos="367"/>
              </w:tabs>
              <w:ind w:right="1067" w:firstLine="120"/>
              <w:rPr>
                <w:sz w:val="24"/>
              </w:rPr>
            </w:pPr>
            <w:r>
              <w:rPr>
                <w:sz w:val="24"/>
              </w:rPr>
              <w:t>Período da busca: 14/06/2017</w:t>
            </w:r>
          </w:p>
          <w:p w:rsidR="006F6599" w:rsidRDefault="00963F10">
            <w:pPr>
              <w:pStyle w:val="TableParagraph"/>
              <w:numPr>
                <w:ilvl w:val="1"/>
                <w:numId w:val="2"/>
              </w:numPr>
              <w:tabs>
                <w:tab w:val="left" w:pos="367"/>
              </w:tabs>
              <w:ind w:right="969" w:firstLine="120"/>
              <w:rPr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consultadas: PubMed</w:t>
            </w:r>
          </w:p>
          <w:p w:rsidR="006F6599" w:rsidRDefault="00963F10">
            <w:pPr>
              <w:pStyle w:val="TableParagraph"/>
              <w:numPr>
                <w:ilvl w:val="1"/>
                <w:numId w:val="2"/>
              </w:numPr>
              <w:tabs>
                <w:tab w:val="left" w:pos="367"/>
              </w:tabs>
              <w:ind w:right="283" w:firstLine="120"/>
              <w:rPr>
                <w:sz w:val="24"/>
              </w:rPr>
            </w:pPr>
            <w:r>
              <w:rPr>
                <w:sz w:val="24"/>
              </w:rPr>
              <w:t>Critérios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elegibilidade: Artigos em inglês com o termo "hepatite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autoimune".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Experiência pessoal dos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 Pacientes com hepatite autoimune.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>Prednisona, prednisolona,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azatioprina, budesonida, ciclosporina, tacrolimus e micofenolato mofetil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- Primários: Res</w:t>
            </w:r>
            <w:r>
              <w:rPr>
                <w:sz w:val="24"/>
              </w:rPr>
              <w:t>posta ao tratamento com medicamento s convencionai s vs não-</w:t>
            </w:r>
          </w:p>
          <w:p w:rsidR="006F6599" w:rsidRDefault="00963F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convencionai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- Respostas insuficientes envolveram falha de tratamento (7%), resposta incompleta (14%),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toxicidade de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- Não relata quantos estudos foram incluídos, quais estudos e como foram realizadas buscas e extração dos dados</w:t>
            </w: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9388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autores e estudos investigacionais ajudaram a identificar contribuições importantes na literatura.</w:t>
            </w:r>
          </w:p>
          <w:p w:rsidR="006F6599" w:rsidRDefault="00963F10">
            <w:pPr>
              <w:pStyle w:val="TableParagraph"/>
              <w:ind w:right="195" w:firstLine="120"/>
              <w:rPr>
                <w:sz w:val="24"/>
              </w:rPr>
            </w:pPr>
            <w:r>
              <w:rPr>
                <w:sz w:val="24"/>
              </w:rPr>
              <w:t>- Objetivo: Comparar a resposta ao tratamento sub- ótimo na hepatite auto-imune em relação a medicamentos convencionais e não- convencionais.</w:t>
            </w: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s.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medicamento (13%) e recaída após retirada dos medicamentos (50-86%)</w:t>
            </w:r>
          </w:p>
          <w:p w:rsidR="006F6599" w:rsidRDefault="00963F1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6F6599" w:rsidRDefault="00963F1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probabilidade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resposta insuficiente</w:t>
            </w:r>
            <w:r>
              <w:rPr>
                <w:sz w:val="24"/>
              </w:rPr>
              <w:t xml:space="preserve"> é maior em pacientes jovens e em pacientes com apresentação grave, icterícia, MELD alto no diagnóstico, necrose multilobular ou cirrose, Anti- SLA positivo ou inabilidade de melhora dos índices clínicos em duas semanas ou de score MELD durante 7 dias de t</w:t>
            </w:r>
            <w:r>
              <w:rPr>
                <w:sz w:val="24"/>
              </w:rPr>
              <w:t>ratamento convencional com corticosteroides.</w:t>
            </w:r>
          </w:p>
          <w:p w:rsidR="006F6599" w:rsidRDefault="00963F1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exact"/>
              <w:ind w:right="405" w:firstLine="0"/>
              <w:rPr>
                <w:sz w:val="24"/>
              </w:rPr>
            </w:pPr>
            <w:r>
              <w:rPr>
                <w:sz w:val="24"/>
              </w:rPr>
              <w:t xml:space="preserve">Após </w:t>
            </w:r>
            <w:r>
              <w:rPr>
                <w:spacing w:val="-1"/>
                <w:sz w:val="24"/>
              </w:rPr>
              <w:t>diagnosticada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3314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resposta insuficiente, ela deve ser tratada com um nível alto de individualização e um regime de monitoramento constante, preferindo medicamentos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convencionais.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  <w:tr w:rsidR="006F6599">
        <w:trPr>
          <w:trHeight w:val="1656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Zizzo, 2017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Revisão sistemática com meta-análise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Pacientes pediátricos com HAI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Micofenolato mofetil, tacrolimus e ciclosporina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Sem grupo controle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Taxa de resposta clínica em 6 meses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Micofenolato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mofetil: 36% Ciclosporina 83%</w:t>
            </w:r>
          </w:p>
          <w:p w:rsidR="006F6599" w:rsidRDefault="00963F10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Tacrolimus: </w:t>
            </w:r>
            <w:r>
              <w:rPr>
                <w:sz w:val="24"/>
              </w:rPr>
              <w:t>50%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Incluídos somente estudos não controlados</w:t>
            </w:r>
          </w:p>
        </w:tc>
      </w:tr>
      <w:tr w:rsidR="006F6599">
        <w:trPr>
          <w:trHeight w:val="2760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ind w:left="88" w:right="113"/>
              <w:jc w:val="center"/>
              <w:rPr>
                <w:sz w:val="24"/>
              </w:rPr>
            </w:pPr>
            <w:r>
              <w:rPr>
                <w:sz w:val="24"/>
              </w:rPr>
              <w:t>Tansel, 2015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Revisão sistemática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Pacientes com HAI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Incidência de carcinoma hepatocelular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Densidade de incidência de carcinoma hepatocelular de 0,24 por 100 pacientes-ano e, para cirróticos com HAI, 0,83</w:t>
            </w:r>
          </w:p>
          <w:p w:rsidR="006F6599" w:rsidRDefault="00963F10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por 100 pacientes-ano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6 dos 14 estudos incluídos eram retrospectivos</w:t>
            </w:r>
          </w:p>
        </w:tc>
      </w:tr>
      <w:tr w:rsidR="006F6599">
        <w:trPr>
          <w:trHeight w:val="1655"/>
        </w:trPr>
        <w:tc>
          <w:tcPr>
            <w:tcW w:w="1491" w:type="dxa"/>
          </w:tcPr>
          <w:p w:rsidR="006F6599" w:rsidRDefault="00963F10">
            <w:pPr>
              <w:pStyle w:val="TableParagraph"/>
              <w:spacing w:line="268" w:lineRule="exact"/>
              <w:ind w:left="88" w:right="204"/>
              <w:jc w:val="center"/>
              <w:rPr>
                <w:sz w:val="24"/>
              </w:rPr>
            </w:pPr>
            <w:r>
              <w:rPr>
                <w:sz w:val="24"/>
              </w:rPr>
              <w:t>Czaja, 2014</w:t>
            </w:r>
          </w:p>
        </w:tc>
        <w:tc>
          <w:tcPr>
            <w:tcW w:w="3152" w:type="dxa"/>
          </w:tcPr>
          <w:p w:rsidR="006F6599" w:rsidRDefault="00963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Revisão narrativa da literatura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Pacientes com HAI</w:t>
            </w:r>
          </w:p>
        </w:tc>
        <w:tc>
          <w:tcPr>
            <w:tcW w:w="1846" w:type="dxa"/>
          </w:tcPr>
          <w:p w:rsidR="006F6599" w:rsidRDefault="00963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133" w:type="dxa"/>
          </w:tcPr>
          <w:p w:rsidR="006F6599" w:rsidRDefault="00963F1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1558" w:type="dxa"/>
          </w:tcPr>
          <w:p w:rsidR="006F6599" w:rsidRDefault="00963F10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Manutenção da remissão após suspensão do tratamento</w:t>
            </w: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19 a 40% dos pacientes com tratamento suspenso a pelo menos 3 anos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conseguem</w:t>
            </w:r>
          </w:p>
        </w:tc>
        <w:tc>
          <w:tcPr>
            <w:tcW w:w="1925" w:type="dxa"/>
          </w:tcPr>
          <w:p w:rsidR="006F6599" w:rsidRDefault="00963F10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Delineamento propenso a viés</w:t>
            </w:r>
          </w:p>
        </w:tc>
      </w:tr>
    </w:tbl>
    <w:p w:rsidR="006F6599" w:rsidRDefault="006F6599">
      <w:pPr>
        <w:rPr>
          <w:sz w:val="24"/>
        </w:rPr>
        <w:sectPr w:rsidR="006F6599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6F6599" w:rsidRDefault="006F6599">
      <w:pPr>
        <w:pStyle w:val="Corpodetexto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152"/>
        <w:gridCol w:w="1843"/>
        <w:gridCol w:w="1846"/>
        <w:gridCol w:w="1133"/>
        <w:gridCol w:w="1558"/>
        <w:gridCol w:w="1843"/>
        <w:gridCol w:w="1925"/>
      </w:tblGrid>
      <w:tr w:rsidR="006F6599">
        <w:trPr>
          <w:trHeight w:val="553"/>
        </w:trPr>
        <w:tc>
          <w:tcPr>
            <w:tcW w:w="1491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F6599" w:rsidRDefault="00963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manter a doença</w:t>
            </w:r>
          </w:p>
          <w:p w:rsidR="006F6599" w:rsidRDefault="00963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em remissão</w:t>
            </w:r>
          </w:p>
        </w:tc>
        <w:tc>
          <w:tcPr>
            <w:tcW w:w="1925" w:type="dxa"/>
          </w:tcPr>
          <w:p w:rsidR="006F6599" w:rsidRDefault="006F65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0000" w:rsidRDefault="00963F10"/>
    <w:sectPr w:rsidR="00000000">
      <w:pgSz w:w="1685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8E"/>
    <w:multiLevelType w:val="hybridMultilevel"/>
    <w:tmpl w:val="682A9410"/>
    <w:lvl w:ilvl="0" w:tplc="9306BC8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9503030">
      <w:numFmt w:val="bullet"/>
      <w:lvlText w:val="•"/>
      <w:lvlJc w:val="left"/>
      <w:pPr>
        <w:ind w:left="1878" w:hanging="140"/>
      </w:pPr>
      <w:rPr>
        <w:rFonts w:hint="default"/>
        <w:lang w:val="pt-BR" w:eastAsia="pt-BR" w:bidi="pt-BR"/>
      </w:rPr>
    </w:lvl>
    <w:lvl w:ilvl="2" w:tplc="EB4E9C10">
      <w:numFmt w:val="bullet"/>
      <w:lvlText w:val="•"/>
      <w:lvlJc w:val="left"/>
      <w:pPr>
        <w:ind w:left="2797" w:hanging="140"/>
      </w:pPr>
      <w:rPr>
        <w:rFonts w:hint="default"/>
        <w:lang w:val="pt-BR" w:eastAsia="pt-BR" w:bidi="pt-BR"/>
      </w:rPr>
    </w:lvl>
    <w:lvl w:ilvl="3" w:tplc="9FD4F1D2">
      <w:numFmt w:val="bullet"/>
      <w:lvlText w:val="•"/>
      <w:lvlJc w:val="left"/>
      <w:pPr>
        <w:ind w:left="3715" w:hanging="140"/>
      </w:pPr>
      <w:rPr>
        <w:rFonts w:hint="default"/>
        <w:lang w:val="pt-BR" w:eastAsia="pt-BR" w:bidi="pt-BR"/>
      </w:rPr>
    </w:lvl>
    <w:lvl w:ilvl="4" w:tplc="C7582080">
      <w:numFmt w:val="bullet"/>
      <w:lvlText w:val="•"/>
      <w:lvlJc w:val="left"/>
      <w:pPr>
        <w:ind w:left="4634" w:hanging="140"/>
      </w:pPr>
      <w:rPr>
        <w:rFonts w:hint="default"/>
        <w:lang w:val="pt-BR" w:eastAsia="pt-BR" w:bidi="pt-BR"/>
      </w:rPr>
    </w:lvl>
    <w:lvl w:ilvl="5" w:tplc="217A95AA">
      <w:numFmt w:val="bullet"/>
      <w:lvlText w:val="•"/>
      <w:lvlJc w:val="left"/>
      <w:pPr>
        <w:ind w:left="5553" w:hanging="140"/>
      </w:pPr>
      <w:rPr>
        <w:rFonts w:hint="default"/>
        <w:lang w:val="pt-BR" w:eastAsia="pt-BR" w:bidi="pt-BR"/>
      </w:rPr>
    </w:lvl>
    <w:lvl w:ilvl="6" w:tplc="005413B6">
      <w:numFmt w:val="bullet"/>
      <w:lvlText w:val="•"/>
      <w:lvlJc w:val="left"/>
      <w:pPr>
        <w:ind w:left="6471" w:hanging="140"/>
      </w:pPr>
      <w:rPr>
        <w:rFonts w:hint="default"/>
        <w:lang w:val="pt-BR" w:eastAsia="pt-BR" w:bidi="pt-BR"/>
      </w:rPr>
    </w:lvl>
    <w:lvl w:ilvl="7" w:tplc="88E2C5B4">
      <w:numFmt w:val="bullet"/>
      <w:lvlText w:val="•"/>
      <w:lvlJc w:val="left"/>
      <w:pPr>
        <w:ind w:left="7390" w:hanging="140"/>
      </w:pPr>
      <w:rPr>
        <w:rFonts w:hint="default"/>
        <w:lang w:val="pt-BR" w:eastAsia="pt-BR" w:bidi="pt-BR"/>
      </w:rPr>
    </w:lvl>
    <w:lvl w:ilvl="8" w:tplc="29608F9E">
      <w:numFmt w:val="bullet"/>
      <w:lvlText w:val="•"/>
      <w:lvlJc w:val="left"/>
      <w:pPr>
        <w:ind w:left="8309" w:hanging="140"/>
      </w:pPr>
      <w:rPr>
        <w:rFonts w:hint="default"/>
        <w:lang w:val="pt-BR" w:eastAsia="pt-BR" w:bidi="pt-BR"/>
      </w:rPr>
    </w:lvl>
  </w:abstractNum>
  <w:abstractNum w:abstractNumId="1">
    <w:nsid w:val="10BD4F86"/>
    <w:multiLevelType w:val="hybridMultilevel"/>
    <w:tmpl w:val="260CEF40"/>
    <w:lvl w:ilvl="0" w:tplc="186A1E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C94014DC">
      <w:numFmt w:val="bullet"/>
      <w:lvlText w:val="•"/>
      <w:lvlJc w:val="left"/>
      <w:pPr>
        <w:ind w:left="404" w:hanging="140"/>
      </w:pPr>
      <w:rPr>
        <w:rFonts w:hint="default"/>
        <w:lang w:val="pt-BR" w:eastAsia="pt-BR" w:bidi="pt-BR"/>
      </w:rPr>
    </w:lvl>
    <w:lvl w:ilvl="2" w:tplc="B5286536">
      <w:numFmt w:val="bullet"/>
      <w:lvlText w:val="•"/>
      <w:lvlJc w:val="left"/>
      <w:pPr>
        <w:ind w:left="708" w:hanging="140"/>
      </w:pPr>
      <w:rPr>
        <w:rFonts w:hint="default"/>
        <w:lang w:val="pt-BR" w:eastAsia="pt-BR" w:bidi="pt-BR"/>
      </w:rPr>
    </w:lvl>
    <w:lvl w:ilvl="3" w:tplc="4B70752A">
      <w:numFmt w:val="bullet"/>
      <w:lvlText w:val="•"/>
      <w:lvlJc w:val="left"/>
      <w:pPr>
        <w:ind w:left="1012" w:hanging="140"/>
      </w:pPr>
      <w:rPr>
        <w:rFonts w:hint="default"/>
        <w:lang w:val="pt-BR" w:eastAsia="pt-BR" w:bidi="pt-BR"/>
      </w:rPr>
    </w:lvl>
    <w:lvl w:ilvl="4" w:tplc="5FCEDD6E">
      <w:numFmt w:val="bullet"/>
      <w:lvlText w:val="•"/>
      <w:lvlJc w:val="left"/>
      <w:pPr>
        <w:ind w:left="1316" w:hanging="140"/>
      </w:pPr>
      <w:rPr>
        <w:rFonts w:hint="default"/>
        <w:lang w:val="pt-BR" w:eastAsia="pt-BR" w:bidi="pt-BR"/>
      </w:rPr>
    </w:lvl>
    <w:lvl w:ilvl="5" w:tplc="5E60F0DE">
      <w:numFmt w:val="bullet"/>
      <w:lvlText w:val="•"/>
      <w:lvlJc w:val="left"/>
      <w:pPr>
        <w:ind w:left="1621" w:hanging="140"/>
      </w:pPr>
      <w:rPr>
        <w:rFonts w:hint="default"/>
        <w:lang w:val="pt-BR" w:eastAsia="pt-BR" w:bidi="pt-BR"/>
      </w:rPr>
    </w:lvl>
    <w:lvl w:ilvl="6" w:tplc="0BB0CCBC">
      <w:numFmt w:val="bullet"/>
      <w:lvlText w:val="•"/>
      <w:lvlJc w:val="left"/>
      <w:pPr>
        <w:ind w:left="1925" w:hanging="140"/>
      </w:pPr>
      <w:rPr>
        <w:rFonts w:hint="default"/>
        <w:lang w:val="pt-BR" w:eastAsia="pt-BR" w:bidi="pt-BR"/>
      </w:rPr>
    </w:lvl>
    <w:lvl w:ilvl="7" w:tplc="E4DA36C0">
      <w:numFmt w:val="bullet"/>
      <w:lvlText w:val="•"/>
      <w:lvlJc w:val="left"/>
      <w:pPr>
        <w:ind w:left="2229" w:hanging="140"/>
      </w:pPr>
      <w:rPr>
        <w:rFonts w:hint="default"/>
        <w:lang w:val="pt-BR" w:eastAsia="pt-BR" w:bidi="pt-BR"/>
      </w:rPr>
    </w:lvl>
    <w:lvl w:ilvl="8" w:tplc="C9A691F6">
      <w:numFmt w:val="bullet"/>
      <w:lvlText w:val="•"/>
      <w:lvlJc w:val="left"/>
      <w:pPr>
        <w:ind w:left="2533" w:hanging="140"/>
      </w:pPr>
      <w:rPr>
        <w:rFonts w:hint="default"/>
        <w:lang w:val="pt-BR" w:eastAsia="pt-BR" w:bidi="pt-BR"/>
      </w:rPr>
    </w:lvl>
  </w:abstractNum>
  <w:abstractNum w:abstractNumId="2">
    <w:nsid w:val="113A0158"/>
    <w:multiLevelType w:val="hybridMultilevel"/>
    <w:tmpl w:val="5F5E1FA2"/>
    <w:lvl w:ilvl="0" w:tplc="0EB821B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7D8D4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6E763FB2">
      <w:numFmt w:val="bullet"/>
      <w:lvlText w:val="•"/>
      <w:lvlJc w:val="left"/>
      <w:pPr>
        <w:ind w:left="562" w:hanging="140"/>
      </w:pPr>
      <w:rPr>
        <w:rFonts w:hint="default"/>
        <w:lang w:val="pt-BR" w:eastAsia="pt-BR" w:bidi="pt-BR"/>
      </w:rPr>
    </w:lvl>
    <w:lvl w:ilvl="3" w:tplc="18B416A2">
      <w:numFmt w:val="bullet"/>
      <w:lvlText w:val="•"/>
      <w:lvlJc w:val="left"/>
      <w:pPr>
        <w:ind w:left="884" w:hanging="140"/>
      </w:pPr>
      <w:rPr>
        <w:rFonts w:hint="default"/>
        <w:lang w:val="pt-BR" w:eastAsia="pt-BR" w:bidi="pt-BR"/>
      </w:rPr>
    </w:lvl>
    <w:lvl w:ilvl="4" w:tplc="ABC05330">
      <w:numFmt w:val="bullet"/>
      <w:lvlText w:val="•"/>
      <w:lvlJc w:val="left"/>
      <w:pPr>
        <w:ind w:left="1207" w:hanging="140"/>
      </w:pPr>
      <w:rPr>
        <w:rFonts w:hint="default"/>
        <w:lang w:val="pt-BR" w:eastAsia="pt-BR" w:bidi="pt-BR"/>
      </w:rPr>
    </w:lvl>
    <w:lvl w:ilvl="5" w:tplc="CA469B26">
      <w:numFmt w:val="bullet"/>
      <w:lvlText w:val="•"/>
      <w:lvlJc w:val="left"/>
      <w:pPr>
        <w:ind w:left="1529" w:hanging="140"/>
      </w:pPr>
      <w:rPr>
        <w:rFonts w:hint="default"/>
        <w:lang w:val="pt-BR" w:eastAsia="pt-BR" w:bidi="pt-BR"/>
      </w:rPr>
    </w:lvl>
    <w:lvl w:ilvl="6" w:tplc="A210B960">
      <w:numFmt w:val="bullet"/>
      <w:lvlText w:val="•"/>
      <w:lvlJc w:val="left"/>
      <w:pPr>
        <w:ind w:left="1852" w:hanging="140"/>
      </w:pPr>
      <w:rPr>
        <w:rFonts w:hint="default"/>
        <w:lang w:val="pt-BR" w:eastAsia="pt-BR" w:bidi="pt-BR"/>
      </w:rPr>
    </w:lvl>
    <w:lvl w:ilvl="7" w:tplc="0EB0C404">
      <w:numFmt w:val="bullet"/>
      <w:lvlText w:val="•"/>
      <w:lvlJc w:val="left"/>
      <w:pPr>
        <w:ind w:left="2174" w:hanging="140"/>
      </w:pPr>
      <w:rPr>
        <w:rFonts w:hint="default"/>
        <w:lang w:val="pt-BR" w:eastAsia="pt-BR" w:bidi="pt-BR"/>
      </w:rPr>
    </w:lvl>
    <w:lvl w:ilvl="8" w:tplc="48ECFCDE">
      <w:numFmt w:val="bullet"/>
      <w:lvlText w:val="•"/>
      <w:lvlJc w:val="left"/>
      <w:pPr>
        <w:ind w:left="2497" w:hanging="140"/>
      </w:pPr>
      <w:rPr>
        <w:rFonts w:hint="default"/>
        <w:lang w:val="pt-BR" w:eastAsia="pt-BR" w:bidi="pt-BR"/>
      </w:rPr>
    </w:lvl>
  </w:abstractNum>
  <w:abstractNum w:abstractNumId="3">
    <w:nsid w:val="113A1643"/>
    <w:multiLevelType w:val="multilevel"/>
    <w:tmpl w:val="04EE747A"/>
    <w:lvl w:ilvl="0">
      <w:start w:val="1"/>
      <w:numFmt w:val="decimal"/>
      <w:lvlText w:val="%1"/>
      <w:lvlJc w:val="left"/>
      <w:pPr>
        <w:ind w:left="253" w:hanging="4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73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53" w:hanging="1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66" w:hanging="1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79" w:hanging="1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3" w:hanging="1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6" w:hanging="1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9" w:hanging="140"/>
      </w:pPr>
      <w:rPr>
        <w:rFonts w:hint="default"/>
        <w:lang w:val="pt-BR" w:eastAsia="pt-BR" w:bidi="pt-BR"/>
      </w:rPr>
    </w:lvl>
  </w:abstractNum>
  <w:abstractNum w:abstractNumId="4">
    <w:nsid w:val="1BF000CD"/>
    <w:multiLevelType w:val="hybridMultilevel"/>
    <w:tmpl w:val="AD3677CE"/>
    <w:lvl w:ilvl="0" w:tplc="87D2EC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C0925A00">
      <w:numFmt w:val="bullet"/>
      <w:lvlText w:val="•"/>
      <w:lvlJc w:val="left"/>
      <w:pPr>
        <w:ind w:left="404" w:hanging="140"/>
      </w:pPr>
      <w:rPr>
        <w:rFonts w:hint="default"/>
        <w:lang w:val="pt-BR" w:eastAsia="pt-BR" w:bidi="pt-BR"/>
      </w:rPr>
    </w:lvl>
    <w:lvl w:ilvl="2" w:tplc="22022100">
      <w:numFmt w:val="bullet"/>
      <w:lvlText w:val="•"/>
      <w:lvlJc w:val="left"/>
      <w:pPr>
        <w:ind w:left="708" w:hanging="140"/>
      </w:pPr>
      <w:rPr>
        <w:rFonts w:hint="default"/>
        <w:lang w:val="pt-BR" w:eastAsia="pt-BR" w:bidi="pt-BR"/>
      </w:rPr>
    </w:lvl>
    <w:lvl w:ilvl="3" w:tplc="63320AD6">
      <w:numFmt w:val="bullet"/>
      <w:lvlText w:val="•"/>
      <w:lvlJc w:val="left"/>
      <w:pPr>
        <w:ind w:left="1012" w:hanging="140"/>
      </w:pPr>
      <w:rPr>
        <w:rFonts w:hint="default"/>
        <w:lang w:val="pt-BR" w:eastAsia="pt-BR" w:bidi="pt-BR"/>
      </w:rPr>
    </w:lvl>
    <w:lvl w:ilvl="4" w:tplc="18B2E444">
      <w:numFmt w:val="bullet"/>
      <w:lvlText w:val="•"/>
      <w:lvlJc w:val="left"/>
      <w:pPr>
        <w:ind w:left="1316" w:hanging="140"/>
      </w:pPr>
      <w:rPr>
        <w:rFonts w:hint="default"/>
        <w:lang w:val="pt-BR" w:eastAsia="pt-BR" w:bidi="pt-BR"/>
      </w:rPr>
    </w:lvl>
    <w:lvl w:ilvl="5" w:tplc="9DCC4222">
      <w:numFmt w:val="bullet"/>
      <w:lvlText w:val="•"/>
      <w:lvlJc w:val="left"/>
      <w:pPr>
        <w:ind w:left="1621" w:hanging="140"/>
      </w:pPr>
      <w:rPr>
        <w:rFonts w:hint="default"/>
        <w:lang w:val="pt-BR" w:eastAsia="pt-BR" w:bidi="pt-BR"/>
      </w:rPr>
    </w:lvl>
    <w:lvl w:ilvl="6" w:tplc="8A80B3EA">
      <w:numFmt w:val="bullet"/>
      <w:lvlText w:val="•"/>
      <w:lvlJc w:val="left"/>
      <w:pPr>
        <w:ind w:left="1925" w:hanging="140"/>
      </w:pPr>
      <w:rPr>
        <w:rFonts w:hint="default"/>
        <w:lang w:val="pt-BR" w:eastAsia="pt-BR" w:bidi="pt-BR"/>
      </w:rPr>
    </w:lvl>
    <w:lvl w:ilvl="7" w:tplc="CCFEE786">
      <w:numFmt w:val="bullet"/>
      <w:lvlText w:val="•"/>
      <w:lvlJc w:val="left"/>
      <w:pPr>
        <w:ind w:left="2229" w:hanging="140"/>
      </w:pPr>
      <w:rPr>
        <w:rFonts w:hint="default"/>
        <w:lang w:val="pt-BR" w:eastAsia="pt-BR" w:bidi="pt-BR"/>
      </w:rPr>
    </w:lvl>
    <w:lvl w:ilvl="8" w:tplc="8A5EC078">
      <w:numFmt w:val="bullet"/>
      <w:lvlText w:val="•"/>
      <w:lvlJc w:val="left"/>
      <w:pPr>
        <w:ind w:left="2533" w:hanging="140"/>
      </w:pPr>
      <w:rPr>
        <w:rFonts w:hint="default"/>
        <w:lang w:val="pt-BR" w:eastAsia="pt-BR" w:bidi="pt-BR"/>
      </w:rPr>
    </w:lvl>
  </w:abstractNum>
  <w:abstractNum w:abstractNumId="5">
    <w:nsid w:val="1F2E5EB9"/>
    <w:multiLevelType w:val="hybridMultilevel"/>
    <w:tmpl w:val="5BEE44DE"/>
    <w:lvl w:ilvl="0" w:tplc="6D90C7AC">
      <w:start w:val="1"/>
      <w:numFmt w:val="lowerLetter"/>
      <w:lvlText w:val="%1)"/>
      <w:lvlJc w:val="left"/>
      <w:pPr>
        <w:ind w:left="253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BR" w:eastAsia="pt-BR" w:bidi="pt-BR"/>
      </w:rPr>
    </w:lvl>
    <w:lvl w:ilvl="1" w:tplc="A5F4F480">
      <w:start w:val="1"/>
      <w:numFmt w:val="lowerLetter"/>
      <w:lvlText w:val="%2)"/>
      <w:lvlJc w:val="left"/>
      <w:pPr>
        <w:ind w:left="1065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81528982">
      <w:numFmt w:val="bullet"/>
      <w:lvlText w:val="•"/>
      <w:lvlJc w:val="left"/>
      <w:pPr>
        <w:ind w:left="2069" w:hanging="246"/>
      </w:pPr>
      <w:rPr>
        <w:rFonts w:hint="default"/>
        <w:lang w:val="pt-BR" w:eastAsia="pt-BR" w:bidi="pt-BR"/>
      </w:rPr>
    </w:lvl>
    <w:lvl w:ilvl="3" w:tplc="BBB6D60E">
      <w:numFmt w:val="bullet"/>
      <w:lvlText w:val="•"/>
      <w:lvlJc w:val="left"/>
      <w:pPr>
        <w:ind w:left="3079" w:hanging="246"/>
      </w:pPr>
      <w:rPr>
        <w:rFonts w:hint="default"/>
        <w:lang w:val="pt-BR" w:eastAsia="pt-BR" w:bidi="pt-BR"/>
      </w:rPr>
    </w:lvl>
    <w:lvl w:ilvl="4" w:tplc="94FAAFFE">
      <w:numFmt w:val="bullet"/>
      <w:lvlText w:val="•"/>
      <w:lvlJc w:val="left"/>
      <w:pPr>
        <w:ind w:left="4088" w:hanging="246"/>
      </w:pPr>
      <w:rPr>
        <w:rFonts w:hint="default"/>
        <w:lang w:val="pt-BR" w:eastAsia="pt-BR" w:bidi="pt-BR"/>
      </w:rPr>
    </w:lvl>
    <w:lvl w:ilvl="5" w:tplc="4FDAE00A">
      <w:numFmt w:val="bullet"/>
      <w:lvlText w:val="•"/>
      <w:lvlJc w:val="left"/>
      <w:pPr>
        <w:ind w:left="5098" w:hanging="246"/>
      </w:pPr>
      <w:rPr>
        <w:rFonts w:hint="default"/>
        <w:lang w:val="pt-BR" w:eastAsia="pt-BR" w:bidi="pt-BR"/>
      </w:rPr>
    </w:lvl>
    <w:lvl w:ilvl="6" w:tplc="A0F8B65C">
      <w:numFmt w:val="bullet"/>
      <w:lvlText w:val="•"/>
      <w:lvlJc w:val="left"/>
      <w:pPr>
        <w:ind w:left="6108" w:hanging="246"/>
      </w:pPr>
      <w:rPr>
        <w:rFonts w:hint="default"/>
        <w:lang w:val="pt-BR" w:eastAsia="pt-BR" w:bidi="pt-BR"/>
      </w:rPr>
    </w:lvl>
    <w:lvl w:ilvl="7" w:tplc="7070F586">
      <w:numFmt w:val="bullet"/>
      <w:lvlText w:val="•"/>
      <w:lvlJc w:val="left"/>
      <w:pPr>
        <w:ind w:left="7117" w:hanging="246"/>
      </w:pPr>
      <w:rPr>
        <w:rFonts w:hint="default"/>
        <w:lang w:val="pt-BR" w:eastAsia="pt-BR" w:bidi="pt-BR"/>
      </w:rPr>
    </w:lvl>
    <w:lvl w:ilvl="8" w:tplc="A4A4938E">
      <w:numFmt w:val="bullet"/>
      <w:lvlText w:val="•"/>
      <w:lvlJc w:val="left"/>
      <w:pPr>
        <w:ind w:left="8127" w:hanging="246"/>
      </w:pPr>
      <w:rPr>
        <w:rFonts w:hint="default"/>
        <w:lang w:val="pt-BR" w:eastAsia="pt-BR" w:bidi="pt-BR"/>
      </w:rPr>
    </w:lvl>
  </w:abstractNum>
  <w:abstractNum w:abstractNumId="6">
    <w:nsid w:val="23936E42"/>
    <w:multiLevelType w:val="hybridMultilevel"/>
    <w:tmpl w:val="4B74F2E6"/>
    <w:lvl w:ilvl="0" w:tplc="1E7855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A2CC7B4">
      <w:numFmt w:val="bullet"/>
      <w:lvlText w:val="•"/>
      <w:lvlJc w:val="left"/>
      <w:pPr>
        <w:ind w:left="273" w:hanging="140"/>
      </w:pPr>
      <w:rPr>
        <w:rFonts w:hint="default"/>
        <w:lang w:val="pt-BR" w:eastAsia="pt-BR" w:bidi="pt-BR"/>
      </w:rPr>
    </w:lvl>
    <w:lvl w:ilvl="2" w:tplc="C79E8FB6">
      <w:numFmt w:val="bullet"/>
      <w:lvlText w:val="•"/>
      <w:lvlJc w:val="left"/>
      <w:pPr>
        <w:ind w:left="446" w:hanging="140"/>
      </w:pPr>
      <w:rPr>
        <w:rFonts w:hint="default"/>
        <w:lang w:val="pt-BR" w:eastAsia="pt-BR" w:bidi="pt-BR"/>
      </w:rPr>
    </w:lvl>
    <w:lvl w:ilvl="3" w:tplc="AAB0B544">
      <w:numFmt w:val="bullet"/>
      <w:lvlText w:val="•"/>
      <w:lvlJc w:val="left"/>
      <w:pPr>
        <w:ind w:left="619" w:hanging="140"/>
      </w:pPr>
      <w:rPr>
        <w:rFonts w:hint="default"/>
        <w:lang w:val="pt-BR" w:eastAsia="pt-BR" w:bidi="pt-BR"/>
      </w:rPr>
    </w:lvl>
    <w:lvl w:ilvl="4" w:tplc="90769184">
      <w:numFmt w:val="bullet"/>
      <w:lvlText w:val="•"/>
      <w:lvlJc w:val="left"/>
      <w:pPr>
        <w:ind w:left="793" w:hanging="140"/>
      </w:pPr>
      <w:rPr>
        <w:rFonts w:hint="default"/>
        <w:lang w:val="pt-BR" w:eastAsia="pt-BR" w:bidi="pt-BR"/>
      </w:rPr>
    </w:lvl>
    <w:lvl w:ilvl="5" w:tplc="F5AA3A7A">
      <w:numFmt w:val="bullet"/>
      <w:lvlText w:val="•"/>
      <w:lvlJc w:val="left"/>
      <w:pPr>
        <w:ind w:left="966" w:hanging="140"/>
      </w:pPr>
      <w:rPr>
        <w:rFonts w:hint="default"/>
        <w:lang w:val="pt-BR" w:eastAsia="pt-BR" w:bidi="pt-BR"/>
      </w:rPr>
    </w:lvl>
    <w:lvl w:ilvl="6" w:tplc="D472BCDC">
      <w:numFmt w:val="bullet"/>
      <w:lvlText w:val="•"/>
      <w:lvlJc w:val="left"/>
      <w:pPr>
        <w:ind w:left="1139" w:hanging="140"/>
      </w:pPr>
      <w:rPr>
        <w:rFonts w:hint="default"/>
        <w:lang w:val="pt-BR" w:eastAsia="pt-BR" w:bidi="pt-BR"/>
      </w:rPr>
    </w:lvl>
    <w:lvl w:ilvl="7" w:tplc="D326FE52">
      <w:numFmt w:val="bullet"/>
      <w:lvlText w:val="•"/>
      <w:lvlJc w:val="left"/>
      <w:pPr>
        <w:ind w:left="1313" w:hanging="140"/>
      </w:pPr>
      <w:rPr>
        <w:rFonts w:hint="default"/>
        <w:lang w:val="pt-BR" w:eastAsia="pt-BR" w:bidi="pt-BR"/>
      </w:rPr>
    </w:lvl>
    <w:lvl w:ilvl="8" w:tplc="5BA2AE7A">
      <w:numFmt w:val="bullet"/>
      <w:lvlText w:val="•"/>
      <w:lvlJc w:val="left"/>
      <w:pPr>
        <w:ind w:left="1486" w:hanging="140"/>
      </w:pPr>
      <w:rPr>
        <w:rFonts w:hint="default"/>
        <w:lang w:val="pt-BR" w:eastAsia="pt-BR" w:bidi="pt-BR"/>
      </w:rPr>
    </w:lvl>
  </w:abstractNum>
  <w:abstractNum w:abstractNumId="7">
    <w:nsid w:val="2B2B5C18"/>
    <w:multiLevelType w:val="hybridMultilevel"/>
    <w:tmpl w:val="B05400B6"/>
    <w:lvl w:ilvl="0" w:tplc="B6A45C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CC347876">
      <w:numFmt w:val="bullet"/>
      <w:lvlText w:val="•"/>
      <w:lvlJc w:val="left"/>
      <w:pPr>
        <w:ind w:left="273" w:hanging="140"/>
      </w:pPr>
      <w:rPr>
        <w:rFonts w:hint="default"/>
        <w:lang w:val="pt-BR" w:eastAsia="pt-BR" w:bidi="pt-BR"/>
      </w:rPr>
    </w:lvl>
    <w:lvl w:ilvl="2" w:tplc="BD227B1C">
      <w:numFmt w:val="bullet"/>
      <w:lvlText w:val="•"/>
      <w:lvlJc w:val="left"/>
      <w:pPr>
        <w:ind w:left="446" w:hanging="140"/>
      </w:pPr>
      <w:rPr>
        <w:rFonts w:hint="default"/>
        <w:lang w:val="pt-BR" w:eastAsia="pt-BR" w:bidi="pt-BR"/>
      </w:rPr>
    </w:lvl>
    <w:lvl w:ilvl="3" w:tplc="71880CCA">
      <w:numFmt w:val="bullet"/>
      <w:lvlText w:val="•"/>
      <w:lvlJc w:val="left"/>
      <w:pPr>
        <w:ind w:left="619" w:hanging="140"/>
      </w:pPr>
      <w:rPr>
        <w:rFonts w:hint="default"/>
        <w:lang w:val="pt-BR" w:eastAsia="pt-BR" w:bidi="pt-BR"/>
      </w:rPr>
    </w:lvl>
    <w:lvl w:ilvl="4" w:tplc="0E92699A">
      <w:numFmt w:val="bullet"/>
      <w:lvlText w:val="•"/>
      <w:lvlJc w:val="left"/>
      <w:pPr>
        <w:ind w:left="793" w:hanging="140"/>
      </w:pPr>
      <w:rPr>
        <w:rFonts w:hint="default"/>
        <w:lang w:val="pt-BR" w:eastAsia="pt-BR" w:bidi="pt-BR"/>
      </w:rPr>
    </w:lvl>
    <w:lvl w:ilvl="5" w:tplc="B2EA5950">
      <w:numFmt w:val="bullet"/>
      <w:lvlText w:val="•"/>
      <w:lvlJc w:val="left"/>
      <w:pPr>
        <w:ind w:left="966" w:hanging="140"/>
      </w:pPr>
      <w:rPr>
        <w:rFonts w:hint="default"/>
        <w:lang w:val="pt-BR" w:eastAsia="pt-BR" w:bidi="pt-BR"/>
      </w:rPr>
    </w:lvl>
    <w:lvl w:ilvl="6" w:tplc="CEECC58C">
      <w:numFmt w:val="bullet"/>
      <w:lvlText w:val="•"/>
      <w:lvlJc w:val="left"/>
      <w:pPr>
        <w:ind w:left="1139" w:hanging="140"/>
      </w:pPr>
      <w:rPr>
        <w:rFonts w:hint="default"/>
        <w:lang w:val="pt-BR" w:eastAsia="pt-BR" w:bidi="pt-BR"/>
      </w:rPr>
    </w:lvl>
    <w:lvl w:ilvl="7" w:tplc="2862C212">
      <w:numFmt w:val="bullet"/>
      <w:lvlText w:val="•"/>
      <w:lvlJc w:val="left"/>
      <w:pPr>
        <w:ind w:left="1313" w:hanging="140"/>
      </w:pPr>
      <w:rPr>
        <w:rFonts w:hint="default"/>
        <w:lang w:val="pt-BR" w:eastAsia="pt-BR" w:bidi="pt-BR"/>
      </w:rPr>
    </w:lvl>
    <w:lvl w:ilvl="8" w:tplc="9F5886F4">
      <w:numFmt w:val="bullet"/>
      <w:lvlText w:val="•"/>
      <w:lvlJc w:val="left"/>
      <w:pPr>
        <w:ind w:left="1486" w:hanging="140"/>
      </w:pPr>
      <w:rPr>
        <w:rFonts w:hint="default"/>
        <w:lang w:val="pt-BR" w:eastAsia="pt-BR" w:bidi="pt-BR"/>
      </w:rPr>
    </w:lvl>
  </w:abstractNum>
  <w:abstractNum w:abstractNumId="8">
    <w:nsid w:val="33D35721"/>
    <w:multiLevelType w:val="hybridMultilevel"/>
    <w:tmpl w:val="A86A8ED0"/>
    <w:lvl w:ilvl="0" w:tplc="2BCE047C">
      <w:numFmt w:val="bullet"/>
      <w:lvlText w:val="-"/>
      <w:lvlJc w:val="left"/>
      <w:pPr>
        <w:ind w:left="253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6FB85622">
      <w:numFmt w:val="bullet"/>
      <w:lvlText w:val="•"/>
      <w:lvlJc w:val="left"/>
      <w:pPr>
        <w:ind w:left="1248" w:hanging="180"/>
      </w:pPr>
      <w:rPr>
        <w:rFonts w:hint="default"/>
        <w:lang w:val="pt-BR" w:eastAsia="pt-BR" w:bidi="pt-BR"/>
      </w:rPr>
    </w:lvl>
    <w:lvl w:ilvl="2" w:tplc="BF8AAE0E">
      <w:numFmt w:val="bullet"/>
      <w:lvlText w:val="•"/>
      <w:lvlJc w:val="left"/>
      <w:pPr>
        <w:ind w:left="2237" w:hanging="180"/>
      </w:pPr>
      <w:rPr>
        <w:rFonts w:hint="default"/>
        <w:lang w:val="pt-BR" w:eastAsia="pt-BR" w:bidi="pt-BR"/>
      </w:rPr>
    </w:lvl>
    <w:lvl w:ilvl="3" w:tplc="E65618BC">
      <w:numFmt w:val="bullet"/>
      <w:lvlText w:val="•"/>
      <w:lvlJc w:val="left"/>
      <w:pPr>
        <w:ind w:left="3225" w:hanging="180"/>
      </w:pPr>
      <w:rPr>
        <w:rFonts w:hint="default"/>
        <w:lang w:val="pt-BR" w:eastAsia="pt-BR" w:bidi="pt-BR"/>
      </w:rPr>
    </w:lvl>
    <w:lvl w:ilvl="4" w:tplc="3234598C">
      <w:numFmt w:val="bullet"/>
      <w:lvlText w:val="•"/>
      <w:lvlJc w:val="left"/>
      <w:pPr>
        <w:ind w:left="4214" w:hanging="180"/>
      </w:pPr>
      <w:rPr>
        <w:rFonts w:hint="default"/>
        <w:lang w:val="pt-BR" w:eastAsia="pt-BR" w:bidi="pt-BR"/>
      </w:rPr>
    </w:lvl>
    <w:lvl w:ilvl="5" w:tplc="CF707534">
      <w:numFmt w:val="bullet"/>
      <w:lvlText w:val="•"/>
      <w:lvlJc w:val="left"/>
      <w:pPr>
        <w:ind w:left="5203" w:hanging="180"/>
      </w:pPr>
      <w:rPr>
        <w:rFonts w:hint="default"/>
        <w:lang w:val="pt-BR" w:eastAsia="pt-BR" w:bidi="pt-BR"/>
      </w:rPr>
    </w:lvl>
    <w:lvl w:ilvl="6" w:tplc="EA58DD30">
      <w:numFmt w:val="bullet"/>
      <w:lvlText w:val="•"/>
      <w:lvlJc w:val="left"/>
      <w:pPr>
        <w:ind w:left="6191" w:hanging="180"/>
      </w:pPr>
      <w:rPr>
        <w:rFonts w:hint="default"/>
        <w:lang w:val="pt-BR" w:eastAsia="pt-BR" w:bidi="pt-BR"/>
      </w:rPr>
    </w:lvl>
    <w:lvl w:ilvl="7" w:tplc="3F226228">
      <w:numFmt w:val="bullet"/>
      <w:lvlText w:val="•"/>
      <w:lvlJc w:val="left"/>
      <w:pPr>
        <w:ind w:left="7180" w:hanging="180"/>
      </w:pPr>
      <w:rPr>
        <w:rFonts w:hint="default"/>
        <w:lang w:val="pt-BR" w:eastAsia="pt-BR" w:bidi="pt-BR"/>
      </w:rPr>
    </w:lvl>
    <w:lvl w:ilvl="8" w:tplc="26EEE9C2">
      <w:numFmt w:val="bullet"/>
      <w:lvlText w:val="•"/>
      <w:lvlJc w:val="left"/>
      <w:pPr>
        <w:ind w:left="8169" w:hanging="180"/>
      </w:pPr>
      <w:rPr>
        <w:rFonts w:hint="default"/>
        <w:lang w:val="pt-BR" w:eastAsia="pt-BR" w:bidi="pt-BR"/>
      </w:rPr>
    </w:lvl>
  </w:abstractNum>
  <w:abstractNum w:abstractNumId="9">
    <w:nsid w:val="38455F39"/>
    <w:multiLevelType w:val="hybridMultilevel"/>
    <w:tmpl w:val="ABF0C15A"/>
    <w:lvl w:ilvl="0" w:tplc="3DDA5CA2">
      <w:start w:val="1"/>
      <w:numFmt w:val="decimal"/>
      <w:lvlText w:val="%1"/>
      <w:lvlJc w:val="left"/>
      <w:pPr>
        <w:ind w:left="253" w:hanging="768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BR" w:eastAsia="pt-BR" w:bidi="pt-BR"/>
      </w:rPr>
    </w:lvl>
    <w:lvl w:ilvl="1" w:tplc="125A5CC8">
      <w:numFmt w:val="bullet"/>
      <w:lvlText w:val="•"/>
      <w:lvlJc w:val="left"/>
      <w:pPr>
        <w:ind w:left="1248" w:hanging="768"/>
      </w:pPr>
      <w:rPr>
        <w:rFonts w:hint="default"/>
        <w:lang w:val="pt-BR" w:eastAsia="pt-BR" w:bidi="pt-BR"/>
      </w:rPr>
    </w:lvl>
    <w:lvl w:ilvl="2" w:tplc="BEBE1B0A">
      <w:numFmt w:val="bullet"/>
      <w:lvlText w:val="•"/>
      <w:lvlJc w:val="left"/>
      <w:pPr>
        <w:ind w:left="2237" w:hanging="768"/>
      </w:pPr>
      <w:rPr>
        <w:rFonts w:hint="default"/>
        <w:lang w:val="pt-BR" w:eastAsia="pt-BR" w:bidi="pt-BR"/>
      </w:rPr>
    </w:lvl>
    <w:lvl w:ilvl="3" w:tplc="BF188D30">
      <w:numFmt w:val="bullet"/>
      <w:lvlText w:val="•"/>
      <w:lvlJc w:val="left"/>
      <w:pPr>
        <w:ind w:left="3225" w:hanging="768"/>
      </w:pPr>
      <w:rPr>
        <w:rFonts w:hint="default"/>
        <w:lang w:val="pt-BR" w:eastAsia="pt-BR" w:bidi="pt-BR"/>
      </w:rPr>
    </w:lvl>
    <w:lvl w:ilvl="4" w:tplc="136A3A2C">
      <w:numFmt w:val="bullet"/>
      <w:lvlText w:val="•"/>
      <w:lvlJc w:val="left"/>
      <w:pPr>
        <w:ind w:left="4214" w:hanging="768"/>
      </w:pPr>
      <w:rPr>
        <w:rFonts w:hint="default"/>
        <w:lang w:val="pt-BR" w:eastAsia="pt-BR" w:bidi="pt-BR"/>
      </w:rPr>
    </w:lvl>
    <w:lvl w:ilvl="5" w:tplc="372E4348">
      <w:numFmt w:val="bullet"/>
      <w:lvlText w:val="•"/>
      <w:lvlJc w:val="left"/>
      <w:pPr>
        <w:ind w:left="5203" w:hanging="768"/>
      </w:pPr>
      <w:rPr>
        <w:rFonts w:hint="default"/>
        <w:lang w:val="pt-BR" w:eastAsia="pt-BR" w:bidi="pt-BR"/>
      </w:rPr>
    </w:lvl>
    <w:lvl w:ilvl="6" w:tplc="961ACBE6">
      <w:numFmt w:val="bullet"/>
      <w:lvlText w:val="•"/>
      <w:lvlJc w:val="left"/>
      <w:pPr>
        <w:ind w:left="6191" w:hanging="768"/>
      </w:pPr>
      <w:rPr>
        <w:rFonts w:hint="default"/>
        <w:lang w:val="pt-BR" w:eastAsia="pt-BR" w:bidi="pt-BR"/>
      </w:rPr>
    </w:lvl>
    <w:lvl w:ilvl="7" w:tplc="B5702DEE">
      <w:numFmt w:val="bullet"/>
      <w:lvlText w:val="•"/>
      <w:lvlJc w:val="left"/>
      <w:pPr>
        <w:ind w:left="7180" w:hanging="768"/>
      </w:pPr>
      <w:rPr>
        <w:rFonts w:hint="default"/>
        <w:lang w:val="pt-BR" w:eastAsia="pt-BR" w:bidi="pt-BR"/>
      </w:rPr>
    </w:lvl>
    <w:lvl w:ilvl="8" w:tplc="7DAA78AA">
      <w:numFmt w:val="bullet"/>
      <w:lvlText w:val="•"/>
      <w:lvlJc w:val="left"/>
      <w:pPr>
        <w:ind w:left="8169" w:hanging="768"/>
      </w:pPr>
      <w:rPr>
        <w:rFonts w:hint="default"/>
        <w:lang w:val="pt-BR" w:eastAsia="pt-BR" w:bidi="pt-BR"/>
      </w:rPr>
    </w:lvl>
  </w:abstractNum>
  <w:abstractNum w:abstractNumId="10">
    <w:nsid w:val="43D21C1B"/>
    <w:multiLevelType w:val="hybridMultilevel"/>
    <w:tmpl w:val="F05CA2DA"/>
    <w:lvl w:ilvl="0" w:tplc="19FA0264">
      <w:numFmt w:val="bullet"/>
      <w:lvlText w:val="-"/>
      <w:lvlJc w:val="left"/>
      <w:pPr>
        <w:ind w:left="253" w:hanging="16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2BBE932E">
      <w:numFmt w:val="bullet"/>
      <w:lvlText w:val="•"/>
      <w:lvlJc w:val="left"/>
      <w:pPr>
        <w:ind w:left="1248" w:hanging="166"/>
      </w:pPr>
      <w:rPr>
        <w:rFonts w:hint="default"/>
        <w:lang w:val="pt-BR" w:eastAsia="pt-BR" w:bidi="pt-BR"/>
      </w:rPr>
    </w:lvl>
    <w:lvl w:ilvl="2" w:tplc="E8DCF3FC">
      <w:numFmt w:val="bullet"/>
      <w:lvlText w:val="•"/>
      <w:lvlJc w:val="left"/>
      <w:pPr>
        <w:ind w:left="2237" w:hanging="166"/>
      </w:pPr>
      <w:rPr>
        <w:rFonts w:hint="default"/>
        <w:lang w:val="pt-BR" w:eastAsia="pt-BR" w:bidi="pt-BR"/>
      </w:rPr>
    </w:lvl>
    <w:lvl w:ilvl="3" w:tplc="C41CED7C">
      <w:numFmt w:val="bullet"/>
      <w:lvlText w:val="•"/>
      <w:lvlJc w:val="left"/>
      <w:pPr>
        <w:ind w:left="3225" w:hanging="166"/>
      </w:pPr>
      <w:rPr>
        <w:rFonts w:hint="default"/>
        <w:lang w:val="pt-BR" w:eastAsia="pt-BR" w:bidi="pt-BR"/>
      </w:rPr>
    </w:lvl>
    <w:lvl w:ilvl="4" w:tplc="2E08309C">
      <w:numFmt w:val="bullet"/>
      <w:lvlText w:val="•"/>
      <w:lvlJc w:val="left"/>
      <w:pPr>
        <w:ind w:left="4214" w:hanging="166"/>
      </w:pPr>
      <w:rPr>
        <w:rFonts w:hint="default"/>
        <w:lang w:val="pt-BR" w:eastAsia="pt-BR" w:bidi="pt-BR"/>
      </w:rPr>
    </w:lvl>
    <w:lvl w:ilvl="5" w:tplc="5B86831E">
      <w:numFmt w:val="bullet"/>
      <w:lvlText w:val="•"/>
      <w:lvlJc w:val="left"/>
      <w:pPr>
        <w:ind w:left="5203" w:hanging="166"/>
      </w:pPr>
      <w:rPr>
        <w:rFonts w:hint="default"/>
        <w:lang w:val="pt-BR" w:eastAsia="pt-BR" w:bidi="pt-BR"/>
      </w:rPr>
    </w:lvl>
    <w:lvl w:ilvl="6" w:tplc="A8E04506">
      <w:numFmt w:val="bullet"/>
      <w:lvlText w:val="•"/>
      <w:lvlJc w:val="left"/>
      <w:pPr>
        <w:ind w:left="6191" w:hanging="166"/>
      </w:pPr>
      <w:rPr>
        <w:rFonts w:hint="default"/>
        <w:lang w:val="pt-BR" w:eastAsia="pt-BR" w:bidi="pt-BR"/>
      </w:rPr>
    </w:lvl>
    <w:lvl w:ilvl="7" w:tplc="8A32321A">
      <w:numFmt w:val="bullet"/>
      <w:lvlText w:val="•"/>
      <w:lvlJc w:val="left"/>
      <w:pPr>
        <w:ind w:left="7180" w:hanging="166"/>
      </w:pPr>
      <w:rPr>
        <w:rFonts w:hint="default"/>
        <w:lang w:val="pt-BR" w:eastAsia="pt-BR" w:bidi="pt-BR"/>
      </w:rPr>
    </w:lvl>
    <w:lvl w:ilvl="8" w:tplc="8B5482B4">
      <w:numFmt w:val="bullet"/>
      <w:lvlText w:val="•"/>
      <w:lvlJc w:val="left"/>
      <w:pPr>
        <w:ind w:left="8169" w:hanging="166"/>
      </w:pPr>
      <w:rPr>
        <w:rFonts w:hint="default"/>
        <w:lang w:val="pt-BR" w:eastAsia="pt-BR" w:bidi="pt-BR"/>
      </w:rPr>
    </w:lvl>
  </w:abstractNum>
  <w:abstractNum w:abstractNumId="11">
    <w:nsid w:val="5DCF1AC9"/>
    <w:multiLevelType w:val="hybridMultilevel"/>
    <w:tmpl w:val="8EB2C878"/>
    <w:lvl w:ilvl="0" w:tplc="1892E98A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2BAE234">
      <w:numFmt w:val="bullet"/>
      <w:lvlText w:val="•"/>
      <w:lvlJc w:val="left"/>
      <w:pPr>
        <w:ind w:left="1248" w:hanging="147"/>
      </w:pPr>
      <w:rPr>
        <w:rFonts w:hint="default"/>
        <w:lang w:val="pt-BR" w:eastAsia="pt-BR" w:bidi="pt-BR"/>
      </w:rPr>
    </w:lvl>
    <w:lvl w:ilvl="2" w:tplc="83F605CE">
      <w:numFmt w:val="bullet"/>
      <w:lvlText w:val="•"/>
      <w:lvlJc w:val="left"/>
      <w:pPr>
        <w:ind w:left="2237" w:hanging="147"/>
      </w:pPr>
      <w:rPr>
        <w:rFonts w:hint="default"/>
        <w:lang w:val="pt-BR" w:eastAsia="pt-BR" w:bidi="pt-BR"/>
      </w:rPr>
    </w:lvl>
    <w:lvl w:ilvl="3" w:tplc="1FE019B0">
      <w:numFmt w:val="bullet"/>
      <w:lvlText w:val="•"/>
      <w:lvlJc w:val="left"/>
      <w:pPr>
        <w:ind w:left="3225" w:hanging="147"/>
      </w:pPr>
      <w:rPr>
        <w:rFonts w:hint="default"/>
        <w:lang w:val="pt-BR" w:eastAsia="pt-BR" w:bidi="pt-BR"/>
      </w:rPr>
    </w:lvl>
    <w:lvl w:ilvl="4" w:tplc="CAD294B6">
      <w:numFmt w:val="bullet"/>
      <w:lvlText w:val="•"/>
      <w:lvlJc w:val="left"/>
      <w:pPr>
        <w:ind w:left="4214" w:hanging="147"/>
      </w:pPr>
      <w:rPr>
        <w:rFonts w:hint="default"/>
        <w:lang w:val="pt-BR" w:eastAsia="pt-BR" w:bidi="pt-BR"/>
      </w:rPr>
    </w:lvl>
    <w:lvl w:ilvl="5" w:tplc="7C9CFE90">
      <w:numFmt w:val="bullet"/>
      <w:lvlText w:val="•"/>
      <w:lvlJc w:val="left"/>
      <w:pPr>
        <w:ind w:left="5203" w:hanging="147"/>
      </w:pPr>
      <w:rPr>
        <w:rFonts w:hint="default"/>
        <w:lang w:val="pt-BR" w:eastAsia="pt-BR" w:bidi="pt-BR"/>
      </w:rPr>
    </w:lvl>
    <w:lvl w:ilvl="6" w:tplc="9EA6F4C8">
      <w:numFmt w:val="bullet"/>
      <w:lvlText w:val="•"/>
      <w:lvlJc w:val="left"/>
      <w:pPr>
        <w:ind w:left="6191" w:hanging="147"/>
      </w:pPr>
      <w:rPr>
        <w:rFonts w:hint="default"/>
        <w:lang w:val="pt-BR" w:eastAsia="pt-BR" w:bidi="pt-BR"/>
      </w:rPr>
    </w:lvl>
    <w:lvl w:ilvl="7" w:tplc="40CE7B68">
      <w:numFmt w:val="bullet"/>
      <w:lvlText w:val="•"/>
      <w:lvlJc w:val="left"/>
      <w:pPr>
        <w:ind w:left="7180" w:hanging="147"/>
      </w:pPr>
      <w:rPr>
        <w:rFonts w:hint="default"/>
        <w:lang w:val="pt-BR" w:eastAsia="pt-BR" w:bidi="pt-BR"/>
      </w:rPr>
    </w:lvl>
    <w:lvl w:ilvl="8" w:tplc="A178F718">
      <w:numFmt w:val="bullet"/>
      <w:lvlText w:val="•"/>
      <w:lvlJc w:val="left"/>
      <w:pPr>
        <w:ind w:left="8169" w:hanging="147"/>
      </w:pPr>
      <w:rPr>
        <w:rFonts w:hint="default"/>
        <w:lang w:val="pt-BR" w:eastAsia="pt-BR" w:bidi="pt-BR"/>
      </w:rPr>
    </w:lvl>
  </w:abstractNum>
  <w:abstractNum w:abstractNumId="12">
    <w:nsid w:val="612E67BF"/>
    <w:multiLevelType w:val="hybridMultilevel"/>
    <w:tmpl w:val="C62ACE3E"/>
    <w:lvl w:ilvl="0" w:tplc="C3A882C8">
      <w:start w:val="1"/>
      <w:numFmt w:val="decimal"/>
      <w:lvlText w:val="%1."/>
      <w:lvlJc w:val="left"/>
      <w:pPr>
        <w:ind w:left="253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97C61ED2">
      <w:numFmt w:val="bullet"/>
      <w:lvlText w:val="•"/>
      <w:lvlJc w:val="left"/>
      <w:pPr>
        <w:ind w:left="1248" w:hanging="720"/>
      </w:pPr>
      <w:rPr>
        <w:rFonts w:hint="default"/>
        <w:lang w:val="pt-BR" w:eastAsia="pt-BR" w:bidi="pt-BR"/>
      </w:rPr>
    </w:lvl>
    <w:lvl w:ilvl="2" w:tplc="CDC81DC6">
      <w:numFmt w:val="bullet"/>
      <w:lvlText w:val="•"/>
      <w:lvlJc w:val="left"/>
      <w:pPr>
        <w:ind w:left="2237" w:hanging="720"/>
      </w:pPr>
      <w:rPr>
        <w:rFonts w:hint="default"/>
        <w:lang w:val="pt-BR" w:eastAsia="pt-BR" w:bidi="pt-BR"/>
      </w:rPr>
    </w:lvl>
    <w:lvl w:ilvl="3" w:tplc="B1B633AA">
      <w:numFmt w:val="bullet"/>
      <w:lvlText w:val="•"/>
      <w:lvlJc w:val="left"/>
      <w:pPr>
        <w:ind w:left="3225" w:hanging="720"/>
      </w:pPr>
      <w:rPr>
        <w:rFonts w:hint="default"/>
        <w:lang w:val="pt-BR" w:eastAsia="pt-BR" w:bidi="pt-BR"/>
      </w:rPr>
    </w:lvl>
    <w:lvl w:ilvl="4" w:tplc="849E31D4">
      <w:numFmt w:val="bullet"/>
      <w:lvlText w:val="•"/>
      <w:lvlJc w:val="left"/>
      <w:pPr>
        <w:ind w:left="4214" w:hanging="720"/>
      </w:pPr>
      <w:rPr>
        <w:rFonts w:hint="default"/>
        <w:lang w:val="pt-BR" w:eastAsia="pt-BR" w:bidi="pt-BR"/>
      </w:rPr>
    </w:lvl>
    <w:lvl w:ilvl="5" w:tplc="E4D6A2C6">
      <w:numFmt w:val="bullet"/>
      <w:lvlText w:val="•"/>
      <w:lvlJc w:val="left"/>
      <w:pPr>
        <w:ind w:left="5203" w:hanging="720"/>
      </w:pPr>
      <w:rPr>
        <w:rFonts w:hint="default"/>
        <w:lang w:val="pt-BR" w:eastAsia="pt-BR" w:bidi="pt-BR"/>
      </w:rPr>
    </w:lvl>
    <w:lvl w:ilvl="6" w:tplc="179C0F88">
      <w:numFmt w:val="bullet"/>
      <w:lvlText w:val="•"/>
      <w:lvlJc w:val="left"/>
      <w:pPr>
        <w:ind w:left="6191" w:hanging="720"/>
      </w:pPr>
      <w:rPr>
        <w:rFonts w:hint="default"/>
        <w:lang w:val="pt-BR" w:eastAsia="pt-BR" w:bidi="pt-BR"/>
      </w:rPr>
    </w:lvl>
    <w:lvl w:ilvl="7" w:tplc="49E658AE">
      <w:numFmt w:val="bullet"/>
      <w:lvlText w:val="•"/>
      <w:lvlJc w:val="left"/>
      <w:pPr>
        <w:ind w:left="7180" w:hanging="720"/>
      </w:pPr>
      <w:rPr>
        <w:rFonts w:hint="default"/>
        <w:lang w:val="pt-BR" w:eastAsia="pt-BR" w:bidi="pt-BR"/>
      </w:rPr>
    </w:lvl>
    <w:lvl w:ilvl="8" w:tplc="7D42E0AC">
      <w:numFmt w:val="bullet"/>
      <w:lvlText w:val="•"/>
      <w:lvlJc w:val="left"/>
      <w:pPr>
        <w:ind w:left="8169" w:hanging="720"/>
      </w:pPr>
      <w:rPr>
        <w:rFonts w:hint="default"/>
        <w:lang w:val="pt-BR" w:eastAsia="pt-BR" w:bidi="pt-BR"/>
      </w:rPr>
    </w:lvl>
  </w:abstractNum>
  <w:abstractNum w:abstractNumId="13">
    <w:nsid w:val="65BB716D"/>
    <w:multiLevelType w:val="hybridMultilevel"/>
    <w:tmpl w:val="5172FCAC"/>
    <w:lvl w:ilvl="0" w:tplc="1AAC8142">
      <w:start w:val="1"/>
      <w:numFmt w:val="lowerLetter"/>
      <w:lvlText w:val="%1)"/>
      <w:lvlJc w:val="left"/>
      <w:pPr>
        <w:ind w:left="253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1" w:tplc="3E92E052">
      <w:numFmt w:val="bullet"/>
      <w:lvlText w:val="•"/>
      <w:lvlJc w:val="left"/>
      <w:pPr>
        <w:ind w:left="1248" w:hanging="720"/>
      </w:pPr>
      <w:rPr>
        <w:rFonts w:hint="default"/>
        <w:lang w:val="pt-BR" w:eastAsia="pt-BR" w:bidi="pt-BR"/>
      </w:rPr>
    </w:lvl>
    <w:lvl w:ilvl="2" w:tplc="379CBC68">
      <w:numFmt w:val="bullet"/>
      <w:lvlText w:val="•"/>
      <w:lvlJc w:val="left"/>
      <w:pPr>
        <w:ind w:left="2237" w:hanging="720"/>
      </w:pPr>
      <w:rPr>
        <w:rFonts w:hint="default"/>
        <w:lang w:val="pt-BR" w:eastAsia="pt-BR" w:bidi="pt-BR"/>
      </w:rPr>
    </w:lvl>
    <w:lvl w:ilvl="3" w:tplc="8F0C294C">
      <w:numFmt w:val="bullet"/>
      <w:lvlText w:val="•"/>
      <w:lvlJc w:val="left"/>
      <w:pPr>
        <w:ind w:left="3225" w:hanging="720"/>
      </w:pPr>
      <w:rPr>
        <w:rFonts w:hint="default"/>
        <w:lang w:val="pt-BR" w:eastAsia="pt-BR" w:bidi="pt-BR"/>
      </w:rPr>
    </w:lvl>
    <w:lvl w:ilvl="4" w:tplc="C8C00152">
      <w:numFmt w:val="bullet"/>
      <w:lvlText w:val="•"/>
      <w:lvlJc w:val="left"/>
      <w:pPr>
        <w:ind w:left="4214" w:hanging="720"/>
      </w:pPr>
      <w:rPr>
        <w:rFonts w:hint="default"/>
        <w:lang w:val="pt-BR" w:eastAsia="pt-BR" w:bidi="pt-BR"/>
      </w:rPr>
    </w:lvl>
    <w:lvl w:ilvl="5" w:tplc="E6AC042A">
      <w:numFmt w:val="bullet"/>
      <w:lvlText w:val="•"/>
      <w:lvlJc w:val="left"/>
      <w:pPr>
        <w:ind w:left="5203" w:hanging="720"/>
      </w:pPr>
      <w:rPr>
        <w:rFonts w:hint="default"/>
        <w:lang w:val="pt-BR" w:eastAsia="pt-BR" w:bidi="pt-BR"/>
      </w:rPr>
    </w:lvl>
    <w:lvl w:ilvl="6" w:tplc="2012AFA2">
      <w:numFmt w:val="bullet"/>
      <w:lvlText w:val="•"/>
      <w:lvlJc w:val="left"/>
      <w:pPr>
        <w:ind w:left="6191" w:hanging="720"/>
      </w:pPr>
      <w:rPr>
        <w:rFonts w:hint="default"/>
        <w:lang w:val="pt-BR" w:eastAsia="pt-BR" w:bidi="pt-BR"/>
      </w:rPr>
    </w:lvl>
    <w:lvl w:ilvl="7" w:tplc="47224AD6">
      <w:numFmt w:val="bullet"/>
      <w:lvlText w:val="•"/>
      <w:lvlJc w:val="left"/>
      <w:pPr>
        <w:ind w:left="7180" w:hanging="720"/>
      </w:pPr>
      <w:rPr>
        <w:rFonts w:hint="default"/>
        <w:lang w:val="pt-BR" w:eastAsia="pt-BR" w:bidi="pt-BR"/>
      </w:rPr>
    </w:lvl>
    <w:lvl w:ilvl="8" w:tplc="83C0E53C">
      <w:numFmt w:val="bullet"/>
      <w:lvlText w:val="•"/>
      <w:lvlJc w:val="left"/>
      <w:pPr>
        <w:ind w:left="8169" w:hanging="720"/>
      </w:pPr>
      <w:rPr>
        <w:rFonts w:hint="default"/>
        <w:lang w:val="pt-BR" w:eastAsia="pt-BR" w:bidi="pt-BR"/>
      </w:rPr>
    </w:lvl>
  </w:abstractNum>
  <w:abstractNum w:abstractNumId="14">
    <w:nsid w:val="662F5E8B"/>
    <w:multiLevelType w:val="hybridMultilevel"/>
    <w:tmpl w:val="900A664E"/>
    <w:lvl w:ilvl="0" w:tplc="3F9CD1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A10E9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C55282A2">
      <w:numFmt w:val="bullet"/>
      <w:lvlText w:val="•"/>
      <w:lvlJc w:val="left"/>
      <w:pPr>
        <w:ind w:left="708" w:hanging="140"/>
      </w:pPr>
      <w:rPr>
        <w:rFonts w:hint="default"/>
        <w:lang w:val="pt-BR" w:eastAsia="pt-BR" w:bidi="pt-BR"/>
      </w:rPr>
    </w:lvl>
    <w:lvl w:ilvl="3" w:tplc="E8B63594">
      <w:numFmt w:val="bullet"/>
      <w:lvlText w:val="•"/>
      <w:lvlJc w:val="left"/>
      <w:pPr>
        <w:ind w:left="1012" w:hanging="140"/>
      </w:pPr>
      <w:rPr>
        <w:rFonts w:hint="default"/>
        <w:lang w:val="pt-BR" w:eastAsia="pt-BR" w:bidi="pt-BR"/>
      </w:rPr>
    </w:lvl>
    <w:lvl w:ilvl="4" w:tplc="D0DE5230">
      <w:numFmt w:val="bullet"/>
      <w:lvlText w:val="•"/>
      <w:lvlJc w:val="left"/>
      <w:pPr>
        <w:ind w:left="1316" w:hanging="140"/>
      </w:pPr>
      <w:rPr>
        <w:rFonts w:hint="default"/>
        <w:lang w:val="pt-BR" w:eastAsia="pt-BR" w:bidi="pt-BR"/>
      </w:rPr>
    </w:lvl>
    <w:lvl w:ilvl="5" w:tplc="8D9C02D4">
      <w:numFmt w:val="bullet"/>
      <w:lvlText w:val="•"/>
      <w:lvlJc w:val="left"/>
      <w:pPr>
        <w:ind w:left="1621" w:hanging="140"/>
      </w:pPr>
      <w:rPr>
        <w:rFonts w:hint="default"/>
        <w:lang w:val="pt-BR" w:eastAsia="pt-BR" w:bidi="pt-BR"/>
      </w:rPr>
    </w:lvl>
    <w:lvl w:ilvl="6" w:tplc="D0B2BE8E">
      <w:numFmt w:val="bullet"/>
      <w:lvlText w:val="•"/>
      <w:lvlJc w:val="left"/>
      <w:pPr>
        <w:ind w:left="1925" w:hanging="140"/>
      </w:pPr>
      <w:rPr>
        <w:rFonts w:hint="default"/>
        <w:lang w:val="pt-BR" w:eastAsia="pt-BR" w:bidi="pt-BR"/>
      </w:rPr>
    </w:lvl>
    <w:lvl w:ilvl="7" w:tplc="01D8F67C">
      <w:numFmt w:val="bullet"/>
      <w:lvlText w:val="•"/>
      <w:lvlJc w:val="left"/>
      <w:pPr>
        <w:ind w:left="2229" w:hanging="140"/>
      </w:pPr>
      <w:rPr>
        <w:rFonts w:hint="default"/>
        <w:lang w:val="pt-BR" w:eastAsia="pt-BR" w:bidi="pt-BR"/>
      </w:rPr>
    </w:lvl>
    <w:lvl w:ilvl="8" w:tplc="896A2DDE">
      <w:numFmt w:val="bullet"/>
      <w:lvlText w:val="•"/>
      <w:lvlJc w:val="left"/>
      <w:pPr>
        <w:ind w:left="2533" w:hanging="140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F6599"/>
    <w:rsid w:val="006F6599"/>
    <w:rsid w:val="009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74" w:lineRule="exact"/>
      <w:ind w:left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F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F10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line.gov/search?q=%22Autoimmune%2Bhepatitis%22&amp;amp;f_dateRangeFrom=2012&amp;amp;f_dateRangeTo=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hepatologia.org.br/nacional/inqu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uideline.gov/search?q=%22Autoimmune%2Bhepatitis%22&amp;amp;f_dateRangeFrom=2012&amp;amp;f_dateRangeTo=2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ideline.gov/search?q=%22Autoimmune%2Bhepatitis%22&amp;amp;f_dateRangeFrom=2012&amp;amp;f_dateRangeTo=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deline.gov/search?q=%22Autoimmune%2Bhepatitis%22&amp;amp;f_dateRangeFrom=2012&amp;amp;f_dateRangeTo=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9853</Words>
  <Characters>53212</Characters>
  <Application>Microsoft Office Word</Application>
  <DocSecurity>0</DocSecurity>
  <Lines>443</Lines>
  <Paragraphs>125</Paragraphs>
  <ScaleCrop>false</ScaleCrop>
  <Company/>
  <LinksUpToDate>false</LinksUpToDate>
  <CharactersWithSpaces>62940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Hepatite B.docx</dc:title>
  <dc:creator>Marcelo Contardo Moscoso Naveira -  CHV</dc:creator>
  <cp:lastModifiedBy>VANESSA ALVES DE OLIVEIRA</cp:lastModifiedBy>
  <cp:revision>2</cp:revision>
  <dcterms:created xsi:type="dcterms:W3CDTF">2019-07-22T12:25:00Z</dcterms:created>
  <dcterms:modified xsi:type="dcterms:W3CDTF">2019-07-22T12:44:00Z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