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C4" w:rsidRDefault="005831D9">
      <w:pPr>
        <w:pStyle w:val="Corpodetexto"/>
        <w:spacing w:before="10"/>
        <w:ind w:left="0" w:firstLine="0"/>
        <w:rPr>
          <w:sz w:val="15"/>
        </w:rPr>
      </w:pPr>
      <w:r>
        <w:rPr>
          <w:noProof/>
          <w:lang w:bidi="ar-SA"/>
        </w:rPr>
        <w:drawing>
          <wp:inline distT="0" distB="0" distL="0" distR="0" wp14:anchorId="5AC61EFF" wp14:editId="7DA01245">
            <wp:extent cx="4691269" cy="461176"/>
            <wp:effectExtent l="0" t="0" r="0" b="0"/>
            <wp:docPr id="17" name="Imagem 17" descr="papel timbrad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l timbrad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077" cy="46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6FC4" w:rsidRDefault="005831D9">
      <w:pPr>
        <w:pStyle w:val="Corpodetexto"/>
        <w:spacing w:before="1"/>
        <w:ind w:left="3633" w:right="3088" w:firstLine="0"/>
        <w:jc w:val="center"/>
      </w:pPr>
      <w:proofErr w:type="gramStart"/>
      <w:r>
        <w:t>PROTOCOLO CLÍNICO E DIRETRIZES TERAPÊUTICAS</w:t>
      </w:r>
      <w:proofErr w:type="gramEnd"/>
      <w:r>
        <w:t xml:space="preserve"> DOENÇA CELÍACA</w:t>
      </w:r>
    </w:p>
    <w:p w:rsidR="00AB6FC4" w:rsidRDefault="00AB6FC4">
      <w:pPr>
        <w:pStyle w:val="Corpodetexto"/>
        <w:ind w:left="0" w:firstLine="0"/>
        <w:rPr>
          <w:sz w:val="18"/>
        </w:rPr>
      </w:pPr>
    </w:p>
    <w:p w:rsidR="00AB6FC4" w:rsidRDefault="00AB6FC4">
      <w:pPr>
        <w:pStyle w:val="Corpodetexto"/>
        <w:spacing w:before="3"/>
        <w:ind w:left="0" w:firstLine="0"/>
        <w:rPr>
          <w:sz w:val="14"/>
        </w:rPr>
      </w:pPr>
    </w:p>
    <w:p w:rsidR="00AB6FC4" w:rsidRDefault="005831D9">
      <w:pPr>
        <w:pStyle w:val="Ttulo1"/>
        <w:numPr>
          <w:ilvl w:val="0"/>
          <w:numId w:val="4"/>
        </w:numPr>
        <w:tabs>
          <w:tab w:val="left" w:pos="830"/>
        </w:tabs>
      </w:pPr>
      <w:r>
        <w:t>METODOLOGIA DE BUSCA E AVALIÇÃO DA</w:t>
      </w:r>
      <w:r>
        <w:rPr>
          <w:spacing w:val="-11"/>
        </w:rPr>
        <w:t xml:space="preserve"> </w:t>
      </w:r>
      <w:r>
        <w:t>LITERATURA</w:t>
      </w:r>
    </w:p>
    <w:p w:rsidR="00AB6FC4" w:rsidRDefault="005831D9">
      <w:pPr>
        <w:pStyle w:val="Corpodetexto"/>
        <w:ind w:right="115"/>
        <w:jc w:val="both"/>
      </w:pPr>
      <w:r>
        <w:t xml:space="preserve">Para atualização do PCDT, em 15/11/2014, foi realizada busca na literatura com vistas a incluir estudos sobre diagnóstico, avaliação clínica e tratamento da doença celíaca. Foram utilizadas as bases de dados </w:t>
      </w:r>
      <w:proofErr w:type="gramStart"/>
      <w:r>
        <w:t>PubMed</w:t>
      </w:r>
      <w:proofErr w:type="gramEnd"/>
      <w:r>
        <w:t xml:space="preserve">, EMBASE e The Cochrane library. Na base </w:t>
      </w:r>
      <w:proofErr w:type="gramStart"/>
      <w:r>
        <w:t>P</w:t>
      </w:r>
      <w:r>
        <w:t>ubMed</w:t>
      </w:r>
      <w:proofErr w:type="gramEnd"/>
      <w:r>
        <w:t>, com a estratégia de busca “"Celiac Disease/diagnosis"[All Fields] AND ((Meta-Analysis[ptyp] OR systematic[sb] OR Practice Guideline[ptyp] OR Guideline[ptyp] OR Randomized Controlled Trial[ptyp]) AND ("2009/01/01"[PDAT] : "3000/12/31"[PDAT]) AND (Eng</w:t>
      </w:r>
      <w:r>
        <w:t>lish[lang] OR Portuguese[lang] OR Spanish[lang]))” foram localizadas 40 refererências; 5 estudos foram selecionados para leitura na íntegra.</w:t>
      </w:r>
    </w:p>
    <w:p w:rsidR="00AB6FC4" w:rsidRDefault="005831D9">
      <w:pPr>
        <w:pStyle w:val="Corpodetexto"/>
        <w:ind w:right="114"/>
        <w:jc w:val="both"/>
      </w:pPr>
      <w:r w:rsidRPr="005831D9">
        <w:rPr>
          <w:lang w:val="en-US"/>
        </w:rPr>
        <w:t>Na base EMBASE foi realizada busca com os seguintes termos e limites: “'celiac disease'/mj AND ([cochrane review]/l</w:t>
      </w:r>
      <w:r w:rsidRPr="005831D9">
        <w:rPr>
          <w:lang w:val="en-US"/>
        </w:rPr>
        <w:t>im OR [systematic review]/lim OR [randomized controlled trial]/lim OR [</w:t>
      </w:r>
      <w:proofErr w:type="gramStart"/>
      <w:r w:rsidRPr="005831D9">
        <w:rPr>
          <w:lang w:val="en-US"/>
        </w:rPr>
        <w:t>meta</w:t>
      </w:r>
      <w:proofErr w:type="gramEnd"/>
      <w:r w:rsidRPr="005831D9">
        <w:rPr>
          <w:lang w:val="en-US"/>
        </w:rPr>
        <w:t xml:space="preserve"> analysis]/lim) AND ([english]/lim OR [portuguese]/lim OR [spanish]/lim) AND [embase]/lim AND [2009-2015”. </w:t>
      </w:r>
      <w:r>
        <w:t xml:space="preserve">Foram obtidos 94 resultados; </w:t>
      </w:r>
      <w:proofErr w:type="gramStart"/>
      <w:r>
        <w:t>6</w:t>
      </w:r>
      <w:proofErr w:type="gramEnd"/>
      <w:r>
        <w:t xml:space="preserve"> estudos foram selecionados para</w:t>
      </w:r>
      <w:r>
        <w:rPr>
          <w:spacing w:val="-7"/>
        </w:rPr>
        <w:t xml:space="preserve"> </w:t>
      </w:r>
      <w:r>
        <w:t>leitura.</w:t>
      </w:r>
    </w:p>
    <w:p w:rsidR="00AB6FC4" w:rsidRDefault="005831D9">
      <w:pPr>
        <w:pStyle w:val="Corpodetexto"/>
        <w:ind w:right="120"/>
        <w:jc w:val="both"/>
      </w:pPr>
      <w:r>
        <w:t>Na</w:t>
      </w:r>
      <w:r>
        <w:t xml:space="preserve"> biblioteca Cochrane com a estratégia “</w:t>
      </w:r>
      <w:proofErr w:type="gramStart"/>
      <w:r>
        <w:t>"celiac</w:t>
      </w:r>
      <w:proofErr w:type="gramEnd"/>
      <w:r>
        <w:t xml:space="preserve"> disease":ti,ab,kw Publication Year from 2009 (Word variations have been searched)” não foram localizadas revisões sistemáticas da Cochrane sobre o tema.</w:t>
      </w:r>
    </w:p>
    <w:p w:rsidR="00AB6FC4" w:rsidRDefault="005831D9">
      <w:pPr>
        <w:pStyle w:val="Corpodetexto"/>
        <w:spacing w:line="183" w:lineRule="exact"/>
        <w:ind w:left="666" w:firstLine="0"/>
      </w:pPr>
      <w:r>
        <w:t>Foram excluídas diretrizes sem graduação da evidência, b</w:t>
      </w:r>
      <w:r>
        <w:t>em como estudos com produtos não aprovados no Brasil e estudos com desfechos não clínicos.</w:t>
      </w:r>
    </w:p>
    <w:p w:rsidR="00AB6FC4" w:rsidRDefault="005831D9">
      <w:pPr>
        <w:pStyle w:val="Corpodetexto"/>
        <w:ind w:right="119"/>
        <w:jc w:val="both"/>
      </w:pPr>
      <w:r>
        <w:rPr>
          <w:color w:val="212121"/>
        </w:rPr>
        <w:t xml:space="preserve">Foi também consultado o capítulo atualizado sobre o tema da base eletrônica </w:t>
      </w:r>
      <w:proofErr w:type="gramStart"/>
      <w:r>
        <w:rPr>
          <w:color w:val="212121"/>
        </w:rPr>
        <w:t>UpToDate</w:t>
      </w:r>
      <w:proofErr w:type="gramEnd"/>
      <w:r>
        <w:rPr>
          <w:color w:val="212121"/>
        </w:rPr>
        <w:t>. A atualização da busca resultou na inclusão de três novas referências.</w:t>
      </w:r>
    </w:p>
    <w:p w:rsidR="00AB6FC4" w:rsidRDefault="005831D9">
      <w:pPr>
        <w:pStyle w:val="Corpodetexto"/>
        <w:spacing w:line="183" w:lineRule="exact"/>
        <w:ind w:left="666" w:firstLine="0"/>
      </w:pPr>
      <w:r>
        <w:rPr>
          <w:color w:val="212121"/>
        </w:rPr>
        <w:t>Ao todo,</w:t>
      </w:r>
      <w:r>
        <w:rPr>
          <w:color w:val="212121"/>
        </w:rPr>
        <w:t xml:space="preserve"> incluem-se neste Protocolo 59 referências,</w:t>
      </w:r>
    </w:p>
    <w:p w:rsidR="00AB6FC4" w:rsidRDefault="00AB6FC4">
      <w:pPr>
        <w:pStyle w:val="Corpodetexto"/>
        <w:spacing w:before="4"/>
        <w:ind w:left="0" w:firstLine="0"/>
      </w:pPr>
    </w:p>
    <w:p w:rsidR="00AB6FC4" w:rsidRDefault="005831D9">
      <w:pPr>
        <w:pStyle w:val="Ttulo1"/>
        <w:numPr>
          <w:ilvl w:val="0"/>
          <w:numId w:val="4"/>
        </w:numPr>
        <w:tabs>
          <w:tab w:val="left" w:pos="830"/>
        </w:tabs>
        <w:spacing w:line="182" w:lineRule="exact"/>
      </w:pPr>
      <w:r>
        <w:t>INTRODUÇÃO</w:t>
      </w:r>
    </w:p>
    <w:p w:rsidR="00AB6FC4" w:rsidRDefault="005831D9">
      <w:pPr>
        <w:pStyle w:val="Corpodetexto"/>
        <w:ind w:right="113"/>
        <w:jc w:val="both"/>
      </w:pPr>
      <w:r>
        <w:t>A Doença Celíaca (DC) é uma enteropatia crônica do intestino delgado, de caráter autoimune, desencadeada pela exposição ao glúten (principal fração proteica presente no trigo, centeio e cevada) em ind</w:t>
      </w:r>
      <w:r>
        <w:t xml:space="preserve">ivíduos geneticamente </w:t>
      </w:r>
      <w:proofErr w:type="gramStart"/>
      <w:r>
        <w:t>predispostos(</w:t>
      </w:r>
      <w:proofErr w:type="gramEnd"/>
      <w:r>
        <w:t>1-3).</w:t>
      </w:r>
    </w:p>
    <w:p w:rsidR="00AB6FC4" w:rsidRDefault="005831D9">
      <w:pPr>
        <w:pStyle w:val="Corpodetexto"/>
        <w:ind w:right="114"/>
        <w:jc w:val="both"/>
      </w:pPr>
      <w:r>
        <w:t xml:space="preserve">Estudos de prevalência da DC têm demonstrado que esta doença é mais frequente do que anteriormente se </w:t>
      </w:r>
      <w:proofErr w:type="gramStart"/>
      <w:r>
        <w:t>acreditava(</w:t>
      </w:r>
      <w:proofErr w:type="gramEnd"/>
      <w:r>
        <w:t>4-17), e sua frequência ainda é subestimada. A falta de informação sobre a doença e dificuldade de acesso aos meios diagnósticos reduzem as pos</w:t>
      </w:r>
      <w:r>
        <w:t xml:space="preserve">sibilidades de tratamento adequado e consequente melhora clínica. Estudos revelam que o problema atinge pessoas de todas as idades, mas compromete principalmente crianças de </w:t>
      </w:r>
      <w:proofErr w:type="gramStart"/>
      <w:r>
        <w:t>6</w:t>
      </w:r>
      <w:proofErr w:type="gramEnd"/>
      <w:r>
        <w:t xml:space="preserve"> meses a 5 anos. Também foi observada uma frequência maior entre mulheres, na pro</w:t>
      </w:r>
      <w:r>
        <w:t>porção de duas mulheres para cada homem. Outra particularidade é o fato de a DC ser predominante entre os indivíduos faiodérmicos, embora existam relatos de sua ocorrência em indivíduos melanodérmicos. Devido ao caráter hereditário, parentes de primeiro gr</w:t>
      </w:r>
      <w:r>
        <w:t>au de celíacos devem ser submetidos ao teste sorológico para sua detecção.</w:t>
      </w:r>
    </w:p>
    <w:p w:rsidR="00AB6FC4" w:rsidRDefault="005831D9">
      <w:pPr>
        <w:pStyle w:val="Corpodetexto"/>
        <w:spacing w:line="182" w:lineRule="exact"/>
        <w:ind w:left="666" w:firstLine="0"/>
      </w:pPr>
      <w:r>
        <w:t xml:space="preserve">Três formas de apresentação clínica da DC são reconhecidas, quais sejam: clássica ou típica, não clássica ou atípica e assintomática ou </w:t>
      </w:r>
      <w:proofErr w:type="gramStart"/>
      <w:r>
        <w:t>silenciosa(</w:t>
      </w:r>
      <w:proofErr w:type="gramEnd"/>
      <w:r>
        <w:t>18,19).</w:t>
      </w:r>
    </w:p>
    <w:p w:rsidR="00AB6FC4" w:rsidRDefault="005831D9">
      <w:pPr>
        <w:pStyle w:val="PargrafodaLista"/>
        <w:numPr>
          <w:ilvl w:val="0"/>
          <w:numId w:val="3"/>
        </w:numPr>
        <w:tabs>
          <w:tab w:val="left" w:pos="766"/>
        </w:tabs>
        <w:spacing w:before="1"/>
        <w:ind w:right="114" w:firstLine="566"/>
        <w:jc w:val="both"/>
        <w:rPr>
          <w:sz w:val="16"/>
        </w:rPr>
      </w:pPr>
      <w:r>
        <w:rPr>
          <w:sz w:val="16"/>
        </w:rPr>
        <w:t>Forma Clássica (típica): caracteriza-se pela presença de diarreia crônica, em geral acompanhada de distensão abdominal e perda de peso. Também pode haver diminuição do tecido celular subcutâneo, atrofia da musculatura glútea, falta de apetite, alteração de</w:t>
      </w:r>
      <w:r>
        <w:rPr>
          <w:sz w:val="16"/>
        </w:rPr>
        <w:t xml:space="preserve"> humor (irritabilidade ou apatia), vômitos e anemia. Esta forma clínica pode ter evolução grave, conhecida como crise celíaca, ocorrendo quando há retardo no diagnóstico e no tratamento, particularmente entre o primeiro e </w:t>
      </w:r>
      <w:proofErr w:type="gramStart"/>
      <w:r>
        <w:rPr>
          <w:sz w:val="16"/>
        </w:rPr>
        <w:t>o segundo anos de vida, e frequent</w:t>
      </w:r>
      <w:r>
        <w:rPr>
          <w:sz w:val="16"/>
        </w:rPr>
        <w:t>emente desencadeada</w:t>
      </w:r>
      <w:proofErr w:type="gramEnd"/>
      <w:r>
        <w:rPr>
          <w:sz w:val="16"/>
        </w:rPr>
        <w:t xml:space="preserve"> por infecção. Esta complicação potencialmente fatal se caracteriza pela presença de diarreia com desidratação</w:t>
      </w:r>
      <w:r>
        <w:rPr>
          <w:spacing w:val="-5"/>
          <w:sz w:val="16"/>
        </w:rPr>
        <w:t xml:space="preserve"> </w:t>
      </w:r>
      <w:r>
        <w:rPr>
          <w:sz w:val="16"/>
        </w:rPr>
        <w:t>hipotônica grave,</w:t>
      </w:r>
      <w:r>
        <w:rPr>
          <w:spacing w:val="-1"/>
          <w:sz w:val="16"/>
        </w:rPr>
        <w:t xml:space="preserve"> </w:t>
      </w:r>
      <w:r>
        <w:rPr>
          <w:sz w:val="16"/>
        </w:rPr>
        <w:t>distensão</w:t>
      </w:r>
      <w:r>
        <w:rPr>
          <w:spacing w:val="-2"/>
          <w:sz w:val="16"/>
        </w:rPr>
        <w:t xml:space="preserve"> </w:t>
      </w:r>
      <w:r>
        <w:rPr>
          <w:sz w:val="16"/>
        </w:rPr>
        <w:t>abdominal</w:t>
      </w:r>
      <w:r>
        <w:rPr>
          <w:spacing w:val="-5"/>
          <w:sz w:val="16"/>
        </w:rPr>
        <w:t xml:space="preserve"> </w:t>
      </w:r>
      <w:r>
        <w:rPr>
          <w:sz w:val="16"/>
        </w:rPr>
        <w:t>por</w:t>
      </w:r>
      <w:r>
        <w:rPr>
          <w:spacing w:val="-2"/>
          <w:sz w:val="16"/>
        </w:rPr>
        <w:t xml:space="preserve"> </w:t>
      </w:r>
      <w:r>
        <w:rPr>
          <w:sz w:val="16"/>
        </w:rPr>
        <w:t>hipopotassemia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desnutrição</w:t>
      </w:r>
      <w:r>
        <w:rPr>
          <w:spacing w:val="-2"/>
          <w:sz w:val="16"/>
        </w:rPr>
        <w:t xml:space="preserve"> </w:t>
      </w:r>
      <w:r>
        <w:rPr>
          <w:sz w:val="16"/>
        </w:rPr>
        <w:t>grave,</w:t>
      </w:r>
      <w:r>
        <w:rPr>
          <w:spacing w:val="-1"/>
          <w:sz w:val="16"/>
        </w:rPr>
        <w:t xml:space="preserve"> </w:t>
      </w:r>
      <w:r>
        <w:rPr>
          <w:sz w:val="16"/>
        </w:rPr>
        <w:t>além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outras</w:t>
      </w:r>
      <w:r>
        <w:rPr>
          <w:spacing w:val="-3"/>
          <w:sz w:val="16"/>
        </w:rPr>
        <w:t xml:space="preserve"> </w:t>
      </w:r>
      <w:r>
        <w:rPr>
          <w:sz w:val="16"/>
        </w:rPr>
        <w:t>manifestações</w:t>
      </w:r>
      <w:r>
        <w:rPr>
          <w:spacing w:val="-2"/>
          <w:sz w:val="16"/>
        </w:rPr>
        <w:t xml:space="preserve"> </w:t>
      </w:r>
      <w:r>
        <w:rPr>
          <w:sz w:val="16"/>
        </w:rPr>
        <w:t>como</w:t>
      </w:r>
      <w:r>
        <w:rPr>
          <w:spacing w:val="6"/>
          <w:sz w:val="16"/>
        </w:rPr>
        <w:t xml:space="preserve"> </w:t>
      </w:r>
      <w:r>
        <w:rPr>
          <w:sz w:val="16"/>
        </w:rPr>
        <w:t>hemorragia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t</w:t>
      </w:r>
      <w:r>
        <w:rPr>
          <w:sz w:val="16"/>
        </w:rPr>
        <w:t>etania.</w:t>
      </w:r>
    </w:p>
    <w:p w:rsidR="00AB6FC4" w:rsidRDefault="005831D9">
      <w:pPr>
        <w:pStyle w:val="PargrafodaLista"/>
        <w:numPr>
          <w:ilvl w:val="0"/>
          <w:numId w:val="3"/>
        </w:numPr>
        <w:tabs>
          <w:tab w:val="left" w:pos="785"/>
        </w:tabs>
        <w:ind w:right="113" w:firstLine="566"/>
        <w:jc w:val="both"/>
        <w:rPr>
          <w:sz w:val="16"/>
        </w:rPr>
      </w:pPr>
      <w:r>
        <w:rPr>
          <w:sz w:val="16"/>
        </w:rPr>
        <w:t>Forma não clássica (atípica): caracteriza-se por quadro mono ou oligossintomático, em que as manifestações digestivas estão ausentes ou, quando presentes, ocupam um segundo plano. Os pacientes podem apresentar manifestações isoladas, como, por exem</w:t>
      </w:r>
      <w:r>
        <w:rPr>
          <w:sz w:val="16"/>
        </w:rPr>
        <w:t>plo, baixa estatura, anemia por deficiência de ferro refratária à reposição de ferro por via oral, anemia por deficiência de folato e vitamina B12, osteoporose, hipoplasia do esmalte dentário, artralgias ou artrites, constipação intestinal refratária ao tr</w:t>
      </w:r>
      <w:r>
        <w:rPr>
          <w:sz w:val="16"/>
        </w:rPr>
        <w:t>atamento, atraso puberal, irregularidade do ciclo menstrual, esterilidade, abortos de repetição, ataxia, epilepsia (isolada ou associada à calcificação cerebral), neuropatia periférica, miopatia, manifestações psiquiátricas (depressão, autismo, esquizofren</w:t>
      </w:r>
      <w:r>
        <w:rPr>
          <w:sz w:val="16"/>
        </w:rPr>
        <w:t xml:space="preserve">ia), úlcera aftosa recorrente, elevação das enzimas hepáticas sem causa aparente, fraqueza, perda de peso sem causa aparente, edema de surgimento abrupto </w:t>
      </w:r>
      <w:r>
        <w:rPr>
          <w:spacing w:val="2"/>
          <w:sz w:val="16"/>
        </w:rPr>
        <w:t xml:space="preserve">após </w:t>
      </w:r>
      <w:r>
        <w:rPr>
          <w:sz w:val="16"/>
        </w:rPr>
        <w:t>infecção ou cirurgia e dispepsia não</w:t>
      </w:r>
      <w:r>
        <w:rPr>
          <w:spacing w:val="-6"/>
          <w:sz w:val="16"/>
        </w:rPr>
        <w:t xml:space="preserve"> </w:t>
      </w:r>
      <w:r>
        <w:rPr>
          <w:sz w:val="16"/>
        </w:rPr>
        <w:t>ulcerosa.</w:t>
      </w:r>
    </w:p>
    <w:p w:rsidR="00AB6FC4" w:rsidRDefault="005831D9">
      <w:pPr>
        <w:pStyle w:val="PargrafodaLista"/>
        <w:numPr>
          <w:ilvl w:val="0"/>
          <w:numId w:val="3"/>
        </w:numPr>
        <w:tabs>
          <w:tab w:val="left" w:pos="785"/>
        </w:tabs>
        <w:ind w:right="114" w:firstLine="566"/>
        <w:jc w:val="both"/>
        <w:rPr>
          <w:sz w:val="16"/>
        </w:rPr>
      </w:pPr>
      <w:r>
        <w:rPr>
          <w:sz w:val="16"/>
        </w:rPr>
        <w:t>Forma assintomática (silenciosa): caracteriza-se p</w:t>
      </w:r>
      <w:r>
        <w:rPr>
          <w:sz w:val="16"/>
        </w:rPr>
        <w:t xml:space="preserve">or alterações sorológicas e histológicas da mucosa do intestino delgado compatíveis com DC, na ausência de manifestações clínicas. Esta situação pode ser comprovada especialmente entre grupos de risco para a DC como, por exemplo, parentes de primeiro grau </w:t>
      </w:r>
      <w:r>
        <w:rPr>
          <w:sz w:val="16"/>
        </w:rPr>
        <w:t>de pacientes celíacos, e vem sendo reconhecida com maior frequência nas últimas duas décadas, após o desenvolvimento dos marcadores sorológicos para esta doença.</w:t>
      </w:r>
    </w:p>
    <w:p w:rsidR="00AB6FC4" w:rsidRDefault="005831D9">
      <w:pPr>
        <w:pStyle w:val="Corpodetexto"/>
        <w:spacing w:before="1"/>
        <w:ind w:right="120"/>
        <w:jc w:val="both"/>
      </w:pPr>
      <w:r>
        <w:t>A dermatite herpetiforme, considerada DC da pele, se apresenta com lesões cutâneas do tipo bol</w:t>
      </w:r>
      <w:r>
        <w:t xml:space="preserve">hoso e intensamente pruriginoso e se relaciona também com a doença </w:t>
      </w:r>
      <w:proofErr w:type="gramStart"/>
      <w:r>
        <w:t>celíaca(</w:t>
      </w:r>
      <w:proofErr w:type="gramEnd"/>
      <w:r>
        <w:t>2).</w:t>
      </w:r>
    </w:p>
    <w:p w:rsidR="00AB6FC4" w:rsidRDefault="005831D9">
      <w:pPr>
        <w:pStyle w:val="Corpodetexto"/>
        <w:ind w:right="118"/>
        <w:jc w:val="both"/>
      </w:pPr>
      <w:r>
        <w:t xml:space="preserve">A identificação de fatores de risco e da doença em seu estágio inicial e o encaminhamento ágil e adequado para o atendimento especializado </w:t>
      </w:r>
      <w:proofErr w:type="gramStart"/>
      <w:r>
        <w:t>dão</w:t>
      </w:r>
      <w:proofErr w:type="gramEnd"/>
      <w:r>
        <w:t xml:space="preserve"> à Atenção Básica um caráter essenc</w:t>
      </w:r>
      <w:r>
        <w:t>ial para um melhor resultado terapêutico e prognóstico dos</w:t>
      </w:r>
      <w:r>
        <w:rPr>
          <w:spacing w:val="-27"/>
        </w:rPr>
        <w:t xml:space="preserve"> </w:t>
      </w:r>
      <w:r>
        <w:t>casos.</w:t>
      </w:r>
    </w:p>
    <w:p w:rsidR="00AB6FC4" w:rsidRDefault="00AB6FC4">
      <w:pPr>
        <w:pStyle w:val="Corpodetexto"/>
        <w:spacing w:before="2"/>
        <w:ind w:left="0" w:firstLine="0"/>
      </w:pPr>
    </w:p>
    <w:p w:rsidR="00AB6FC4" w:rsidRDefault="005831D9">
      <w:pPr>
        <w:pStyle w:val="Ttulo1"/>
        <w:numPr>
          <w:ilvl w:val="0"/>
          <w:numId w:val="4"/>
        </w:numPr>
        <w:tabs>
          <w:tab w:val="left" w:pos="830"/>
        </w:tabs>
      </w:pPr>
      <w:r>
        <w:t>CLASSIFICAÇÃO ESTATÍSTICA INTERNACIONAL DE DOENÇAS E PROBLEMAS RELACIONADOS À SAÚDE (CID-10)</w:t>
      </w:r>
    </w:p>
    <w:p w:rsidR="00AB6FC4" w:rsidRDefault="005831D9">
      <w:pPr>
        <w:pStyle w:val="PargrafodaLista"/>
        <w:numPr>
          <w:ilvl w:val="0"/>
          <w:numId w:val="3"/>
        </w:numPr>
        <w:tabs>
          <w:tab w:val="left" w:pos="761"/>
        </w:tabs>
        <w:spacing w:line="183" w:lineRule="exact"/>
        <w:ind w:left="760" w:hanging="94"/>
        <w:rPr>
          <w:sz w:val="16"/>
        </w:rPr>
      </w:pPr>
      <w:proofErr w:type="gramStart"/>
      <w:r>
        <w:rPr>
          <w:sz w:val="16"/>
        </w:rPr>
        <w:t>K90.</w:t>
      </w:r>
      <w:proofErr w:type="gramEnd"/>
      <w:r>
        <w:rPr>
          <w:sz w:val="16"/>
        </w:rPr>
        <w:t>0 Doença</w:t>
      </w:r>
      <w:r>
        <w:rPr>
          <w:spacing w:val="-4"/>
          <w:sz w:val="16"/>
        </w:rPr>
        <w:t xml:space="preserve"> </w:t>
      </w:r>
      <w:r>
        <w:rPr>
          <w:sz w:val="16"/>
        </w:rPr>
        <w:t>Celíaca</w:t>
      </w:r>
    </w:p>
    <w:p w:rsidR="00AB6FC4" w:rsidRDefault="00AB6FC4">
      <w:pPr>
        <w:pStyle w:val="Corpodetexto"/>
        <w:spacing w:before="1"/>
        <w:ind w:left="0" w:firstLine="0"/>
      </w:pPr>
    </w:p>
    <w:p w:rsidR="00AB6FC4" w:rsidRDefault="005831D9">
      <w:pPr>
        <w:pStyle w:val="Ttulo1"/>
        <w:numPr>
          <w:ilvl w:val="0"/>
          <w:numId w:val="4"/>
        </w:numPr>
        <w:tabs>
          <w:tab w:val="left" w:pos="830"/>
        </w:tabs>
        <w:spacing w:before="1"/>
      </w:pPr>
      <w:r>
        <w:t>CRITÉRIOS DE</w:t>
      </w:r>
      <w:r>
        <w:rPr>
          <w:spacing w:val="-1"/>
        </w:rPr>
        <w:t xml:space="preserve"> </w:t>
      </w:r>
      <w:r>
        <w:t>INCLUSÃO</w:t>
      </w:r>
    </w:p>
    <w:p w:rsidR="00AB6FC4" w:rsidRDefault="005831D9">
      <w:pPr>
        <w:pStyle w:val="Corpodetexto"/>
        <w:spacing w:line="183" w:lineRule="exact"/>
        <w:ind w:left="666" w:firstLine="0"/>
      </w:pPr>
      <w:r>
        <w:t>Incluem-se neste Protocolo o paciente que apresentarem as condições abaixo:</w:t>
      </w:r>
    </w:p>
    <w:p w:rsidR="00AB6FC4" w:rsidRDefault="005831D9">
      <w:pPr>
        <w:pStyle w:val="PargrafodaLista"/>
        <w:numPr>
          <w:ilvl w:val="0"/>
          <w:numId w:val="2"/>
        </w:numPr>
        <w:tabs>
          <w:tab w:val="left" w:pos="833"/>
        </w:tabs>
        <w:spacing w:line="183" w:lineRule="exact"/>
        <w:ind w:firstLine="566"/>
        <w:rPr>
          <w:sz w:val="16"/>
        </w:rPr>
      </w:pPr>
      <w:proofErr w:type="gramStart"/>
      <w:r>
        <w:rPr>
          <w:sz w:val="16"/>
        </w:rPr>
        <w:t>sintomas</w:t>
      </w:r>
      <w:proofErr w:type="gramEnd"/>
      <w:r>
        <w:rPr>
          <w:sz w:val="16"/>
        </w:rPr>
        <w:t xml:space="preserve"> ou sinais das formas clássica e não clássica de</w:t>
      </w:r>
      <w:r>
        <w:rPr>
          <w:spacing w:val="-19"/>
          <w:sz w:val="16"/>
        </w:rPr>
        <w:t xml:space="preserve"> </w:t>
      </w:r>
      <w:r>
        <w:rPr>
          <w:sz w:val="16"/>
        </w:rPr>
        <w:t>DC;</w:t>
      </w:r>
    </w:p>
    <w:p w:rsidR="00AB6FC4" w:rsidRDefault="005831D9">
      <w:pPr>
        <w:pStyle w:val="PargrafodaLista"/>
        <w:numPr>
          <w:ilvl w:val="0"/>
          <w:numId w:val="2"/>
        </w:numPr>
        <w:tabs>
          <w:tab w:val="left" w:pos="845"/>
        </w:tabs>
        <w:ind w:right="121" w:firstLine="566"/>
        <w:jc w:val="both"/>
        <w:rPr>
          <w:sz w:val="16"/>
        </w:rPr>
      </w:pPr>
      <w:proofErr w:type="gramStart"/>
      <w:r>
        <w:rPr>
          <w:sz w:val="16"/>
        </w:rPr>
        <w:t>indivíduos</w:t>
      </w:r>
      <w:proofErr w:type="gramEnd"/>
      <w:r>
        <w:rPr>
          <w:sz w:val="16"/>
        </w:rPr>
        <w:t xml:space="preserve"> de risco, entre os quais a prevalência de DC é esperada como consideravelmente maior do que a população gera</w:t>
      </w:r>
      <w:r>
        <w:rPr>
          <w:sz w:val="16"/>
        </w:rPr>
        <w:t>l: parentes de primeiro grau (pais e irmãos) de pacientes com DC</w:t>
      </w:r>
      <w:r>
        <w:rPr>
          <w:spacing w:val="-7"/>
          <w:sz w:val="16"/>
        </w:rPr>
        <w:t xml:space="preserve"> </w:t>
      </w:r>
      <w:r>
        <w:rPr>
          <w:sz w:val="16"/>
        </w:rPr>
        <w:t>(20-23)</w:t>
      </w:r>
    </w:p>
    <w:p w:rsidR="00AB6FC4" w:rsidRDefault="005831D9">
      <w:pPr>
        <w:pStyle w:val="PargrafodaLista"/>
        <w:numPr>
          <w:ilvl w:val="0"/>
          <w:numId w:val="2"/>
        </w:numPr>
        <w:tabs>
          <w:tab w:val="left" w:pos="833"/>
        </w:tabs>
        <w:spacing w:line="183" w:lineRule="exact"/>
        <w:ind w:firstLine="566"/>
        <w:rPr>
          <w:sz w:val="16"/>
        </w:rPr>
      </w:pPr>
      <w:proofErr w:type="gramStart"/>
      <w:r>
        <w:rPr>
          <w:sz w:val="16"/>
        </w:rPr>
        <w:t>indivíduos</w:t>
      </w:r>
      <w:proofErr w:type="gramEnd"/>
      <w:r>
        <w:rPr>
          <w:sz w:val="16"/>
        </w:rPr>
        <w:t xml:space="preserve"> com uma das seguintes condições</w:t>
      </w:r>
      <w:r>
        <w:rPr>
          <w:spacing w:val="-9"/>
          <w:sz w:val="16"/>
        </w:rPr>
        <w:t xml:space="preserve"> </w:t>
      </w:r>
      <w:r>
        <w:rPr>
          <w:sz w:val="16"/>
        </w:rPr>
        <w:t>clínicas:</w:t>
      </w:r>
    </w:p>
    <w:p w:rsidR="00AB6FC4" w:rsidRDefault="005831D9">
      <w:pPr>
        <w:pStyle w:val="PargrafodaLista"/>
        <w:numPr>
          <w:ilvl w:val="0"/>
          <w:numId w:val="3"/>
        </w:numPr>
        <w:tabs>
          <w:tab w:val="left" w:pos="766"/>
        </w:tabs>
        <w:spacing w:before="1"/>
        <w:ind w:right="118" w:firstLine="566"/>
        <w:jc w:val="both"/>
        <w:rPr>
          <w:sz w:val="16"/>
        </w:rPr>
      </w:pPr>
      <w:proofErr w:type="gramStart"/>
      <w:r>
        <w:rPr>
          <w:sz w:val="16"/>
        </w:rPr>
        <w:t>anemia</w:t>
      </w:r>
      <w:proofErr w:type="gramEnd"/>
      <w:r>
        <w:rPr>
          <w:sz w:val="16"/>
        </w:rPr>
        <w:t xml:space="preserve"> por deficiência de ferro refratária à reposição de ferro oral (24), com redução da densidade mineral óssea (25, 26), com atraso puberal ou baixa estatura sem causa</w:t>
      </w:r>
      <w:r>
        <w:rPr>
          <w:spacing w:val="-2"/>
          <w:sz w:val="16"/>
        </w:rPr>
        <w:t xml:space="preserve"> </w:t>
      </w:r>
      <w:r>
        <w:rPr>
          <w:sz w:val="16"/>
        </w:rPr>
        <w:t>aparente(27,28);</w:t>
      </w:r>
    </w:p>
    <w:p w:rsidR="00AB6FC4" w:rsidRDefault="005831D9">
      <w:pPr>
        <w:pStyle w:val="PargrafodaLista"/>
        <w:numPr>
          <w:ilvl w:val="0"/>
          <w:numId w:val="3"/>
        </w:numPr>
        <w:tabs>
          <w:tab w:val="left" w:pos="804"/>
        </w:tabs>
        <w:ind w:right="115" w:firstLine="566"/>
        <w:jc w:val="both"/>
        <w:rPr>
          <w:sz w:val="16"/>
        </w:rPr>
      </w:pPr>
      <w:proofErr w:type="gramStart"/>
      <w:r>
        <w:rPr>
          <w:sz w:val="16"/>
        </w:rPr>
        <w:t>doenças</w:t>
      </w:r>
      <w:proofErr w:type="gramEnd"/>
      <w:r>
        <w:rPr>
          <w:sz w:val="16"/>
        </w:rPr>
        <w:t xml:space="preserve"> autoimunes, como diabetes melito dependente de insulina(29),</w:t>
      </w:r>
      <w:r>
        <w:rPr>
          <w:sz w:val="16"/>
        </w:rPr>
        <w:t xml:space="preserve"> tireoidite autoimune(30), deficiência seletiva de IgA(31), Síndrome de Sjögren(32), colestase autoimune(33) e miocardite</w:t>
      </w:r>
      <w:r>
        <w:rPr>
          <w:spacing w:val="-12"/>
          <w:sz w:val="16"/>
        </w:rPr>
        <w:t xml:space="preserve"> </w:t>
      </w:r>
      <w:r>
        <w:rPr>
          <w:sz w:val="16"/>
        </w:rPr>
        <w:t>autoimune(34);</w:t>
      </w:r>
    </w:p>
    <w:p w:rsidR="00AB6FC4" w:rsidRDefault="005831D9">
      <w:pPr>
        <w:pStyle w:val="PargrafodaLista"/>
        <w:numPr>
          <w:ilvl w:val="0"/>
          <w:numId w:val="3"/>
        </w:numPr>
        <w:tabs>
          <w:tab w:val="left" w:pos="761"/>
        </w:tabs>
        <w:spacing w:before="1" w:line="183" w:lineRule="exact"/>
        <w:ind w:left="760" w:hanging="94"/>
        <w:rPr>
          <w:sz w:val="16"/>
        </w:rPr>
      </w:pPr>
      <w:proofErr w:type="gramStart"/>
      <w:r>
        <w:rPr>
          <w:sz w:val="16"/>
        </w:rPr>
        <w:t>síndrome</w:t>
      </w:r>
      <w:proofErr w:type="gramEnd"/>
      <w:r>
        <w:rPr>
          <w:sz w:val="16"/>
        </w:rPr>
        <w:t xml:space="preserve"> de Down(35); síndrome de Turner(34); síndrome de</w:t>
      </w:r>
      <w:r>
        <w:rPr>
          <w:spacing w:val="-18"/>
          <w:sz w:val="16"/>
        </w:rPr>
        <w:t xml:space="preserve"> </w:t>
      </w:r>
      <w:r>
        <w:rPr>
          <w:sz w:val="16"/>
        </w:rPr>
        <w:t>Williams(36);</w:t>
      </w:r>
    </w:p>
    <w:p w:rsidR="00AB6FC4" w:rsidRDefault="005831D9">
      <w:pPr>
        <w:pStyle w:val="PargrafodaLista"/>
        <w:numPr>
          <w:ilvl w:val="0"/>
          <w:numId w:val="3"/>
        </w:numPr>
        <w:tabs>
          <w:tab w:val="left" w:pos="761"/>
        </w:tabs>
        <w:spacing w:line="183" w:lineRule="exact"/>
        <w:ind w:left="760" w:hanging="94"/>
        <w:rPr>
          <w:sz w:val="16"/>
        </w:rPr>
      </w:pPr>
      <w:proofErr w:type="gramStart"/>
      <w:r>
        <w:rPr>
          <w:sz w:val="16"/>
        </w:rPr>
        <w:t>infertilidade</w:t>
      </w:r>
      <w:proofErr w:type="gramEnd"/>
      <w:r>
        <w:rPr>
          <w:sz w:val="16"/>
        </w:rPr>
        <w:t>(37), história de aborto</w:t>
      </w:r>
      <w:r>
        <w:rPr>
          <w:spacing w:val="-8"/>
          <w:sz w:val="16"/>
        </w:rPr>
        <w:t xml:space="preserve"> </w:t>
      </w:r>
      <w:r>
        <w:rPr>
          <w:sz w:val="16"/>
        </w:rPr>
        <w:t>espontâne</w:t>
      </w:r>
      <w:r>
        <w:rPr>
          <w:sz w:val="16"/>
        </w:rPr>
        <w:t>o(38);</w:t>
      </w:r>
    </w:p>
    <w:p w:rsidR="00AB6FC4" w:rsidRDefault="005831D9">
      <w:pPr>
        <w:pStyle w:val="PargrafodaLista"/>
        <w:numPr>
          <w:ilvl w:val="0"/>
          <w:numId w:val="3"/>
        </w:numPr>
        <w:tabs>
          <w:tab w:val="left" w:pos="761"/>
        </w:tabs>
        <w:spacing w:before="1"/>
        <w:ind w:left="760" w:hanging="94"/>
        <w:rPr>
          <w:sz w:val="16"/>
        </w:rPr>
      </w:pPr>
      <w:proofErr w:type="gramStart"/>
      <w:r>
        <w:rPr>
          <w:sz w:val="16"/>
        </w:rPr>
        <w:t>dermatite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herpetiforme(39).</w:t>
      </w:r>
    </w:p>
    <w:p w:rsidR="00AB6FC4" w:rsidRDefault="00AB6FC4">
      <w:pPr>
        <w:pStyle w:val="Corpodetexto"/>
        <w:spacing w:before="1"/>
        <w:ind w:left="0" w:firstLine="0"/>
      </w:pPr>
    </w:p>
    <w:p w:rsidR="00AB6FC4" w:rsidRDefault="005831D9">
      <w:pPr>
        <w:pStyle w:val="Ttulo1"/>
        <w:numPr>
          <w:ilvl w:val="0"/>
          <w:numId w:val="4"/>
        </w:numPr>
        <w:tabs>
          <w:tab w:val="left" w:pos="830"/>
        </w:tabs>
      </w:pPr>
      <w:r>
        <w:t>DIAGNÓSTICO</w:t>
      </w:r>
    </w:p>
    <w:p w:rsidR="00AB6FC4" w:rsidRDefault="005831D9">
      <w:pPr>
        <w:pStyle w:val="Corpodetexto"/>
        <w:ind w:right="112"/>
        <w:jc w:val="both"/>
      </w:pPr>
      <w:r>
        <w:t xml:space="preserve">Para o diagnóstico definitivo da DC é imprescindível </w:t>
      </w:r>
      <w:proofErr w:type="gramStart"/>
      <w:r>
        <w:t>a</w:t>
      </w:r>
      <w:proofErr w:type="gramEnd"/>
      <w:r>
        <w:t xml:space="preserve"> realização de endoscopia digestiva alta com biópsia de intestino delgado com vista à realização de exame histopatológico, considerado o padrão-ouro para o diagnóstico. A biópsia deve constar de pelo me</w:t>
      </w:r>
      <w:r>
        <w:t>nos quatro fragmentos, incluindo amostra do bulbo e das porções mais distais do duodeno. (36,40)</w:t>
      </w:r>
    </w:p>
    <w:p w:rsidR="00AB6FC4" w:rsidRDefault="005831D9">
      <w:pPr>
        <w:pStyle w:val="Corpodetexto"/>
        <w:ind w:right="113"/>
        <w:jc w:val="both"/>
      </w:pPr>
      <w:r>
        <w:t xml:space="preserve">Os marcadores sorológicos são úteis para identificar os indivíduos que deverão ser submetidos à biópsia de intestino delgado. Os marcadores sorológicos também </w:t>
      </w:r>
      <w:r>
        <w:t>são úteis para acompanhamento do paciente celíaco, como, por exemplo, para detectar transgressão à dieta. Os principais testes sorológicos para a detecção da intolerância ao glúten são o anticorpo antigliadina, o anticorpo antiendomísio e o anticorpo</w:t>
      </w:r>
      <w:r>
        <w:rPr>
          <w:spacing w:val="-28"/>
        </w:rPr>
        <w:t xml:space="preserve"> </w:t>
      </w:r>
      <w:r>
        <w:t>antit</w:t>
      </w:r>
      <w:r>
        <w:t>ransglutaminase (TTG).</w:t>
      </w:r>
    </w:p>
    <w:p w:rsidR="00AB6FC4" w:rsidRDefault="005831D9">
      <w:pPr>
        <w:pStyle w:val="Corpodetexto"/>
        <w:ind w:right="116"/>
        <w:jc w:val="both"/>
      </w:pPr>
      <w:r>
        <w:t xml:space="preserve">Com relação ao anticorpo antigliadina, determinado pela técnica de ELISA, a especificidade do anticorpo da classe </w:t>
      </w:r>
      <w:proofErr w:type="gramStart"/>
      <w:r>
        <w:t>IgA</w:t>
      </w:r>
      <w:proofErr w:type="gramEnd"/>
      <w:r>
        <w:t xml:space="preserve"> (71% a 97% nos adultos e 92% a 97% nas crianças) é maior do que da classe IgG (50%), sendo a sensibilidade extremam</w:t>
      </w:r>
      <w:r>
        <w:t>ente variável em ambas as classes (41,42).</w:t>
      </w:r>
    </w:p>
    <w:p w:rsidR="00AB6FC4" w:rsidRDefault="005831D9">
      <w:pPr>
        <w:pStyle w:val="Corpodetexto"/>
        <w:ind w:right="117"/>
        <w:jc w:val="both"/>
      </w:pPr>
      <w:r>
        <w:t xml:space="preserve">O anticorpo antiendomísio da classe </w:t>
      </w:r>
      <w:proofErr w:type="gramStart"/>
      <w:r>
        <w:t>IgA</w:t>
      </w:r>
      <w:proofErr w:type="gramEnd"/>
      <w:r>
        <w:t xml:space="preserve"> é identificado por meio de imunofluorescência indireta. Apresenta alta sensibilidade em adultos (87% a 89%) e em crianças maiores de dois anos (88% a 100%), e alta especific</w:t>
      </w:r>
      <w:r>
        <w:t>idade (91% a 100% nas crianças e 99% em adultos) (</w:t>
      </w:r>
      <w:proofErr w:type="gramStart"/>
      <w:r>
        <w:t>41, 42</w:t>
      </w:r>
      <w:proofErr w:type="gramEnd"/>
      <w:r>
        <w:t xml:space="preserve">). Entretanto, apresenta pior relação custo/benefício e técnica mais </w:t>
      </w:r>
      <w:proofErr w:type="gramStart"/>
      <w:r>
        <w:t>trabalhosa(</w:t>
      </w:r>
      <w:proofErr w:type="gramEnd"/>
      <w:r>
        <w:t>43).</w:t>
      </w:r>
    </w:p>
    <w:p w:rsidR="00AB6FC4" w:rsidRDefault="00AB6FC4">
      <w:pPr>
        <w:jc w:val="both"/>
        <w:sectPr w:rsidR="00AB6FC4">
          <w:pgSz w:w="11910" w:h="16840"/>
          <w:pgMar w:top="620" w:right="600" w:bottom="280" w:left="620" w:header="720" w:footer="720" w:gutter="0"/>
          <w:cols w:space="720"/>
        </w:sectPr>
      </w:pPr>
    </w:p>
    <w:p w:rsidR="00AB6FC4" w:rsidRDefault="005831D9">
      <w:pPr>
        <w:pStyle w:val="Corpodetexto"/>
        <w:spacing w:before="76"/>
        <w:ind w:right="117"/>
        <w:jc w:val="both"/>
      </w:pPr>
      <w:r>
        <w:lastRenderedPageBreak/>
        <w:t xml:space="preserve">Com relação ao TTG da classe </w:t>
      </w:r>
      <w:proofErr w:type="gramStart"/>
      <w:r>
        <w:t>IgA</w:t>
      </w:r>
      <w:proofErr w:type="gramEnd"/>
      <w:r>
        <w:t>, determinado por ELISA, tem elevada sensibilidade (92% a 100% em cri</w:t>
      </w:r>
      <w:r>
        <w:t>anças e adultos) e especificidade (91% a 100%)(41).</w:t>
      </w:r>
    </w:p>
    <w:p w:rsidR="00AB6FC4" w:rsidRDefault="005831D9">
      <w:pPr>
        <w:pStyle w:val="Corpodetexto"/>
        <w:ind w:right="113"/>
        <w:jc w:val="both"/>
      </w:pPr>
      <w:r>
        <w:t xml:space="preserve">Em resumo, há superioridade dos testes para determinação de anticorpo antiendomísio e do TTG, ambos da classe </w:t>
      </w:r>
      <w:proofErr w:type="gramStart"/>
      <w:r>
        <w:rPr>
          <w:spacing w:val="-3"/>
        </w:rPr>
        <w:t>IgA</w:t>
      </w:r>
      <w:proofErr w:type="gramEnd"/>
      <w:r>
        <w:rPr>
          <w:spacing w:val="-3"/>
        </w:rPr>
        <w:t xml:space="preserve">, </w:t>
      </w:r>
      <w:r>
        <w:t>principalmente o TTG recombinante humana IgA, em relação ao teste para antigliadina. Cons</w:t>
      </w:r>
      <w:r>
        <w:t xml:space="preserve">iderando a maior facilidade da dosagem do TTG, aliado a elevadas sensibilidade e especificidade na população pediátrica e adulta, este é o teste sorológico de escolha para avaliação inicial dos indivíduos com suspeita de intolerância ao </w:t>
      </w:r>
      <w:proofErr w:type="gramStart"/>
      <w:r>
        <w:t>glúten(</w:t>
      </w:r>
      <w:proofErr w:type="gramEnd"/>
      <w:r>
        <w:t>43).</w:t>
      </w:r>
    </w:p>
    <w:p w:rsidR="00AB6FC4" w:rsidRDefault="005831D9">
      <w:pPr>
        <w:pStyle w:val="Corpodetexto"/>
        <w:ind w:right="114"/>
        <w:jc w:val="both"/>
      </w:pPr>
      <w:r>
        <w:t>A defic</w:t>
      </w:r>
      <w:r>
        <w:t xml:space="preserve">iência de imunoglobulina A é responsável por resultados falsos negativos dos testes sorológicos antiendomísio e TTG da classe </w:t>
      </w:r>
      <w:proofErr w:type="gramStart"/>
      <w:r>
        <w:t>IgA</w:t>
      </w:r>
      <w:proofErr w:type="gramEnd"/>
      <w:r>
        <w:t xml:space="preserve">. Por este motivo, indica-se como testes diagnósticos iniciais da DC a dosagem sérica simultânea do TTG da classe </w:t>
      </w:r>
      <w:proofErr w:type="gramStart"/>
      <w:r>
        <w:t>IgA</w:t>
      </w:r>
      <w:proofErr w:type="gramEnd"/>
      <w:r>
        <w:t xml:space="preserve"> e da imun</w:t>
      </w:r>
      <w:r>
        <w:t>oglobulina A. A avaliação sorológica deve ser feita em vigência de dieta com glúten.(40,44)</w:t>
      </w:r>
    </w:p>
    <w:p w:rsidR="00AB6FC4" w:rsidRDefault="005831D9">
      <w:pPr>
        <w:pStyle w:val="Corpodetexto"/>
        <w:ind w:right="117"/>
        <w:jc w:val="both"/>
      </w:pPr>
      <w:r>
        <w:t>Deve-se enfatizar que, até o momento, os marcadores sorológicos para DC não substituem o exame histopatológico do intestino delgado, que continua sendo o padrão-our</w:t>
      </w:r>
      <w:r>
        <w:t xml:space="preserve">o para o diagnóstico de DC. No entanto, a biópsia intestinal deve ser solicitada mesmo com sorologia negativa nos casos de deficiência de </w:t>
      </w:r>
      <w:proofErr w:type="gramStart"/>
      <w:r>
        <w:t>IgA</w:t>
      </w:r>
      <w:proofErr w:type="gramEnd"/>
      <w:r>
        <w:t xml:space="preserve"> e nos casos com alta suspeição clínica, como nos parentes de primeiro grau de doentes celíacos com sinais ou sinto</w:t>
      </w:r>
      <w:r>
        <w:t>mas</w:t>
      </w:r>
      <w:r>
        <w:rPr>
          <w:spacing w:val="-28"/>
        </w:rPr>
        <w:t xml:space="preserve"> </w:t>
      </w:r>
      <w:r>
        <w:t>compatíveis.(40)</w:t>
      </w:r>
    </w:p>
    <w:p w:rsidR="00AB6FC4" w:rsidRDefault="005831D9">
      <w:pPr>
        <w:pStyle w:val="Corpodetexto"/>
        <w:spacing w:before="1"/>
        <w:ind w:right="115"/>
        <w:jc w:val="both"/>
      </w:pPr>
      <w:r>
        <w:t>Em relação à biópsia de intestino delgado, para que a interpretação histológica do fragmento seja fidedigna, é fundamental o intercâmbio entre o médico endoscopista e o médico responsável direto pelo doente – de preferência médico expe</w:t>
      </w:r>
      <w:r>
        <w:t>riente em Gastroenterologia Pediátrica ou Clínica – com o médico patologista. A orientação do fragmento de biópsia pelo endoscopista e a inclusão correta deste material em parafina pelo histotecnologista são de extrema importância para a avaliação anátomo-</w:t>
      </w:r>
      <w:r>
        <w:t>patológica dos fragmentos</w:t>
      </w:r>
      <w:r>
        <w:rPr>
          <w:spacing w:val="-11"/>
        </w:rPr>
        <w:t xml:space="preserve"> </w:t>
      </w:r>
      <w:r>
        <w:t>biopsiados.</w:t>
      </w:r>
    </w:p>
    <w:p w:rsidR="00AB6FC4" w:rsidRDefault="005831D9">
      <w:pPr>
        <w:pStyle w:val="Corpodetexto"/>
        <w:ind w:right="113"/>
        <w:jc w:val="both"/>
      </w:pPr>
      <w:r>
        <w:t>A lesão clássica da DC consiste em mucosa plana ou quase plana, com criptas alongadas e aumento de mitoses, epitélio superficial cuboide, com vacuolizações, borda estriada borrada, aumento do número de linfócitos intra</w:t>
      </w:r>
      <w:r>
        <w:t xml:space="preserve">epiteliais e lâmina própria com denso infiltrado de linfócitos e </w:t>
      </w:r>
      <w:proofErr w:type="gramStart"/>
      <w:r>
        <w:t>plasmócitos(</w:t>
      </w:r>
      <w:proofErr w:type="gramEnd"/>
      <w:r>
        <w:t>45). Em 1992, já se demonstrava haver sequência da progressão da lesão da mucosa de intestino delgado na DC:</w:t>
      </w:r>
    </w:p>
    <w:p w:rsidR="00AB6FC4" w:rsidRDefault="005831D9">
      <w:pPr>
        <w:pStyle w:val="PargrafodaLista"/>
        <w:numPr>
          <w:ilvl w:val="0"/>
          <w:numId w:val="3"/>
        </w:numPr>
        <w:tabs>
          <w:tab w:val="left" w:pos="761"/>
        </w:tabs>
        <w:spacing w:line="183" w:lineRule="exact"/>
        <w:ind w:left="760" w:hanging="94"/>
        <w:rPr>
          <w:sz w:val="16"/>
        </w:rPr>
      </w:pPr>
      <w:proofErr w:type="gramStart"/>
      <w:r>
        <w:rPr>
          <w:sz w:val="16"/>
        </w:rPr>
        <w:t>estágio</w:t>
      </w:r>
      <w:proofErr w:type="gramEnd"/>
      <w:r>
        <w:rPr>
          <w:sz w:val="16"/>
        </w:rPr>
        <w:t xml:space="preserve"> 0 (padrão pré-infiltrativo), com fragmento sem alterações hist</w:t>
      </w:r>
      <w:r>
        <w:rPr>
          <w:sz w:val="16"/>
        </w:rPr>
        <w:t>ológicas</w:t>
      </w:r>
      <w:r>
        <w:rPr>
          <w:spacing w:val="-7"/>
          <w:sz w:val="16"/>
        </w:rPr>
        <w:t xml:space="preserve"> </w:t>
      </w:r>
      <w:r>
        <w:rPr>
          <w:sz w:val="16"/>
        </w:rPr>
        <w:t>(normal);</w:t>
      </w:r>
    </w:p>
    <w:p w:rsidR="00AB6FC4" w:rsidRDefault="005831D9">
      <w:pPr>
        <w:pStyle w:val="PargrafodaLista"/>
        <w:numPr>
          <w:ilvl w:val="0"/>
          <w:numId w:val="3"/>
        </w:numPr>
        <w:tabs>
          <w:tab w:val="left" w:pos="761"/>
        </w:tabs>
        <w:spacing w:line="183" w:lineRule="exact"/>
        <w:ind w:left="760" w:hanging="94"/>
        <w:rPr>
          <w:sz w:val="16"/>
        </w:rPr>
      </w:pPr>
      <w:proofErr w:type="gramStart"/>
      <w:r>
        <w:rPr>
          <w:sz w:val="16"/>
        </w:rPr>
        <w:t>estágio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(padrão</w:t>
      </w:r>
      <w:r>
        <w:rPr>
          <w:spacing w:val="-4"/>
          <w:sz w:val="16"/>
        </w:rPr>
        <w:t xml:space="preserve"> </w:t>
      </w:r>
      <w:r>
        <w:rPr>
          <w:sz w:val="16"/>
        </w:rPr>
        <w:t>infiltrativo),</w:t>
      </w:r>
      <w:r>
        <w:rPr>
          <w:spacing w:val="-1"/>
          <w:sz w:val="16"/>
        </w:rPr>
        <w:t xml:space="preserve"> </w:t>
      </w:r>
      <w:r>
        <w:rPr>
          <w:sz w:val="16"/>
        </w:rPr>
        <w:t>em</w:t>
      </w:r>
      <w:r>
        <w:rPr>
          <w:spacing w:val="-1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arquitetura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mucosa</w:t>
      </w:r>
      <w:r>
        <w:rPr>
          <w:spacing w:val="-3"/>
          <w:sz w:val="16"/>
        </w:rPr>
        <w:t xml:space="preserve"> </w:t>
      </w:r>
      <w:r>
        <w:rPr>
          <w:sz w:val="16"/>
        </w:rPr>
        <w:t>apresenta-se</w:t>
      </w:r>
      <w:r>
        <w:rPr>
          <w:spacing w:val="-4"/>
          <w:sz w:val="16"/>
        </w:rPr>
        <w:t xml:space="preserve"> </w:t>
      </w:r>
      <w:r>
        <w:rPr>
          <w:sz w:val="16"/>
        </w:rPr>
        <w:t>normal</w:t>
      </w:r>
      <w:r>
        <w:rPr>
          <w:spacing w:val="-2"/>
          <w:sz w:val="16"/>
        </w:rPr>
        <w:t xml:space="preserve"> </w:t>
      </w:r>
      <w:r>
        <w:rPr>
          <w:sz w:val="16"/>
        </w:rPr>
        <w:t>com</w:t>
      </w:r>
      <w:r>
        <w:rPr>
          <w:spacing w:val="-1"/>
          <w:sz w:val="16"/>
        </w:rPr>
        <w:t xml:space="preserve"> </w:t>
      </w:r>
      <w:r>
        <w:rPr>
          <w:sz w:val="16"/>
        </w:rPr>
        <w:t>aumento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infiltrado</w:t>
      </w:r>
      <w:r>
        <w:rPr>
          <w:spacing w:val="-4"/>
          <w:sz w:val="16"/>
        </w:rPr>
        <w:t xml:space="preserve"> </w:t>
      </w:r>
      <w:r>
        <w:rPr>
          <w:sz w:val="16"/>
        </w:rPr>
        <w:t>dos</w:t>
      </w:r>
      <w:r>
        <w:rPr>
          <w:spacing w:val="-1"/>
          <w:sz w:val="16"/>
        </w:rPr>
        <w:t xml:space="preserve"> </w:t>
      </w:r>
      <w:r>
        <w:rPr>
          <w:sz w:val="16"/>
        </w:rPr>
        <w:t>linfócitos</w:t>
      </w:r>
      <w:r>
        <w:rPr>
          <w:spacing w:val="-4"/>
          <w:sz w:val="16"/>
        </w:rPr>
        <w:t xml:space="preserve"> </w:t>
      </w:r>
      <w:r>
        <w:rPr>
          <w:sz w:val="16"/>
        </w:rPr>
        <w:t>intraepiteliais</w:t>
      </w:r>
      <w:r>
        <w:rPr>
          <w:spacing w:val="-1"/>
          <w:sz w:val="16"/>
        </w:rPr>
        <w:t xml:space="preserve"> </w:t>
      </w:r>
      <w:r>
        <w:rPr>
          <w:sz w:val="16"/>
        </w:rPr>
        <w:t>(LIE);</w:t>
      </w:r>
    </w:p>
    <w:p w:rsidR="00AB6FC4" w:rsidRDefault="005831D9">
      <w:pPr>
        <w:pStyle w:val="PargrafodaLista"/>
        <w:numPr>
          <w:ilvl w:val="0"/>
          <w:numId w:val="3"/>
        </w:numPr>
        <w:tabs>
          <w:tab w:val="left" w:pos="761"/>
        </w:tabs>
        <w:spacing w:before="1"/>
        <w:ind w:left="760" w:hanging="94"/>
        <w:rPr>
          <w:sz w:val="16"/>
        </w:rPr>
      </w:pPr>
      <w:proofErr w:type="gramStart"/>
      <w:r>
        <w:rPr>
          <w:sz w:val="16"/>
        </w:rPr>
        <w:t>estágio</w:t>
      </w:r>
      <w:proofErr w:type="gramEnd"/>
      <w:r>
        <w:rPr>
          <w:sz w:val="16"/>
        </w:rPr>
        <w:t xml:space="preserve"> II (lesão hiperplásica), caracterizado por alargamento das criptas e aumento do número de</w:t>
      </w:r>
      <w:r>
        <w:rPr>
          <w:spacing w:val="-24"/>
          <w:sz w:val="16"/>
        </w:rPr>
        <w:t xml:space="preserve"> </w:t>
      </w:r>
      <w:r>
        <w:rPr>
          <w:sz w:val="16"/>
        </w:rPr>
        <w:t>LIE;</w:t>
      </w:r>
    </w:p>
    <w:p w:rsidR="00AB6FC4" w:rsidRDefault="005831D9">
      <w:pPr>
        <w:pStyle w:val="PargrafodaLista"/>
        <w:numPr>
          <w:ilvl w:val="0"/>
          <w:numId w:val="3"/>
        </w:numPr>
        <w:tabs>
          <w:tab w:val="left" w:pos="761"/>
        </w:tabs>
        <w:spacing w:before="2" w:line="183" w:lineRule="exact"/>
        <w:ind w:left="760" w:hanging="94"/>
        <w:rPr>
          <w:sz w:val="16"/>
        </w:rPr>
      </w:pPr>
      <w:proofErr w:type="gramStart"/>
      <w:r>
        <w:rPr>
          <w:sz w:val="16"/>
        </w:rPr>
        <w:t>estágio</w:t>
      </w:r>
      <w:proofErr w:type="gramEnd"/>
      <w:r>
        <w:rPr>
          <w:sz w:val="16"/>
        </w:rPr>
        <w:t xml:space="preserve"> III</w:t>
      </w:r>
      <w:r>
        <w:rPr>
          <w:spacing w:val="-2"/>
          <w:sz w:val="16"/>
        </w:rPr>
        <w:t xml:space="preserve"> </w:t>
      </w:r>
      <w:r>
        <w:rPr>
          <w:sz w:val="16"/>
        </w:rPr>
        <w:t>(padrão</w:t>
      </w:r>
      <w:r>
        <w:rPr>
          <w:spacing w:val="-4"/>
          <w:sz w:val="16"/>
        </w:rPr>
        <w:t xml:space="preserve"> </w:t>
      </w:r>
      <w:r>
        <w:rPr>
          <w:sz w:val="16"/>
        </w:rPr>
        <w:t>destrutivo),</w:t>
      </w:r>
      <w:r>
        <w:rPr>
          <w:spacing w:val="1"/>
          <w:sz w:val="16"/>
        </w:rPr>
        <w:t xml:space="preserve"> </w:t>
      </w:r>
      <w:r>
        <w:rPr>
          <w:sz w:val="16"/>
        </w:rPr>
        <w:t>em</w:t>
      </w:r>
      <w:r>
        <w:rPr>
          <w:spacing w:val="-1"/>
          <w:sz w:val="16"/>
        </w:rPr>
        <w:t xml:space="preserve"> </w:t>
      </w:r>
      <w:r>
        <w:rPr>
          <w:sz w:val="16"/>
        </w:rPr>
        <w:t>que</w:t>
      </w:r>
      <w:r>
        <w:rPr>
          <w:spacing w:val="-2"/>
          <w:sz w:val="16"/>
        </w:rPr>
        <w:t xml:space="preserve"> </w:t>
      </w:r>
      <w:r>
        <w:rPr>
          <w:sz w:val="16"/>
        </w:rPr>
        <w:t>há</w:t>
      </w:r>
      <w:r>
        <w:rPr>
          <w:spacing w:val="-3"/>
          <w:sz w:val="16"/>
        </w:rPr>
        <w:t xml:space="preserve"> </w:t>
      </w:r>
      <w:r>
        <w:rPr>
          <w:sz w:val="16"/>
        </w:rPr>
        <w:t>presença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atrofia</w:t>
      </w:r>
      <w:r>
        <w:rPr>
          <w:spacing w:val="-3"/>
          <w:sz w:val="16"/>
        </w:rPr>
        <w:t xml:space="preserve"> </w:t>
      </w:r>
      <w:r>
        <w:rPr>
          <w:sz w:val="16"/>
        </w:rPr>
        <w:t>vilositária,</w:t>
      </w:r>
      <w:r>
        <w:rPr>
          <w:spacing w:val="-2"/>
          <w:sz w:val="16"/>
        </w:rPr>
        <w:t xml:space="preserve"> </w:t>
      </w:r>
      <w:r>
        <w:rPr>
          <w:sz w:val="16"/>
        </w:rPr>
        <w:t>hiperplasia</w:t>
      </w:r>
      <w:r>
        <w:rPr>
          <w:spacing w:val="-3"/>
          <w:sz w:val="16"/>
        </w:rPr>
        <w:t xml:space="preserve"> </w:t>
      </w:r>
      <w:r>
        <w:rPr>
          <w:sz w:val="16"/>
        </w:rPr>
        <w:t>críptica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aumento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número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pacing w:val="-3"/>
          <w:sz w:val="16"/>
        </w:rPr>
        <w:t>LIE;</w:t>
      </w:r>
    </w:p>
    <w:p w:rsidR="00AB6FC4" w:rsidRDefault="005831D9">
      <w:pPr>
        <w:pStyle w:val="PargrafodaLista"/>
        <w:numPr>
          <w:ilvl w:val="0"/>
          <w:numId w:val="3"/>
        </w:numPr>
        <w:tabs>
          <w:tab w:val="left" w:pos="761"/>
        </w:tabs>
        <w:spacing w:line="183" w:lineRule="exact"/>
        <w:ind w:left="760" w:hanging="94"/>
        <w:rPr>
          <w:sz w:val="16"/>
        </w:rPr>
      </w:pPr>
      <w:proofErr w:type="gramStart"/>
      <w:r>
        <w:rPr>
          <w:sz w:val="16"/>
        </w:rPr>
        <w:t>estágio</w:t>
      </w:r>
      <w:proofErr w:type="gramEnd"/>
      <w:r>
        <w:rPr>
          <w:sz w:val="16"/>
        </w:rPr>
        <w:t xml:space="preserve"> </w:t>
      </w:r>
      <w:r>
        <w:rPr>
          <w:spacing w:val="-3"/>
          <w:sz w:val="16"/>
        </w:rPr>
        <w:t xml:space="preserve">IV </w:t>
      </w:r>
      <w:r>
        <w:rPr>
          <w:sz w:val="16"/>
        </w:rPr>
        <w:t>(padrão hipoplásico), caracterizado por atrofia total com hipoplasia críptica, considerada forma possivelmente</w:t>
      </w:r>
      <w:r>
        <w:rPr>
          <w:spacing w:val="-26"/>
          <w:sz w:val="16"/>
        </w:rPr>
        <w:t xml:space="preserve"> </w:t>
      </w:r>
      <w:r>
        <w:rPr>
          <w:sz w:val="16"/>
        </w:rPr>
        <w:t>irreversível.</w:t>
      </w:r>
    </w:p>
    <w:p w:rsidR="00AB6FC4" w:rsidRDefault="005831D9">
      <w:pPr>
        <w:pStyle w:val="Corpodetexto"/>
        <w:ind w:right="114"/>
        <w:jc w:val="both"/>
      </w:pPr>
      <w:r>
        <w:t xml:space="preserve">Nos últimos anos, alguns autores têm tentado aperfeiçoar este critério, tanto no que diz respeito à valorização do grau de atrofia </w:t>
      </w:r>
      <w:proofErr w:type="gramStart"/>
      <w:r>
        <w:t>vilositária(</w:t>
      </w:r>
      <w:proofErr w:type="gramEnd"/>
      <w:r>
        <w:t>46), quanto na padronização do número de LIE considerados aumentados(46-49).</w:t>
      </w:r>
    </w:p>
    <w:p w:rsidR="00AB6FC4" w:rsidRDefault="005831D9">
      <w:pPr>
        <w:pStyle w:val="Corpodetexto"/>
        <w:ind w:right="114"/>
        <w:jc w:val="both"/>
      </w:pPr>
      <w:r>
        <w:t xml:space="preserve">A alteração de mucosa intestinal do tipo Marsh </w:t>
      </w:r>
      <w:r>
        <w:rPr>
          <w:spacing w:val="-3"/>
        </w:rPr>
        <w:t xml:space="preserve">III, </w:t>
      </w:r>
      <w:r>
        <w:t>que se caracteriza pela presença de atrofia vilositária, demonstra evidência de associação de DC(48,49), embora não</w:t>
      </w:r>
      <w:r>
        <w:t xml:space="preserve"> seja lesão patognomônica desta</w:t>
      </w:r>
      <w:r>
        <w:rPr>
          <w:spacing w:val="-13"/>
        </w:rPr>
        <w:t xml:space="preserve"> </w:t>
      </w:r>
      <w:r>
        <w:t>doença.</w:t>
      </w:r>
    </w:p>
    <w:p w:rsidR="00AB6FC4" w:rsidRDefault="005831D9">
      <w:pPr>
        <w:pStyle w:val="Corpodetexto"/>
        <w:ind w:right="114"/>
        <w:jc w:val="both"/>
      </w:pPr>
      <w:r>
        <w:t>A primeira padronização do diagnóstico da DC foi proposta pela Sociedade Européia de Gastroenterologia Pediátrica, em 1969(50). Este critério recomendava realizar a primeira biópsia diagnóstica e, a seguir, dois anos</w:t>
      </w:r>
      <w:r>
        <w:t xml:space="preserve"> de dieta sem glúten e biópsia de controle; caso esta fosse normal, seria </w:t>
      </w:r>
      <w:proofErr w:type="gramStart"/>
      <w:r>
        <w:t>necessário a instituição de dieta</w:t>
      </w:r>
      <w:proofErr w:type="gramEnd"/>
      <w:r>
        <w:t xml:space="preserve"> com glúten por três meses ou até o aparecimento de sintomas, e a realização da terceira biópsia que, se mostrasse alterações compatíveis com a DC, c</w:t>
      </w:r>
      <w:r>
        <w:t>omprovaria definitivamente a doença. Caso não houvesse alteração nesta última biópsia, o paciente deveria permanecer em observação por vários anos, pois poderia tratar-se de erro diagnóstico ou retardo na resposta histológica.</w:t>
      </w:r>
    </w:p>
    <w:p w:rsidR="00AB6FC4" w:rsidRDefault="005831D9">
      <w:pPr>
        <w:pStyle w:val="Corpodetexto"/>
        <w:spacing w:before="1"/>
        <w:ind w:right="116"/>
        <w:jc w:val="both"/>
      </w:pPr>
      <w:r>
        <w:t xml:space="preserve">Em 1990, após a introdução dos testes sorológicos e melhor experiência com a doença, a mesma Sociedade modificou estes critérios, dispensando a provocação e a terceira biópsia na maioria dos </w:t>
      </w:r>
      <w:proofErr w:type="gramStart"/>
      <w:r>
        <w:t>pacientes(</w:t>
      </w:r>
      <w:proofErr w:type="gramEnd"/>
      <w:r>
        <w:t>51). Haveria exceções quando o diagnóstico fosse estabe</w:t>
      </w:r>
      <w:r>
        <w:t xml:space="preserve">lecido antes dos </w:t>
      </w:r>
      <w:proofErr w:type="gramStart"/>
      <w:r>
        <w:t>2</w:t>
      </w:r>
      <w:proofErr w:type="gramEnd"/>
      <w:r>
        <w:t xml:space="preserve"> anos de idade ou quando houvesse dúvida com relação ao diagnóstico inicial, como, por exemplo, falta evidente de resposta clínica à dieta sem glúten, não realização de biópsia inicial ou biópsia inadequada ou exame histopatológico não tí</w:t>
      </w:r>
      <w:r>
        <w:t xml:space="preserve">pico da DC(51). Consensos de especialistas têm sido realizados nos últimos anos com vistas a uniformizar os termos e critérios diagnósticos, bem como fazer recomendações baseadas em evidências a respeito do </w:t>
      </w:r>
      <w:proofErr w:type="gramStart"/>
      <w:r>
        <w:t>tratamento(</w:t>
      </w:r>
      <w:proofErr w:type="gramEnd"/>
      <w:r>
        <w:t>2,3,40).</w:t>
      </w:r>
    </w:p>
    <w:p w:rsidR="00AB6FC4" w:rsidRDefault="00AB6FC4">
      <w:pPr>
        <w:pStyle w:val="Corpodetexto"/>
        <w:spacing w:before="2"/>
        <w:ind w:left="0" w:firstLine="0"/>
      </w:pPr>
    </w:p>
    <w:p w:rsidR="00AB6FC4" w:rsidRDefault="005831D9">
      <w:pPr>
        <w:pStyle w:val="Ttulo1"/>
        <w:numPr>
          <w:ilvl w:val="0"/>
          <w:numId w:val="4"/>
        </w:numPr>
        <w:tabs>
          <w:tab w:val="left" w:pos="828"/>
        </w:tabs>
        <w:spacing w:line="182" w:lineRule="exact"/>
        <w:ind w:left="827" w:hanging="161"/>
      </w:pPr>
      <w:r>
        <w:t xml:space="preserve">FLUXO PARA O DIAGNÓSTICO DA </w:t>
      </w:r>
      <w:r>
        <w:t>DOENÇA</w:t>
      </w:r>
      <w:r>
        <w:rPr>
          <w:spacing w:val="-4"/>
        </w:rPr>
        <w:t xml:space="preserve"> </w:t>
      </w:r>
      <w:r>
        <w:t>CELÍACA</w:t>
      </w:r>
    </w:p>
    <w:p w:rsidR="00AB6FC4" w:rsidRDefault="005831D9">
      <w:pPr>
        <w:pStyle w:val="Corpodetexto"/>
        <w:ind w:right="114"/>
        <w:jc w:val="both"/>
      </w:pPr>
      <w:r>
        <w:t>Na evidência de sintomas ou sinais das formas clássica e atípica da DC e para indivíduos que fazem parte de grupos de risco, especialmente se sintomáticos, deve-se solicitar, simultaneamente, a dosagem do anticorpo antitransglutaminase recom</w:t>
      </w:r>
      <w:r>
        <w:t xml:space="preserve">binante humana da classe </w:t>
      </w:r>
      <w:proofErr w:type="gramStart"/>
      <w:r>
        <w:t>IgA</w:t>
      </w:r>
      <w:proofErr w:type="gramEnd"/>
      <w:r>
        <w:t xml:space="preserve"> (TTG) e da imunoglobulina A (IgA)(3,40,44).</w:t>
      </w:r>
    </w:p>
    <w:p w:rsidR="00AB6FC4" w:rsidRDefault="005831D9">
      <w:pPr>
        <w:pStyle w:val="Corpodetexto"/>
        <w:ind w:right="113"/>
        <w:jc w:val="both"/>
      </w:pPr>
      <w:r>
        <w:t>Se ambas as dosagens mostrarem-se normais, o acometimento do indivíduo pela DC é pouco provável. Entretanto, na forte suspeita de DC, deve-se encaminhar o paciente para serviço de ref</w:t>
      </w:r>
      <w:r>
        <w:t>erência em Gastroenterologia Pediátrica ou Clínica, para melhor avaliação quanto à indicação de realização de biópsia de intestino delgado.</w:t>
      </w:r>
    </w:p>
    <w:p w:rsidR="00AB6FC4" w:rsidRDefault="005831D9">
      <w:pPr>
        <w:pStyle w:val="Corpodetexto"/>
        <w:ind w:right="114"/>
        <w:jc w:val="both"/>
      </w:pPr>
      <w:r>
        <w:t>Em indivíduo assintomático com parente de primeiro grau acometido de DC, ou com diagnóstico de doença autoimune ou d</w:t>
      </w:r>
      <w:r>
        <w:t>oença não autoimune relacionada à DC, recomenda-se repetir a dosagem do TTG no futuro. Se a dosagem do TTG for normal, mas a dosagem de imunoglobulina A (</w:t>
      </w:r>
      <w:proofErr w:type="gramStart"/>
      <w:r>
        <w:t>IgA</w:t>
      </w:r>
      <w:proofErr w:type="gramEnd"/>
      <w:r>
        <w:t>) estiver alterada, deve ser considerada a possibilidade de falso negativo pela presença de imunode</w:t>
      </w:r>
      <w:r>
        <w:t>ficiência primária, e o indivíduo deverá ser encaminhado a serviço de referência em Gastroenterologia Pediátrica ou Clínica com vistas à realização de biópsia de intestino delgado(40).</w:t>
      </w:r>
    </w:p>
    <w:p w:rsidR="00AB6FC4" w:rsidRDefault="005831D9">
      <w:pPr>
        <w:pStyle w:val="Corpodetexto"/>
        <w:ind w:right="112"/>
        <w:jc w:val="both"/>
      </w:pPr>
      <w:r>
        <w:t xml:space="preserve">Se a dosagem do TTG for anormal, o indivíduo deverá ser encaminhado ao </w:t>
      </w:r>
      <w:r>
        <w:t xml:space="preserve">serviço de referência em Gastroenterologia Pediátrica ou Clínica com vistas à realização de biópsia de intestino delgado. Caso o exame histopatológico seja positivo para lesão clássica da mucosa intestinal da DC, confirma-se o </w:t>
      </w:r>
      <w:proofErr w:type="gramStart"/>
      <w:r>
        <w:t>diagnóstico(</w:t>
      </w:r>
      <w:proofErr w:type="gramEnd"/>
      <w:r>
        <w:t>40).</w:t>
      </w:r>
    </w:p>
    <w:p w:rsidR="00AB6FC4" w:rsidRDefault="005831D9">
      <w:pPr>
        <w:pStyle w:val="Corpodetexto"/>
        <w:ind w:right="115"/>
        <w:jc w:val="both"/>
      </w:pPr>
      <w:r>
        <w:t xml:space="preserve">Por último, </w:t>
      </w:r>
      <w:r>
        <w:t xml:space="preserve">TTG anormal, </w:t>
      </w:r>
      <w:proofErr w:type="gramStart"/>
      <w:r>
        <w:t>IgA</w:t>
      </w:r>
      <w:proofErr w:type="gramEnd"/>
      <w:r>
        <w:t xml:space="preserve"> normal e biópsia de intestino delgado com resultado do exame histopatológico negativo excluem o diagnóstico de DC, e o resultado da dosagem de TTG deve ser considerado falso positivo. Contudo, o exame histopatológico deve ser revisto e, se</w:t>
      </w:r>
      <w:r>
        <w:t xml:space="preserve"> realmente for negativo, ou seja, se estiver ausente </w:t>
      </w:r>
      <w:proofErr w:type="gramStart"/>
      <w:r>
        <w:t>a</w:t>
      </w:r>
      <w:proofErr w:type="gramEnd"/>
      <w:r>
        <w:t xml:space="preserve"> lesão clássica da mucosa do intestino delgado, deve-se considerar a possibilidade de lesão em mosaico (acometimento em </w:t>
      </w:r>
      <w:r>
        <w:rPr>
          <w:i/>
        </w:rPr>
        <w:t>patchy</w:t>
      </w:r>
      <w:r>
        <w:t xml:space="preserve">) e indicar nova biópsia intestinal com a obtenção de múltiplos fragmentos. </w:t>
      </w:r>
      <w:r>
        <w:t xml:space="preserve">Se, novamente, o padrão histológico não for de DC, a existência desta doença é pouco </w:t>
      </w:r>
      <w:proofErr w:type="gramStart"/>
      <w:r>
        <w:t>provável(</w:t>
      </w:r>
      <w:proofErr w:type="gramEnd"/>
      <w:r>
        <w:t>40).</w:t>
      </w:r>
    </w:p>
    <w:p w:rsidR="00AB6FC4" w:rsidRDefault="00AB6FC4">
      <w:pPr>
        <w:pStyle w:val="Corpodetexto"/>
        <w:spacing w:before="1"/>
        <w:ind w:left="0" w:firstLine="0"/>
      </w:pPr>
    </w:p>
    <w:p w:rsidR="00AB6FC4" w:rsidRDefault="005831D9">
      <w:pPr>
        <w:pStyle w:val="Ttulo1"/>
        <w:numPr>
          <w:ilvl w:val="0"/>
          <w:numId w:val="4"/>
        </w:numPr>
        <w:tabs>
          <w:tab w:val="left" w:pos="828"/>
        </w:tabs>
        <w:spacing w:before="1"/>
        <w:ind w:left="827" w:hanging="161"/>
      </w:pPr>
      <w:r>
        <w:t>TRATAMENTO E</w:t>
      </w:r>
      <w:r>
        <w:rPr>
          <w:spacing w:val="-4"/>
        </w:rPr>
        <w:t xml:space="preserve"> </w:t>
      </w:r>
      <w:r>
        <w:t>PROGNÓSTICO</w:t>
      </w:r>
    </w:p>
    <w:p w:rsidR="00AB6FC4" w:rsidRDefault="005831D9">
      <w:pPr>
        <w:pStyle w:val="Corpodetexto"/>
        <w:ind w:right="120"/>
        <w:jc w:val="both"/>
      </w:pPr>
      <w:r>
        <w:t xml:space="preserve">O tratamento da DC consiste na dieta sem glúten, devendo-se, portanto, excluir da alimentação alimentos que contenham trigo, centeio e cevada, por toda a </w:t>
      </w:r>
      <w:proofErr w:type="gramStart"/>
      <w:r>
        <w:t>vida(</w:t>
      </w:r>
      <w:proofErr w:type="gramEnd"/>
      <w:r>
        <w:t>52).</w:t>
      </w:r>
    </w:p>
    <w:p w:rsidR="00AB6FC4" w:rsidRDefault="005831D9">
      <w:pPr>
        <w:pStyle w:val="Corpodetexto"/>
        <w:ind w:right="115"/>
        <w:jc w:val="both"/>
      </w:pPr>
      <w:r>
        <w:t xml:space="preserve">Com a instituição de dieta </w:t>
      </w:r>
      <w:proofErr w:type="gramStart"/>
      <w:r>
        <w:t>totalmente(</w:t>
      </w:r>
      <w:proofErr w:type="gramEnd"/>
      <w:r>
        <w:t xml:space="preserve">56) sem glúten, há normalização da mucosa intestinal, </w:t>
      </w:r>
      <w:r>
        <w:t xml:space="preserve">assim como das manifestações clínicas. Porém, no caso de diagnóstico tardio, pode haver alteração da permeabilidade da membrana intestinal por longo período de tempo e a absorção de macromoléculas poderá desencadear quadro de hipersensibilidade alimentar, </w:t>
      </w:r>
      <w:r>
        <w:t xml:space="preserve">resultando em manifestações </w:t>
      </w:r>
      <w:proofErr w:type="gramStart"/>
      <w:r>
        <w:t>alérgicas(</w:t>
      </w:r>
      <w:proofErr w:type="gramEnd"/>
      <w:r>
        <w:t>53). Esse quadro deve ser considerado, quando o indivíduo não responde adequadamente à dieta sem glúten e apresenta negatividade nos exames sorológicos para DC.</w:t>
      </w:r>
    </w:p>
    <w:p w:rsidR="00AB6FC4" w:rsidRDefault="005831D9">
      <w:pPr>
        <w:pStyle w:val="Corpodetexto"/>
        <w:ind w:right="120"/>
        <w:jc w:val="both"/>
      </w:pPr>
      <w:r>
        <w:t>Deficiências nutricionais decorrentes da má-absorção de m</w:t>
      </w:r>
      <w:r>
        <w:t xml:space="preserve">acro e micronutrientes, como, por exemplo, deficiência de ferro, ácido fólico, vitamina B12 e cálcio, devem ser </w:t>
      </w:r>
      <w:proofErr w:type="gramStart"/>
      <w:r>
        <w:t>diagnosticadas e tratadas</w:t>
      </w:r>
      <w:proofErr w:type="gramEnd"/>
      <w:r>
        <w:t>.</w:t>
      </w:r>
    </w:p>
    <w:p w:rsidR="00AB6FC4" w:rsidRDefault="005831D9">
      <w:pPr>
        <w:pStyle w:val="Corpodetexto"/>
        <w:ind w:right="123"/>
        <w:jc w:val="both"/>
      </w:pPr>
      <w:r>
        <w:t>O dano nas vilosidades da mucosa intestinal pode ocasionar deficiência na produção das dissacaridases, na dependência</w:t>
      </w:r>
      <w:r>
        <w:t xml:space="preserve"> do grau de seu acometimento. Por isso, deve-se verificar a intolerância temporária à lactose e sacarose, que se reverte com a normalização das </w:t>
      </w:r>
      <w:proofErr w:type="gramStart"/>
      <w:r>
        <w:t>vilosidades(</w:t>
      </w:r>
      <w:proofErr w:type="gramEnd"/>
      <w:r>
        <w:t>54).</w:t>
      </w:r>
    </w:p>
    <w:p w:rsidR="00AB6FC4" w:rsidRDefault="005831D9">
      <w:pPr>
        <w:pStyle w:val="Corpodetexto"/>
        <w:ind w:right="114"/>
        <w:jc w:val="both"/>
      </w:pPr>
      <w:r>
        <w:t>Há relatos de uma série de manifestações não malignas associadas à DC, como, por exemplo, osteo</w:t>
      </w:r>
      <w:r>
        <w:t xml:space="preserve">porose, esterilidade, distúrbios neurológicos e </w:t>
      </w:r>
      <w:proofErr w:type="gramStart"/>
      <w:r>
        <w:t>psiquiátricos(</w:t>
      </w:r>
      <w:proofErr w:type="gramEnd"/>
      <w:r>
        <w:t xml:space="preserve">55). Entre as doenças malignas, são relatadas associações com o adenocarcinoma de intestino delgado, linfoma e carcinoma de esôfago e </w:t>
      </w:r>
      <w:proofErr w:type="gramStart"/>
      <w:r>
        <w:t>faringe(</w:t>
      </w:r>
      <w:proofErr w:type="gramEnd"/>
      <w:r>
        <w:t>56). O risco dessas manifestações está associado com</w:t>
      </w:r>
      <w:r>
        <w:t xml:space="preserve"> a inobservância à dieta isenta de glúten e com o diagnóstico tardio, como nos sintomas </w:t>
      </w:r>
      <w:proofErr w:type="gramStart"/>
      <w:r>
        <w:t>neurológicos(</w:t>
      </w:r>
      <w:proofErr w:type="gramEnd"/>
      <w:r>
        <w:t>57).</w:t>
      </w:r>
    </w:p>
    <w:p w:rsidR="00AB6FC4" w:rsidRDefault="005831D9">
      <w:pPr>
        <w:pStyle w:val="Corpodetexto"/>
        <w:ind w:right="119"/>
        <w:jc w:val="both"/>
      </w:pPr>
      <w:r>
        <w:t>Portanto, justifica-se a prescrição de dieta totalmente isenta de glúten, por toda a vida a todos os indivíduos com DC, independentemente das manifest</w:t>
      </w:r>
      <w:r>
        <w:t>ações clínicas. A adoção da dieta isenta de glúten deve ser rigorosa, pois transgressões sucessivas a ela poderão desencadear um estado de refratariedade ao</w:t>
      </w:r>
      <w:r>
        <w:rPr>
          <w:spacing w:val="-2"/>
        </w:rPr>
        <w:t xml:space="preserve"> </w:t>
      </w:r>
      <w:proofErr w:type="gramStart"/>
      <w:r>
        <w:t>tratamento(</w:t>
      </w:r>
      <w:proofErr w:type="gramEnd"/>
      <w:r>
        <w:t>54).</w:t>
      </w:r>
    </w:p>
    <w:p w:rsidR="00AB6FC4" w:rsidRDefault="005831D9">
      <w:pPr>
        <w:pStyle w:val="Corpodetexto"/>
        <w:ind w:right="123"/>
        <w:jc w:val="both"/>
      </w:pPr>
      <w:r>
        <w:t>A dieta imposta é restritiva, difícil e permanente, ocasionando alterações na rotin</w:t>
      </w:r>
      <w:r>
        <w:t>a dos indivíduos e de sua família. Devido ao caráter familiar da desordem, aproximadamente 10% dos parentes dos celíacos podem apresentar a mesma</w:t>
      </w:r>
      <w:r>
        <w:rPr>
          <w:spacing w:val="-16"/>
        </w:rPr>
        <w:t xml:space="preserve"> </w:t>
      </w:r>
      <w:proofErr w:type="gramStart"/>
      <w:r>
        <w:t>doença(</w:t>
      </w:r>
      <w:proofErr w:type="gramEnd"/>
      <w:r>
        <w:t>58).</w:t>
      </w:r>
    </w:p>
    <w:p w:rsidR="00AB6FC4" w:rsidRDefault="005831D9">
      <w:pPr>
        <w:pStyle w:val="Corpodetexto"/>
        <w:ind w:right="115"/>
        <w:jc w:val="both"/>
      </w:pPr>
      <w:r>
        <w:t>Recomenda-se a adoção de cuidado multidisciplinar e multiprofissional aos indivíduos com DC, envol</w:t>
      </w:r>
      <w:r>
        <w:t xml:space="preserve">vendo, além de médicos, profissionais de nutrição, psicologia e serviço </w:t>
      </w:r>
      <w:proofErr w:type="gramStart"/>
      <w:r>
        <w:t>social(</w:t>
      </w:r>
      <w:proofErr w:type="gramEnd"/>
      <w:r>
        <w:t>58,59).</w:t>
      </w:r>
    </w:p>
    <w:p w:rsidR="00AB6FC4" w:rsidRDefault="00AB6FC4">
      <w:pPr>
        <w:pStyle w:val="Corpodetexto"/>
        <w:spacing w:before="2"/>
        <w:ind w:left="0" w:firstLine="0"/>
      </w:pPr>
    </w:p>
    <w:p w:rsidR="00AB6FC4" w:rsidRDefault="005831D9">
      <w:pPr>
        <w:pStyle w:val="Ttulo1"/>
        <w:numPr>
          <w:ilvl w:val="0"/>
          <w:numId w:val="4"/>
        </w:numPr>
        <w:tabs>
          <w:tab w:val="left" w:pos="830"/>
        </w:tabs>
        <w:spacing w:line="182" w:lineRule="exact"/>
      </w:pPr>
      <w:r>
        <w:t>REGULAÇÃO, CONTROLE E AVALIAÇÃO PELO</w:t>
      </w:r>
      <w:r>
        <w:rPr>
          <w:spacing w:val="-3"/>
        </w:rPr>
        <w:t xml:space="preserve"> </w:t>
      </w:r>
      <w:proofErr w:type="gramStart"/>
      <w:r>
        <w:t>GESTOR</w:t>
      </w:r>
      <w:proofErr w:type="gramEnd"/>
    </w:p>
    <w:p w:rsidR="00AB6FC4" w:rsidRDefault="005831D9">
      <w:pPr>
        <w:pStyle w:val="Corpodetexto"/>
        <w:ind w:right="113"/>
        <w:jc w:val="both"/>
      </w:pPr>
      <w:r>
        <w:t xml:space="preserve">A regulação do acesso é um componente essencial da gestão para a organização da rede assistencial e garantia do atendimento </w:t>
      </w:r>
      <w:r>
        <w:t xml:space="preserve">aos pacientes. Facilita as ações de controle e avaliação, que incluem, entre outras, a manutenção atualizada do Cadastro Nacional dos Estabelecimentos de Saúde (CNES) e </w:t>
      </w:r>
      <w:proofErr w:type="gramStart"/>
      <w:r>
        <w:t>o</w:t>
      </w:r>
      <w:proofErr w:type="gramEnd"/>
    </w:p>
    <w:p w:rsidR="00AB6FC4" w:rsidRDefault="00AB6FC4">
      <w:pPr>
        <w:jc w:val="both"/>
        <w:sectPr w:rsidR="00AB6FC4">
          <w:pgSz w:w="11910" w:h="16840"/>
          <w:pgMar w:top="620" w:right="600" w:bottom="280" w:left="620" w:header="720" w:footer="720" w:gutter="0"/>
          <w:cols w:space="720"/>
        </w:sectPr>
      </w:pPr>
    </w:p>
    <w:p w:rsidR="00AB6FC4" w:rsidRDefault="005831D9">
      <w:pPr>
        <w:pStyle w:val="Corpodetexto"/>
        <w:spacing w:before="76"/>
        <w:ind w:right="114" w:firstLine="0"/>
        <w:jc w:val="both"/>
      </w:pPr>
      <w:proofErr w:type="gramStart"/>
      <w:r>
        <w:lastRenderedPageBreak/>
        <w:t>monitoramento</w:t>
      </w:r>
      <w:proofErr w:type="gramEnd"/>
      <w:r>
        <w:t xml:space="preserve"> da produção dos procedimentos (por exemplo, frequência ap</w:t>
      </w:r>
      <w:r>
        <w:t xml:space="preserve">resentada </w:t>
      </w:r>
      <w:r>
        <w:rPr>
          <w:i/>
        </w:rPr>
        <w:t xml:space="preserve">versus </w:t>
      </w:r>
      <w:r>
        <w:t xml:space="preserve">autorizada, valores apresentados </w:t>
      </w:r>
      <w:r>
        <w:rPr>
          <w:i/>
        </w:rPr>
        <w:t xml:space="preserve">versus </w:t>
      </w:r>
      <w:r>
        <w:t xml:space="preserve">autorizados </w:t>
      </w:r>
      <w:r>
        <w:rPr>
          <w:i/>
        </w:rPr>
        <w:t xml:space="preserve">versus </w:t>
      </w:r>
      <w:r>
        <w:t>pagos) e, como verificação do atendimento, os resultados do teste de detecção e o resultado da biópsia duodenal e as consultas de acompanhamento. Ações de auditoria devem verificar</w:t>
      </w:r>
      <w:r>
        <w:t xml:space="preserve"> </w:t>
      </w:r>
      <w:r>
        <w:rPr>
          <w:i/>
        </w:rPr>
        <w:t>in loco</w:t>
      </w:r>
      <w:r>
        <w:t>, por exemplo, a existência e observância da regulação do acesso assistencial, a compatibilidade da cobrança com os serviços executados, a abrangência e a integralidade assistenciais, e o grau de satisfação dos pacientes.</w:t>
      </w:r>
    </w:p>
    <w:p w:rsidR="00AB6FC4" w:rsidRDefault="00AB6FC4">
      <w:pPr>
        <w:pStyle w:val="Corpodetexto"/>
        <w:spacing w:before="11"/>
        <w:ind w:left="0" w:firstLine="0"/>
        <w:rPr>
          <w:sz w:val="15"/>
        </w:rPr>
      </w:pPr>
    </w:p>
    <w:p w:rsidR="00AB6FC4" w:rsidRDefault="005831D9">
      <w:pPr>
        <w:pStyle w:val="Ttulo1"/>
        <w:numPr>
          <w:ilvl w:val="0"/>
          <w:numId w:val="4"/>
        </w:numPr>
        <w:tabs>
          <w:tab w:val="left" w:pos="830"/>
        </w:tabs>
        <w:spacing w:line="240" w:lineRule="auto"/>
        <w:rPr>
          <w:b w:val="0"/>
        </w:rPr>
      </w:pPr>
      <w:r>
        <w:t>REFERÊNCIAS</w:t>
      </w:r>
      <w:r>
        <w:rPr>
          <w:spacing w:val="-1"/>
        </w:rPr>
        <w:t xml:space="preserve"> </w:t>
      </w:r>
      <w:r>
        <w:t>BIBLIOGRÁFICAS</w:t>
      </w:r>
      <w:r>
        <w:rPr>
          <w:b w:val="0"/>
        </w:rPr>
        <w:t>:</w:t>
      </w:r>
    </w:p>
    <w:p w:rsidR="00AB6FC4" w:rsidRDefault="00AB6FC4">
      <w:pPr>
        <w:pStyle w:val="Corpodetexto"/>
        <w:spacing w:before="2"/>
        <w:ind w:left="0" w:firstLine="0"/>
      </w:pPr>
    </w:p>
    <w:p w:rsidR="00AB6FC4" w:rsidRDefault="005831D9">
      <w:pPr>
        <w:pStyle w:val="PargrafodaLista"/>
        <w:numPr>
          <w:ilvl w:val="0"/>
          <w:numId w:val="1"/>
        </w:numPr>
        <w:tabs>
          <w:tab w:val="left" w:pos="831"/>
        </w:tabs>
        <w:spacing w:line="183" w:lineRule="exact"/>
        <w:ind w:firstLine="566"/>
        <w:rPr>
          <w:sz w:val="16"/>
        </w:rPr>
      </w:pPr>
      <w:r w:rsidRPr="005831D9">
        <w:rPr>
          <w:sz w:val="16"/>
          <w:lang w:val="en-US"/>
        </w:rPr>
        <w:t xml:space="preserve">Farrell RJ, Kelly CP. Celiac sprue. </w:t>
      </w:r>
      <w:r>
        <w:rPr>
          <w:sz w:val="16"/>
        </w:rPr>
        <w:t>N Engl J Med.</w:t>
      </w:r>
      <w:r>
        <w:rPr>
          <w:spacing w:val="-13"/>
          <w:sz w:val="16"/>
        </w:rPr>
        <w:t xml:space="preserve"> </w:t>
      </w:r>
      <w:proofErr w:type="gramStart"/>
      <w:r>
        <w:rPr>
          <w:sz w:val="16"/>
        </w:rPr>
        <w:t>2002;</w:t>
      </w:r>
      <w:proofErr w:type="gramEnd"/>
      <w:r>
        <w:rPr>
          <w:sz w:val="16"/>
        </w:rPr>
        <w:t>346(3):180-8.</w:t>
      </w:r>
    </w:p>
    <w:p w:rsidR="00AB6FC4" w:rsidRPr="005831D9" w:rsidRDefault="005831D9">
      <w:pPr>
        <w:pStyle w:val="PargrafodaLista"/>
        <w:numPr>
          <w:ilvl w:val="0"/>
          <w:numId w:val="1"/>
        </w:numPr>
        <w:tabs>
          <w:tab w:val="left" w:pos="833"/>
        </w:tabs>
        <w:spacing w:line="183" w:lineRule="exact"/>
        <w:ind w:left="832" w:hanging="166"/>
        <w:rPr>
          <w:sz w:val="16"/>
          <w:lang w:val="en-US"/>
        </w:rPr>
      </w:pPr>
      <w:r w:rsidRPr="005831D9">
        <w:rPr>
          <w:sz w:val="16"/>
          <w:lang w:val="en-US"/>
        </w:rPr>
        <w:t>Ludvigsson JF, Leffler DA, Bai JC, Biagi F, Fasano A, Green PH, et al. The Oslo definitions for coeliac disease and related terms. Gut.</w:t>
      </w:r>
      <w:r w:rsidRPr="005831D9">
        <w:rPr>
          <w:spacing w:val="2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2013;62(1):43-</w:t>
      </w:r>
    </w:p>
    <w:p w:rsidR="00AB6FC4" w:rsidRDefault="005831D9">
      <w:pPr>
        <w:pStyle w:val="Corpodetexto"/>
        <w:spacing w:before="1"/>
        <w:ind w:firstLine="0"/>
      </w:pPr>
      <w:r>
        <w:t>52.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862"/>
        </w:tabs>
        <w:ind w:left="861" w:hanging="195"/>
        <w:rPr>
          <w:sz w:val="16"/>
        </w:rPr>
      </w:pPr>
      <w:r w:rsidRPr="005831D9">
        <w:rPr>
          <w:sz w:val="16"/>
          <w:lang w:val="en-US"/>
        </w:rPr>
        <w:t xml:space="preserve">Rubio-Tapia A, </w:t>
      </w:r>
      <w:r w:rsidRPr="005831D9">
        <w:rPr>
          <w:sz w:val="16"/>
          <w:lang w:val="en-US"/>
        </w:rPr>
        <w:t xml:space="preserve">Hill </w:t>
      </w:r>
      <w:r w:rsidRPr="005831D9">
        <w:rPr>
          <w:spacing w:val="-3"/>
          <w:sz w:val="16"/>
          <w:lang w:val="en-US"/>
        </w:rPr>
        <w:t xml:space="preserve">ID, </w:t>
      </w:r>
      <w:r w:rsidRPr="005831D9">
        <w:rPr>
          <w:sz w:val="16"/>
          <w:lang w:val="en-US"/>
        </w:rPr>
        <w:t xml:space="preserve">Kelly CP, Calderwood AH, Murray JA. ACG clinical guidelines: diagnosis and management of celiac disease. </w:t>
      </w:r>
      <w:proofErr w:type="gramStart"/>
      <w:r>
        <w:rPr>
          <w:sz w:val="16"/>
        </w:rPr>
        <w:t>Am</w:t>
      </w:r>
      <w:proofErr w:type="gramEnd"/>
      <w:r>
        <w:rPr>
          <w:spacing w:val="30"/>
          <w:sz w:val="16"/>
        </w:rPr>
        <w:t xml:space="preserve"> </w:t>
      </w:r>
      <w:r>
        <w:rPr>
          <w:sz w:val="16"/>
        </w:rPr>
        <w:t>J</w:t>
      </w:r>
    </w:p>
    <w:p w:rsidR="00AB6FC4" w:rsidRDefault="005831D9">
      <w:pPr>
        <w:pStyle w:val="Corpodetexto"/>
        <w:spacing w:line="183" w:lineRule="exact"/>
        <w:ind w:firstLine="0"/>
      </w:pPr>
      <w:r>
        <w:t xml:space="preserve">Gastroenterol. </w:t>
      </w:r>
      <w:proofErr w:type="gramStart"/>
      <w:r>
        <w:t>2013;</w:t>
      </w:r>
      <w:proofErr w:type="gramEnd"/>
      <w:r>
        <w:t>108(5):656-76; quiz 77.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831"/>
        </w:tabs>
        <w:spacing w:before="1"/>
        <w:ind w:firstLine="566"/>
        <w:rPr>
          <w:sz w:val="16"/>
        </w:rPr>
      </w:pPr>
      <w:r w:rsidRPr="005831D9">
        <w:rPr>
          <w:sz w:val="16"/>
          <w:lang w:val="en-US"/>
        </w:rPr>
        <w:t>Fasano</w:t>
      </w:r>
      <w:r w:rsidRPr="005831D9">
        <w:rPr>
          <w:spacing w:val="-4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A,</w:t>
      </w:r>
      <w:r w:rsidRPr="005831D9">
        <w:rPr>
          <w:spacing w:val="-1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Catassi</w:t>
      </w:r>
      <w:r w:rsidRPr="005831D9">
        <w:rPr>
          <w:spacing w:val="-4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C.</w:t>
      </w:r>
      <w:r w:rsidRPr="005831D9">
        <w:rPr>
          <w:spacing w:val="-4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Current</w:t>
      </w:r>
      <w:r w:rsidRPr="005831D9">
        <w:rPr>
          <w:spacing w:val="-1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approaches</w:t>
      </w:r>
      <w:r w:rsidRPr="005831D9">
        <w:rPr>
          <w:spacing w:val="-5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to</w:t>
      </w:r>
      <w:r w:rsidRPr="005831D9">
        <w:rPr>
          <w:spacing w:val="-3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diagnosis</w:t>
      </w:r>
      <w:r w:rsidRPr="005831D9">
        <w:rPr>
          <w:spacing w:val="-4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and</w:t>
      </w:r>
      <w:r w:rsidRPr="005831D9">
        <w:rPr>
          <w:spacing w:val="-4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treatment</w:t>
      </w:r>
      <w:r w:rsidRPr="005831D9">
        <w:rPr>
          <w:spacing w:val="-1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of</w:t>
      </w:r>
      <w:r w:rsidRPr="005831D9">
        <w:rPr>
          <w:spacing w:val="-3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celiac</w:t>
      </w:r>
      <w:r w:rsidRPr="005831D9">
        <w:rPr>
          <w:spacing w:val="-5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disease:</w:t>
      </w:r>
      <w:r w:rsidRPr="005831D9">
        <w:rPr>
          <w:spacing w:val="-3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an</w:t>
      </w:r>
      <w:r w:rsidRPr="005831D9">
        <w:rPr>
          <w:spacing w:val="-3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evolving</w:t>
      </w:r>
      <w:r w:rsidRPr="005831D9">
        <w:rPr>
          <w:spacing w:val="-4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spectrum.</w:t>
      </w:r>
      <w:r w:rsidRPr="005831D9">
        <w:rPr>
          <w:spacing w:val="5"/>
          <w:sz w:val="16"/>
          <w:lang w:val="en-US"/>
        </w:rPr>
        <w:t xml:space="preserve"> </w:t>
      </w:r>
      <w:r>
        <w:rPr>
          <w:sz w:val="16"/>
        </w:rPr>
        <w:t>Gastroenterology.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2001;</w:t>
      </w:r>
      <w:proofErr w:type="gramEnd"/>
      <w:r>
        <w:rPr>
          <w:sz w:val="16"/>
        </w:rPr>
        <w:t>120(3):636-51.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850"/>
        </w:tabs>
        <w:ind w:right="118" w:firstLine="566"/>
        <w:rPr>
          <w:sz w:val="16"/>
        </w:rPr>
      </w:pPr>
      <w:r>
        <w:rPr>
          <w:sz w:val="16"/>
        </w:rPr>
        <w:t xml:space="preserve">Catassi C, Fabiani E, Ratsch IM, Coppa GV, Giorgi PL, Pierdomenico R,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5831D9">
        <w:rPr>
          <w:sz w:val="16"/>
          <w:lang w:val="en-US"/>
        </w:rPr>
        <w:t xml:space="preserve">The coeliac iceberg in </w:t>
      </w:r>
      <w:r w:rsidRPr="005831D9">
        <w:rPr>
          <w:spacing w:val="-2"/>
          <w:sz w:val="16"/>
          <w:lang w:val="en-US"/>
        </w:rPr>
        <w:t xml:space="preserve">Italy. </w:t>
      </w:r>
      <w:r w:rsidRPr="005831D9">
        <w:rPr>
          <w:sz w:val="16"/>
          <w:lang w:val="en-US"/>
        </w:rPr>
        <w:t xml:space="preserve">A multicentre antigliadin antibodies screening for coeliac disease in school-age subjects. </w:t>
      </w:r>
      <w:r>
        <w:rPr>
          <w:sz w:val="16"/>
        </w:rPr>
        <w:t>A</w:t>
      </w:r>
      <w:r>
        <w:rPr>
          <w:sz w:val="16"/>
        </w:rPr>
        <w:t>cta Paediatr Suppl.</w:t>
      </w:r>
      <w:r>
        <w:rPr>
          <w:spacing w:val="-11"/>
          <w:sz w:val="16"/>
        </w:rPr>
        <w:t xml:space="preserve"> </w:t>
      </w:r>
      <w:proofErr w:type="gramStart"/>
      <w:r>
        <w:rPr>
          <w:sz w:val="16"/>
        </w:rPr>
        <w:t>1996;</w:t>
      </w:r>
      <w:proofErr w:type="gramEnd"/>
      <w:r>
        <w:rPr>
          <w:sz w:val="16"/>
        </w:rPr>
        <w:t>412:29-35.</w:t>
      </w:r>
    </w:p>
    <w:p w:rsidR="00AB6FC4" w:rsidRPr="005831D9" w:rsidRDefault="005831D9">
      <w:pPr>
        <w:pStyle w:val="PargrafodaLista"/>
        <w:numPr>
          <w:ilvl w:val="0"/>
          <w:numId w:val="1"/>
        </w:numPr>
        <w:tabs>
          <w:tab w:val="left" w:pos="838"/>
        </w:tabs>
        <w:ind w:right="127" w:firstLine="566"/>
        <w:rPr>
          <w:sz w:val="16"/>
          <w:lang w:val="en-US"/>
        </w:rPr>
      </w:pPr>
      <w:r>
        <w:rPr>
          <w:sz w:val="16"/>
        </w:rPr>
        <w:t xml:space="preserve">Maki M, Mustalahti K, Kokkonen J, Kulmala P, Haapalahti M, Karttunen T,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5831D9">
        <w:rPr>
          <w:sz w:val="16"/>
          <w:lang w:val="en-US"/>
        </w:rPr>
        <w:t>Prevalence of Celiac disease among children in Finland. N Engl J Med.</w:t>
      </w:r>
      <w:r w:rsidRPr="005831D9">
        <w:rPr>
          <w:spacing w:val="-3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2003</w:t>
      </w:r>
      <w:proofErr w:type="gramStart"/>
      <w:r w:rsidRPr="005831D9">
        <w:rPr>
          <w:sz w:val="16"/>
          <w:lang w:val="en-US"/>
        </w:rPr>
        <w:t>;348</w:t>
      </w:r>
      <w:proofErr w:type="gramEnd"/>
      <w:r w:rsidRPr="005831D9">
        <w:rPr>
          <w:sz w:val="16"/>
          <w:lang w:val="en-US"/>
        </w:rPr>
        <w:t>(25):2517-24.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833"/>
        </w:tabs>
        <w:ind w:right="118" w:firstLine="566"/>
        <w:rPr>
          <w:sz w:val="16"/>
        </w:rPr>
      </w:pPr>
      <w:r w:rsidRPr="005831D9">
        <w:rPr>
          <w:sz w:val="16"/>
          <w:lang w:val="en-US"/>
        </w:rPr>
        <w:t xml:space="preserve">Fasano A, Berti </w:t>
      </w:r>
      <w:r w:rsidRPr="005831D9">
        <w:rPr>
          <w:spacing w:val="-3"/>
          <w:sz w:val="16"/>
          <w:lang w:val="en-US"/>
        </w:rPr>
        <w:t xml:space="preserve">I, </w:t>
      </w:r>
      <w:r w:rsidRPr="005831D9">
        <w:rPr>
          <w:sz w:val="16"/>
          <w:lang w:val="en-US"/>
        </w:rPr>
        <w:t xml:space="preserve">Gerarduzzi T, Not T, Colletti RB, Drago S, et al. Prevalence of celiac disease in at-risk and not-at-risk groups in the United States: a large multicenter study. </w:t>
      </w:r>
      <w:r>
        <w:rPr>
          <w:sz w:val="16"/>
        </w:rPr>
        <w:t xml:space="preserve">Arch Intern Med. </w:t>
      </w:r>
      <w:proofErr w:type="gramStart"/>
      <w:r>
        <w:rPr>
          <w:sz w:val="16"/>
        </w:rPr>
        <w:t>2003;</w:t>
      </w:r>
      <w:proofErr w:type="gramEnd"/>
      <w:r>
        <w:rPr>
          <w:sz w:val="16"/>
        </w:rPr>
        <w:t>163(3):286-92.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838"/>
        </w:tabs>
        <w:ind w:right="120" w:firstLine="566"/>
        <w:rPr>
          <w:sz w:val="16"/>
        </w:rPr>
      </w:pPr>
      <w:r>
        <w:rPr>
          <w:sz w:val="16"/>
        </w:rPr>
        <w:t xml:space="preserve">Catassi C, Ratsch IM, Gandolfi </w:t>
      </w:r>
      <w:r>
        <w:rPr>
          <w:spacing w:val="-3"/>
          <w:sz w:val="16"/>
        </w:rPr>
        <w:t xml:space="preserve">L, </w:t>
      </w:r>
      <w:r>
        <w:rPr>
          <w:sz w:val="16"/>
        </w:rPr>
        <w:t>Pratesi R, Fabiani E, E</w:t>
      </w:r>
      <w:r>
        <w:rPr>
          <w:sz w:val="16"/>
        </w:rPr>
        <w:t xml:space="preserve">l Asmar R,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5831D9">
        <w:rPr>
          <w:sz w:val="16"/>
          <w:lang w:val="en-US"/>
        </w:rPr>
        <w:t xml:space="preserve">Why is coeliac disease endemic in the people of the Sahara? </w:t>
      </w:r>
      <w:r>
        <w:rPr>
          <w:sz w:val="16"/>
        </w:rPr>
        <w:t xml:space="preserve">Lancet. 354. England1999. </w:t>
      </w:r>
      <w:proofErr w:type="gramStart"/>
      <w:r>
        <w:rPr>
          <w:sz w:val="16"/>
        </w:rPr>
        <w:t>p.</w:t>
      </w:r>
      <w:proofErr w:type="gramEnd"/>
      <w:r>
        <w:rPr>
          <w:spacing w:val="-5"/>
          <w:sz w:val="16"/>
        </w:rPr>
        <w:t xml:space="preserve"> </w:t>
      </w:r>
      <w:r>
        <w:rPr>
          <w:sz w:val="16"/>
        </w:rPr>
        <w:t>647-8.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845"/>
        </w:tabs>
        <w:ind w:right="113" w:firstLine="566"/>
        <w:rPr>
          <w:sz w:val="16"/>
        </w:rPr>
      </w:pPr>
      <w:r>
        <w:rPr>
          <w:sz w:val="16"/>
        </w:rPr>
        <w:t xml:space="preserve">Shahbazkhani B, Malekzadeh R, Sotoudeh M, Moghadam </w:t>
      </w:r>
      <w:r>
        <w:rPr>
          <w:spacing w:val="-3"/>
          <w:sz w:val="16"/>
        </w:rPr>
        <w:t xml:space="preserve">KF, </w:t>
      </w:r>
      <w:r>
        <w:rPr>
          <w:sz w:val="16"/>
        </w:rPr>
        <w:t xml:space="preserve">Farhadi M, Ansari R,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5831D9">
        <w:rPr>
          <w:sz w:val="16"/>
          <w:lang w:val="en-US"/>
        </w:rPr>
        <w:t>High prevalence of coeliac disease in apparently healthy Ir</w:t>
      </w:r>
      <w:r w:rsidRPr="005831D9">
        <w:rPr>
          <w:sz w:val="16"/>
          <w:lang w:val="en-US"/>
        </w:rPr>
        <w:t xml:space="preserve">anian blood donors. </w:t>
      </w:r>
      <w:r>
        <w:rPr>
          <w:sz w:val="16"/>
        </w:rPr>
        <w:t>Eur J Gastroenterol Hepatol.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2003;</w:t>
      </w:r>
      <w:proofErr w:type="gramEnd"/>
      <w:r>
        <w:rPr>
          <w:sz w:val="16"/>
        </w:rPr>
        <w:t>15(5):475-8.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34"/>
        </w:tabs>
        <w:ind w:right="121" w:firstLine="566"/>
        <w:rPr>
          <w:sz w:val="16"/>
        </w:rPr>
      </w:pPr>
      <w:r w:rsidRPr="005831D9">
        <w:rPr>
          <w:sz w:val="16"/>
          <w:lang w:val="en-US"/>
        </w:rPr>
        <w:t xml:space="preserve">Polanco </w:t>
      </w:r>
      <w:r w:rsidRPr="005831D9">
        <w:rPr>
          <w:spacing w:val="-3"/>
          <w:sz w:val="16"/>
          <w:lang w:val="en-US"/>
        </w:rPr>
        <w:t xml:space="preserve">I, </w:t>
      </w:r>
      <w:r w:rsidRPr="005831D9">
        <w:rPr>
          <w:sz w:val="16"/>
          <w:lang w:val="en-US"/>
        </w:rPr>
        <w:t xml:space="preserve">Jasinski C, De Rosa S. Coeliac disease in Argentina and Uruguay. In: Auricchio S, Visakorpi JK eds. Common food intolerances I: Epidemiology of coeliac disease. </w:t>
      </w:r>
      <w:r>
        <w:rPr>
          <w:sz w:val="16"/>
        </w:rPr>
        <w:t>Dyn Nutr Res. Bas</w:t>
      </w:r>
      <w:r>
        <w:rPr>
          <w:sz w:val="16"/>
        </w:rPr>
        <w:t xml:space="preserve">el: Karger. 1993. </w:t>
      </w:r>
      <w:proofErr w:type="gramStart"/>
      <w:r>
        <w:rPr>
          <w:sz w:val="16"/>
        </w:rPr>
        <w:t>p.</w:t>
      </w:r>
      <w:proofErr w:type="gramEnd"/>
      <w:r>
        <w:rPr>
          <w:spacing w:val="-15"/>
          <w:sz w:val="16"/>
        </w:rPr>
        <w:t xml:space="preserve"> </w:t>
      </w:r>
      <w:r>
        <w:rPr>
          <w:sz w:val="16"/>
        </w:rPr>
        <w:t>57-63.</w:t>
      </w:r>
    </w:p>
    <w:p w:rsidR="00AB6FC4" w:rsidRPr="005831D9" w:rsidRDefault="005831D9">
      <w:pPr>
        <w:pStyle w:val="PargrafodaLista"/>
        <w:numPr>
          <w:ilvl w:val="0"/>
          <w:numId w:val="1"/>
        </w:numPr>
        <w:tabs>
          <w:tab w:val="left" w:pos="919"/>
        </w:tabs>
        <w:spacing w:before="1"/>
        <w:ind w:right="121" w:firstLine="566"/>
        <w:rPr>
          <w:sz w:val="16"/>
          <w:lang w:val="en-US"/>
        </w:rPr>
      </w:pPr>
      <w:r>
        <w:rPr>
          <w:sz w:val="16"/>
        </w:rPr>
        <w:t xml:space="preserve">Araya M, Mondragon A, Perez-Bravo F, Roessler JL, Alarcon T, Rios G,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5831D9">
        <w:rPr>
          <w:sz w:val="16"/>
          <w:lang w:val="en-US"/>
        </w:rPr>
        <w:t>Celiac disease in a Chilean population carrying Amerindian traits. J Pediatr Gastroenterol Nutr.</w:t>
      </w:r>
      <w:r w:rsidRPr="005831D9">
        <w:rPr>
          <w:spacing w:val="-5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2000</w:t>
      </w:r>
      <w:proofErr w:type="gramStart"/>
      <w:r w:rsidRPr="005831D9">
        <w:rPr>
          <w:sz w:val="16"/>
          <w:lang w:val="en-US"/>
        </w:rPr>
        <w:t>;31</w:t>
      </w:r>
      <w:proofErr w:type="gramEnd"/>
      <w:r w:rsidRPr="005831D9">
        <w:rPr>
          <w:sz w:val="16"/>
          <w:lang w:val="en-US"/>
        </w:rPr>
        <w:t>(4):381-6.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41"/>
        </w:tabs>
        <w:ind w:right="112" w:firstLine="566"/>
        <w:rPr>
          <w:sz w:val="16"/>
        </w:rPr>
      </w:pPr>
      <w:r>
        <w:rPr>
          <w:sz w:val="16"/>
        </w:rPr>
        <w:t>Gomez JC, Selvaggio G, Pizarro B, Vio</w:t>
      </w:r>
      <w:r>
        <w:rPr>
          <w:sz w:val="16"/>
        </w:rPr>
        <w:t xml:space="preserve">la MJ, </w:t>
      </w:r>
      <w:r>
        <w:rPr>
          <w:spacing w:val="-3"/>
          <w:sz w:val="16"/>
        </w:rPr>
        <w:t xml:space="preserve">La </w:t>
      </w:r>
      <w:r>
        <w:rPr>
          <w:sz w:val="16"/>
        </w:rPr>
        <w:t xml:space="preserve">Motta G, Smecuol E,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5831D9">
        <w:rPr>
          <w:sz w:val="16"/>
          <w:lang w:val="en-US"/>
        </w:rPr>
        <w:t xml:space="preserve">Value of a screening algorithm for celiac disease using tissue transglutaminase antibodies as first level in a population-based study. </w:t>
      </w:r>
      <w:proofErr w:type="gramStart"/>
      <w:r>
        <w:rPr>
          <w:sz w:val="16"/>
        </w:rPr>
        <w:t>Am</w:t>
      </w:r>
      <w:proofErr w:type="gramEnd"/>
      <w:r>
        <w:rPr>
          <w:sz w:val="16"/>
        </w:rPr>
        <w:t xml:space="preserve"> J Gastroenterol.</w:t>
      </w:r>
      <w:r>
        <w:rPr>
          <w:spacing w:val="-11"/>
          <w:sz w:val="16"/>
        </w:rPr>
        <w:t xml:space="preserve"> </w:t>
      </w:r>
      <w:proofErr w:type="gramStart"/>
      <w:r>
        <w:rPr>
          <w:sz w:val="16"/>
        </w:rPr>
        <w:t>2002;</w:t>
      </w:r>
      <w:proofErr w:type="gramEnd"/>
      <w:r>
        <w:rPr>
          <w:sz w:val="16"/>
        </w:rPr>
        <w:t>97(11):2785-90.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12"/>
        </w:tabs>
        <w:ind w:right="115" w:firstLine="566"/>
        <w:rPr>
          <w:sz w:val="16"/>
        </w:rPr>
      </w:pPr>
      <w:r w:rsidRPr="005831D9">
        <w:rPr>
          <w:sz w:val="16"/>
          <w:lang w:val="en-US"/>
        </w:rPr>
        <w:t xml:space="preserve">Gandolfi </w:t>
      </w:r>
      <w:r w:rsidRPr="005831D9">
        <w:rPr>
          <w:spacing w:val="-3"/>
          <w:sz w:val="16"/>
          <w:lang w:val="en-US"/>
        </w:rPr>
        <w:t xml:space="preserve">L, </w:t>
      </w:r>
      <w:r w:rsidRPr="005831D9">
        <w:rPr>
          <w:sz w:val="16"/>
          <w:lang w:val="en-US"/>
        </w:rPr>
        <w:t xml:space="preserve">Pratesi R, Cordoba JC, Tauil PL, Gasparin M, Catassi C. Prevalence of celiac disease among blood donors in Brazil. </w:t>
      </w:r>
      <w:proofErr w:type="gramStart"/>
      <w:r>
        <w:rPr>
          <w:sz w:val="16"/>
        </w:rPr>
        <w:t>Am</w:t>
      </w:r>
      <w:proofErr w:type="gramEnd"/>
      <w:r>
        <w:rPr>
          <w:sz w:val="16"/>
        </w:rPr>
        <w:t xml:space="preserve"> J Gastroenterol. </w:t>
      </w:r>
      <w:proofErr w:type="gramStart"/>
      <w:r>
        <w:rPr>
          <w:sz w:val="16"/>
        </w:rPr>
        <w:t>2000;</w:t>
      </w:r>
      <w:proofErr w:type="gramEnd"/>
      <w:r>
        <w:rPr>
          <w:sz w:val="16"/>
        </w:rPr>
        <w:t>95(3):689-92.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22"/>
        </w:tabs>
        <w:ind w:right="122" w:firstLine="566"/>
        <w:rPr>
          <w:sz w:val="16"/>
        </w:rPr>
      </w:pPr>
      <w:r>
        <w:rPr>
          <w:sz w:val="16"/>
        </w:rPr>
        <w:t xml:space="preserve">Melo SB, Fernandes MI, Peres LC, Troncon LE, Galvao LC. </w:t>
      </w:r>
      <w:r w:rsidRPr="005831D9">
        <w:rPr>
          <w:sz w:val="16"/>
          <w:lang w:val="en-US"/>
        </w:rPr>
        <w:t xml:space="preserve">Prevalence and demographic characteristics of </w:t>
      </w:r>
      <w:r w:rsidRPr="005831D9">
        <w:rPr>
          <w:sz w:val="16"/>
          <w:lang w:val="en-US"/>
        </w:rPr>
        <w:t xml:space="preserve">celiac disease among blood donors in Ribeirao Preto, State of Sao Paulo, Brazil. </w:t>
      </w:r>
      <w:proofErr w:type="gramStart"/>
      <w:r>
        <w:rPr>
          <w:sz w:val="16"/>
        </w:rPr>
        <w:t>Dig</w:t>
      </w:r>
      <w:proofErr w:type="gramEnd"/>
      <w:r>
        <w:rPr>
          <w:sz w:val="16"/>
        </w:rPr>
        <w:t xml:space="preserve"> Dis Sci.</w:t>
      </w:r>
      <w:r>
        <w:rPr>
          <w:spacing w:val="-7"/>
          <w:sz w:val="16"/>
        </w:rPr>
        <w:t xml:space="preserve"> </w:t>
      </w:r>
      <w:proofErr w:type="gramStart"/>
      <w:r>
        <w:rPr>
          <w:sz w:val="16"/>
        </w:rPr>
        <w:t>2006;</w:t>
      </w:r>
      <w:proofErr w:type="gramEnd"/>
      <w:r>
        <w:rPr>
          <w:sz w:val="16"/>
        </w:rPr>
        <w:t>51(5):1020-5.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34"/>
        </w:tabs>
        <w:ind w:right="120" w:firstLine="566"/>
        <w:rPr>
          <w:sz w:val="16"/>
        </w:rPr>
      </w:pPr>
      <w:r>
        <w:rPr>
          <w:sz w:val="16"/>
        </w:rPr>
        <w:t xml:space="preserve">Oliveira RP, Sdepanian VL, Barreto JA, Cortez AJ, Carvalho FO, Bordin JO,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5831D9">
        <w:rPr>
          <w:sz w:val="16"/>
          <w:lang w:val="en-US"/>
        </w:rPr>
        <w:t>High prevalence of celiac disease in Brazilian blood donor vol</w:t>
      </w:r>
      <w:r w:rsidRPr="005831D9">
        <w:rPr>
          <w:sz w:val="16"/>
          <w:lang w:val="en-US"/>
        </w:rPr>
        <w:t xml:space="preserve">unteers based on screening by IgA antitissue transglutaminase antibody. </w:t>
      </w:r>
      <w:r>
        <w:rPr>
          <w:sz w:val="16"/>
        </w:rPr>
        <w:t>Eur J Gastroenterol Hepatol.</w:t>
      </w:r>
      <w:r>
        <w:rPr>
          <w:spacing w:val="-14"/>
          <w:sz w:val="16"/>
        </w:rPr>
        <w:t xml:space="preserve"> </w:t>
      </w:r>
      <w:proofErr w:type="gramStart"/>
      <w:r>
        <w:rPr>
          <w:sz w:val="16"/>
        </w:rPr>
        <w:t>2007;</w:t>
      </w:r>
      <w:proofErr w:type="gramEnd"/>
      <w:r>
        <w:rPr>
          <w:sz w:val="16"/>
        </w:rPr>
        <w:t>19(1):43-9.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15"/>
        </w:tabs>
        <w:ind w:right="115" w:firstLine="566"/>
        <w:rPr>
          <w:sz w:val="16"/>
        </w:rPr>
      </w:pPr>
      <w:r>
        <w:rPr>
          <w:sz w:val="16"/>
        </w:rPr>
        <w:t xml:space="preserve">Pratesi R, Gandolfi </w:t>
      </w:r>
      <w:r>
        <w:rPr>
          <w:spacing w:val="-3"/>
          <w:sz w:val="16"/>
        </w:rPr>
        <w:t xml:space="preserve">L, </w:t>
      </w:r>
      <w:r>
        <w:rPr>
          <w:sz w:val="16"/>
        </w:rPr>
        <w:t xml:space="preserve">Garcia SG, Modelli IC, Lopes de Almeida P, Bocca AL,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5831D9">
        <w:rPr>
          <w:sz w:val="16"/>
          <w:lang w:val="en-US"/>
        </w:rPr>
        <w:t xml:space="preserve">Prevalence of coeliac disease: unexplained age-related variation in the same population. </w:t>
      </w:r>
      <w:r>
        <w:rPr>
          <w:sz w:val="16"/>
        </w:rPr>
        <w:t>Scand J Gastroenterol.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2003;</w:t>
      </w:r>
      <w:proofErr w:type="gramEnd"/>
      <w:r>
        <w:rPr>
          <w:sz w:val="16"/>
        </w:rPr>
        <w:t>38(7):747-50.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15"/>
        </w:tabs>
        <w:ind w:right="119" w:firstLine="566"/>
        <w:rPr>
          <w:sz w:val="16"/>
        </w:rPr>
      </w:pPr>
      <w:r>
        <w:rPr>
          <w:sz w:val="16"/>
        </w:rPr>
        <w:t xml:space="preserve">Pereira MA, Ortiz-Agostinho CL, Nishitokukado </w:t>
      </w:r>
      <w:r>
        <w:rPr>
          <w:spacing w:val="-3"/>
          <w:sz w:val="16"/>
        </w:rPr>
        <w:t xml:space="preserve">I, </w:t>
      </w:r>
      <w:r>
        <w:rPr>
          <w:sz w:val="16"/>
        </w:rPr>
        <w:t xml:space="preserve">Sato MN, Damiao </w:t>
      </w:r>
      <w:r>
        <w:rPr>
          <w:sz w:val="16"/>
        </w:rPr>
        <w:t xml:space="preserve">AO, Alencar ML,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5831D9">
        <w:rPr>
          <w:sz w:val="16"/>
          <w:lang w:val="en-US"/>
        </w:rPr>
        <w:t xml:space="preserve">Prevalence of celiac disease in an urban area of Brazil with predominantly European ancestry. </w:t>
      </w:r>
      <w:r>
        <w:rPr>
          <w:sz w:val="16"/>
        </w:rPr>
        <w:t>World J Gastroenterol.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2006;</w:t>
      </w:r>
      <w:proofErr w:type="gramEnd"/>
      <w:r>
        <w:rPr>
          <w:sz w:val="16"/>
        </w:rPr>
        <w:t>12(40):6546-50.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19"/>
        </w:tabs>
        <w:ind w:right="116" w:firstLine="566"/>
        <w:rPr>
          <w:sz w:val="16"/>
        </w:rPr>
      </w:pPr>
      <w:r w:rsidRPr="005831D9">
        <w:rPr>
          <w:sz w:val="16"/>
          <w:lang w:val="en-US"/>
        </w:rPr>
        <w:t xml:space="preserve">Sdepanian VL, de Morais MB, Fagundes Neto U. [Celiac disease: evolution in knowledge since its </w:t>
      </w:r>
      <w:r w:rsidRPr="005831D9">
        <w:rPr>
          <w:sz w:val="16"/>
          <w:lang w:val="en-US"/>
        </w:rPr>
        <w:t xml:space="preserve">original centennial description up to the present day]. </w:t>
      </w:r>
      <w:r>
        <w:rPr>
          <w:sz w:val="16"/>
        </w:rPr>
        <w:t>Arq Gastroenterol.</w:t>
      </w:r>
      <w:r>
        <w:rPr>
          <w:spacing w:val="2"/>
          <w:sz w:val="16"/>
        </w:rPr>
        <w:t xml:space="preserve"> </w:t>
      </w:r>
      <w:proofErr w:type="gramStart"/>
      <w:r>
        <w:rPr>
          <w:sz w:val="16"/>
        </w:rPr>
        <w:t>1999;</w:t>
      </w:r>
      <w:proofErr w:type="gramEnd"/>
      <w:r>
        <w:rPr>
          <w:sz w:val="16"/>
        </w:rPr>
        <w:t>36(4):244-57.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15"/>
        </w:tabs>
        <w:ind w:right="119" w:firstLine="566"/>
        <w:rPr>
          <w:sz w:val="16"/>
        </w:rPr>
      </w:pPr>
      <w:r w:rsidRPr="005831D9">
        <w:rPr>
          <w:sz w:val="16"/>
          <w:lang w:val="en-US"/>
        </w:rPr>
        <w:t xml:space="preserve">Sdepanian VL, Moraes MB, </w:t>
      </w:r>
      <w:proofErr w:type="gramStart"/>
      <w:r w:rsidRPr="005831D9">
        <w:rPr>
          <w:sz w:val="16"/>
          <w:lang w:val="en-US"/>
        </w:rPr>
        <w:t>Fagundes</w:t>
      </w:r>
      <w:proofErr w:type="gramEnd"/>
      <w:r w:rsidRPr="005831D9">
        <w:rPr>
          <w:sz w:val="16"/>
          <w:lang w:val="en-US"/>
        </w:rPr>
        <w:t>-Neto U. [Celiac disease: clinical characteristics and methods used in the diagnosis of patients registered at the Brazilian Celi</w:t>
      </w:r>
      <w:r w:rsidRPr="005831D9">
        <w:rPr>
          <w:sz w:val="16"/>
          <w:lang w:val="en-US"/>
        </w:rPr>
        <w:t xml:space="preserve">ac Association]. </w:t>
      </w:r>
      <w:r>
        <w:rPr>
          <w:sz w:val="16"/>
        </w:rPr>
        <w:t>J Pediatr (Rio J).</w:t>
      </w:r>
      <w:r>
        <w:rPr>
          <w:spacing w:val="-8"/>
          <w:sz w:val="16"/>
        </w:rPr>
        <w:t xml:space="preserve"> </w:t>
      </w:r>
      <w:proofErr w:type="gramStart"/>
      <w:r>
        <w:rPr>
          <w:sz w:val="16"/>
        </w:rPr>
        <w:t>2001;</w:t>
      </w:r>
      <w:proofErr w:type="gramEnd"/>
      <w:r>
        <w:rPr>
          <w:sz w:val="16"/>
        </w:rPr>
        <w:t>77(2):131-8.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17"/>
        </w:tabs>
        <w:ind w:right="118" w:firstLine="566"/>
        <w:rPr>
          <w:sz w:val="16"/>
        </w:rPr>
      </w:pPr>
      <w:r w:rsidRPr="005831D9">
        <w:rPr>
          <w:sz w:val="16"/>
          <w:lang w:val="en-US"/>
        </w:rPr>
        <w:t xml:space="preserve">Vitoria JC, Arrieta A, Astigarraga </w:t>
      </w:r>
      <w:r w:rsidRPr="005831D9">
        <w:rPr>
          <w:spacing w:val="-3"/>
          <w:sz w:val="16"/>
          <w:lang w:val="en-US"/>
        </w:rPr>
        <w:t xml:space="preserve">I, </w:t>
      </w:r>
      <w:r w:rsidRPr="005831D9">
        <w:rPr>
          <w:sz w:val="16"/>
          <w:lang w:val="en-US"/>
        </w:rPr>
        <w:t xml:space="preserve">Garcia-Masdevall D, Rodriguez-Soriano J. Use of serological markers as a screening test in family members of patients with celiac disease. </w:t>
      </w:r>
      <w:r>
        <w:rPr>
          <w:sz w:val="16"/>
        </w:rPr>
        <w:t>J Pediatr Gastroenterol N</w:t>
      </w:r>
      <w:r>
        <w:rPr>
          <w:sz w:val="16"/>
        </w:rPr>
        <w:t>utr.</w:t>
      </w:r>
      <w:r>
        <w:rPr>
          <w:spacing w:val="-10"/>
          <w:sz w:val="16"/>
        </w:rPr>
        <w:t xml:space="preserve"> </w:t>
      </w:r>
      <w:proofErr w:type="gramStart"/>
      <w:r>
        <w:rPr>
          <w:sz w:val="16"/>
        </w:rPr>
        <w:t>1994;</w:t>
      </w:r>
      <w:proofErr w:type="gramEnd"/>
      <w:r>
        <w:rPr>
          <w:sz w:val="16"/>
        </w:rPr>
        <w:t>19(3):304-9.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39"/>
        </w:tabs>
        <w:ind w:right="117" w:firstLine="566"/>
        <w:rPr>
          <w:sz w:val="16"/>
        </w:rPr>
      </w:pPr>
      <w:r w:rsidRPr="005831D9">
        <w:rPr>
          <w:sz w:val="16"/>
          <w:lang w:val="en-US"/>
        </w:rPr>
        <w:t xml:space="preserve">Nunes CR, Medeiros EH, Leser P, Patricio FR, Wheba J. [Dosage of the antibody antigliadin in first degree relatives of celiac patients]. </w:t>
      </w:r>
      <w:r>
        <w:rPr>
          <w:sz w:val="16"/>
        </w:rPr>
        <w:t xml:space="preserve">Arq Gastroenterol. </w:t>
      </w:r>
      <w:proofErr w:type="gramStart"/>
      <w:r>
        <w:rPr>
          <w:sz w:val="16"/>
        </w:rPr>
        <w:t>1998;</w:t>
      </w:r>
      <w:proofErr w:type="gramEnd"/>
      <w:r>
        <w:rPr>
          <w:sz w:val="16"/>
        </w:rPr>
        <w:t>35(1):69-73.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19"/>
        </w:tabs>
        <w:ind w:right="122" w:firstLine="566"/>
        <w:rPr>
          <w:sz w:val="16"/>
        </w:rPr>
      </w:pPr>
      <w:r>
        <w:rPr>
          <w:sz w:val="16"/>
        </w:rPr>
        <w:t>Kotze LM, Utiyama SR, Nisihara RM, Zeni MP, de Sena MG, Ama</w:t>
      </w:r>
      <w:r>
        <w:rPr>
          <w:sz w:val="16"/>
        </w:rPr>
        <w:t xml:space="preserve">rante HM. </w:t>
      </w:r>
      <w:r w:rsidRPr="005831D9">
        <w:rPr>
          <w:sz w:val="16"/>
          <w:lang w:val="en-US"/>
        </w:rPr>
        <w:t xml:space="preserve">Antiendomysium antibodies in Brazilian patients with celiac disease and their first-degree relatives. </w:t>
      </w:r>
      <w:r>
        <w:rPr>
          <w:sz w:val="16"/>
        </w:rPr>
        <w:t>Arq Gastroenterol.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2001;</w:t>
      </w:r>
      <w:proofErr w:type="gramEnd"/>
      <w:r>
        <w:rPr>
          <w:sz w:val="16"/>
        </w:rPr>
        <w:t>38(2):94-103.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17"/>
        </w:tabs>
        <w:ind w:right="116" w:firstLine="566"/>
        <w:rPr>
          <w:sz w:val="16"/>
        </w:rPr>
      </w:pPr>
      <w:r>
        <w:rPr>
          <w:sz w:val="16"/>
        </w:rPr>
        <w:t>Laranjeira M. Prevalência de doença celíaca em parentes de primeiro grau de pacientes com doença celíaca e</w:t>
      </w:r>
      <w:r>
        <w:rPr>
          <w:sz w:val="16"/>
        </w:rPr>
        <w:t>m São Paulo – Brasil [dissertação]. São Paulo: Universidade Federal de São Paulo – Escola Paulista de Medicina – UNIFESP;</w:t>
      </w:r>
      <w:r>
        <w:rPr>
          <w:spacing w:val="-14"/>
          <w:sz w:val="16"/>
        </w:rPr>
        <w:t xml:space="preserve"> </w:t>
      </w:r>
      <w:r>
        <w:rPr>
          <w:sz w:val="16"/>
        </w:rPr>
        <w:t>2005.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15"/>
        </w:tabs>
        <w:ind w:right="115" w:firstLine="566"/>
        <w:rPr>
          <w:sz w:val="16"/>
        </w:rPr>
      </w:pPr>
      <w:r w:rsidRPr="005831D9">
        <w:rPr>
          <w:sz w:val="16"/>
          <w:lang w:val="en-US"/>
        </w:rPr>
        <w:t>Ransford RA, Hayes M, Palmer M, Hall MJ. A controlled, prospective screening study of celiac disease presenting as iron deficien</w:t>
      </w:r>
      <w:r w:rsidRPr="005831D9">
        <w:rPr>
          <w:sz w:val="16"/>
          <w:lang w:val="en-US"/>
        </w:rPr>
        <w:t xml:space="preserve">cy anemia. </w:t>
      </w:r>
      <w:r>
        <w:rPr>
          <w:sz w:val="16"/>
        </w:rPr>
        <w:t xml:space="preserve">J Clin Gastroenterol. </w:t>
      </w:r>
      <w:proofErr w:type="gramStart"/>
      <w:r>
        <w:rPr>
          <w:sz w:val="16"/>
        </w:rPr>
        <w:t>2002;</w:t>
      </w:r>
      <w:proofErr w:type="gramEnd"/>
      <w:r>
        <w:rPr>
          <w:sz w:val="16"/>
        </w:rPr>
        <w:t>35(3):228-33.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15"/>
        </w:tabs>
        <w:ind w:right="119" w:firstLine="566"/>
        <w:rPr>
          <w:sz w:val="16"/>
        </w:rPr>
      </w:pPr>
      <w:r w:rsidRPr="005831D9">
        <w:rPr>
          <w:sz w:val="16"/>
          <w:lang w:val="en-US"/>
        </w:rPr>
        <w:t xml:space="preserve">Sdepanian VL, de Miranda Carvalho CN, de Morais MB, Colugnati </w:t>
      </w:r>
      <w:r w:rsidRPr="005831D9">
        <w:rPr>
          <w:spacing w:val="-3"/>
          <w:sz w:val="16"/>
          <w:lang w:val="en-US"/>
        </w:rPr>
        <w:t xml:space="preserve">FA, </w:t>
      </w:r>
      <w:r w:rsidRPr="005831D9">
        <w:rPr>
          <w:sz w:val="16"/>
          <w:lang w:val="en-US"/>
        </w:rPr>
        <w:t>Fagundes-Neto U. Bone mineral density of the lumbar spine in children and adolescents with celiac disease on a gluten-free diet in Sao Pau</w:t>
      </w:r>
      <w:r w:rsidRPr="005831D9">
        <w:rPr>
          <w:sz w:val="16"/>
          <w:lang w:val="en-US"/>
        </w:rPr>
        <w:t xml:space="preserve">lo, Brazil. </w:t>
      </w:r>
      <w:r>
        <w:rPr>
          <w:sz w:val="16"/>
        </w:rPr>
        <w:t>J Pediatr Gastroenterol Nutr.</w:t>
      </w:r>
      <w:r>
        <w:rPr>
          <w:spacing w:val="-23"/>
          <w:sz w:val="16"/>
        </w:rPr>
        <w:t xml:space="preserve"> </w:t>
      </w:r>
      <w:proofErr w:type="gramStart"/>
      <w:r>
        <w:rPr>
          <w:sz w:val="16"/>
        </w:rPr>
        <w:t>2003;</w:t>
      </w:r>
      <w:proofErr w:type="gramEnd"/>
      <w:r>
        <w:rPr>
          <w:sz w:val="16"/>
        </w:rPr>
        <w:t>37(5):571-6.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07"/>
        </w:tabs>
        <w:spacing w:line="183" w:lineRule="exact"/>
        <w:ind w:left="906" w:hanging="240"/>
        <w:rPr>
          <w:sz w:val="16"/>
        </w:rPr>
      </w:pPr>
      <w:r w:rsidRPr="005831D9">
        <w:rPr>
          <w:sz w:val="16"/>
          <w:lang w:val="en-US"/>
        </w:rPr>
        <w:t>Mora</w:t>
      </w:r>
      <w:r w:rsidRPr="005831D9">
        <w:rPr>
          <w:spacing w:val="-1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S,</w:t>
      </w:r>
      <w:r w:rsidRPr="005831D9">
        <w:rPr>
          <w:spacing w:val="-3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Barera G.</w:t>
      </w:r>
      <w:r w:rsidRPr="005831D9">
        <w:rPr>
          <w:spacing w:val="-1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Bone</w:t>
      </w:r>
      <w:r w:rsidRPr="005831D9">
        <w:rPr>
          <w:spacing w:val="-3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mass</w:t>
      </w:r>
      <w:r w:rsidRPr="005831D9">
        <w:rPr>
          <w:spacing w:val="-3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and</w:t>
      </w:r>
      <w:r w:rsidRPr="005831D9">
        <w:rPr>
          <w:spacing w:val="-3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bone metabolism</w:t>
      </w:r>
      <w:r w:rsidRPr="005831D9">
        <w:rPr>
          <w:spacing w:val="-4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in</w:t>
      </w:r>
      <w:r w:rsidRPr="005831D9">
        <w:rPr>
          <w:spacing w:val="-2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pediatric</w:t>
      </w:r>
      <w:r w:rsidRPr="005831D9">
        <w:rPr>
          <w:spacing w:val="-1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gastrointestinal</w:t>
      </w:r>
      <w:r w:rsidRPr="005831D9">
        <w:rPr>
          <w:spacing w:val="-2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 xml:space="preserve">disorders. </w:t>
      </w:r>
      <w:r>
        <w:rPr>
          <w:sz w:val="16"/>
        </w:rPr>
        <w:t>J</w:t>
      </w:r>
      <w:r>
        <w:rPr>
          <w:spacing w:val="-2"/>
          <w:sz w:val="16"/>
        </w:rPr>
        <w:t xml:space="preserve"> </w:t>
      </w:r>
      <w:r>
        <w:rPr>
          <w:sz w:val="16"/>
        </w:rPr>
        <w:t>Pediatr</w:t>
      </w:r>
      <w:r>
        <w:rPr>
          <w:spacing w:val="-4"/>
          <w:sz w:val="16"/>
        </w:rPr>
        <w:t xml:space="preserve"> </w:t>
      </w:r>
      <w:r>
        <w:rPr>
          <w:sz w:val="16"/>
        </w:rPr>
        <w:t>Gastroenterol</w:t>
      </w:r>
      <w:r>
        <w:rPr>
          <w:spacing w:val="-2"/>
          <w:sz w:val="16"/>
        </w:rPr>
        <w:t xml:space="preserve"> </w:t>
      </w:r>
      <w:r>
        <w:rPr>
          <w:sz w:val="16"/>
        </w:rPr>
        <w:t>Nutr.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2004;</w:t>
      </w:r>
      <w:proofErr w:type="gramEnd"/>
      <w:r>
        <w:rPr>
          <w:sz w:val="16"/>
        </w:rPr>
        <w:t>39(2):129-40.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15"/>
        </w:tabs>
        <w:ind w:right="121" w:firstLine="566"/>
        <w:rPr>
          <w:sz w:val="16"/>
        </w:rPr>
      </w:pPr>
      <w:r w:rsidRPr="005831D9">
        <w:rPr>
          <w:sz w:val="16"/>
          <w:lang w:val="en-US"/>
        </w:rPr>
        <w:t xml:space="preserve">Bonamico M, Scire G, Mariani P, Pasquino AM, Triglione P, Scaccia S, et al. Short stature as the primary manifestation of monosymptomatic celiac disease. </w:t>
      </w:r>
      <w:r>
        <w:rPr>
          <w:sz w:val="16"/>
        </w:rPr>
        <w:t>J Pediatr Gastroenterol Nutr.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1992;</w:t>
      </w:r>
      <w:proofErr w:type="gramEnd"/>
      <w:r>
        <w:rPr>
          <w:sz w:val="16"/>
        </w:rPr>
        <w:t>14(1):12-6.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55"/>
        </w:tabs>
        <w:ind w:right="122" w:firstLine="566"/>
        <w:rPr>
          <w:sz w:val="16"/>
        </w:rPr>
      </w:pPr>
      <w:r>
        <w:rPr>
          <w:sz w:val="16"/>
        </w:rPr>
        <w:t>Oliveira MC, Reis FJ, Chagas AJ, Brasileiro Filho G, Ba</w:t>
      </w:r>
      <w:r>
        <w:rPr>
          <w:sz w:val="16"/>
        </w:rPr>
        <w:t xml:space="preserve">hia M, Silva LD,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5831D9">
        <w:rPr>
          <w:sz w:val="16"/>
          <w:lang w:val="en-US"/>
        </w:rPr>
        <w:t xml:space="preserve">[Study of intestinal malabsorption diseases as cause of monosymptomatic short stature]. </w:t>
      </w:r>
      <w:r>
        <w:rPr>
          <w:sz w:val="16"/>
        </w:rPr>
        <w:t>J Pediatr (Rio J).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1998;</w:t>
      </w:r>
      <w:proofErr w:type="gramEnd"/>
      <w:r>
        <w:rPr>
          <w:sz w:val="16"/>
        </w:rPr>
        <w:t>74(3):213-6.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22"/>
        </w:tabs>
        <w:spacing w:before="2"/>
        <w:ind w:right="117" w:firstLine="566"/>
        <w:rPr>
          <w:sz w:val="16"/>
        </w:rPr>
      </w:pPr>
      <w:r>
        <w:rPr>
          <w:sz w:val="16"/>
        </w:rPr>
        <w:t xml:space="preserve">Barera G, Bonfanti R, Viscardi M, Bazzigaluppi E, Calori G, Meschi F,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5831D9">
        <w:rPr>
          <w:sz w:val="16"/>
          <w:lang w:val="en-US"/>
        </w:rPr>
        <w:t>Occurrence of celiac disease a</w:t>
      </w:r>
      <w:r w:rsidRPr="005831D9">
        <w:rPr>
          <w:sz w:val="16"/>
          <w:lang w:val="en-US"/>
        </w:rPr>
        <w:t xml:space="preserve">fter onset of type 1 diabetes: a 6-year prospective longitudinal study. </w:t>
      </w:r>
      <w:r>
        <w:rPr>
          <w:sz w:val="16"/>
        </w:rPr>
        <w:t>Pediatrics.</w:t>
      </w:r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2002;</w:t>
      </w:r>
      <w:proofErr w:type="gramEnd"/>
      <w:r>
        <w:rPr>
          <w:sz w:val="16"/>
        </w:rPr>
        <w:t>109(5):833-8.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07"/>
        </w:tabs>
        <w:spacing w:line="183" w:lineRule="exact"/>
        <w:ind w:left="906" w:hanging="240"/>
        <w:rPr>
          <w:sz w:val="16"/>
        </w:rPr>
      </w:pPr>
      <w:r w:rsidRPr="005831D9">
        <w:rPr>
          <w:sz w:val="16"/>
          <w:lang w:val="en-US"/>
        </w:rPr>
        <w:t>Mulder</w:t>
      </w:r>
      <w:r w:rsidRPr="005831D9">
        <w:rPr>
          <w:spacing w:val="-3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CJ,</w:t>
      </w:r>
      <w:r w:rsidRPr="005831D9">
        <w:rPr>
          <w:spacing w:val="-2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Tytgat</w:t>
      </w:r>
      <w:r w:rsidRPr="005831D9">
        <w:rPr>
          <w:spacing w:val="-1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GN,</w:t>
      </w:r>
      <w:r w:rsidRPr="005831D9">
        <w:rPr>
          <w:spacing w:val="-1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Groenland</w:t>
      </w:r>
      <w:r w:rsidRPr="005831D9">
        <w:rPr>
          <w:spacing w:val="-3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F,</w:t>
      </w:r>
      <w:r w:rsidRPr="005831D9">
        <w:rPr>
          <w:spacing w:val="2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Pena</w:t>
      </w:r>
      <w:r w:rsidRPr="005831D9">
        <w:rPr>
          <w:spacing w:val="-1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AS.</w:t>
      </w:r>
      <w:r w:rsidRPr="005831D9">
        <w:rPr>
          <w:spacing w:val="-1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Combined</w:t>
      </w:r>
      <w:r w:rsidRPr="005831D9">
        <w:rPr>
          <w:spacing w:val="-3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coeliac</w:t>
      </w:r>
      <w:r w:rsidRPr="005831D9">
        <w:rPr>
          <w:spacing w:val="-4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disease</w:t>
      </w:r>
      <w:r w:rsidRPr="005831D9">
        <w:rPr>
          <w:spacing w:val="-4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and</w:t>
      </w:r>
      <w:r w:rsidRPr="005831D9">
        <w:rPr>
          <w:spacing w:val="-3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thyroid</w:t>
      </w:r>
      <w:r w:rsidRPr="005831D9">
        <w:rPr>
          <w:spacing w:val="-1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disease.</w:t>
      </w:r>
      <w:r w:rsidRPr="005831D9">
        <w:rPr>
          <w:spacing w:val="3"/>
          <w:sz w:val="16"/>
          <w:lang w:val="en-US"/>
        </w:rPr>
        <w:t xml:space="preserve"> </w:t>
      </w:r>
      <w:r>
        <w:rPr>
          <w:sz w:val="16"/>
        </w:rPr>
        <w:t>Eur</w:t>
      </w:r>
      <w:r>
        <w:rPr>
          <w:spacing w:val="-3"/>
          <w:sz w:val="16"/>
        </w:rPr>
        <w:t xml:space="preserve"> </w:t>
      </w:r>
      <w:r>
        <w:rPr>
          <w:sz w:val="16"/>
        </w:rPr>
        <w:t>J</w:t>
      </w:r>
      <w:r>
        <w:rPr>
          <w:spacing w:val="-2"/>
          <w:sz w:val="16"/>
        </w:rPr>
        <w:t xml:space="preserve"> </w:t>
      </w:r>
      <w:r>
        <w:rPr>
          <w:sz w:val="16"/>
        </w:rPr>
        <w:t>Gastroenterol</w:t>
      </w:r>
      <w:r>
        <w:rPr>
          <w:spacing w:val="-3"/>
          <w:sz w:val="16"/>
        </w:rPr>
        <w:t xml:space="preserve"> </w:t>
      </w:r>
      <w:r>
        <w:rPr>
          <w:sz w:val="16"/>
        </w:rPr>
        <w:t>Hepatol.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1999;</w:t>
      </w:r>
      <w:proofErr w:type="gramEnd"/>
      <w:r>
        <w:rPr>
          <w:sz w:val="16"/>
        </w:rPr>
        <w:t>11(8):939-40.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31"/>
        </w:tabs>
        <w:ind w:right="123" w:firstLine="566"/>
        <w:rPr>
          <w:sz w:val="16"/>
        </w:rPr>
      </w:pPr>
      <w:r>
        <w:rPr>
          <w:sz w:val="16"/>
        </w:rPr>
        <w:t>Savilahti E, Pe</w:t>
      </w:r>
      <w:r>
        <w:rPr>
          <w:sz w:val="16"/>
        </w:rPr>
        <w:t xml:space="preserve">lkonen P, Visakorpi JK. </w:t>
      </w:r>
      <w:r w:rsidRPr="005831D9">
        <w:rPr>
          <w:sz w:val="16"/>
          <w:lang w:val="en-US"/>
        </w:rPr>
        <w:t xml:space="preserve">IgA deficiency in children. A clinical study with special reference to intestinal findings. </w:t>
      </w:r>
      <w:r>
        <w:rPr>
          <w:sz w:val="16"/>
        </w:rPr>
        <w:t xml:space="preserve">Arch Dis Child. </w:t>
      </w:r>
      <w:proofErr w:type="gramStart"/>
      <w:r>
        <w:rPr>
          <w:sz w:val="16"/>
        </w:rPr>
        <w:t>1971;</w:t>
      </w:r>
      <w:proofErr w:type="gramEnd"/>
      <w:r>
        <w:rPr>
          <w:sz w:val="16"/>
        </w:rPr>
        <w:t>46(249):665-70.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36"/>
        </w:tabs>
        <w:ind w:right="121" w:firstLine="566"/>
        <w:rPr>
          <w:sz w:val="16"/>
        </w:rPr>
      </w:pPr>
      <w:r w:rsidRPr="005831D9">
        <w:rPr>
          <w:sz w:val="16"/>
          <w:lang w:val="en-US"/>
        </w:rPr>
        <w:t>Szodoray P, Barta Z, Lakos G, Szakall S, Zeher M. Coeliac disease in Sjogren's syndrome--a study of 111</w:t>
      </w:r>
      <w:r w:rsidRPr="005831D9">
        <w:rPr>
          <w:sz w:val="16"/>
          <w:lang w:val="en-US"/>
        </w:rPr>
        <w:t xml:space="preserve"> Hungarian patients. </w:t>
      </w:r>
      <w:r>
        <w:rPr>
          <w:sz w:val="16"/>
        </w:rPr>
        <w:t xml:space="preserve">Rheumatol Int. </w:t>
      </w:r>
      <w:proofErr w:type="gramStart"/>
      <w:r>
        <w:rPr>
          <w:sz w:val="16"/>
        </w:rPr>
        <w:t>2004;</w:t>
      </w:r>
      <w:proofErr w:type="gramEnd"/>
      <w:r>
        <w:rPr>
          <w:sz w:val="16"/>
        </w:rPr>
        <w:t>24(5):278-82.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29"/>
        </w:tabs>
        <w:ind w:right="117" w:firstLine="566"/>
        <w:rPr>
          <w:sz w:val="16"/>
        </w:rPr>
      </w:pPr>
      <w:r w:rsidRPr="005831D9">
        <w:rPr>
          <w:sz w:val="16"/>
          <w:lang w:val="en-US"/>
        </w:rPr>
        <w:t xml:space="preserve">Lawson A, West J, Aithal GP, Logan RF. Autoimmune cholestatic liver disease in people with coeliac disease: a population-based study of their association. </w:t>
      </w:r>
      <w:r>
        <w:rPr>
          <w:sz w:val="16"/>
        </w:rPr>
        <w:t>Aliment Pharmacol Ther.</w:t>
      </w:r>
      <w:r>
        <w:rPr>
          <w:spacing w:val="2"/>
          <w:sz w:val="16"/>
        </w:rPr>
        <w:t xml:space="preserve"> </w:t>
      </w:r>
      <w:proofErr w:type="gramStart"/>
      <w:r>
        <w:rPr>
          <w:sz w:val="16"/>
        </w:rPr>
        <w:t>2005;</w:t>
      </w:r>
      <w:proofErr w:type="gramEnd"/>
      <w:r>
        <w:rPr>
          <w:sz w:val="16"/>
        </w:rPr>
        <w:t>21(4):401-5.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19"/>
        </w:tabs>
        <w:spacing w:before="1"/>
        <w:ind w:right="115" w:firstLine="566"/>
        <w:rPr>
          <w:sz w:val="16"/>
        </w:rPr>
      </w:pPr>
      <w:r>
        <w:rPr>
          <w:sz w:val="16"/>
        </w:rPr>
        <w:t>Frus</w:t>
      </w:r>
      <w:r>
        <w:rPr>
          <w:sz w:val="16"/>
        </w:rPr>
        <w:t xml:space="preserve">taci A, Cuoco </w:t>
      </w:r>
      <w:r>
        <w:rPr>
          <w:spacing w:val="-3"/>
          <w:sz w:val="16"/>
        </w:rPr>
        <w:t xml:space="preserve">L, </w:t>
      </w:r>
      <w:r>
        <w:rPr>
          <w:sz w:val="16"/>
        </w:rPr>
        <w:t xml:space="preserve">Chimenti C, Pieroni M, Fioravanti G, Gentiloni N,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Celiac disease associated with autoimmune myocarditis. Circulation. </w:t>
      </w:r>
      <w:proofErr w:type="gramStart"/>
      <w:r>
        <w:rPr>
          <w:sz w:val="16"/>
        </w:rPr>
        <w:t>2002;</w:t>
      </w:r>
      <w:proofErr w:type="gramEnd"/>
      <w:r>
        <w:rPr>
          <w:sz w:val="16"/>
        </w:rPr>
        <w:t>105(22):2611-8.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15"/>
        </w:tabs>
        <w:ind w:right="119" w:firstLine="566"/>
        <w:rPr>
          <w:sz w:val="16"/>
        </w:rPr>
      </w:pPr>
      <w:r w:rsidRPr="005831D9">
        <w:rPr>
          <w:sz w:val="16"/>
          <w:lang w:val="en-US"/>
        </w:rPr>
        <w:t xml:space="preserve">Hansson T, Dahlbom </w:t>
      </w:r>
      <w:r w:rsidRPr="005831D9">
        <w:rPr>
          <w:spacing w:val="-3"/>
          <w:sz w:val="16"/>
          <w:lang w:val="en-US"/>
        </w:rPr>
        <w:t xml:space="preserve">I, </w:t>
      </w:r>
      <w:r w:rsidRPr="005831D9">
        <w:rPr>
          <w:sz w:val="16"/>
          <w:lang w:val="en-US"/>
        </w:rPr>
        <w:t>Rogberg S, Nyberg BI, Dahlstrom J, Anneren G, et al. Antitissue transgl</w:t>
      </w:r>
      <w:r w:rsidRPr="005831D9">
        <w:rPr>
          <w:sz w:val="16"/>
          <w:lang w:val="en-US"/>
        </w:rPr>
        <w:t xml:space="preserve">utaminase and antithyroid autoantibodies in children with Down syndrome and celiac disease. </w:t>
      </w:r>
      <w:r>
        <w:rPr>
          <w:sz w:val="16"/>
        </w:rPr>
        <w:t xml:space="preserve">J Pediatr Gastroenterol Nutr. </w:t>
      </w:r>
      <w:proofErr w:type="gramStart"/>
      <w:r>
        <w:rPr>
          <w:sz w:val="16"/>
        </w:rPr>
        <w:t>2005;</w:t>
      </w:r>
      <w:proofErr w:type="gramEnd"/>
      <w:r>
        <w:rPr>
          <w:sz w:val="16"/>
        </w:rPr>
        <w:t>40(2):170-4; discussion</w:t>
      </w:r>
      <w:r>
        <w:rPr>
          <w:spacing w:val="-13"/>
          <w:sz w:val="16"/>
        </w:rPr>
        <w:t xml:space="preserve"> </w:t>
      </w:r>
      <w:r>
        <w:rPr>
          <w:sz w:val="16"/>
        </w:rPr>
        <w:t>25-7.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34"/>
        </w:tabs>
        <w:ind w:right="117" w:firstLine="566"/>
        <w:rPr>
          <w:sz w:val="16"/>
        </w:rPr>
      </w:pPr>
      <w:r w:rsidRPr="005831D9">
        <w:rPr>
          <w:sz w:val="16"/>
          <w:lang w:val="en-US"/>
        </w:rPr>
        <w:t xml:space="preserve">National Institutes of Health Consensus Development Conference Statement on Celiac Disease, June 28-30, 2004. </w:t>
      </w:r>
      <w:r>
        <w:rPr>
          <w:sz w:val="16"/>
        </w:rPr>
        <w:t xml:space="preserve">Gastroenterology. </w:t>
      </w:r>
      <w:proofErr w:type="gramStart"/>
      <w:r>
        <w:rPr>
          <w:sz w:val="16"/>
        </w:rPr>
        <w:t>2005;</w:t>
      </w:r>
      <w:proofErr w:type="gramEnd"/>
      <w:r>
        <w:rPr>
          <w:sz w:val="16"/>
        </w:rPr>
        <w:t>128(4 Suppl</w:t>
      </w:r>
      <w:r>
        <w:rPr>
          <w:spacing w:val="-2"/>
          <w:sz w:val="16"/>
        </w:rPr>
        <w:t xml:space="preserve"> </w:t>
      </w:r>
      <w:r>
        <w:rPr>
          <w:sz w:val="16"/>
        </w:rPr>
        <w:t>1):S1-9.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07"/>
        </w:tabs>
        <w:spacing w:line="183" w:lineRule="exact"/>
        <w:ind w:left="906" w:hanging="240"/>
        <w:rPr>
          <w:sz w:val="16"/>
        </w:rPr>
      </w:pPr>
      <w:r w:rsidRPr="005831D9">
        <w:rPr>
          <w:sz w:val="16"/>
          <w:lang w:val="en-US"/>
        </w:rPr>
        <w:t>Meloni</w:t>
      </w:r>
      <w:r w:rsidRPr="005831D9">
        <w:rPr>
          <w:spacing w:val="-1"/>
          <w:sz w:val="16"/>
          <w:lang w:val="en-US"/>
        </w:rPr>
        <w:t xml:space="preserve"> </w:t>
      </w:r>
      <w:r w:rsidRPr="005831D9">
        <w:rPr>
          <w:spacing w:val="-3"/>
          <w:sz w:val="16"/>
          <w:lang w:val="en-US"/>
        </w:rPr>
        <w:t>GF,</w:t>
      </w:r>
      <w:r w:rsidRPr="005831D9">
        <w:rPr>
          <w:sz w:val="16"/>
          <w:lang w:val="en-US"/>
        </w:rPr>
        <w:t xml:space="preserve"> Dessole</w:t>
      </w:r>
      <w:r w:rsidRPr="005831D9">
        <w:rPr>
          <w:spacing w:val="-4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S, Vargiu N,</w:t>
      </w:r>
      <w:r w:rsidRPr="005831D9">
        <w:rPr>
          <w:spacing w:val="-6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Tomasi PA, Musumeci</w:t>
      </w:r>
      <w:r w:rsidRPr="005831D9">
        <w:rPr>
          <w:spacing w:val="-3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S.</w:t>
      </w:r>
      <w:r w:rsidRPr="005831D9">
        <w:rPr>
          <w:spacing w:val="4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The</w:t>
      </w:r>
      <w:r w:rsidRPr="005831D9">
        <w:rPr>
          <w:spacing w:val="-6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prevalence</w:t>
      </w:r>
      <w:r w:rsidRPr="005831D9">
        <w:rPr>
          <w:spacing w:val="-3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of</w:t>
      </w:r>
      <w:r w:rsidRPr="005831D9">
        <w:rPr>
          <w:spacing w:val="-2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coeliac</w:t>
      </w:r>
      <w:r w:rsidRPr="005831D9">
        <w:rPr>
          <w:spacing w:val="-4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disease</w:t>
      </w:r>
      <w:r w:rsidRPr="005831D9">
        <w:rPr>
          <w:spacing w:val="-3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in</w:t>
      </w:r>
      <w:r w:rsidRPr="005831D9">
        <w:rPr>
          <w:spacing w:val="-2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infertilit</w:t>
      </w:r>
      <w:r w:rsidRPr="005831D9">
        <w:rPr>
          <w:sz w:val="16"/>
          <w:lang w:val="en-US"/>
        </w:rPr>
        <w:t>y.</w:t>
      </w:r>
      <w:r w:rsidRPr="005831D9">
        <w:rPr>
          <w:spacing w:val="-1"/>
          <w:sz w:val="16"/>
          <w:lang w:val="en-US"/>
        </w:rPr>
        <w:t xml:space="preserve"> </w:t>
      </w:r>
      <w:proofErr w:type="gramStart"/>
      <w:r>
        <w:rPr>
          <w:sz w:val="16"/>
        </w:rPr>
        <w:t>Hum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Reprod.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1999;</w:t>
      </w:r>
      <w:proofErr w:type="gramEnd"/>
      <w:r>
        <w:rPr>
          <w:sz w:val="16"/>
        </w:rPr>
        <w:t>14(11):2759-61.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12"/>
        </w:tabs>
        <w:ind w:right="121" w:firstLine="566"/>
        <w:rPr>
          <w:sz w:val="16"/>
        </w:rPr>
      </w:pPr>
      <w:r w:rsidRPr="005831D9">
        <w:rPr>
          <w:sz w:val="16"/>
          <w:lang w:val="en-US"/>
        </w:rPr>
        <w:t xml:space="preserve">Kotze LM. Gynecologic and obstetric findings related to nutritional status and adherence to a gluten-free diet in Brazilian patients with celiac disease. </w:t>
      </w:r>
      <w:r>
        <w:rPr>
          <w:sz w:val="16"/>
        </w:rPr>
        <w:t>J Clin Gastroenterol.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2004;</w:t>
      </w:r>
      <w:proofErr w:type="gramEnd"/>
      <w:r>
        <w:rPr>
          <w:sz w:val="16"/>
        </w:rPr>
        <w:t>38(7):567-74.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10"/>
        </w:tabs>
        <w:spacing w:line="183" w:lineRule="exact"/>
        <w:ind w:left="909" w:hanging="243"/>
        <w:rPr>
          <w:sz w:val="16"/>
        </w:rPr>
      </w:pPr>
      <w:r w:rsidRPr="005831D9">
        <w:rPr>
          <w:sz w:val="16"/>
          <w:lang w:val="en-US"/>
        </w:rPr>
        <w:t>Karpati S. Dermatitis her</w:t>
      </w:r>
      <w:r w:rsidRPr="005831D9">
        <w:rPr>
          <w:sz w:val="16"/>
          <w:lang w:val="en-US"/>
        </w:rPr>
        <w:t xml:space="preserve">petiformis: close to unravelling a disease. </w:t>
      </w:r>
      <w:r>
        <w:rPr>
          <w:sz w:val="16"/>
        </w:rPr>
        <w:t>J Dermatol Sci.</w:t>
      </w:r>
      <w:r>
        <w:rPr>
          <w:spacing w:val="-16"/>
          <w:sz w:val="16"/>
        </w:rPr>
        <w:t xml:space="preserve"> </w:t>
      </w:r>
      <w:proofErr w:type="gramStart"/>
      <w:r>
        <w:rPr>
          <w:sz w:val="16"/>
        </w:rPr>
        <w:t>2004;</w:t>
      </w:r>
      <w:proofErr w:type="gramEnd"/>
      <w:r>
        <w:rPr>
          <w:sz w:val="16"/>
        </w:rPr>
        <w:t>34(2):83-90.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12"/>
        </w:tabs>
        <w:ind w:right="116" w:firstLine="566"/>
        <w:rPr>
          <w:sz w:val="16"/>
        </w:rPr>
      </w:pPr>
      <w:r>
        <w:rPr>
          <w:sz w:val="16"/>
        </w:rPr>
        <w:t xml:space="preserve">Ludvigsson JF, Bai JC, Biagi F, Card TR, Ciacci C, Ciclitira PJ,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5831D9">
        <w:rPr>
          <w:sz w:val="16"/>
          <w:lang w:val="en-US"/>
        </w:rPr>
        <w:t>Diagnosis and management of adult coeliac disease: guidelines from the British Society of Gastroenterology</w:t>
      </w:r>
      <w:r w:rsidRPr="005831D9">
        <w:rPr>
          <w:sz w:val="16"/>
          <w:lang w:val="en-US"/>
        </w:rPr>
        <w:t xml:space="preserve">. </w:t>
      </w:r>
      <w:r>
        <w:rPr>
          <w:sz w:val="16"/>
        </w:rPr>
        <w:t>Gut.</w:t>
      </w:r>
      <w:r>
        <w:rPr>
          <w:spacing w:val="2"/>
          <w:sz w:val="16"/>
        </w:rPr>
        <w:t xml:space="preserve"> </w:t>
      </w:r>
      <w:proofErr w:type="gramStart"/>
      <w:r>
        <w:rPr>
          <w:sz w:val="16"/>
        </w:rPr>
        <w:t>2014;</w:t>
      </w:r>
      <w:proofErr w:type="gramEnd"/>
      <w:r>
        <w:rPr>
          <w:sz w:val="16"/>
        </w:rPr>
        <w:t>63(8):1210-28.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24"/>
        </w:tabs>
        <w:ind w:right="117" w:firstLine="566"/>
        <w:rPr>
          <w:sz w:val="16"/>
        </w:rPr>
      </w:pPr>
      <w:r w:rsidRPr="005831D9">
        <w:rPr>
          <w:sz w:val="16"/>
          <w:lang w:val="en-US"/>
        </w:rPr>
        <w:t xml:space="preserve">Hill </w:t>
      </w:r>
      <w:r w:rsidRPr="005831D9">
        <w:rPr>
          <w:spacing w:val="-3"/>
          <w:sz w:val="16"/>
          <w:lang w:val="en-US"/>
        </w:rPr>
        <w:t xml:space="preserve">ID, </w:t>
      </w:r>
      <w:r w:rsidRPr="005831D9">
        <w:rPr>
          <w:sz w:val="16"/>
          <w:lang w:val="en-US"/>
        </w:rPr>
        <w:t>Dirks MH, Liptak GS, Colletti RB, Fasano A, Guandalini S, et al. Guideline for the diagnosis and treatment of celiac disease in children: recommendations</w:t>
      </w:r>
      <w:r w:rsidRPr="005831D9">
        <w:rPr>
          <w:spacing w:val="-2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of</w:t>
      </w:r>
      <w:r w:rsidRPr="005831D9">
        <w:rPr>
          <w:spacing w:val="-5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the</w:t>
      </w:r>
      <w:r w:rsidRPr="005831D9">
        <w:rPr>
          <w:spacing w:val="-4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North</w:t>
      </w:r>
      <w:r w:rsidRPr="005831D9">
        <w:rPr>
          <w:spacing w:val="-3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American</w:t>
      </w:r>
      <w:r w:rsidRPr="005831D9">
        <w:rPr>
          <w:spacing w:val="-3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Society</w:t>
      </w:r>
      <w:r w:rsidRPr="005831D9">
        <w:rPr>
          <w:spacing w:val="-4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for</w:t>
      </w:r>
      <w:r w:rsidRPr="005831D9">
        <w:rPr>
          <w:spacing w:val="-3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Pediatric</w:t>
      </w:r>
      <w:r w:rsidRPr="005831D9">
        <w:rPr>
          <w:spacing w:val="-1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Gastroenterology,</w:t>
      </w:r>
      <w:r w:rsidRPr="005831D9">
        <w:rPr>
          <w:spacing w:val="-1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Hepa</w:t>
      </w:r>
      <w:r w:rsidRPr="005831D9">
        <w:rPr>
          <w:sz w:val="16"/>
          <w:lang w:val="en-US"/>
        </w:rPr>
        <w:t>tology</w:t>
      </w:r>
      <w:r w:rsidRPr="005831D9">
        <w:rPr>
          <w:spacing w:val="-5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and</w:t>
      </w:r>
      <w:r w:rsidRPr="005831D9">
        <w:rPr>
          <w:spacing w:val="-1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Nutrition.</w:t>
      </w:r>
      <w:r w:rsidRPr="005831D9">
        <w:rPr>
          <w:spacing w:val="-4"/>
          <w:sz w:val="16"/>
          <w:lang w:val="en-US"/>
        </w:rPr>
        <w:t xml:space="preserve"> </w:t>
      </w:r>
      <w:r>
        <w:rPr>
          <w:sz w:val="16"/>
        </w:rPr>
        <w:t>J</w:t>
      </w:r>
      <w:r>
        <w:rPr>
          <w:spacing w:val="-2"/>
          <w:sz w:val="16"/>
        </w:rPr>
        <w:t xml:space="preserve"> </w:t>
      </w:r>
      <w:r>
        <w:rPr>
          <w:sz w:val="16"/>
        </w:rPr>
        <w:t>Pediatr</w:t>
      </w:r>
      <w:r>
        <w:rPr>
          <w:spacing w:val="-2"/>
          <w:sz w:val="16"/>
        </w:rPr>
        <w:t xml:space="preserve"> </w:t>
      </w:r>
      <w:r>
        <w:rPr>
          <w:sz w:val="16"/>
        </w:rPr>
        <w:t>Gastroenterol</w:t>
      </w:r>
      <w:r>
        <w:rPr>
          <w:spacing w:val="-3"/>
          <w:sz w:val="16"/>
        </w:rPr>
        <w:t xml:space="preserve"> </w:t>
      </w:r>
      <w:r>
        <w:rPr>
          <w:sz w:val="16"/>
        </w:rPr>
        <w:t>Nutr.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2005;</w:t>
      </w:r>
      <w:proofErr w:type="gramEnd"/>
      <w:r>
        <w:rPr>
          <w:sz w:val="16"/>
        </w:rPr>
        <w:t>40(1):1-19.</w:t>
      </w:r>
    </w:p>
    <w:p w:rsidR="00AB6FC4" w:rsidRDefault="00AB6FC4">
      <w:pPr>
        <w:rPr>
          <w:sz w:val="16"/>
        </w:rPr>
        <w:sectPr w:rsidR="00AB6FC4">
          <w:pgSz w:w="11910" w:h="16840"/>
          <w:pgMar w:top="620" w:right="600" w:bottom="280" w:left="620" w:header="720" w:footer="720" w:gutter="0"/>
          <w:cols w:space="720"/>
        </w:sectPr>
      </w:pP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31"/>
        </w:tabs>
        <w:spacing w:before="76"/>
        <w:ind w:right="120" w:firstLine="566"/>
        <w:rPr>
          <w:sz w:val="16"/>
        </w:rPr>
      </w:pPr>
      <w:r w:rsidRPr="005831D9">
        <w:rPr>
          <w:sz w:val="16"/>
          <w:lang w:val="en-US"/>
        </w:rPr>
        <w:lastRenderedPageBreak/>
        <w:t xml:space="preserve">Rostami K, Kerckhaert J, Tiemessen R, von Blomberg BM, Meijer JW, Mulder CJ. Sensitivity of antiendomysium and antigliadin antibodies in untreated celiac disease: disappointing in clinical practice. </w:t>
      </w:r>
      <w:proofErr w:type="gramStart"/>
      <w:r>
        <w:rPr>
          <w:sz w:val="16"/>
        </w:rPr>
        <w:t>Am</w:t>
      </w:r>
      <w:proofErr w:type="gramEnd"/>
      <w:r>
        <w:rPr>
          <w:sz w:val="16"/>
        </w:rPr>
        <w:t xml:space="preserve"> J Gastroenterol.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1999;</w:t>
      </w:r>
      <w:proofErr w:type="gramEnd"/>
      <w:r>
        <w:rPr>
          <w:sz w:val="16"/>
        </w:rPr>
        <w:t>94(4):888-94.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31"/>
        </w:tabs>
        <w:ind w:right="117" w:firstLine="566"/>
        <w:rPr>
          <w:sz w:val="16"/>
        </w:rPr>
      </w:pPr>
      <w:r>
        <w:rPr>
          <w:sz w:val="16"/>
        </w:rPr>
        <w:t>Brasil. Ministério</w:t>
      </w:r>
      <w:r>
        <w:rPr>
          <w:sz w:val="16"/>
        </w:rPr>
        <w:t xml:space="preserve"> da Saúde. Secretaria de Ciência e Tecnologia. Nota Técnica </w:t>
      </w:r>
      <w:r>
        <w:rPr>
          <w:spacing w:val="4"/>
          <w:sz w:val="16"/>
        </w:rPr>
        <w:t xml:space="preserve">de </w:t>
      </w:r>
      <w:r>
        <w:rPr>
          <w:sz w:val="16"/>
        </w:rPr>
        <w:t>Revisão Rápida – Diagnóstico Sorológico da Doença Celíaca. Brasília, 2009. 6p. (mimeo)</w:t>
      </w:r>
      <w:r>
        <w:rPr>
          <w:spacing w:val="-8"/>
          <w:sz w:val="16"/>
        </w:rPr>
        <w:t xml:space="preserve"> </w:t>
      </w:r>
      <w:r>
        <w:rPr>
          <w:sz w:val="16"/>
        </w:rPr>
        <w:t>[Internet].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10"/>
        </w:tabs>
        <w:spacing w:before="1" w:line="183" w:lineRule="exact"/>
        <w:ind w:left="909" w:hanging="243"/>
        <w:rPr>
          <w:sz w:val="16"/>
        </w:rPr>
      </w:pPr>
      <w:r w:rsidRPr="005831D9">
        <w:rPr>
          <w:sz w:val="16"/>
          <w:lang w:val="en-US"/>
        </w:rPr>
        <w:t xml:space="preserve">Kelly C. Diagnosis of celiac disease. </w:t>
      </w:r>
      <w:proofErr w:type="gramStart"/>
      <w:r>
        <w:rPr>
          <w:sz w:val="16"/>
        </w:rPr>
        <w:t>UpToDate</w:t>
      </w:r>
      <w:proofErr w:type="gramEnd"/>
      <w:r>
        <w:rPr>
          <w:sz w:val="16"/>
        </w:rPr>
        <w:t>.</w:t>
      </w:r>
      <w:r>
        <w:rPr>
          <w:spacing w:val="-5"/>
          <w:sz w:val="16"/>
        </w:rPr>
        <w:t xml:space="preserve"> </w:t>
      </w:r>
      <w:r>
        <w:rPr>
          <w:sz w:val="16"/>
        </w:rPr>
        <w:t>2014.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17"/>
        </w:tabs>
        <w:ind w:right="118" w:firstLine="566"/>
        <w:rPr>
          <w:sz w:val="16"/>
        </w:rPr>
      </w:pPr>
      <w:r w:rsidRPr="005831D9">
        <w:rPr>
          <w:sz w:val="16"/>
          <w:lang w:val="en-US"/>
        </w:rPr>
        <w:t xml:space="preserve">Marsh MN. Gluten, major histocompatibility complex, and the small intestine. A molecular and immunobiologic approach to the spectrum of gluten sensitivity ('celiac sprue'). </w:t>
      </w:r>
      <w:r>
        <w:rPr>
          <w:sz w:val="16"/>
        </w:rPr>
        <w:t>Gastroenterology.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1992;</w:t>
      </w:r>
      <w:proofErr w:type="gramEnd"/>
      <w:r>
        <w:rPr>
          <w:sz w:val="16"/>
        </w:rPr>
        <w:t>102(1):330-54.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34"/>
        </w:tabs>
        <w:spacing w:before="1"/>
        <w:ind w:right="116" w:firstLine="566"/>
        <w:rPr>
          <w:sz w:val="16"/>
        </w:rPr>
      </w:pPr>
      <w:r w:rsidRPr="005831D9">
        <w:rPr>
          <w:sz w:val="16"/>
          <w:lang w:val="en-US"/>
        </w:rPr>
        <w:t>Oberhuber G, Granditsch G, Vogelsang H. The h</w:t>
      </w:r>
      <w:r w:rsidRPr="005831D9">
        <w:rPr>
          <w:sz w:val="16"/>
          <w:lang w:val="en-US"/>
        </w:rPr>
        <w:t xml:space="preserve">istopathology of coeliac disease: time for a standardized report scheme for pathologists. </w:t>
      </w:r>
      <w:r>
        <w:rPr>
          <w:sz w:val="16"/>
        </w:rPr>
        <w:t>Eur J Gastroenterol Hepatol.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1999;</w:t>
      </w:r>
      <w:proofErr w:type="gramEnd"/>
      <w:r>
        <w:rPr>
          <w:sz w:val="16"/>
        </w:rPr>
        <w:t>11(10):1185-94.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15"/>
        </w:tabs>
        <w:ind w:right="118" w:firstLine="566"/>
        <w:rPr>
          <w:sz w:val="16"/>
        </w:rPr>
      </w:pPr>
      <w:r>
        <w:rPr>
          <w:sz w:val="16"/>
        </w:rPr>
        <w:t xml:space="preserve">Wahab PJ, Meijer JW, Mulder CJ. </w:t>
      </w:r>
      <w:r w:rsidRPr="005831D9">
        <w:rPr>
          <w:sz w:val="16"/>
          <w:lang w:val="en-US"/>
        </w:rPr>
        <w:t>Histologic follow-up of people with celiac disease on a gluten-free diet: slow and i</w:t>
      </w:r>
      <w:r w:rsidRPr="005831D9">
        <w:rPr>
          <w:sz w:val="16"/>
          <w:lang w:val="en-US"/>
        </w:rPr>
        <w:t xml:space="preserve">ncomplete recovery. </w:t>
      </w:r>
      <w:proofErr w:type="gramStart"/>
      <w:r>
        <w:rPr>
          <w:sz w:val="16"/>
        </w:rPr>
        <w:t>Am</w:t>
      </w:r>
      <w:proofErr w:type="gramEnd"/>
      <w:r>
        <w:rPr>
          <w:sz w:val="16"/>
        </w:rPr>
        <w:t xml:space="preserve"> J Clin Pathol.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2002;</w:t>
      </w:r>
      <w:proofErr w:type="gramEnd"/>
      <w:r>
        <w:rPr>
          <w:sz w:val="16"/>
        </w:rPr>
        <w:t>118(3):459-63.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07"/>
        </w:tabs>
        <w:spacing w:line="183" w:lineRule="exact"/>
        <w:ind w:left="906" w:hanging="240"/>
        <w:rPr>
          <w:sz w:val="16"/>
        </w:rPr>
      </w:pPr>
      <w:r>
        <w:rPr>
          <w:sz w:val="16"/>
        </w:rPr>
        <w:t>Meijer</w:t>
      </w:r>
      <w:r>
        <w:rPr>
          <w:spacing w:val="-2"/>
          <w:sz w:val="16"/>
        </w:rPr>
        <w:t xml:space="preserve"> </w:t>
      </w:r>
      <w:r>
        <w:rPr>
          <w:sz w:val="16"/>
        </w:rPr>
        <w:t>JW, Wahab PJ,</w:t>
      </w:r>
      <w:r>
        <w:rPr>
          <w:spacing w:val="-3"/>
          <w:sz w:val="16"/>
        </w:rPr>
        <w:t xml:space="preserve"> </w:t>
      </w:r>
      <w:r>
        <w:rPr>
          <w:sz w:val="16"/>
        </w:rPr>
        <w:t>Mulder</w:t>
      </w:r>
      <w:r>
        <w:rPr>
          <w:spacing w:val="-2"/>
          <w:sz w:val="16"/>
        </w:rPr>
        <w:t xml:space="preserve"> </w:t>
      </w:r>
      <w:r>
        <w:rPr>
          <w:sz w:val="16"/>
        </w:rPr>
        <w:t>CJ.</w:t>
      </w:r>
      <w:r>
        <w:rPr>
          <w:spacing w:val="-3"/>
          <w:sz w:val="16"/>
        </w:rPr>
        <w:t xml:space="preserve"> </w:t>
      </w:r>
      <w:r w:rsidRPr="005831D9">
        <w:rPr>
          <w:sz w:val="16"/>
          <w:lang w:val="en-US"/>
        </w:rPr>
        <w:t>Small</w:t>
      </w:r>
      <w:r w:rsidRPr="005831D9">
        <w:rPr>
          <w:spacing w:val="-2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intestinal</w:t>
      </w:r>
      <w:r w:rsidRPr="005831D9">
        <w:rPr>
          <w:spacing w:val="-4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biopsies</w:t>
      </w:r>
      <w:r w:rsidRPr="005831D9">
        <w:rPr>
          <w:spacing w:val="-1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in</w:t>
      </w:r>
      <w:r w:rsidRPr="005831D9">
        <w:rPr>
          <w:spacing w:val="-2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celiac</w:t>
      </w:r>
      <w:r w:rsidRPr="005831D9">
        <w:rPr>
          <w:spacing w:val="-3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disease:</w:t>
      </w:r>
      <w:r w:rsidRPr="005831D9">
        <w:rPr>
          <w:spacing w:val="-2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duodenal</w:t>
      </w:r>
      <w:r w:rsidRPr="005831D9">
        <w:rPr>
          <w:spacing w:val="-2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or</w:t>
      </w:r>
      <w:r w:rsidRPr="005831D9">
        <w:rPr>
          <w:spacing w:val="-2"/>
          <w:sz w:val="16"/>
          <w:lang w:val="en-US"/>
        </w:rPr>
        <w:t xml:space="preserve"> </w:t>
      </w:r>
      <w:r w:rsidRPr="005831D9">
        <w:rPr>
          <w:sz w:val="16"/>
          <w:lang w:val="en-US"/>
        </w:rPr>
        <w:t>jejunal?</w:t>
      </w:r>
      <w:r w:rsidRPr="005831D9">
        <w:rPr>
          <w:spacing w:val="-3"/>
          <w:sz w:val="16"/>
          <w:lang w:val="en-US"/>
        </w:rPr>
        <w:t xml:space="preserve"> </w:t>
      </w:r>
      <w:r>
        <w:rPr>
          <w:sz w:val="16"/>
        </w:rPr>
        <w:t>Virchows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Arch. </w:t>
      </w:r>
      <w:proofErr w:type="gramStart"/>
      <w:r>
        <w:rPr>
          <w:sz w:val="16"/>
        </w:rPr>
        <w:t>2003;</w:t>
      </w:r>
      <w:proofErr w:type="gramEnd"/>
      <w:r>
        <w:rPr>
          <w:sz w:val="16"/>
        </w:rPr>
        <w:t>442(2):124-8.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39"/>
        </w:tabs>
        <w:ind w:right="116" w:firstLine="566"/>
        <w:rPr>
          <w:sz w:val="16"/>
        </w:rPr>
      </w:pPr>
      <w:r w:rsidRPr="005831D9">
        <w:rPr>
          <w:sz w:val="16"/>
          <w:lang w:val="en-US"/>
        </w:rPr>
        <w:t xml:space="preserve">Hayat M, Cairns A, </w:t>
      </w:r>
      <w:proofErr w:type="gramStart"/>
      <w:r w:rsidRPr="005831D9">
        <w:rPr>
          <w:sz w:val="16"/>
          <w:lang w:val="en-US"/>
        </w:rPr>
        <w:t>Dixon</w:t>
      </w:r>
      <w:proofErr w:type="gramEnd"/>
      <w:r w:rsidRPr="005831D9">
        <w:rPr>
          <w:sz w:val="16"/>
          <w:lang w:val="en-US"/>
        </w:rPr>
        <w:t xml:space="preserve"> MF, O'Mahony S. Quantitation of intraepit</w:t>
      </w:r>
      <w:r w:rsidRPr="005831D9">
        <w:rPr>
          <w:sz w:val="16"/>
          <w:lang w:val="en-US"/>
        </w:rPr>
        <w:t xml:space="preserve">helial lymphocytes in human duodenum: what is normal? </w:t>
      </w:r>
      <w:r>
        <w:rPr>
          <w:sz w:val="16"/>
        </w:rPr>
        <w:t xml:space="preserve">J Clin Pathol. </w:t>
      </w:r>
      <w:proofErr w:type="gramStart"/>
      <w:r>
        <w:rPr>
          <w:sz w:val="16"/>
        </w:rPr>
        <w:t>2002;</w:t>
      </w:r>
      <w:proofErr w:type="gramEnd"/>
      <w:r>
        <w:rPr>
          <w:sz w:val="16"/>
        </w:rPr>
        <w:t>55(5):393-4.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07"/>
        </w:tabs>
        <w:spacing w:line="183" w:lineRule="exact"/>
        <w:ind w:left="906" w:hanging="240"/>
        <w:rPr>
          <w:sz w:val="16"/>
        </w:rPr>
      </w:pPr>
      <w:r w:rsidRPr="005831D9">
        <w:rPr>
          <w:sz w:val="16"/>
          <w:lang w:val="en-US"/>
        </w:rPr>
        <w:t xml:space="preserve">Meewisse G. Diagnostic criteria in coeliac disease. </w:t>
      </w:r>
      <w:r>
        <w:rPr>
          <w:sz w:val="16"/>
        </w:rPr>
        <w:t xml:space="preserve">Acta Paediatr Scand 1970. </w:t>
      </w:r>
      <w:proofErr w:type="gramStart"/>
      <w:r>
        <w:rPr>
          <w:sz w:val="16"/>
        </w:rPr>
        <w:t>p.</w:t>
      </w:r>
      <w:proofErr w:type="gramEnd"/>
      <w:r>
        <w:rPr>
          <w:spacing w:val="-9"/>
          <w:sz w:val="16"/>
        </w:rPr>
        <w:t xml:space="preserve"> </w:t>
      </w:r>
      <w:r>
        <w:rPr>
          <w:sz w:val="16"/>
        </w:rPr>
        <w:t>461-3.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19"/>
        </w:tabs>
        <w:spacing w:before="1"/>
        <w:ind w:right="119" w:firstLine="566"/>
        <w:rPr>
          <w:sz w:val="16"/>
        </w:rPr>
      </w:pPr>
      <w:r w:rsidRPr="005831D9">
        <w:rPr>
          <w:sz w:val="16"/>
          <w:lang w:val="en-US"/>
        </w:rPr>
        <w:t>Revised criteria for diagnosis of coeliac disease. Report of Working Group of Eur</w:t>
      </w:r>
      <w:r w:rsidRPr="005831D9">
        <w:rPr>
          <w:sz w:val="16"/>
          <w:lang w:val="en-US"/>
        </w:rPr>
        <w:t xml:space="preserve">opean Society of Paediatric Gastroenterology and Nutrition. </w:t>
      </w:r>
      <w:r>
        <w:rPr>
          <w:sz w:val="16"/>
        </w:rPr>
        <w:t>Arch Dis Child.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1990;</w:t>
      </w:r>
      <w:proofErr w:type="gramEnd"/>
      <w:r>
        <w:rPr>
          <w:sz w:val="16"/>
        </w:rPr>
        <w:t>65(8):909-11.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15"/>
        </w:tabs>
        <w:ind w:right="119" w:firstLine="566"/>
        <w:rPr>
          <w:sz w:val="16"/>
        </w:rPr>
      </w:pPr>
      <w:r w:rsidRPr="005831D9">
        <w:rPr>
          <w:sz w:val="16"/>
          <w:lang w:val="en-US"/>
        </w:rPr>
        <w:t>Sdepanian VL, Scaletsky IC, Fagundes-Neto U, Batista de Morais M. Assessment of gliadin in supposedly gluten-free foods prepared and purchased by celiac patients</w:t>
      </w:r>
      <w:r w:rsidRPr="005831D9">
        <w:rPr>
          <w:sz w:val="16"/>
          <w:lang w:val="en-US"/>
        </w:rPr>
        <w:t xml:space="preserve">. </w:t>
      </w:r>
      <w:r>
        <w:rPr>
          <w:sz w:val="16"/>
        </w:rPr>
        <w:t>J Pediatr Gastroenterol Nutr.</w:t>
      </w:r>
      <w:r>
        <w:rPr>
          <w:spacing w:val="-7"/>
          <w:sz w:val="16"/>
        </w:rPr>
        <w:t xml:space="preserve"> </w:t>
      </w:r>
      <w:proofErr w:type="gramStart"/>
      <w:r>
        <w:rPr>
          <w:sz w:val="16"/>
        </w:rPr>
        <w:t>2001;</w:t>
      </w:r>
      <w:proofErr w:type="gramEnd"/>
      <w:r>
        <w:rPr>
          <w:sz w:val="16"/>
        </w:rPr>
        <w:t>32(1):65-70.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10"/>
        </w:tabs>
        <w:spacing w:before="1" w:line="183" w:lineRule="exact"/>
        <w:ind w:left="909" w:hanging="243"/>
        <w:rPr>
          <w:sz w:val="16"/>
        </w:rPr>
      </w:pPr>
      <w:r w:rsidRPr="005831D9">
        <w:rPr>
          <w:sz w:val="16"/>
          <w:lang w:val="en-US"/>
        </w:rPr>
        <w:t xml:space="preserve">Ferreira CT, Seidman E. Food allergy: a practical update from the gastroenterological viewpoint. </w:t>
      </w:r>
      <w:r>
        <w:rPr>
          <w:sz w:val="16"/>
        </w:rPr>
        <w:t>J Pediatr (Rio J).</w:t>
      </w:r>
      <w:r>
        <w:rPr>
          <w:spacing w:val="-23"/>
          <w:sz w:val="16"/>
        </w:rPr>
        <w:t xml:space="preserve"> </w:t>
      </w:r>
      <w:proofErr w:type="gramStart"/>
      <w:r>
        <w:rPr>
          <w:sz w:val="16"/>
        </w:rPr>
        <w:t>2007;</w:t>
      </w:r>
      <w:proofErr w:type="gramEnd"/>
      <w:r>
        <w:rPr>
          <w:sz w:val="16"/>
        </w:rPr>
        <w:t>83(1):7-20.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24"/>
        </w:tabs>
        <w:ind w:right="116" w:firstLine="566"/>
        <w:rPr>
          <w:sz w:val="16"/>
        </w:rPr>
      </w:pPr>
      <w:r>
        <w:rPr>
          <w:sz w:val="16"/>
        </w:rPr>
        <w:t xml:space="preserve">Beyer, P.L. Terapia clínica nutricional para distúrbios do trato gastrintestinal baixo. </w:t>
      </w:r>
      <w:r>
        <w:rPr>
          <w:spacing w:val="-3"/>
          <w:sz w:val="16"/>
        </w:rPr>
        <w:t xml:space="preserve">IN: </w:t>
      </w:r>
      <w:r>
        <w:rPr>
          <w:sz w:val="16"/>
        </w:rPr>
        <w:t xml:space="preserve">MAHAN, </w:t>
      </w:r>
      <w:r>
        <w:rPr>
          <w:spacing w:val="-3"/>
          <w:sz w:val="16"/>
        </w:rPr>
        <w:t xml:space="preserve">L. </w:t>
      </w:r>
      <w:r>
        <w:rPr>
          <w:sz w:val="16"/>
        </w:rPr>
        <w:t>K</w:t>
      </w:r>
      <w:proofErr w:type="gramStart"/>
      <w:r>
        <w:rPr>
          <w:sz w:val="16"/>
        </w:rPr>
        <w:t>.;</w:t>
      </w:r>
      <w:proofErr w:type="gramEnd"/>
      <w:r>
        <w:rPr>
          <w:sz w:val="16"/>
        </w:rPr>
        <w:t xml:space="preserve"> ESCOTT-STUMP, S.. Krause alimentos, nutrição &amp; dietoterapia</w:t>
      </w:r>
      <w:r>
        <w:rPr>
          <w:sz w:val="16"/>
          <w:vertAlign w:val="superscript"/>
        </w:rPr>
        <w:t>.</w:t>
      </w:r>
      <w:r>
        <w:rPr>
          <w:sz w:val="16"/>
        </w:rPr>
        <w:t xml:space="preserve"> 10a ed. São Paulo, Roca, cap.31. p 643-670,</w:t>
      </w:r>
      <w:r>
        <w:rPr>
          <w:spacing w:val="-15"/>
          <w:sz w:val="16"/>
        </w:rPr>
        <w:t xml:space="preserve"> </w:t>
      </w:r>
      <w:r>
        <w:rPr>
          <w:sz w:val="16"/>
        </w:rPr>
        <w:t>2002.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10"/>
        </w:tabs>
        <w:spacing w:before="1" w:line="183" w:lineRule="exact"/>
        <w:ind w:left="909" w:hanging="243"/>
        <w:rPr>
          <w:sz w:val="16"/>
        </w:rPr>
      </w:pPr>
      <w:r w:rsidRPr="005831D9">
        <w:rPr>
          <w:sz w:val="16"/>
          <w:lang w:val="en-US"/>
        </w:rPr>
        <w:t xml:space="preserve">Holmes GK. Non-malignant complications of coeliac disease. </w:t>
      </w:r>
      <w:r>
        <w:rPr>
          <w:sz w:val="16"/>
        </w:rPr>
        <w:t>Acta Paediatr Suppl.</w:t>
      </w:r>
      <w:r>
        <w:rPr>
          <w:spacing w:val="-7"/>
          <w:sz w:val="16"/>
        </w:rPr>
        <w:t xml:space="preserve"> </w:t>
      </w:r>
      <w:proofErr w:type="gramStart"/>
      <w:r>
        <w:rPr>
          <w:sz w:val="16"/>
        </w:rPr>
        <w:t>1996;</w:t>
      </w:r>
      <w:proofErr w:type="gramEnd"/>
      <w:r>
        <w:rPr>
          <w:sz w:val="16"/>
        </w:rPr>
        <w:t>412:68-75.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58"/>
        </w:tabs>
        <w:ind w:right="116" w:firstLine="566"/>
        <w:rPr>
          <w:sz w:val="16"/>
        </w:rPr>
      </w:pPr>
      <w:r>
        <w:rPr>
          <w:sz w:val="16"/>
        </w:rPr>
        <w:t xml:space="preserve">Catassi C, Fabiani E, Corrao G, Barbato M, De Renzo A, Carella AM,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Risk of non-Hodgkin lymphoma in celiac disease. Jama. </w:t>
      </w:r>
      <w:proofErr w:type="gramStart"/>
      <w:r>
        <w:rPr>
          <w:sz w:val="16"/>
        </w:rPr>
        <w:t>2002;</w:t>
      </w:r>
      <w:proofErr w:type="gramEnd"/>
      <w:r>
        <w:rPr>
          <w:sz w:val="16"/>
        </w:rPr>
        <w:t>287(11):1413-9.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10"/>
        </w:tabs>
        <w:spacing w:before="1" w:line="183" w:lineRule="exact"/>
        <w:ind w:left="909" w:hanging="243"/>
        <w:rPr>
          <w:sz w:val="16"/>
        </w:rPr>
      </w:pPr>
      <w:r>
        <w:rPr>
          <w:sz w:val="16"/>
        </w:rPr>
        <w:t>Siqueira Ne</w:t>
      </w:r>
      <w:r>
        <w:rPr>
          <w:sz w:val="16"/>
        </w:rPr>
        <w:t xml:space="preserve">to JI, Costa AC, Magalhaes FG, Silva GS. </w:t>
      </w:r>
      <w:r w:rsidRPr="005831D9">
        <w:rPr>
          <w:sz w:val="16"/>
          <w:lang w:val="en-US"/>
        </w:rPr>
        <w:t xml:space="preserve">Neurological manifestations of celiac disease. </w:t>
      </w:r>
      <w:r>
        <w:rPr>
          <w:sz w:val="16"/>
        </w:rPr>
        <w:t>Arq Neuropsiquiatr.</w:t>
      </w:r>
      <w:r>
        <w:rPr>
          <w:spacing w:val="-25"/>
          <w:sz w:val="16"/>
        </w:rPr>
        <w:t xml:space="preserve"> </w:t>
      </w:r>
      <w:proofErr w:type="gramStart"/>
      <w:r>
        <w:rPr>
          <w:sz w:val="16"/>
        </w:rPr>
        <w:t>2004;</w:t>
      </w:r>
      <w:proofErr w:type="gramEnd"/>
      <w:r>
        <w:rPr>
          <w:sz w:val="16"/>
        </w:rPr>
        <w:t>62(4):969-72.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29"/>
        </w:tabs>
        <w:ind w:right="117" w:firstLine="566"/>
        <w:rPr>
          <w:sz w:val="16"/>
        </w:rPr>
      </w:pPr>
      <w:r>
        <w:rPr>
          <w:sz w:val="16"/>
        </w:rPr>
        <w:t>Fragoso Arbelo, Trini; Díaz Lorenzo, Tamara; Pérez Ramos, Elvira; Milán Pavón, Rebeca; Luaces Fragoso, Ernesto. Importancia de lo</w:t>
      </w:r>
      <w:r>
        <w:rPr>
          <w:sz w:val="16"/>
        </w:rPr>
        <w:t xml:space="preserve">s aspectos psicosociales en </w:t>
      </w:r>
      <w:proofErr w:type="gramStart"/>
      <w:r>
        <w:rPr>
          <w:sz w:val="16"/>
        </w:rPr>
        <w:t>la</w:t>
      </w:r>
      <w:proofErr w:type="gramEnd"/>
      <w:r>
        <w:rPr>
          <w:sz w:val="16"/>
        </w:rPr>
        <w:t xml:space="preserve"> enfermedad celíaca / Importance of psychosocial aspects in celiac disease. Rev. cuba. </w:t>
      </w:r>
      <w:proofErr w:type="gramStart"/>
      <w:r>
        <w:rPr>
          <w:sz w:val="16"/>
        </w:rPr>
        <w:t>med.</w:t>
      </w:r>
      <w:proofErr w:type="gramEnd"/>
      <w:r>
        <w:rPr>
          <w:sz w:val="16"/>
        </w:rPr>
        <w:t xml:space="preserve"> gen. integr;18(3), mayo-jun.</w:t>
      </w:r>
      <w:r>
        <w:rPr>
          <w:spacing w:val="-24"/>
          <w:sz w:val="16"/>
        </w:rPr>
        <w:t xml:space="preserve"> </w:t>
      </w:r>
      <w:r>
        <w:rPr>
          <w:sz w:val="16"/>
        </w:rPr>
        <w:t>2002.</w:t>
      </w:r>
    </w:p>
    <w:p w:rsidR="00AB6FC4" w:rsidRDefault="005831D9">
      <w:pPr>
        <w:pStyle w:val="PargrafodaLista"/>
        <w:numPr>
          <w:ilvl w:val="0"/>
          <w:numId w:val="1"/>
        </w:numPr>
        <w:tabs>
          <w:tab w:val="left" w:pos="915"/>
        </w:tabs>
        <w:ind w:right="118" w:firstLine="566"/>
        <w:rPr>
          <w:sz w:val="16"/>
        </w:rPr>
      </w:pPr>
      <w:r>
        <w:rPr>
          <w:sz w:val="16"/>
        </w:rPr>
        <w:t>Santos, S.V.; Fagulha, T. Síndrome nefrótica e doença celíaca na infância: perspectiva da criança s</w:t>
      </w:r>
      <w:r>
        <w:rPr>
          <w:sz w:val="16"/>
        </w:rPr>
        <w:t xml:space="preserve">obre a relação que os outros estabelecem com ela. Psicologia, saúde e doenças – ano/vol </w:t>
      </w:r>
      <w:r>
        <w:rPr>
          <w:spacing w:val="-3"/>
          <w:sz w:val="16"/>
        </w:rPr>
        <w:t xml:space="preserve">II, </w:t>
      </w:r>
      <w:r>
        <w:rPr>
          <w:sz w:val="16"/>
        </w:rPr>
        <w:t xml:space="preserve">nº 2, pags. </w:t>
      </w:r>
      <w:proofErr w:type="gramStart"/>
      <w:r>
        <w:rPr>
          <w:sz w:val="16"/>
        </w:rPr>
        <w:t>27-41, Sociedade</w:t>
      </w:r>
      <w:proofErr w:type="gramEnd"/>
      <w:r>
        <w:rPr>
          <w:sz w:val="16"/>
        </w:rPr>
        <w:t xml:space="preserve"> Portuguesa de Psicologia da Saúde, Lisboa,</w:t>
      </w:r>
      <w:r>
        <w:rPr>
          <w:spacing w:val="-13"/>
          <w:sz w:val="16"/>
        </w:rPr>
        <w:t xml:space="preserve"> </w:t>
      </w:r>
      <w:r>
        <w:rPr>
          <w:sz w:val="16"/>
        </w:rPr>
        <w:t>2001.</w:t>
      </w:r>
    </w:p>
    <w:sectPr w:rsidR="00AB6FC4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BDB"/>
    <w:multiLevelType w:val="hybridMultilevel"/>
    <w:tmpl w:val="BF6ACA44"/>
    <w:lvl w:ilvl="0" w:tplc="0F708AF4">
      <w:numFmt w:val="bullet"/>
      <w:lvlText w:val="-"/>
      <w:lvlJc w:val="left"/>
      <w:pPr>
        <w:ind w:left="100" w:hanging="99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BR" w:eastAsia="pt-BR" w:bidi="pt-BR"/>
      </w:rPr>
    </w:lvl>
    <w:lvl w:ilvl="1" w:tplc="3B104100">
      <w:numFmt w:val="bullet"/>
      <w:lvlText w:val="•"/>
      <w:lvlJc w:val="left"/>
      <w:pPr>
        <w:ind w:left="1158" w:hanging="99"/>
      </w:pPr>
      <w:rPr>
        <w:rFonts w:hint="default"/>
        <w:lang w:val="pt-BR" w:eastAsia="pt-BR" w:bidi="pt-BR"/>
      </w:rPr>
    </w:lvl>
    <w:lvl w:ilvl="2" w:tplc="2638A600">
      <w:numFmt w:val="bullet"/>
      <w:lvlText w:val="•"/>
      <w:lvlJc w:val="left"/>
      <w:pPr>
        <w:ind w:left="2217" w:hanging="99"/>
      </w:pPr>
      <w:rPr>
        <w:rFonts w:hint="default"/>
        <w:lang w:val="pt-BR" w:eastAsia="pt-BR" w:bidi="pt-BR"/>
      </w:rPr>
    </w:lvl>
    <w:lvl w:ilvl="3" w:tplc="FFE81706">
      <w:numFmt w:val="bullet"/>
      <w:lvlText w:val="•"/>
      <w:lvlJc w:val="left"/>
      <w:pPr>
        <w:ind w:left="3275" w:hanging="99"/>
      </w:pPr>
      <w:rPr>
        <w:rFonts w:hint="default"/>
        <w:lang w:val="pt-BR" w:eastAsia="pt-BR" w:bidi="pt-BR"/>
      </w:rPr>
    </w:lvl>
    <w:lvl w:ilvl="4" w:tplc="C630D928">
      <w:numFmt w:val="bullet"/>
      <w:lvlText w:val="•"/>
      <w:lvlJc w:val="left"/>
      <w:pPr>
        <w:ind w:left="4334" w:hanging="99"/>
      </w:pPr>
      <w:rPr>
        <w:rFonts w:hint="default"/>
        <w:lang w:val="pt-BR" w:eastAsia="pt-BR" w:bidi="pt-BR"/>
      </w:rPr>
    </w:lvl>
    <w:lvl w:ilvl="5" w:tplc="4ACA9192">
      <w:numFmt w:val="bullet"/>
      <w:lvlText w:val="•"/>
      <w:lvlJc w:val="left"/>
      <w:pPr>
        <w:ind w:left="5393" w:hanging="99"/>
      </w:pPr>
      <w:rPr>
        <w:rFonts w:hint="default"/>
        <w:lang w:val="pt-BR" w:eastAsia="pt-BR" w:bidi="pt-BR"/>
      </w:rPr>
    </w:lvl>
    <w:lvl w:ilvl="6" w:tplc="1BA26D3C">
      <w:numFmt w:val="bullet"/>
      <w:lvlText w:val="•"/>
      <w:lvlJc w:val="left"/>
      <w:pPr>
        <w:ind w:left="6451" w:hanging="99"/>
      </w:pPr>
      <w:rPr>
        <w:rFonts w:hint="default"/>
        <w:lang w:val="pt-BR" w:eastAsia="pt-BR" w:bidi="pt-BR"/>
      </w:rPr>
    </w:lvl>
    <w:lvl w:ilvl="7" w:tplc="1ECCEA14">
      <w:numFmt w:val="bullet"/>
      <w:lvlText w:val="•"/>
      <w:lvlJc w:val="left"/>
      <w:pPr>
        <w:ind w:left="7510" w:hanging="99"/>
      </w:pPr>
      <w:rPr>
        <w:rFonts w:hint="default"/>
        <w:lang w:val="pt-BR" w:eastAsia="pt-BR" w:bidi="pt-BR"/>
      </w:rPr>
    </w:lvl>
    <w:lvl w:ilvl="8" w:tplc="868C2DF0">
      <w:numFmt w:val="bullet"/>
      <w:lvlText w:val="•"/>
      <w:lvlJc w:val="left"/>
      <w:pPr>
        <w:ind w:left="8569" w:hanging="99"/>
      </w:pPr>
      <w:rPr>
        <w:rFonts w:hint="default"/>
        <w:lang w:val="pt-BR" w:eastAsia="pt-BR" w:bidi="pt-BR"/>
      </w:rPr>
    </w:lvl>
  </w:abstractNum>
  <w:abstractNum w:abstractNumId="1">
    <w:nsid w:val="57093A03"/>
    <w:multiLevelType w:val="hybridMultilevel"/>
    <w:tmpl w:val="7F926CDE"/>
    <w:lvl w:ilvl="0" w:tplc="118EC246">
      <w:start w:val="1"/>
      <w:numFmt w:val="decimal"/>
      <w:lvlText w:val="%1."/>
      <w:lvlJc w:val="left"/>
      <w:pPr>
        <w:ind w:left="100" w:hanging="1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t-BR" w:eastAsia="pt-BR" w:bidi="pt-BR"/>
      </w:rPr>
    </w:lvl>
    <w:lvl w:ilvl="1" w:tplc="A7669AA8">
      <w:numFmt w:val="bullet"/>
      <w:lvlText w:val="•"/>
      <w:lvlJc w:val="left"/>
      <w:pPr>
        <w:ind w:left="1158" w:hanging="164"/>
      </w:pPr>
      <w:rPr>
        <w:rFonts w:hint="default"/>
        <w:lang w:val="pt-BR" w:eastAsia="pt-BR" w:bidi="pt-BR"/>
      </w:rPr>
    </w:lvl>
    <w:lvl w:ilvl="2" w:tplc="910E4D4C">
      <w:numFmt w:val="bullet"/>
      <w:lvlText w:val="•"/>
      <w:lvlJc w:val="left"/>
      <w:pPr>
        <w:ind w:left="2217" w:hanging="164"/>
      </w:pPr>
      <w:rPr>
        <w:rFonts w:hint="default"/>
        <w:lang w:val="pt-BR" w:eastAsia="pt-BR" w:bidi="pt-BR"/>
      </w:rPr>
    </w:lvl>
    <w:lvl w:ilvl="3" w:tplc="C4E4E770">
      <w:numFmt w:val="bullet"/>
      <w:lvlText w:val="•"/>
      <w:lvlJc w:val="left"/>
      <w:pPr>
        <w:ind w:left="3275" w:hanging="164"/>
      </w:pPr>
      <w:rPr>
        <w:rFonts w:hint="default"/>
        <w:lang w:val="pt-BR" w:eastAsia="pt-BR" w:bidi="pt-BR"/>
      </w:rPr>
    </w:lvl>
    <w:lvl w:ilvl="4" w:tplc="6B589872">
      <w:numFmt w:val="bullet"/>
      <w:lvlText w:val="•"/>
      <w:lvlJc w:val="left"/>
      <w:pPr>
        <w:ind w:left="4334" w:hanging="164"/>
      </w:pPr>
      <w:rPr>
        <w:rFonts w:hint="default"/>
        <w:lang w:val="pt-BR" w:eastAsia="pt-BR" w:bidi="pt-BR"/>
      </w:rPr>
    </w:lvl>
    <w:lvl w:ilvl="5" w:tplc="E7CAEF6C">
      <w:numFmt w:val="bullet"/>
      <w:lvlText w:val="•"/>
      <w:lvlJc w:val="left"/>
      <w:pPr>
        <w:ind w:left="5393" w:hanging="164"/>
      </w:pPr>
      <w:rPr>
        <w:rFonts w:hint="default"/>
        <w:lang w:val="pt-BR" w:eastAsia="pt-BR" w:bidi="pt-BR"/>
      </w:rPr>
    </w:lvl>
    <w:lvl w:ilvl="6" w:tplc="98CC5C0E">
      <w:numFmt w:val="bullet"/>
      <w:lvlText w:val="•"/>
      <w:lvlJc w:val="left"/>
      <w:pPr>
        <w:ind w:left="6451" w:hanging="164"/>
      </w:pPr>
      <w:rPr>
        <w:rFonts w:hint="default"/>
        <w:lang w:val="pt-BR" w:eastAsia="pt-BR" w:bidi="pt-BR"/>
      </w:rPr>
    </w:lvl>
    <w:lvl w:ilvl="7" w:tplc="15EEBCAC">
      <w:numFmt w:val="bullet"/>
      <w:lvlText w:val="•"/>
      <w:lvlJc w:val="left"/>
      <w:pPr>
        <w:ind w:left="7510" w:hanging="164"/>
      </w:pPr>
      <w:rPr>
        <w:rFonts w:hint="default"/>
        <w:lang w:val="pt-BR" w:eastAsia="pt-BR" w:bidi="pt-BR"/>
      </w:rPr>
    </w:lvl>
    <w:lvl w:ilvl="8" w:tplc="B98CAE28">
      <w:numFmt w:val="bullet"/>
      <w:lvlText w:val="•"/>
      <w:lvlJc w:val="left"/>
      <w:pPr>
        <w:ind w:left="8569" w:hanging="164"/>
      </w:pPr>
      <w:rPr>
        <w:rFonts w:hint="default"/>
        <w:lang w:val="pt-BR" w:eastAsia="pt-BR" w:bidi="pt-BR"/>
      </w:rPr>
    </w:lvl>
  </w:abstractNum>
  <w:abstractNum w:abstractNumId="2">
    <w:nsid w:val="633F2E0A"/>
    <w:multiLevelType w:val="hybridMultilevel"/>
    <w:tmpl w:val="CB3A090C"/>
    <w:lvl w:ilvl="0" w:tplc="64AA3E18">
      <w:start w:val="1"/>
      <w:numFmt w:val="lowerLetter"/>
      <w:lvlText w:val="%1)"/>
      <w:lvlJc w:val="left"/>
      <w:pPr>
        <w:ind w:left="100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BR" w:eastAsia="pt-BR" w:bidi="pt-BR"/>
      </w:rPr>
    </w:lvl>
    <w:lvl w:ilvl="1" w:tplc="AD9A6028">
      <w:numFmt w:val="bullet"/>
      <w:lvlText w:val="•"/>
      <w:lvlJc w:val="left"/>
      <w:pPr>
        <w:ind w:left="1158" w:hanging="166"/>
      </w:pPr>
      <w:rPr>
        <w:rFonts w:hint="default"/>
        <w:lang w:val="pt-BR" w:eastAsia="pt-BR" w:bidi="pt-BR"/>
      </w:rPr>
    </w:lvl>
    <w:lvl w:ilvl="2" w:tplc="33802002">
      <w:numFmt w:val="bullet"/>
      <w:lvlText w:val="•"/>
      <w:lvlJc w:val="left"/>
      <w:pPr>
        <w:ind w:left="2217" w:hanging="166"/>
      </w:pPr>
      <w:rPr>
        <w:rFonts w:hint="default"/>
        <w:lang w:val="pt-BR" w:eastAsia="pt-BR" w:bidi="pt-BR"/>
      </w:rPr>
    </w:lvl>
    <w:lvl w:ilvl="3" w:tplc="2E723174">
      <w:numFmt w:val="bullet"/>
      <w:lvlText w:val="•"/>
      <w:lvlJc w:val="left"/>
      <w:pPr>
        <w:ind w:left="3275" w:hanging="166"/>
      </w:pPr>
      <w:rPr>
        <w:rFonts w:hint="default"/>
        <w:lang w:val="pt-BR" w:eastAsia="pt-BR" w:bidi="pt-BR"/>
      </w:rPr>
    </w:lvl>
    <w:lvl w:ilvl="4" w:tplc="A6C8EA8C">
      <w:numFmt w:val="bullet"/>
      <w:lvlText w:val="•"/>
      <w:lvlJc w:val="left"/>
      <w:pPr>
        <w:ind w:left="4334" w:hanging="166"/>
      </w:pPr>
      <w:rPr>
        <w:rFonts w:hint="default"/>
        <w:lang w:val="pt-BR" w:eastAsia="pt-BR" w:bidi="pt-BR"/>
      </w:rPr>
    </w:lvl>
    <w:lvl w:ilvl="5" w:tplc="9DD81430">
      <w:numFmt w:val="bullet"/>
      <w:lvlText w:val="•"/>
      <w:lvlJc w:val="left"/>
      <w:pPr>
        <w:ind w:left="5393" w:hanging="166"/>
      </w:pPr>
      <w:rPr>
        <w:rFonts w:hint="default"/>
        <w:lang w:val="pt-BR" w:eastAsia="pt-BR" w:bidi="pt-BR"/>
      </w:rPr>
    </w:lvl>
    <w:lvl w:ilvl="6" w:tplc="F6862686">
      <w:numFmt w:val="bullet"/>
      <w:lvlText w:val="•"/>
      <w:lvlJc w:val="left"/>
      <w:pPr>
        <w:ind w:left="6451" w:hanging="166"/>
      </w:pPr>
      <w:rPr>
        <w:rFonts w:hint="default"/>
        <w:lang w:val="pt-BR" w:eastAsia="pt-BR" w:bidi="pt-BR"/>
      </w:rPr>
    </w:lvl>
    <w:lvl w:ilvl="7" w:tplc="56A09A82">
      <w:numFmt w:val="bullet"/>
      <w:lvlText w:val="•"/>
      <w:lvlJc w:val="left"/>
      <w:pPr>
        <w:ind w:left="7510" w:hanging="166"/>
      </w:pPr>
      <w:rPr>
        <w:rFonts w:hint="default"/>
        <w:lang w:val="pt-BR" w:eastAsia="pt-BR" w:bidi="pt-BR"/>
      </w:rPr>
    </w:lvl>
    <w:lvl w:ilvl="8" w:tplc="0DCA6676">
      <w:numFmt w:val="bullet"/>
      <w:lvlText w:val="•"/>
      <w:lvlJc w:val="left"/>
      <w:pPr>
        <w:ind w:left="8569" w:hanging="166"/>
      </w:pPr>
      <w:rPr>
        <w:rFonts w:hint="default"/>
        <w:lang w:val="pt-BR" w:eastAsia="pt-BR" w:bidi="pt-BR"/>
      </w:rPr>
    </w:lvl>
  </w:abstractNum>
  <w:abstractNum w:abstractNumId="3">
    <w:nsid w:val="69732436"/>
    <w:multiLevelType w:val="hybridMultilevel"/>
    <w:tmpl w:val="B85C3BAA"/>
    <w:lvl w:ilvl="0" w:tplc="661E0C06">
      <w:start w:val="1"/>
      <w:numFmt w:val="decimal"/>
      <w:lvlText w:val="%1."/>
      <w:lvlJc w:val="left"/>
      <w:pPr>
        <w:ind w:left="829" w:hanging="1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BR" w:eastAsia="pt-BR" w:bidi="pt-BR"/>
      </w:rPr>
    </w:lvl>
    <w:lvl w:ilvl="1" w:tplc="A1D87544">
      <w:numFmt w:val="bullet"/>
      <w:lvlText w:val="•"/>
      <w:lvlJc w:val="left"/>
      <w:pPr>
        <w:ind w:left="1806" w:hanging="163"/>
      </w:pPr>
      <w:rPr>
        <w:rFonts w:hint="default"/>
        <w:lang w:val="pt-BR" w:eastAsia="pt-BR" w:bidi="pt-BR"/>
      </w:rPr>
    </w:lvl>
    <w:lvl w:ilvl="2" w:tplc="43DEEDCA">
      <w:numFmt w:val="bullet"/>
      <w:lvlText w:val="•"/>
      <w:lvlJc w:val="left"/>
      <w:pPr>
        <w:ind w:left="2793" w:hanging="163"/>
      </w:pPr>
      <w:rPr>
        <w:rFonts w:hint="default"/>
        <w:lang w:val="pt-BR" w:eastAsia="pt-BR" w:bidi="pt-BR"/>
      </w:rPr>
    </w:lvl>
    <w:lvl w:ilvl="3" w:tplc="1910002E">
      <w:numFmt w:val="bullet"/>
      <w:lvlText w:val="•"/>
      <w:lvlJc w:val="left"/>
      <w:pPr>
        <w:ind w:left="3779" w:hanging="163"/>
      </w:pPr>
      <w:rPr>
        <w:rFonts w:hint="default"/>
        <w:lang w:val="pt-BR" w:eastAsia="pt-BR" w:bidi="pt-BR"/>
      </w:rPr>
    </w:lvl>
    <w:lvl w:ilvl="4" w:tplc="32EAB404">
      <w:numFmt w:val="bullet"/>
      <w:lvlText w:val="•"/>
      <w:lvlJc w:val="left"/>
      <w:pPr>
        <w:ind w:left="4766" w:hanging="163"/>
      </w:pPr>
      <w:rPr>
        <w:rFonts w:hint="default"/>
        <w:lang w:val="pt-BR" w:eastAsia="pt-BR" w:bidi="pt-BR"/>
      </w:rPr>
    </w:lvl>
    <w:lvl w:ilvl="5" w:tplc="6FF0EA74">
      <w:numFmt w:val="bullet"/>
      <w:lvlText w:val="•"/>
      <w:lvlJc w:val="left"/>
      <w:pPr>
        <w:ind w:left="5753" w:hanging="163"/>
      </w:pPr>
      <w:rPr>
        <w:rFonts w:hint="default"/>
        <w:lang w:val="pt-BR" w:eastAsia="pt-BR" w:bidi="pt-BR"/>
      </w:rPr>
    </w:lvl>
    <w:lvl w:ilvl="6" w:tplc="EEA86256">
      <w:numFmt w:val="bullet"/>
      <w:lvlText w:val="•"/>
      <w:lvlJc w:val="left"/>
      <w:pPr>
        <w:ind w:left="6739" w:hanging="163"/>
      </w:pPr>
      <w:rPr>
        <w:rFonts w:hint="default"/>
        <w:lang w:val="pt-BR" w:eastAsia="pt-BR" w:bidi="pt-BR"/>
      </w:rPr>
    </w:lvl>
    <w:lvl w:ilvl="7" w:tplc="F82C5056">
      <w:numFmt w:val="bullet"/>
      <w:lvlText w:val="•"/>
      <w:lvlJc w:val="left"/>
      <w:pPr>
        <w:ind w:left="7726" w:hanging="163"/>
      </w:pPr>
      <w:rPr>
        <w:rFonts w:hint="default"/>
        <w:lang w:val="pt-BR" w:eastAsia="pt-BR" w:bidi="pt-BR"/>
      </w:rPr>
    </w:lvl>
    <w:lvl w:ilvl="8" w:tplc="7286F28E">
      <w:numFmt w:val="bullet"/>
      <w:lvlText w:val="•"/>
      <w:lvlJc w:val="left"/>
      <w:pPr>
        <w:ind w:left="8713" w:hanging="163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B6FC4"/>
    <w:rsid w:val="005831D9"/>
    <w:rsid w:val="00A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line="183" w:lineRule="exact"/>
      <w:ind w:left="829" w:hanging="163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 w:firstLine="566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100" w:firstLine="56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831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1D9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4591</Words>
  <Characters>24797</Characters>
  <Application>Microsoft Office Word</Application>
  <DocSecurity>0</DocSecurity>
  <Lines>206</Lines>
  <Paragraphs>58</Paragraphs>
  <ScaleCrop>false</ScaleCrop>
  <Company/>
  <LinksUpToDate>false</LinksUpToDate>
  <CharactersWithSpaces>29330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CLÍNICO E DIRETRIZES TERAPÊUTICAS</dc:title>
  <dc:creator>claiton</dc:creator>
  <cp:lastModifiedBy>VANESSA ALVES DE OLIVEIRA</cp:lastModifiedBy>
  <cp:revision>2</cp:revision>
  <dcterms:created xsi:type="dcterms:W3CDTF">2019-07-19T13:53:00Z</dcterms:created>
  <dcterms:modified xsi:type="dcterms:W3CDTF">2019-07-19T13:53:00Z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2019-07-19T00:00:00Z</vt:filetime>
  </property>
</Properties>
</file>