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D6" w:rsidRDefault="00694219">
      <w:pPr>
        <w:pStyle w:val="Corpodetexto"/>
        <w:spacing w:before="1"/>
        <w:ind w:left="0"/>
        <w:jc w:val="left"/>
      </w:pPr>
      <w:r>
        <w:rPr>
          <w:noProof/>
          <w:lang w:bidi="ar-SA"/>
        </w:rPr>
        <w:drawing>
          <wp:inline distT="0" distB="0" distL="0" distR="0" wp14:anchorId="4E1475AD" wp14:editId="01F34571">
            <wp:extent cx="2952750" cy="290199"/>
            <wp:effectExtent l="0" t="0" r="0" b="0"/>
            <wp:docPr id="17" name="Imagem 17" descr="papel timbra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 timbrado1"/>
                    <pic:cNvPicPr>
                      <a:picLocks noChangeAspect="1" noChangeArrowheads="1"/>
                    </pic:cNvPicPr>
                  </pic:nvPicPr>
                  <pic:blipFill>
                    <a:blip r:embed="rId6"/>
                    <a:srcRect/>
                    <a:stretch>
                      <a:fillRect/>
                    </a:stretch>
                  </pic:blipFill>
                  <pic:spPr bwMode="auto">
                    <a:xfrm>
                      <a:off x="0" y="0"/>
                      <a:ext cx="2952750" cy="290199"/>
                    </a:xfrm>
                    <a:prstGeom prst="rect">
                      <a:avLst/>
                    </a:prstGeom>
                    <a:noFill/>
                    <a:ln w="9525">
                      <a:noFill/>
                      <a:miter lim="800000"/>
                      <a:headEnd/>
                      <a:tailEnd/>
                    </a:ln>
                  </pic:spPr>
                </pic:pic>
              </a:graphicData>
            </a:graphic>
          </wp:inline>
        </w:drawing>
      </w:r>
      <w:bookmarkStart w:id="0" w:name="_GoBack"/>
      <w:bookmarkEnd w:id="0"/>
    </w:p>
    <w:p w:rsidR="003F1CD6" w:rsidRDefault="00694219">
      <w:pPr>
        <w:pStyle w:val="Corpodetexto"/>
        <w:spacing w:before="1" w:line="480" w:lineRule="auto"/>
        <w:ind w:left="392" w:right="283"/>
        <w:jc w:val="center"/>
      </w:pPr>
      <w:proofErr w:type="gramStart"/>
      <w:r>
        <w:t>PROTOCOLO CLÍNICO E DIRETRIZES TERAPÊUTICAS</w:t>
      </w:r>
      <w:proofErr w:type="gramEnd"/>
      <w:r>
        <w:t xml:space="preserve"> DERMATOMIOSITE E POLIMIOSITE</w:t>
      </w:r>
    </w:p>
    <w:p w:rsidR="003F1CD6" w:rsidRDefault="00694219">
      <w:pPr>
        <w:pStyle w:val="PargrafodaLista"/>
        <w:numPr>
          <w:ilvl w:val="0"/>
          <w:numId w:val="6"/>
        </w:numPr>
        <w:tabs>
          <w:tab w:val="left" w:pos="902"/>
        </w:tabs>
        <w:ind w:firstLine="567"/>
        <w:jc w:val="left"/>
        <w:rPr>
          <w:sz w:val="16"/>
        </w:rPr>
      </w:pPr>
      <w:r>
        <w:rPr>
          <w:sz w:val="16"/>
        </w:rPr>
        <w:t>METODOLOGIA DE BUSCA E AVALIAÇÃO DA LITERATURA</w:t>
      </w:r>
    </w:p>
    <w:p w:rsidR="003F1CD6" w:rsidRDefault="003F1CD6">
      <w:pPr>
        <w:pStyle w:val="Corpodetexto"/>
        <w:spacing w:before="10"/>
        <w:ind w:left="0"/>
        <w:jc w:val="left"/>
        <w:rPr>
          <w:sz w:val="15"/>
        </w:rPr>
      </w:pPr>
    </w:p>
    <w:p w:rsidR="003F1CD6" w:rsidRDefault="00694219">
      <w:pPr>
        <w:pStyle w:val="Corpodetexto"/>
        <w:ind w:right="1" w:firstLine="566"/>
      </w:pPr>
      <w:r>
        <w:t>Foi realizada revisão da literatura na data de 15/01/2010 nas bases de dados MEDLINE/</w:t>
      </w:r>
      <w:proofErr w:type="spellStart"/>
      <w:proofErr w:type="gramStart"/>
      <w:r>
        <w:t>PubMed</w:t>
      </w:r>
      <w:proofErr w:type="spellEnd"/>
      <w:proofErr w:type="gramEnd"/>
      <w:r>
        <w:t>, Embase e biblioteca Cochrane.</w:t>
      </w:r>
    </w:p>
    <w:p w:rsidR="003F1CD6" w:rsidRDefault="00694219">
      <w:pPr>
        <w:pStyle w:val="Corpodetexto"/>
        <w:spacing w:before="2"/>
        <w:ind w:right="-15" w:firstLine="566"/>
      </w:pPr>
      <w:r w:rsidRPr="00694219">
        <w:rPr>
          <w:lang w:val="en-US"/>
        </w:rPr>
        <w:t>Na base MEDL</w:t>
      </w:r>
      <w:r w:rsidRPr="00694219">
        <w:rPr>
          <w:lang w:val="en-US"/>
        </w:rPr>
        <w:t xml:space="preserve">INE/PubMed, </w:t>
      </w:r>
      <w:proofErr w:type="spellStart"/>
      <w:r w:rsidRPr="00694219">
        <w:rPr>
          <w:lang w:val="en-US"/>
        </w:rPr>
        <w:t>foi</w:t>
      </w:r>
      <w:proofErr w:type="spellEnd"/>
      <w:r w:rsidRPr="00694219">
        <w:rPr>
          <w:lang w:val="en-US"/>
        </w:rPr>
        <w:t xml:space="preserve"> </w:t>
      </w:r>
      <w:proofErr w:type="spellStart"/>
      <w:r w:rsidRPr="00694219">
        <w:rPr>
          <w:lang w:val="en-US"/>
        </w:rPr>
        <w:t>utilizada</w:t>
      </w:r>
      <w:proofErr w:type="spellEnd"/>
      <w:r w:rsidRPr="00694219">
        <w:rPr>
          <w:lang w:val="en-US"/>
        </w:rPr>
        <w:t xml:space="preserve"> a </w:t>
      </w:r>
      <w:proofErr w:type="spellStart"/>
      <w:r w:rsidRPr="00694219">
        <w:rPr>
          <w:lang w:val="en-US"/>
        </w:rPr>
        <w:t>seguinte</w:t>
      </w:r>
      <w:proofErr w:type="spellEnd"/>
      <w:r w:rsidRPr="00694219">
        <w:rPr>
          <w:lang w:val="en-US"/>
        </w:rPr>
        <w:t xml:space="preserve"> </w:t>
      </w:r>
      <w:proofErr w:type="spellStart"/>
      <w:r w:rsidRPr="00694219">
        <w:rPr>
          <w:lang w:val="en-US"/>
        </w:rPr>
        <w:t>estratégia</w:t>
      </w:r>
      <w:proofErr w:type="spellEnd"/>
      <w:r w:rsidRPr="00694219">
        <w:rPr>
          <w:lang w:val="en-US"/>
        </w:rPr>
        <w:t>: "</w:t>
      </w:r>
      <w:proofErr w:type="spellStart"/>
      <w:r w:rsidRPr="00694219">
        <w:rPr>
          <w:lang w:val="en-US"/>
        </w:rPr>
        <w:t>dermatomyositis</w:t>
      </w:r>
      <w:proofErr w:type="spellEnd"/>
      <w:r w:rsidRPr="00694219">
        <w:rPr>
          <w:lang w:val="en-US"/>
        </w:rPr>
        <w:t>/therapy"[Mesh Term] OR "</w:t>
      </w:r>
      <w:proofErr w:type="spellStart"/>
      <w:r w:rsidRPr="00694219">
        <w:rPr>
          <w:lang w:val="en-US"/>
        </w:rPr>
        <w:t>polymyositis</w:t>
      </w:r>
      <w:proofErr w:type="spellEnd"/>
      <w:r w:rsidRPr="00694219">
        <w:rPr>
          <w:lang w:val="en-US"/>
        </w:rPr>
        <w:t>/therapy"[Mesh Term] AND (Clinical Trial[</w:t>
      </w:r>
      <w:proofErr w:type="spellStart"/>
      <w:r w:rsidRPr="00694219">
        <w:rPr>
          <w:lang w:val="en-US"/>
        </w:rPr>
        <w:t>ptyp</w:t>
      </w:r>
      <w:proofErr w:type="spellEnd"/>
      <w:r w:rsidRPr="00694219">
        <w:rPr>
          <w:lang w:val="en-US"/>
        </w:rPr>
        <w:t>] OR Meta-Analysis[</w:t>
      </w:r>
      <w:proofErr w:type="spellStart"/>
      <w:r w:rsidRPr="00694219">
        <w:rPr>
          <w:lang w:val="en-US"/>
        </w:rPr>
        <w:t>ptyp</w:t>
      </w:r>
      <w:proofErr w:type="spellEnd"/>
      <w:r w:rsidRPr="00694219">
        <w:rPr>
          <w:lang w:val="en-US"/>
        </w:rPr>
        <w:t>] OR Practice Guideline[</w:t>
      </w:r>
      <w:proofErr w:type="spellStart"/>
      <w:r w:rsidRPr="00694219">
        <w:rPr>
          <w:lang w:val="en-US"/>
        </w:rPr>
        <w:t>ptyp</w:t>
      </w:r>
      <w:proofErr w:type="spellEnd"/>
      <w:r w:rsidRPr="00694219">
        <w:rPr>
          <w:lang w:val="en-US"/>
        </w:rPr>
        <w:t>] OR Randomized Controlled Trial[</w:t>
      </w:r>
      <w:proofErr w:type="spellStart"/>
      <w:r w:rsidRPr="00694219">
        <w:rPr>
          <w:lang w:val="en-US"/>
        </w:rPr>
        <w:t>ptyp</w:t>
      </w:r>
      <w:proofErr w:type="spellEnd"/>
      <w:r w:rsidRPr="00694219">
        <w:rPr>
          <w:lang w:val="en-US"/>
        </w:rPr>
        <w:t>] OR Controlled Clini</w:t>
      </w:r>
      <w:r w:rsidRPr="00694219">
        <w:rPr>
          <w:lang w:val="en-US"/>
        </w:rPr>
        <w:t>cal Trial[</w:t>
      </w:r>
      <w:proofErr w:type="spellStart"/>
      <w:r w:rsidRPr="00694219">
        <w:rPr>
          <w:lang w:val="en-US"/>
        </w:rPr>
        <w:t>ptyp</w:t>
      </w:r>
      <w:proofErr w:type="spellEnd"/>
      <w:r w:rsidRPr="00694219">
        <w:rPr>
          <w:lang w:val="en-US"/>
        </w:rPr>
        <w:t>]) AND "humans"[</w:t>
      </w:r>
      <w:proofErr w:type="spellStart"/>
      <w:r w:rsidRPr="00694219">
        <w:rPr>
          <w:lang w:val="en-US"/>
        </w:rPr>
        <w:t>MeSH</w:t>
      </w:r>
      <w:proofErr w:type="spellEnd"/>
      <w:r w:rsidRPr="00694219">
        <w:rPr>
          <w:lang w:val="en-US"/>
        </w:rPr>
        <w:t xml:space="preserve"> Term], </w:t>
      </w:r>
      <w:proofErr w:type="spellStart"/>
      <w:r w:rsidRPr="00694219">
        <w:rPr>
          <w:lang w:val="en-US"/>
        </w:rPr>
        <w:t>resultando</w:t>
      </w:r>
      <w:proofErr w:type="spellEnd"/>
      <w:r w:rsidRPr="00694219">
        <w:rPr>
          <w:lang w:val="en-US"/>
        </w:rPr>
        <w:t xml:space="preserve"> </w:t>
      </w:r>
      <w:proofErr w:type="spellStart"/>
      <w:r w:rsidRPr="00694219">
        <w:rPr>
          <w:lang w:val="en-US"/>
        </w:rPr>
        <w:t>em</w:t>
      </w:r>
      <w:proofErr w:type="spellEnd"/>
      <w:r w:rsidRPr="00694219">
        <w:rPr>
          <w:lang w:val="en-US"/>
        </w:rPr>
        <w:t xml:space="preserve"> 68 </w:t>
      </w:r>
      <w:proofErr w:type="spellStart"/>
      <w:r w:rsidRPr="00694219">
        <w:rPr>
          <w:lang w:val="en-US"/>
        </w:rPr>
        <w:t>estudos</w:t>
      </w:r>
      <w:proofErr w:type="spellEnd"/>
      <w:r w:rsidRPr="00694219">
        <w:rPr>
          <w:lang w:val="en-US"/>
        </w:rPr>
        <w:t xml:space="preserve">. No </w:t>
      </w:r>
      <w:proofErr w:type="spellStart"/>
      <w:r w:rsidRPr="00694219">
        <w:rPr>
          <w:lang w:val="en-US"/>
        </w:rPr>
        <w:t>Embase</w:t>
      </w:r>
      <w:proofErr w:type="spellEnd"/>
      <w:r w:rsidRPr="00694219">
        <w:rPr>
          <w:lang w:val="en-US"/>
        </w:rPr>
        <w:t xml:space="preserve">, </w:t>
      </w:r>
      <w:proofErr w:type="spellStart"/>
      <w:r w:rsidRPr="00694219">
        <w:rPr>
          <w:lang w:val="en-US"/>
        </w:rPr>
        <w:t>foi</w:t>
      </w:r>
      <w:proofErr w:type="spellEnd"/>
      <w:r w:rsidRPr="00694219">
        <w:rPr>
          <w:lang w:val="en-US"/>
        </w:rPr>
        <w:t xml:space="preserve"> </w:t>
      </w:r>
      <w:proofErr w:type="spellStart"/>
      <w:r w:rsidRPr="00694219">
        <w:rPr>
          <w:lang w:val="en-US"/>
        </w:rPr>
        <w:t>utilizada</w:t>
      </w:r>
      <w:proofErr w:type="spellEnd"/>
      <w:r w:rsidRPr="00694219">
        <w:rPr>
          <w:lang w:val="en-US"/>
        </w:rPr>
        <w:t xml:space="preserve"> </w:t>
      </w:r>
      <w:proofErr w:type="gramStart"/>
      <w:r w:rsidRPr="00694219">
        <w:rPr>
          <w:lang w:val="en-US"/>
        </w:rPr>
        <w:t>a</w:t>
      </w:r>
      <w:proofErr w:type="gramEnd"/>
      <w:r w:rsidRPr="00694219">
        <w:rPr>
          <w:lang w:val="en-US"/>
        </w:rPr>
        <w:t xml:space="preserve"> </w:t>
      </w:r>
      <w:proofErr w:type="spellStart"/>
      <w:r w:rsidRPr="00694219">
        <w:rPr>
          <w:lang w:val="en-US"/>
        </w:rPr>
        <w:t>estratégia</w:t>
      </w:r>
      <w:proofErr w:type="spellEnd"/>
      <w:r w:rsidRPr="00694219">
        <w:rPr>
          <w:lang w:val="en-US"/>
        </w:rPr>
        <w:t xml:space="preserve"> (‘</w:t>
      </w:r>
      <w:proofErr w:type="spellStart"/>
      <w:r w:rsidRPr="00694219">
        <w:rPr>
          <w:lang w:val="en-US"/>
        </w:rPr>
        <w:t>dermatomyositis</w:t>
      </w:r>
      <w:proofErr w:type="spellEnd"/>
      <w:r w:rsidRPr="00694219">
        <w:rPr>
          <w:lang w:val="en-US"/>
        </w:rPr>
        <w:t>’/</w:t>
      </w:r>
      <w:proofErr w:type="spellStart"/>
      <w:r w:rsidRPr="00694219">
        <w:rPr>
          <w:lang w:val="en-US"/>
        </w:rPr>
        <w:t>exp</w:t>
      </w:r>
      <w:proofErr w:type="spellEnd"/>
      <w:r w:rsidRPr="00694219">
        <w:rPr>
          <w:lang w:val="en-US"/>
        </w:rPr>
        <w:t xml:space="preserve"> OR ‘</w:t>
      </w:r>
      <w:proofErr w:type="spellStart"/>
      <w:r w:rsidRPr="00694219">
        <w:rPr>
          <w:lang w:val="en-US"/>
        </w:rPr>
        <w:t>polymyositis</w:t>
      </w:r>
      <w:proofErr w:type="spellEnd"/>
      <w:r w:rsidRPr="00694219">
        <w:rPr>
          <w:lang w:val="en-US"/>
        </w:rPr>
        <w:t>’/</w:t>
      </w:r>
      <w:proofErr w:type="spellStart"/>
      <w:r w:rsidRPr="00694219">
        <w:rPr>
          <w:lang w:val="en-US"/>
        </w:rPr>
        <w:t>exp</w:t>
      </w:r>
      <w:proofErr w:type="spellEnd"/>
      <w:r w:rsidRPr="00694219">
        <w:rPr>
          <w:lang w:val="en-US"/>
        </w:rPr>
        <w:t>) AND ‘drug therapy’/</w:t>
      </w:r>
      <w:proofErr w:type="spellStart"/>
      <w:r w:rsidRPr="00694219">
        <w:rPr>
          <w:lang w:val="en-US"/>
        </w:rPr>
        <w:t>exp</w:t>
      </w:r>
      <w:proofErr w:type="spellEnd"/>
      <w:r w:rsidRPr="00694219">
        <w:rPr>
          <w:lang w:val="en-US"/>
        </w:rPr>
        <w:t xml:space="preserve"> AND ([</w:t>
      </w:r>
      <w:proofErr w:type="spellStart"/>
      <w:r w:rsidRPr="00694219">
        <w:rPr>
          <w:lang w:val="en-US"/>
        </w:rPr>
        <w:t>cochrane</w:t>
      </w:r>
      <w:proofErr w:type="spellEnd"/>
      <w:r w:rsidRPr="00694219">
        <w:rPr>
          <w:lang w:val="en-US"/>
        </w:rPr>
        <w:t xml:space="preserve"> review]/</w:t>
      </w:r>
      <w:proofErr w:type="spellStart"/>
      <w:r w:rsidRPr="00694219">
        <w:rPr>
          <w:lang w:val="en-US"/>
        </w:rPr>
        <w:t>lim</w:t>
      </w:r>
      <w:proofErr w:type="spellEnd"/>
      <w:r w:rsidRPr="00694219">
        <w:rPr>
          <w:lang w:val="en-US"/>
        </w:rPr>
        <w:t xml:space="preserve"> OR [controlled clinical trial]/</w:t>
      </w:r>
      <w:proofErr w:type="spellStart"/>
      <w:r w:rsidRPr="00694219">
        <w:rPr>
          <w:lang w:val="en-US"/>
        </w:rPr>
        <w:t>lim</w:t>
      </w:r>
      <w:proofErr w:type="spellEnd"/>
      <w:r w:rsidRPr="00694219">
        <w:rPr>
          <w:lang w:val="en-US"/>
        </w:rPr>
        <w:t xml:space="preserve"> OR [</w:t>
      </w:r>
      <w:proofErr w:type="spellStart"/>
      <w:r w:rsidRPr="00694219">
        <w:rPr>
          <w:lang w:val="en-US"/>
        </w:rPr>
        <w:t>meta analysis</w:t>
      </w:r>
      <w:proofErr w:type="spellEnd"/>
      <w:r w:rsidRPr="00694219">
        <w:rPr>
          <w:lang w:val="en-US"/>
        </w:rPr>
        <w:t>]/</w:t>
      </w:r>
      <w:r w:rsidRPr="00694219">
        <w:rPr>
          <w:lang w:val="en-US"/>
        </w:rPr>
        <w:t>lim OR [randomized controlled trial]/</w:t>
      </w:r>
      <w:proofErr w:type="spellStart"/>
      <w:r w:rsidRPr="00694219">
        <w:rPr>
          <w:lang w:val="en-US"/>
        </w:rPr>
        <w:t>lim</w:t>
      </w:r>
      <w:proofErr w:type="spellEnd"/>
      <w:r w:rsidRPr="00694219">
        <w:rPr>
          <w:lang w:val="en-US"/>
        </w:rPr>
        <w:t xml:space="preserve"> OR [systematic review]/</w:t>
      </w:r>
      <w:proofErr w:type="spellStart"/>
      <w:r w:rsidRPr="00694219">
        <w:rPr>
          <w:lang w:val="en-US"/>
        </w:rPr>
        <w:t>lim</w:t>
      </w:r>
      <w:proofErr w:type="spellEnd"/>
      <w:r w:rsidRPr="00694219">
        <w:rPr>
          <w:lang w:val="en-US"/>
        </w:rPr>
        <w:t>) AND [humans]/</w:t>
      </w:r>
      <w:proofErr w:type="spellStart"/>
      <w:r w:rsidRPr="00694219">
        <w:rPr>
          <w:lang w:val="en-US"/>
        </w:rPr>
        <w:t>lim</w:t>
      </w:r>
      <w:proofErr w:type="spellEnd"/>
      <w:r w:rsidRPr="00694219">
        <w:rPr>
          <w:lang w:val="en-US"/>
        </w:rPr>
        <w:t xml:space="preserve">”, </w:t>
      </w:r>
      <w:proofErr w:type="spellStart"/>
      <w:r w:rsidRPr="00694219">
        <w:rPr>
          <w:lang w:val="en-US"/>
        </w:rPr>
        <w:t>que</w:t>
      </w:r>
      <w:proofErr w:type="spellEnd"/>
      <w:r w:rsidRPr="00694219">
        <w:rPr>
          <w:lang w:val="en-US"/>
        </w:rPr>
        <w:t xml:space="preserve"> </w:t>
      </w:r>
      <w:proofErr w:type="spellStart"/>
      <w:r w:rsidRPr="00694219">
        <w:rPr>
          <w:lang w:val="en-US"/>
        </w:rPr>
        <w:t>resultou</w:t>
      </w:r>
      <w:proofErr w:type="spellEnd"/>
      <w:r w:rsidRPr="00694219">
        <w:rPr>
          <w:lang w:val="en-US"/>
        </w:rPr>
        <w:t xml:space="preserve"> </w:t>
      </w:r>
      <w:proofErr w:type="spellStart"/>
      <w:r w:rsidRPr="00694219">
        <w:rPr>
          <w:lang w:val="en-US"/>
        </w:rPr>
        <w:t>em</w:t>
      </w:r>
      <w:proofErr w:type="spellEnd"/>
      <w:r w:rsidRPr="00694219">
        <w:rPr>
          <w:lang w:val="en-US"/>
        </w:rPr>
        <w:t xml:space="preserve"> 130 </w:t>
      </w:r>
      <w:proofErr w:type="spellStart"/>
      <w:r w:rsidRPr="00694219">
        <w:rPr>
          <w:lang w:val="en-US"/>
        </w:rPr>
        <w:t>estudos</w:t>
      </w:r>
      <w:proofErr w:type="spellEnd"/>
      <w:r w:rsidRPr="00694219">
        <w:rPr>
          <w:lang w:val="en-US"/>
        </w:rPr>
        <w:t xml:space="preserve">. </w:t>
      </w:r>
      <w:r>
        <w:t>Quando analisados individualmente, a maioria foi excluída por referir-se a outras condições clínicas, apresentar desfechos sem relevância a</w:t>
      </w:r>
      <w:r>
        <w:t>o presente protocolo ou estudar medicamentos sem registro no país. Foram incluídos 15 estudos considerados relevantes.</w:t>
      </w:r>
    </w:p>
    <w:p w:rsidR="003F1CD6" w:rsidRDefault="00694219">
      <w:pPr>
        <w:pStyle w:val="Corpodetexto"/>
        <w:ind w:firstLine="566"/>
      </w:pPr>
      <w:r>
        <w:t>A busca na biblioteca Cochrane localizou uma revisão sistemática relacionada ao tema, já localizada na busca acima.</w:t>
      </w:r>
    </w:p>
    <w:p w:rsidR="003F1CD6" w:rsidRDefault="00694219">
      <w:pPr>
        <w:pStyle w:val="Corpodetexto"/>
        <w:ind w:firstLine="566"/>
      </w:pPr>
      <w:r>
        <w:t>Foram também utilizad</w:t>
      </w:r>
      <w:r>
        <w:t xml:space="preserve">os uma diretriz internacional de tratamento, capítulos de livro-texto, capítulo da base </w:t>
      </w:r>
      <w:proofErr w:type="spellStart"/>
      <w:proofErr w:type="gramStart"/>
      <w:r>
        <w:t>UpToDate</w:t>
      </w:r>
      <w:proofErr w:type="spellEnd"/>
      <w:proofErr w:type="gramEnd"/>
      <w:r>
        <w:t xml:space="preserve"> 17.3 relacionado ao tema, e artigos não indexados considerados relevantes pelos autores.</w:t>
      </w:r>
    </w:p>
    <w:p w:rsidR="003F1CD6" w:rsidRDefault="00694219">
      <w:pPr>
        <w:pStyle w:val="Corpodetexto"/>
        <w:tabs>
          <w:tab w:val="left" w:pos="4420"/>
        </w:tabs>
        <w:ind w:right="-15" w:firstLine="566"/>
      </w:pPr>
      <w:r>
        <w:t>Em 21/09/2015, foi realizada atualização da busca na literatura. Na ba</w:t>
      </w:r>
      <w:r>
        <w:t>se MEDLINE/</w:t>
      </w:r>
      <w:proofErr w:type="spellStart"/>
      <w:proofErr w:type="gramStart"/>
      <w:r>
        <w:t>PubMed</w:t>
      </w:r>
      <w:proofErr w:type="spellEnd"/>
      <w:proofErr w:type="gramEnd"/>
      <w:r>
        <w:t>, utilizando-se a estratégia ("</w:t>
      </w:r>
      <w:proofErr w:type="spellStart"/>
      <w:r>
        <w:t>Dermatomyositis</w:t>
      </w:r>
      <w:proofErr w:type="spellEnd"/>
      <w:r>
        <w:t>/</w:t>
      </w:r>
      <w:proofErr w:type="spellStart"/>
      <w:r>
        <w:t>therapy</w:t>
      </w:r>
      <w:proofErr w:type="spellEnd"/>
      <w:r>
        <w:t>"[</w:t>
      </w:r>
      <w:proofErr w:type="spellStart"/>
      <w:r>
        <w:t>Mesh</w:t>
      </w:r>
      <w:proofErr w:type="spellEnd"/>
      <w:r>
        <w:t>])</w:t>
      </w:r>
      <w:r>
        <w:tab/>
        <w:t>OR "</w:t>
      </w:r>
      <w:proofErr w:type="spellStart"/>
      <w:r>
        <w:t>Polymyositis</w:t>
      </w:r>
      <w:proofErr w:type="spellEnd"/>
      <w:r>
        <w:t>/</w:t>
      </w:r>
      <w:proofErr w:type="spellStart"/>
      <w:r>
        <w:t>therapy</w:t>
      </w:r>
      <w:proofErr w:type="spellEnd"/>
      <w:r>
        <w:t>"[</w:t>
      </w:r>
      <w:proofErr w:type="spellStart"/>
      <w:r>
        <w:t>Mesh</w:t>
      </w:r>
      <w:proofErr w:type="spellEnd"/>
      <w:r>
        <w:t xml:space="preserve">] </w:t>
      </w:r>
      <w:proofErr w:type="spellStart"/>
      <w:r>
        <w:t>Filters</w:t>
      </w:r>
      <w:proofErr w:type="spellEnd"/>
      <w:r>
        <w:t xml:space="preserve">: </w:t>
      </w:r>
      <w:proofErr w:type="spellStart"/>
      <w:r>
        <w:t>Clinical</w:t>
      </w:r>
      <w:proofErr w:type="spellEnd"/>
      <w:r>
        <w:t xml:space="preserve"> </w:t>
      </w:r>
      <w:proofErr w:type="spellStart"/>
      <w:r>
        <w:t>Trial</w:t>
      </w:r>
      <w:proofErr w:type="spellEnd"/>
      <w:r>
        <w:t xml:space="preserve">, </w:t>
      </w:r>
      <w:proofErr w:type="spellStart"/>
      <w:r>
        <w:t>Controlled</w:t>
      </w:r>
      <w:proofErr w:type="spellEnd"/>
      <w:r>
        <w:t xml:space="preserve"> </w:t>
      </w:r>
      <w:proofErr w:type="spellStart"/>
      <w:r>
        <w:t>Clinical</w:t>
      </w:r>
      <w:proofErr w:type="spellEnd"/>
      <w:r>
        <w:t xml:space="preserve"> </w:t>
      </w:r>
      <w:proofErr w:type="spellStart"/>
      <w:r>
        <w:t>Trial</w:t>
      </w:r>
      <w:proofErr w:type="spellEnd"/>
      <w:r>
        <w:t xml:space="preserve">, </w:t>
      </w:r>
      <w:proofErr w:type="spellStart"/>
      <w:r>
        <w:t>Randomized</w:t>
      </w:r>
      <w:proofErr w:type="spellEnd"/>
      <w:r>
        <w:t xml:space="preserve"> </w:t>
      </w:r>
      <w:proofErr w:type="spellStart"/>
      <w:r>
        <w:t>Controlled</w:t>
      </w:r>
      <w:proofErr w:type="spellEnd"/>
      <w:r>
        <w:t xml:space="preserve"> </w:t>
      </w:r>
      <w:proofErr w:type="spellStart"/>
      <w:r>
        <w:t>Trial</w:t>
      </w:r>
      <w:proofErr w:type="spellEnd"/>
      <w:r>
        <w:t>, Meta-</w:t>
      </w:r>
      <w:proofErr w:type="spellStart"/>
      <w:r>
        <w:t>Analysis</w:t>
      </w:r>
      <w:proofErr w:type="spellEnd"/>
      <w:r>
        <w:t xml:space="preserve">, </w:t>
      </w:r>
      <w:proofErr w:type="spellStart"/>
      <w:r>
        <w:t>Practice</w:t>
      </w:r>
      <w:proofErr w:type="spellEnd"/>
      <w:r>
        <w:t xml:space="preserve"> </w:t>
      </w:r>
      <w:proofErr w:type="spellStart"/>
      <w:r>
        <w:t>Guideline</w:t>
      </w:r>
      <w:proofErr w:type="spellEnd"/>
      <w:r>
        <w:t xml:space="preserve">, </w:t>
      </w:r>
      <w:proofErr w:type="spellStart"/>
      <w:r>
        <w:t>From</w:t>
      </w:r>
      <w:proofErr w:type="spellEnd"/>
      <w:r>
        <w:t xml:space="preserve"> 2010/01/16, </w:t>
      </w:r>
      <w:proofErr w:type="spellStart"/>
      <w:r>
        <w:t>Humans</w:t>
      </w:r>
      <w:proofErr w:type="spellEnd"/>
      <w:r>
        <w:t xml:space="preserve">, </w:t>
      </w:r>
      <w:proofErr w:type="spellStart"/>
      <w:r>
        <w:t>Eng</w:t>
      </w:r>
      <w:r>
        <w:t>lish</w:t>
      </w:r>
      <w:proofErr w:type="spellEnd"/>
      <w:r>
        <w:t xml:space="preserve">, </w:t>
      </w:r>
      <w:proofErr w:type="spellStart"/>
      <w:r>
        <w:t>Portuguese</w:t>
      </w:r>
      <w:proofErr w:type="spellEnd"/>
      <w:r>
        <w:t>, Spanish, obtiveram-se 106 resultados; destes, 2 foram selecionados para  análise.</w:t>
      </w:r>
    </w:p>
    <w:p w:rsidR="003F1CD6" w:rsidRPr="00694219" w:rsidRDefault="00694219">
      <w:pPr>
        <w:pStyle w:val="Corpodetexto"/>
        <w:ind w:right="-15" w:firstLine="566"/>
        <w:rPr>
          <w:lang w:val="en-US"/>
        </w:rPr>
      </w:pPr>
      <w:r w:rsidRPr="00694219">
        <w:rPr>
          <w:lang w:val="en-US"/>
        </w:rPr>
        <w:t xml:space="preserve">Na base </w:t>
      </w:r>
      <w:proofErr w:type="spellStart"/>
      <w:r w:rsidRPr="00694219">
        <w:rPr>
          <w:lang w:val="en-US"/>
        </w:rPr>
        <w:t>Embase</w:t>
      </w:r>
      <w:proofErr w:type="spellEnd"/>
      <w:r w:rsidRPr="00694219">
        <w:rPr>
          <w:lang w:val="en-US"/>
        </w:rPr>
        <w:t xml:space="preserve">, com a </w:t>
      </w:r>
      <w:proofErr w:type="spellStart"/>
      <w:r w:rsidRPr="00694219">
        <w:rPr>
          <w:lang w:val="en-US"/>
        </w:rPr>
        <w:t>estratégia</w:t>
      </w:r>
      <w:proofErr w:type="spellEnd"/>
      <w:r w:rsidRPr="00694219">
        <w:rPr>
          <w:lang w:val="en-US"/>
        </w:rPr>
        <w:t xml:space="preserve"> “'</w:t>
      </w:r>
      <w:proofErr w:type="spellStart"/>
      <w:r w:rsidRPr="00694219">
        <w:rPr>
          <w:lang w:val="en-US"/>
        </w:rPr>
        <w:t>dermatomyositis</w:t>
      </w:r>
      <w:proofErr w:type="spellEnd"/>
      <w:r w:rsidRPr="00694219">
        <w:rPr>
          <w:lang w:val="en-US"/>
        </w:rPr>
        <w:t>'/</w:t>
      </w:r>
      <w:proofErr w:type="spellStart"/>
      <w:r w:rsidRPr="00694219">
        <w:rPr>
          <w:lang w:val="en-US"/>
        </w:rPr>
        <w:t>exp</w:t>
      </w:r>
      <w:proofErr w:type="spellEnd"/>
      <w:r w:rsidRPr="00694219">
        <w:rPr>
          <w:lang w:val="en-US"/>
        </w:rPr>
        <w:t xml:space="preserve"> OR '</w:t>
      </w:r>
      <w:proofErr w:type="spellStart"/>
      <w:r w:rsidRPr="00694219">
        <w:rPr>
          <w:lang w:val="en-US"/>
        </w:rPr>
        <w:t>polymyositis</w:t>
      </w:r>
      <w:proofErr w:type="spellEnd"/>
      <w:r w:rsidRPr="00694219">
        <w:rPr>
          <w:lang w:val="en-US"/>
        </w:rPr>
        <w:t>'/</w:t>
      </w:r>
      <w:proofErr w:type="spellStart"/>
      <w:r w:rsidRPr="00694219">
        <w:rPr>
          <w:lang w:val="en-US"/>
        </w:rPr>
        <w:t>exp</w:t>
      </w:r>
      <w:proofErr w:type="spellEnd"/>
      <w:r w:rsidRPr="00694219">
        <w:rPr>
          <w:lang w:val="en-US"/>
        </w:rPr>
        <w:t xml:space="preserve"> AND 'drug therapy'/</w:t>
      </w:r>
      <w:proofErr w:type="spellStart"/>
      <w:r w:rsidRPr="00694219">
        <w:rPr>
          <w:lang w:val="en-US"/>
        </w:rPr>
        <w:t>exp</w:t>
      </w:r>
      <w:proofErr w:type="spellEnd"/>
      <w:r w:rsidRPr="00694219">
        <w:rPr>
          <w:lang w:val="en-US"/>
        </w:rPr>
        <w:t xml:space="preserve"> AND ([</w:t>
      </w:r>
      <w:proofErr w:type="spellStart"/>
      <w:r w:rsidRPr="00694219">
        <w:rPr>
          <w:lang w:val="en-US"/>
        </w:rPr>
        <w:t>cochrane</w:t>
      </w:r>
      <w:proofErr w:type="spellEnd"/>
      <w:r w:rsidRPr="00694219">
        <w:rPr>
          <w:lang w:val="en-US"/>
        </w:rPr>
        <w:t xml:space="preserve"> review]/</w:t>
      </w:r>
      <w:proofErr w:type="spellStart"/>
      <w:r w:rsidRPr="00694219">
        <w:rPr>
          <w:lang w:val="en-US"/>
        </w:rPr>
        <w:t>lim</w:t>
      </w:r>
      <w:proofErr w:type="spellEnd"/>
      <w:r w:rsidRPr="00694219">
        <w:rPr>
          <w:lang w:val="en-US"/>
        </w:rPr>
        <w:t xml:space="preserve"> OR [systematic review]/</w:t>
      </w:r>
      <w:proofErr w:type="spellStart"/>
      <w:r w:rsidRPr="00694219">
        <w:rPr>
          <w:lang w:val="en-US"/>
        </w:rPr>
        <w:t>lim</w:t>
      </w:r>
      <w:proofErr w:type="spellEnd"/>
      <w:r w:rsidRPr="00694219">
        <w:rPr>
          <w:lang w:val="en-US"/>
        </w:rPr>
        <w:t xml:space="preserve"> O</w:t>
      </w:r>
      <w:r w:rsidRPr="00694219">
        <w:rPr>
          <w:lang w:val="en-US"/>
        </w:rPr>
        <w:t>R [controlled clinical trial]/</w:t>
      </w:r>
      <w:proofErr w:type="spellStart"/>
      <w:r w:rsidRPr="00694219">
        <w:rPr>
          <w:lang w:val="en-US"/>
        </w:rPr>
        <w:t>lim</w:t>
      </w:r>
      <w:proofErr w:type="spellEnd"/>
      <w:r w:rsidRPr="00694219">
        <w:rPr>
          <w:lang w:val="en-US"/>
        </w:rPr>
        <w:t xml:space="preserve"> OR [randomized controlled trial]/</w:t>
      </w:r>
      <w:proofErr w:type="spellStart"/>
      <w:r w:rsidRPr="00694219">
        <w:rPr>
          <w:lang w:val="en-US"/>
        </w:rPr>
        <w:t>lim</w:t>
      </w:r>
      <w:proofErr w:type="spellEnd"/>
      <w:r w:rsidRPr="00694219">
        <w:rPr>
          <w:lang w:val="en-US"/>
        </w:rPr>
        <w:t xml:space="preserve"> OR [</w:t>
      </w:r>
      <w:proofErr w:type="spellStart"/>
      <w:r w:rsidRPr="00694219">
        <w:rPr>
          <w:lang w:val="en-US"/>
        </w:rPr>
        <w:t>meta analysis</w:t>
      </w:r>
      <w:proofErr w:type="spellEnd"/>
      <w:r w:rsidRPr="00694219">
        <w:rPr>
          <w:lang w:val="en-US"/>
        </w:rPr>
        <w:t>]/lim) AND ([</w:t>
      </w:r>
      <w:proofErr w:type="spellStart"/>
      <w:r w:rsidRPr="00694219">
        <w:rPr>
          <w:lang w:val="en-US"/>
        </w:rPr>
        <w:t>english</w:t>
      </w:r>
      <w:proofErr w:type="spellEnd"/>
      <w:r w:rsidRPr="00694219">
        <w:rPr>
          <w:lang w:val="en-US"/>
        </w:rPr>
        <w:t>]/</w:t>
      </w:r>
      <w:proofErr w:type="spellStart"/>
      <w:r w:rsidRPr="00694219">
        <w:rPr>
          <w:lang w:val="en-US"/>
        </w:rPr>
        <w:t>lim</w:t>
      </w:r>
      <w:proofErr w:type="spellEnd"/>
      <w:r w:rsidRPr="00694219">
        <w:rPr>
          <w:lang w:val="en-US"/>
        </w:rPr>
        <w:t xml:space="preserve"> OR [</w:t>
      </w:r>
      <w:proofErr w:type="spellStart"/>
      <w:r w:rsidRPr="00694219">
        <w:rPr>
          <w:lang w:val="en-US"/>
        </w:rPr>
        <w:t>portuguese</w:t>
      </w:r>
      <w:proofErr w:type="spellEnd"/>
      <w:r w:rsidRPr="00694219">
        <w:rPr>
          <w:lang w:val="en-US"/>
        </w:rPr>
        <w:t>]/</w:t>
      </w:r>
      <w:proofErr w:type="spellStart"/>
      <w:r w:rsidRPr="00694219">
        <w:rPr>
          <w:lang w:val="en-US"/>
        </w:rPr>
        <w:t>lim</w:t>
      </w:r>
      <w:proofErr w:type="spellEnd"/>
      <w:r w:rsidRPr="00694219">
        <w:rPr>
          <w:lang w:val="en-US"/>
        </w:rPr>
        <w:t xml:space="preserve"> OR [</w:t>
      </w:r>
      <w:proofErr w:type="spellStart"/>
      <w:r w:rsidRPr="00694219">
        <w:rPr>
          <w:lang w:val="en-US"/>
        </w:rPr>
        <w:t>spanish</w:t>
      </w:r>
      <w:proofErr w:type="spellEnd"/>
      <w:r w:rsidRPr="00694219">
        <w:rPr>
          <w:lang w:val="en-US"/>
        </w:rPr>
        <w:t>]/</w:t>
      </w:r>
      <w:proofErr w:type="spellStart"/>
      <w:r w:rsidRPr="00694219">
        <w:rPr>
          <w:lang w:val="en-US"/>
        </w:rPr>
        <w:t>lim</w:t>
      </w:r>
      <w:proofErr w:type="spellEnd"/>
      <w:r w:rsidRPr="00694219">
        <w:rPr>
          <w:lang w:val="en-US"/>
        </w:rPr>
        <w:t>) AND [humans]/</w:t>
      </w:r>
      <w:proofErr w:type="spellStart"/>
      <w:r w:rsidRPr="00694219">
        <w:rPr>
          <w:lang w:val="en-US"/>
        </w:rPr>
        <w:t>lim</w:t>
      </w:r>
      <w:proofErr w:type="spellEnd"/>
      <w:r w:rsidRPr="00694219">
        <w:rPr>
          <w:lang w:val="en-US"/>
        </w:rPr>
        <w:t xml:space="preserve"> AND [</w:t>
      </w:r>
      <w:proofErr w:type="spellStart"/>
      <w:r w:rsidRPr="00694219">
        <w:rPr>
          <w:lang w:val="en-US"/>
        </w:rPr>
        <w:t>embase</w:t>
      </w:r>
      <w:proofErr w:type="spellEnd"/>
      <w:r w:rsidRPr="00694219">
        <w:rPr>
          <w:lang w:val="en-US"/>
        </w:rPr>
        <w:t>]/</w:t>
      </w:r>
      <w:proofErr w:type="spellStart"/>
      <w:r w:rsidRPr="00694219">
        <w:rPr>
          <w:lang w:val="en-US"/>
        </w:rPr>
        <w:t>lim</w:t>
      </w:r>
      <w:proofErr w:type="spellEnd"/>
      <w:r w:rsidRPr="00694219">
        <w:rPr>
          <w:lang w:val="en-US"/>
        </w:rPr>
        <w:t xml:space="preserve"> AND [16-1- 2010]/</w:t>
      </w:r>
      <w:proofErr w:type="spellStart"/>
      <w:r w:rsidRPr="00694219">
        <w:rPr>
          <w:lang w:val="en-US"/>
        </w:rPr>
        <w:t>sd</w:t>
      </w:r>
      <w:proofErr w:type="spellEnd"/>
      <w:r w:rsidRPr="00694219">
        <w:rPr>
          <w:lang w:val="en-US"/>
        </w:rPr>
        <w:t xml:space="preserve">”, </w:t>
      </w:r>
      <w:proofErr w:type="spellStart"/>
      <w:r w:rsidRPr="00694219">
        <w:rPr>
          <w:lang w:val="en-US"/>
        </w:rPr>
        <w:t>foram</w:t>
      </w:r>
      <w:proofErr w:type="spellEnd"/>
      <w:r w:rsidRPr="00694219">
        <w:rPr>
          <w:lang w:val="en-US"/>
        </w:rPr>
        <w:t xml:space="preserve"> </w:t>
      </w:r>
      <w:proofErr w:type="spellStart"/>
      <w:r w:rsidRPr="00694219">
        <w:rPr>
          <w:lang w:val="en-US"/>
        </w:rPr>
        <w:t>obtidos</w:t>
      </w:r>
      <w:proofErr w:type="spellEnd"/>
      <w:r w:rsidRPr="00694219">
        <w:rPr>
          <w:lang w:val="en-US"/>
        </w:rPr>
        <w:t xml:space="preserve"> 47 </w:t>
      </w:r>
      <w:proofErr w:type="spellStart"/>
      <w:r w:rsidRPr="00694219">
        <w:rPr>
          <w:lang w:val="en-US"/>
        </w:rPr>
        <w:t>resultados</w:t>
      </w:r>
      <w:proofErr w:type="spellEnd"/>
      <w:r w:rsidRPr="00694219">
        <w:rPr>
          <w:lang w:val="en-US"/>
        </w:rPr>
        <w:t xml:space="preserve">; </w:t>
      </w:r>
      <w:proofErr w:type="spellStart"/>
      <w:r w:rsidRPr="00694219">
        <w:rPr>
          <w:lang w:val="en-US"/>
        </w:rPr>
        <w:t>destes</w:t>
      </w:r>
      <w:proofErr w:type="spellEnd"/>
      <w:r w:rsidRPr="00694219">
        <w:rPr>
          <w:lang w:val="en-US"/>
        </w:rPr>
        <w:t xml:space="preserve">, </w:t>
      </w:r>
      <w:proofErr w:type="spellStart"/>
      <w:r w:rsidRPr="00694219">
        <w:rPr>
          <w:lang w:val="en-US"/>
        </w:rPr>
        <w:t>três</w:t>
      </w:r>
      <w:proofErr w:type="spellEnd"/>
      <w:r w:rsidRPr="00694219">
        <w:rPr>
          <w:lang w:val="en-US"/>
        </w:rPr>
        <w:t xml:space="preserve">  </w:t>
      </w:r>
      <w:proofErr w:type="spellStart"/>
      <w:r w:rsidRPr="00694219">
        <w:rPr>
          <w:lang w:val="en-US"/>
        </w:rPr>
        <w:t>foram</w:t>
      </w:r>
      <w:proofErr w:type="spellEnd"/>
      <w:r w:rsidRPr="00694219">
        <w:rPr>
          <w:lang w:val="en-US"/>
        </w:rPr>
        <w:t xml:space="preserve"> </w:t>
      </w:r>
      <w:proofErr w:type="spellStart"/>
      <w:r w:rsidRPr="00694219">
        <w:rPr>
          <w:lang w:val="en-US"/>
        </w:rPr>
        <w:t>selecionados</w:t>
      </w:r>
      <w:proofErr w:type="spellEnd"/>
      <w:r w:rsidRPr="00694219">
        <w:rPr>
          <w:lang w:val="en-US"/>
        </w:rPr>
        <w:t xml:space="preserve"> </w:t>
      </w:r>
      <w:proofErr w:type="spellStart"/>
      <w:r w:rsidRPr="00694219">
        <w:rPr>
          <w:lang w:val="en-US"/>
        </w:rPr>
        <w:t>para</w:t>
      </w:r>
      <w:proofErr w:type="spellEnd"/>
      <w:r w:rsidRPr="00694219">
        <w:rPr>
          <w:spacing w:val="-3"/>
          <w:lang w:val="en-US"/>
        </w:rPr>
        <w:t xml:space="preserve"> </w:t>
      </w:r>
      <w:proofErr w:type="spellStart"/>
      <w:r w:rsidRPr="00694219">
        <w:rPr>
          <w:lang w:val="en-US"/>
        </w:rPr>
        <w:t>análise</w:t>
      </w:r>
      <w:proofErr w:type="spellEnd"/>
      <w:r w:rsidRPr="00694219">
        <w:rPr>
          <w:lang w:val="en-US"/>
        </w:rPr>
        <w:t>.</w:t>
      </w:r>
    </w:p>
    <w:p w:rsidR="003F1CD6" w:rsidRDefault="00694219">
      <w:pPr>
        <w:pStyle w:val="Corpodetexto"/>
        <w:ind w:right="-15" w:firstLine="566"/>
      </w:pPr>
      <w:r>
        <w:t>Busca na biblioteca Cochrane com o termo “</w:t>
      </w:r>
      <w:proofErr w:type="spellStart"/>
      <w:r>
        <w:t>Dermatomyositis</w:t>
      </w:r>
      <w:proofErr w:type="spellEnd"/>
      <w:r>
        <w:t xml:space="preserve"> OR </w:t>
      </w:r>
      <w:proofErr w:type="spellStart"/>
      <w:r>
        <w:t>polymyositis</w:t>
      </w:r>
      <w:proofErr w:type="spellEnd"/>
      <w:r>
        <w:t>” (</w:t>
      </w:r>
      <w:proofErr w:type="spellStart"/>
      <w:r>
        <w:t>title</w:t>
      </w:r>
      <w:proofErr w:type="spellEnd"/>
      <w:r>
        <w:t xml:space="preserve">, abstract, </w:t>
      </w:r>
      <w:proofErr w:type="spellStart"/>
      <w:r>
        <w:t>keywords</w:t>
      </w:r>
      <w:proofErr w:type="spellEnd"/>
      <w:r>
        <w:t>) localizou 29 revisões sistemáticas, sendo duas selecionadas para leitura.</w:t>
      </w:r>
    </w:p>
    <w:p w:rsidR="003F1CD6" w:rsidRDefault="00694219">
      <w:pPr>
        <w:pStyle w:val="Corpodetexto"/>
        <w:ind w:right="1" w:firstLine="566"/>
      </w:pPr>
      <w:r>
        <w:rPr>
          <w:spacing w:val="-2"/>
        </w:rPr>
        <w:t>Foi</w:t>
      </w:r>
      <w:r>
        <w:rPr>
          <w:spacing w:val="36"/>
        </w:rPr>
        <w:t xml:space="preserve"> </w:t>
      </w:r>
      <w:r>
        <w:t xml:space="preserve">ainda consultado o </w:t>
      </w:r>
      <w:proofErr w:type="spellStart"/>
      <w:proofErr w:type="gramStart"/>
      <w:r>
        <w:t>UpToDate</w:t>
      </w:r>
      <w:proofErr w:type="spellEnd"/>
      <w:proofErr w:type="gramEnd"/>
      <w:r>
        <w:t xml:space="preserve"> versão 22.10. Foram excluídos estudos com desfechos não clínicos, e a atualização da busca resultou na inclusão de duas novas</w:t>
      </w:r>
      <w:r>
        <w:rPr>
          <w:spacing w:val="-14"/>
        </w:rPr>
        <w:t xml:space="preserve"> </w:t>
      </w:r>
      <w:r>
        <w:t>referências.</w:t>
      </w:r>
    </w:p>
    <w:p w:rsidR="003F1CD6" w:rsidRDefault="003F1CD6">
      <w:pPr>
        <w:pStyle w:val="Corpodetexto"/>
        <w:spacing w:before="1"/>
        <w:ind w:left="0"/>
        <w:jc w:val="left"/>
      </w:pPr>
    </w:p>
    <w:p w:rsidR="003F1CD6" w:rsidRDefault="00694219">
      <w:pPr>
        <w:pStyle w:val="PargrafodaLista"/>
        <w:numPr>
          <w:ilvl w:val="0"/>
          <w:numId w:val="6"/>
        </w:numPr>
        <w:tabs>
          <w:tab w:val="left" w:pos="836"/>
        </w:tabs>
        <w:spacing w:line="183" w:lineRule="exact"/>
        <w:ind w:left="836" w:right="0" w:hanging="163"/>
        <w:jc w:val="left"/>
        <w:rPr>
          <w:sz w:val="16"/>
        </w:rPr>
      </w:pPr>
      <w:r>
        <w:rPr>
          <w:sz w:val="16"/>
        </w:rPr>
        <w:t>INTRODUÇÃO</w:t>
      </w:r>
    </w:p>
    <w:p w:rsidR="003F1CD6" w:rsidRDefault="00694219">
      <w:pPr>
        <w:pStyle w:val="Corpodetexto"/>
        <w:ind w:right="-15" w:firstLine="566"/>
      </w:pPr>
      <w:r>
        <w:t xml:space="preserve">As </w:t>
      </w:r>
      <w:proofErr w:type="spellStart"/>
      <w:r>
        <w:t>miopatias</w:t>
      </w:r>
      <w:proofErr w:type="spellEnd"/>
      <w:r>
        <w:t xml:space="preserve"> inflamatórias são um grupo heterogêneo de doenças que se caracterizam por fraqueza muscular proximal e elevação sérica de enzimas originadas da musculatura esquelética. Embora não existam sistemas de classificação de doença prospectivamente va</w:t>
      </w:r>
      <w:r>
        <w:t xml:space="preserve">lidados, a classificação originalmente proposta por </w:t>
      </w:r>
      <w:proofErr w:type="spellStart"/>
      <w:r>
        <w:t>Bohan</w:t>
      </w:r>
      <w:proofErr w:type="spellEnd"/>
      <w:r>
        <w:t xml:space="preserve"> e Peter (1) é amplamente utilizada. São reconhecidos cinco subtipos de doença: </w:t>
      </w:r>
      <w:proofErr w:type="spellStart"/>
      <w:r>
        <w:t>polimiosite</w:t>
      </w:r>
      <w:proofErr w:type="spellEnd"/>
      <w:r>
        <w:t xml:space="preserve"> primária idiopática (PM), </w:t>
      </w:r>
      <w:proofErr w:type="spellStart"/>
      <w:r>
        <w:t>dermatomiosite</w:t>
      </w:r>
      <w:proofErr w:type="spellEnd"/>
      <w:r>
        <w:t xml:space="preserve"> primária idiopática (DM), PM ou DM associada à neoplasia, PM ou DM</w:t>
      </w:r>
      <w:r>
        <w:t xml:space="preserve"> juvenil e PM ou DM associada a outras doenças do colágeno. Com a finalidade de reduzir a heterogeneidade nos critérios diagnósticos e de resposta terapêutica nos estudos sobre </w:t>
      </w:r>
      <w:proofErr w:type="spellStart"/>
      <w:r>
        <w:t>miopatias</w:t>
      </w:r>
      <w:proofErr w:type="spellEnd"/>
      <w:r>
        <w:t xml:space="preserve"> inflamatórias, em 2005 um consenso internacional de especialistas def</w:t>
      </w:r>
      <w:r>
        <w:t>iniu padrões a serem utilizados em pesquisa clínica (2). No entanto, por não serem validados na prática clínica, não serão recomendados neste</w:t>
      </w:r>
      <w:r>
        <w:rPr>
          <w:spacing w:val="-3"/>
        </w:rPr>
        <w:t xml:space="preserve"> </w:t>
      </w:r>
      <w:r>
        <w:t>Protocolo.</w:t>
      </w:r>
    </w:p>
    <w:p w:rsidR="003F1CD6" w:rsidRDefault="00694219">
      <w:pPr>
        <w:pStyle w:val="Corpodetexto"/>
        <w:ind w:right="-15" w:firstLine="566"/>
      </w:pPr>
      <w:r>
        <w:t xml:space="preserve">Na PM/DM, a principal manifestação é a fraqueza proximal e simétrica de cinturas escapular e pélvica e </w:t>
      </w:r>
      <w:r>
        <w:t>de musculatura cervical. Dependendo do grau da perda de força, o paciente pode manifestar desde fadiga e intolerância ao exercício até marcha cambaleante e dificuldade para subir escadas. A evolução tende a ser gradual e progressiva. Poucos pacientes podem</w:t>
      </w:r>
      <w:r>
        <w:t xml:space="preserve"> apresentar mialgia associada. Disfagia, distúrbios cardíacos, acometimento respiratório, vasculite e calcificações subcutâneas (</w:t>
      </w:r>
      <w:proofErr w:type="spellStart"/>
      <w:r>
        <w:t>calcinoses</w:t>
      </w:r>
      <w:proofErr w:type="spellEnd"/>
      <w:r>
        <w:t xml:space="preserve">) são manifestações </w:t>
      </w:r>
      <w:proofErr w:type="spellStart"/>
      <w:r>
        <w:t>extramusculares</w:t>
      </w:r>
      <w:proofErr w:type="spellEnd"/>
      <w:r>
        <w:t xml:space="preserve"> possíveis.</w:t>
      </w:r>
    </w:p>
    <w:p w:rsidR="003F1CD6" w:rsidRDefault="00694219">
      <w:pPr>
        <w:pStyle w:val="Corpodetexto"/>
        <w:ind w:right="-15" w:firstLine="566"/>
      </w:pPr>
      <w:r>
        <w:t xml:space="preserve">A DM se diferencia da PM pelo acometimento cutâneo. As pápulas de </w:t>
      </w:r>
      <w:proofErr w:type="spellStart"/>
      <w:r>
        <w:t>Gott</w:t>
      </w:r>
      <w:r>
        <w:t>ron</w:t>
      </w:r>
      <w:proofErr w:type="spellEnd"/>
      <w:r>
        <w:t xml:space="preserve"> são consideradas </w:t>
      </w:r>
      <w:proofErr w:type="spellStart"/>
      <w:r>
        <w:t>patognomônicas</w:t>
      </w:r>
      <w:proofErr w:type="spellEnd"/>
      <w:r>
        <w:t xml:space="preserve"> de DM e consistem de pápulas róseas ou violáceas localizadas nas superfícies extensoras das articulações </w:t>
      </w:r>
      <w:proofErr w:type="spellStart"/>
      <w:r>
        <w:t>interfalangeanas</w:t>
      </w:r>
      <w:proofErr w:type="spellEnd"/>
      <w:r>
        <w:t xml:space="preserve"> e </w:t>
      </w:r>
      <w:proofErr w:type="spellStart"/>
      <w:r>
        <w:t>metacarpofalangeanas</w:t>
      </w:r>
      <w:proofErr w:type="spellEnd"/>
      <w:r>
        <w:t xml:space="preserve">, cotovelos, joelhos e maléolo medial. O sinal de </w:t>
      </w:r>
      <w:proofErr w:type="spellStart"/>
      <w:r>
        <w:t>Gottron</w:t>
      </w:r>
      <w:proofErr w:type="spellEnd"/>
      <w:r>
        <w:t xml:space="preserve"> é um eritema macul</w:t>
      </w:r>
      <w:r>
        <w:t xml:space="preserve">ar com a mesma distribuição das pápulas de </w:t>
      </w:r>
      <w:proofErr w:type="spellStart"/>
      <w:r>
        <w:t>Gottron</w:t>
      </w:r>
      <w:proofErr w:type="spellEnd"/>
      <w:r>
        <w:t>. O</w:t>
      </w:r>
    </w:p>
    <w:p w:rsidR="003F1CD6" w:rsidRDefault="003F1CD6">
      <w:pPr>
        <w:sectPr w:rsidR="003F1CD6">
          <w:pgSz w:w="5110" w:h="16850"/>
          <w:pgMar w:top="480" w:right="0" w:bottom="280" w:left="460" w:header="720" w:footer="720" w:gutter="0"/>
          <w:cols w:space="720"/>
        </w:sectPr>
      </w:pPr>
    </w:p>
    <w:p w:rsidR="003F1CD6" w:rsidRDefault="00694219">
      <w:pPr>
        <w:pStyle w:val="Corpodetexto"/>
        <w:spacing w:before="80"/>
        <w:ind w:right="-15"/>
      </w:pPr>
      <w:proofErr w:type="spellStart"/>
      <w:proofErr w:type="gramStart"/>
      <w:r>
        <w:lastRenderedPageBreak/>
        <w:t>heliótropo</w:t>
      </w:r>
      <w:proofErr w:type="spellEnd"/>
      <w:proofErr w:type="gramEnd"/>
      <w:r>
        <w:t xml:space="preserve">, caracterizado por lesões eritematosas ou violáceas nas pálpebras superiores, é outro sinal típico. Além disso, são observadas manchas ou placas eritematosas desencadeadas por </w:t>
      </w:r>
      <w:proofErr w:type="spellStart"/>
      <w:r>
        <w:t>f</w:t>
      </w:r>
      <w:r>
        <w:t>otoexposição</w:t>
      </w:r>
      <w:proofErr w:type="spellEnd"/>
      <w:r>
        <w:t>, com distribuição característica no tórax superior, ombros e</w:t>
      </w:r>
      <w:proofErr w:type="gramStart"/>
      <w:r>
        <w:t xml:space="preserve">  </w:t>
      </w:r>
      <w:proofErr w:type="gramEnd"/>
      <w:r>
        <w:t xml:space="preserve">dorso (sinal do xale) ou no pescoço e tórax anterior em "V" (sinal  do decote). Fissuras e descamação podem ocorrer nas polpas digitais dos quirodáctilos e são referidas como “mãos </w:t>
      </w:r>
      <w:r>
        <w:t>de mecânico”</w:t>
      </w:r>
      <w:r>
        <w:rPr>
          <w:spacing w:val="-11"/>
        </w:rPr>
        <w:t xml:space="preserve"> </w:t>
      </w:r>
      <w:r>
        <w:t>(3).</w:t>
      </w:r>
    </w:p>
    <w:p w:rsidR="003F1CD6" w:rsidRDefault="00694219">
      <w:pPr>
        <w:pStyle w:val="Corpodetexto"/>
        <w:spacing w:before="1"/>
        <w:ind w:right="-15" w:firstLine="566"/>
      </w:pPr>
      <w:r>
        <w:t xml:space="preserve">A etiologia das </w:t>
      </w:r>
      <w:proofErr w:type="spellStart"/>
      <w:r>
        <w:t>miopatias</w:t>
      </w:r>
      <w:proofErr w:type="spellEnd"/>
      <w:r>
        <w:t xml:space="preserve"> inflamatórias permanece desconhecida. Há relatos de associação com antígenos de </w:t>
      </w:r>
      <w:proofErr w:type="spellStart"/>
      <w:r>
        <w:t>histocompatibilidade</w:t>
      </w:r>
      <w:proofErr w:type="spellEnd"/>
      <w:r>
        <w:t xml:space="preserve">, agentes ambientais e autoimunidade. A incidência anual de PM e DM </w:t>
      </w:r>
      <w:proofErr w:type="gramStart"/>
      <w:r>
        <w:t>é estimada</w:t>
      </w:r>
      <w:proofErr w:type="gramEnd"/>
      <w:r>
        <w:t xml:space="preserve"> em menos de 10 casos por milhão d</w:t>
      </w:r>
      <w:r>
        <w:t>e indivíduos. As mulheres são mais afetadas numa proporção aproximada de 2:1, havendo um pico bimodal de surgimento da doença entre os 5-15 anos e os 45-65 anos</w:t>
      </w:r>
      <w:r>
        <w:rPr>
          <w:spacing w:val="-12"/>
        </w:rPr>
        <w:t xml:space="preserve"> </w:t>
      </w:r>
      <w:r>
        <w:t>(4).</w:t>
      </w:r>
    </w:p>
    <w:p w:rsidR="003F1CD6" w:rsidRDefault="00694219">
      <w:pPr>
        <w:pStyle w:val="Corpodetexto"/>
        <w:ind w:right="-15" w:firstLine="566"/>
      </w:pPr>
      <w:r>
        <w:t>O curso da doença é variável. A maioria dos pacientes responde satisfatoriamente ao tratam</w:t>
      </w:r>
      <w:r>
        <w:t>ento inicial com glicocorticoide (GC), especialmente na DM. Adicionalmente, é possível identificar outros padrões evolutivos com um período de remissão inicial seguida de um ou mais episódios de recidiva, curso monocíclico ou refratário ao tratamento usual</w:t>
      </w:r>
      <w:r>
        <w:t xml:space="preserve">. Dentre os fatores de mau prognóstico pode-se destacar o diagnóstico inicial em idosos, grau avançado de fraqueza muscular no momento do diagnóstico, disfunção da musculatura respiratória, presença de disfagia, demora no início do tratamento </w:t>
      </w:r>
      <w:proofErr w:type="gramStart"/>
      <w:r>
        <w:t>após</w:t>
      </w:r>
      <w:proofErr w:type="gramEnd"/>
    </w:p>
    <w:p w:rsidR="003F1CD6" w:rsidRDefault="00694219">
      <w:pPr>
        <w:pStyle w:val="Corpodetexto"/>
        <w:ind w:right="-15"/>
      </w:pPr>
      <w:proofErr w:type="gramStart"/>
      <w:r>
        <w:t>6</w:t>
      </w:r>
      <w:proofErr w:type="gramEnd"/>
      <w:r>
        <w:t xml:space="preserve"> meses </w:t>
      </w:r>
      <w:r>
        <w:t>do início dos sintomas, acometimento pulmonar (doença intersticial pulmonar) ou cardíaco (miocardite) e associação com neoplasia (5-7).</w:t>
      </w:r>
    </w:p>
    <w:p w:rsidR="003F1CD6" w:rsidRDefault="00694219">
      <w:pPr>
        <w:pStyle w:val="Corpodetexto"/>
        <w:ind w:right="-15" w:firstLine="566"/>
      </w:pPr>
      <w:r>
        <w:t xml:space="preserve">A identificação da doença em seu estágio inicial e o encaminhamento ágil e adequado para o atendimento especializado </w:t>
      </w:r>
      <w:proofErr w:type="gramStart"/>
      <w:r>
        <w:t>dão</w:t>
      </w:r>
      <w:proofErr w:type="gramEnd"/>
      <w:r>
        <w:t xml:space="preserve"> à Atenção Básica um caráter essencial para um melhor resultado terapêutico e prognóstico dos</w:t>
      </w:r>
      <w:r>
        <w:rPr>
          <w:spacing w:val="-11"/>
        </w:rPr>
        <w:t xml:space="preserve"> </w:t>
      </w:r>
      <w:r>
        <w:t>casos.</w:t>
      </w:r>
    </w:p>
    <w:p w:rsidR="003F1CD6" w:rsidRDefault="003F1CD6">
      <w:pPr>
        <w:pStyle w:val="Corpodetexto"/>
        <w:spacing w:before="1"/>
        <w:ind w:left="0"/>
        <w:jc w:val="left"/>
      </w:pPr>
    </w:p>
    <w:p w:rsidR="003F1CD6" w:rsidRDefault="00694219">
      <w:pPr>
        <w:pStyle w:val="PargrafodaLista"/>
        <w:numPr>
          <w:ilvl w:val="0"/>
          <w:numId w:val="6"/>
        </w:numPr>
        <w:tabs>
          <w:tab w:val="left" w:pos="887"/>
        </w:tabs>
        <w:ind w:right="1" w:firstLine="567"/>
        <w:jc w:val="both"/>
        <w:rPr>
          <w:sz w:val="16"/>
        </w:rPr>
      </w:pPr>
      <w:r>
        <w:rPr>
          <w:sz w:val="16"/>
        </w:rPr>
        <w:t>CLASSIFICAÇÃO ESTATÍSTICA INTERNACIONAL DE DOENÇAS E PROBLEMAS RELACIONADOS À SAÚDE (CID-10)</w:t>
      </w:r>
    </w:p>
    <w:p w:rsidR="003F1CD6" w:rsidRDefault="00694219">
      <w:pPr>
        <w:pStyle w:val="PargrafodaLista"/>
        <w:numPr>
          <w:ilvl w:val="0"/>
          <w:numId w:val="2"/>
        </w:numPr>
        <w:tabs>
          <w:tab w:val="left" w:pos="767"/>
        </w:tabs>
        <w:spacing w:line="183" w:lineRule="exact"/>
        <w:ind w:right="0" w:firstLine="567"/>
        <w:jc w:val="left"/>
        <w:rPr>
          <w:sz w:val="16"/>
        </w:rPr>
      </w:pPr>
      <w:proofErr w:type="gramStart"/>
      <w:r>
        <w:rPr>
          <w:sz w:val="16"/>
        </w:rPr>
        <w:t>M33.</w:t>
      </w:r>
      <w:proofErr w:type="gramEnd"/>
      <w:r>
        <w:rPr>
          <w:sz w:val="16"/>
        </w:rPr>
        <w:t xml:space="preserve">0 </w:t>
      </w:r>
      <w:proofErr w:type="spellStart"/>
      <w:r>
        <w:rPr>
          <w:sz w:val="16"/>
        </w:rPr>
        <w:t>Dermatomiosite</w:t>
      </w:r>
      <w:proofErr w:type="spellEnd"/>
      <w:r>
        <w:rPr>
          <w:spacing w:val="-13"/>
          <w:sz w:val="16"/>
        </w:rPr>
        <w:t xml:space="preserve"> </w:t>
      </w:r>
      <w:r>
        <w:rPr>
          <w:sz w:val="16"/>
        </w:rPr>
        <w:t>juvenil</w:t>
      </w:r>
    </w:p>
    <w:p w:rsidR="003F1CD6" w:rsidRDefault="00694219">
      <w:pPr>
        <w:pStyle w:val="PargrafodaLista"/>
        <w:numPr>
          <w:ilvl w:val="0"/>
          <w:numId w:val="2"/>
        </w:numPr>
        <w:tabs>
          <w:tab w:val="left" w:pos="767"/>
        </w:tabs>
        <w:spacing w:line="183" w:lineRule="exact"/>
        <w:ind w:right="0" w:firstLine="567"/>
        <w:jc w:val="left"/>
        <w:rPr>
          <w:sz w:val="16"/>
        </w:rPr>
      </w:pPr>
      <w:proofErr w:type="gramStart"/>
      <w:r>
        <w:rPr>
          <w:sz w:val="16"/>
        </w:rPr>
        <w:t>M33.</w:t>
      </w:r>
      <w:proofErr w:type="gramEnd"/>
      <w:r>
        <w:rPr>
          <w:sz w:val="16"/>
        </w:rPr>
        <w:t>1 Outras</w:t>
      </w:r>
      <w:r>
        <w:rPr>
          <w:spacing w:val="-14"/>
          <w:sz w:val="16"/>
        </w:rPr>
        <w:t xml:space="preserve"> </w:t>
      </w:r>
      <w:proofErr w:type="spellStart"/>
      <w:r>
        <w:rPr>
          <w:sz w:val="16"/>
        </w:rPr>
        <w:t>dermatomiosites</w:t>
      </w:r>
      <w:proofErr w:type="spellEnd"/>
    </w:p>
    <w:p w:rsidR="003F1CD6" w:rsidRDefault="00694219">
      <w:pPr>
        <w:pStyle w:val="PargrafodaLista"/>
        <w:numPr>
          <w:ilvl w:val="0"/>
          <w:numId w:val="2"/>
        </w:numPr>
        <w:tabs>
          <w:tab w:val="left" w:pos="767"/>
        </w:tabs>
        <w:spacing w:before="1"/>
        <w:ind w:right="0" w:firstLine="567"/>
        <w:jc w:val="left"/>
        <w:rPr>
          <w:sz w:val="16"/>
        </w:rPr>
      </w:pPr>
      <w:proofErr w:type="gramStart"/>
      <w:r>
        <w:rPr>
          <w:sz w:val="16"/>
        </w:rPr>
        <w:t>M33.</w:t>
      </w:r>
      <w:proofErr w:type="gramEnd"/>
      <w:r>
        <w:rPr>
          <w:sz w:val="16"/>
        </w:rPr>
        <w:t>2</w:t>
      </w:r>
      <w:r>
        <w:rPr>
          <w:spacing w:val="-2"/>
          <w:sz w:val="16"/>
        </w:rPr>
        <w:t xml:space="preserve"> </w:t>
      </w:r>
      <w:proofErr w:type="spellStart"/>
      <w:r>
        <w:rPr>
          <w:sz w:val="16"/>
        </w:rPr>
        <w:t>Polimiosite</w:t>
      </w:r>
      <w:proofErr w:type="spellEnd"/>
    </w:p>
    <w:p w:rsidR="003F1CD6" w:rsidRDefault="003F1CD6">
      <w:pPr>
        <w:pStyle w:val="Corpodetexto"/>
        <w:ind w:left="0"/>
        <w:jc w:val="left"/>
      </w:pPr>
    </w:p>
    <w:p w:rsidR="003F1CD6" w:rsidRDefault="00694219">
      <w:pPr>
        <w:pStyle w:val="PargrafodaLista"/>
        <w:numPr>
          <w:ilvl w:val="0"/>
          <w:numId w:val="6"/>
        </w:numPr>
        <w:tabs>
          <w:tab w:val="left" w:pos="836"/>
        </w:tabs>
        <w:ind w:left="836" w:right="0" w:hanging="163"/>
        <w:jc w:val="left"/>
        <w:rPr>
          <w:sz w:val="16"/>
        </w:rPr>
      </w:pPr>
      <w:r>
        <w:rPr>
          <w:sz w:val="16"/>
        </w:rPr>
        <w:t>DIAGNÓSTICO</w:t>
      </w:r>
    </w:p>
    <w:p w:rsidR="003F1CD6" w:rsidRDefault="00694219">
      <w:pPr>
        <w:pStyle w:val="Corpodetexto"/>
        <w:spacing w:before="1"/>
        <w:ind w:right="-15" w:firstLine="566"/>
      </w:pPr>
      <w:r>
        <w:t xml:space="preserve">Os critérios clássicos descritos por </w:t>
      </w:r>
      <w:proofErr w:type="spellStart"/>
      <w:r>
        <w:t>Bohan</w:t>
      </w:r>
      <w:proofErr w:type="spellEnd"/>
      <w:r>
        <w:t xml:space="preserve"> e Peter ainda são úteis para a orientação classificatória e diagnóstica de DM/PM. Após</w:t>
      </w:r>
      <w:proofErr w:type="gramStart"/>
      <w:r>
        <w:t xml:space="preserve">  </w:t>
      </w:r>
      <w:proofErr w:type="gramEnd"/>
      <w:r>
        <w:t>a exclusão de outras etiologias, como infecciosas, metabólicas,  tóxicas, distróficas, endocri</w:t>
      </w:r>
      <w:r>
        <w:t xml:space="preserve">nológicas e de </w:t>
      </w:r>
      <w:proofErr w:type="spellStart"/>
      <w:r>
        <w:t>miopatias</w:t>
      </w:r>
      <w:proofErr w:type="spellEnd"/>
      <w:r>
        <w:t xml:space="preserve"> mitocondriais e por corpúsculo de inclusão (1, 2, 8), devem ser levados em consideração os seguintes critérios, conforme o Quadro</w:t>
      </w:r>
      <w:r>
        <w:rPr>
          <w:spacing w:val="-8"/>
        </w:rPr>
        <w:t xml:space="preserve"> </w:t>
      </w:r>
      <w:r>
        <w:t>1:</w:t>
      </w:r>
    </w:p>
    <w:p w:rsidR="003F1CD6" w:rsidRDefault="00694219">
      <w:pPr>
        <w:pStyle w:val="PargrafodaLista"/>
        <w:numPr>
          <w:ilvl w:val="0"/>
          <w:numId w:val="2"/>
        </w:numPr>
        <w:tabs>
          <w:tab w:val="left" w:pos="859"/>
        </w:tabs>
        <w:ind w:firstLine="567"/>
        <w:rPr>
          <w:sz w:val="16"/>
        </w:rPr>
      </w:pPr>
      <w:r>
        <w:rPr>
          <w:sz w:val="16"/>
        </w:rPr>
        <w:t>Fraqueza muscular proximal das cinturas pélvica e escapular;</w:t>
      </w:r>
    </w:p>
    <w:p w:rsidR="003F1CD6" w:rsidRDefault="00694219">
      <w:pPr>
        <w:pStyle w:val="PargrafodaLista"/>
        <w:numPr>
          <w:ilvl w:val="0"/>
          <w:numId w:val="2"/>
        </w:numPr>
        <w:tabs>
          <w:tab w:val="left" w:pos="806"/>
        </w:tabs>
        <w:ind w:firstLine="567"/>
        <w:rPr>
          <w:sz w:val="16"/>
        </w:rPr>
      </w:pPr>
      <w:r>
        <w:rPr>
          <w:sz w:val="16"/>
        </w:rPr>
        <w:t xml:space="preserve">Evidência de </w:t>
      </w:r>
      <w:proofErr w:type="spellStart"/>
      <w:r>
        <w:rPr>
          <w:sz w:val="16"/>
        </w:rPr>
        <w:t>miosite</w:t>
      </w:r>
      <w:proofErr w:type="spellEnd"/>
      <w:r>
        <w:rPr>
          <w:sz w:val="16"/>
        </w:rPr>
        <w:t xml:space="preserve"> à biópsia muscul</w:t>
      </w:r>
      <w:r>
        <w:rPr>
          <w:sz w:val="16"/>
        </w:rPr>
        <w:t>ar: os parâmetros mais utilizados para evidenciar inflamação muscular incluem necrose de fibras musculares do tipo I e II; fagocitose de elementos celulares; degeneração e regeneração de fibras musculares com variação no diâmetro das fibras musculares; e i</w:t>
      </w:r>
      <w:r>
        <w:rPr>
          <w:sz w:val="16"/>
        </w:rPr>
        <w:t xml:space="preserve">nfiltrado </w:t>
      </w:r>
      <w:proofErr w:type="spellStart"/>
      <w:r>
        <w:rPr>
          <w:sz w:val="16"/>
        </w:rPr>
        <w:t>linfomonocitário</w:t>
      </w:r>
      <w:proofErr w:type="spellEnd"/>
      <w:r>
        <w:rPr>
          <w:sz w:val="16"/>
        </w:rPr>
        <w:t xml:space="preserve"> </w:t>
      </w:r>
      <w:proofErr w:type="spellStart"/>
      <w:r>
        <w:rPr>
          <w:sz w:val="16"/>
        </w:rPr>
        <w:t>endomisial</w:t>
      </w:r>
      <w:proofErr w:type="spellEnd"/>
      <w:r>
        <w:rPr>
          <w:sz w:val="16"/>
        </w:rPr>
        <w:t xml:space="preserve"> na PM e </w:t>
      </w:r>
      <w:proofErr w:type="spellStart"/>
      <w:r>
        <w:rPr>
          <w:sz w:val="16"/>
        </w:rPr>
        <w:t>perimisial</w:t>
      </w:r>
      <w:proofErr w:type="spellEnd"/>
      <w:r>
        <w:rPr>
          <w:sz w:val="16"/>
        </w:rPr>
        <w:t xml:space="preserve"> e perivascular na</w:t>
      </w:r>
      <w:r>
        <w:rPr>
          <w:spacing w:val="-10"/>
          <w:sz w:val="16"/>
        </w:rPr>
        <w:t xml:space="preserve"> </w:t>
      </w:r>
      <w:r>
        <w:rPr>
          <w:sz w:val="16"/>
        </w:rPr>
        <w:t>DM;</w:t>
      </w:r>
    </w:p>
    <w:p w:rsidR="003F1CD6" w:rsidRDefault="00694219">
      <w:pPr>
        <w:pStyle w:val="PargrafodaLista"/>
        <w:numPr>
          <w:ilvl w:val="0"/>
          <w:numId w:val="2"/>
        </w:numPr>
        <w:tabs>
          <w:tab w:val="left" w:pos="919"/>
        </w:tabs>
        <w:ind w:firstLine="567"/>
        <w:rPr>
          <w:sz w:val="16"/>
        </w:rPr>
      </w:pPr>
      <w:r>
        <w:rPr>
          <w:sz w:val="16"/>
        </w:rPr>
        <w:t xml:space="preserve">Elevação de qualquer enzima muscular sérica: </w:t>
      </w:r>
      <w:proofErr w:type="spellStart"/>
      <w:r>
        <w:rPr>
          <w:sz w:val="16"/>
        </w:rPr>
        <w:t>creatinofosfoquinase</w:t>
      </w:r>
      <w:proofErr w:type="spellEnd"/>
      <w:r>
        <w:rPr>
          <w:sz w:val="16"/>
        </w:rPr>
        <w:t xml:space="preserve"> (CPK), sendo essa mais sensível, ou </w:t>
      </w:r>
      <w:proofErr w:type="spellStart"/>
      <w:r>
        <w:rPr>
          <w:sz w:val="16"/>
        </w:rPr>
        <w:t>aldolase</w:t>
      </w:r>
      <w:proofErr w:type="spellEnd"/>
      <w:r>
        <w:rPr>
          <w:sz w:val="16"/>
        </w:rPr>
        <w:t xml:space="preserve"> ou </w:t>
      </w:r>
      <w:proofErr w:type="spellStart"/>
      <w:r>
        <w:rPr>
          <w:sz w:val="16"/>
        </w:rPr>
        <w:t>desidrogenase</w:t>
      </w:r>
      <w:proofErr w:type="spellEnd"/>
      <w:r>
        <w:rPr>
          <w:sz w:val="16"/>
        </w:rPr>
        <w:t xml:space="preserve"> lática (DHL), ou </w:t>
      </w:r>
      <w:proofErr w:type="spellStart"/>
      <w:r>
        <w:rPr>
          <w:sz w:val="16"/>
        </w:rPr>
        <w:t>aminotransferases</w:t>
      </w:r>
      <w:proofErr w:type="spellEnd"/>
      <w:r>
        <w:rPr>
          <w:sz w:val="16"/>
        </w:rPr>
        <w:t xml:space="preserve"> [em particular</w:t>
      </w:r>
      <w:r>
        <w:rPr>
          <w:sz w:val="16"/>
        </w:rPr>
        <w:t xml:space="preserve">, a </w:t>
      </w:r>
      <w:proofErr w:type="spellStart"/>
      <w:r>
        <w:rPr>
          <w:sz w:val="16"/>
        </w:rPr>
        <w:t>aspartato-aminotransferase</w:t>
      </w:r>
      <w:proofErr w:type="spellEnd"/>
      <w:r>
        <w:rPr>
          <w:sz w:val="16"/>
        </w:rPr>
        <w:t xml:space="preserve"> (AST</w:t>
      </w:r>
      <w:proofErr w:type="gramStart"/>
      <w:r>
        <w:rPr>
          <w:sz w:val="16"/>
        </w:rPr>
        <w:t>)</w:t>
      </w:r>
      <w:proofErr w:type="gramEnd"/>
      <w:r>
        <w:rPr>
          <w:sz w:val="16"/>
        </w:rPr>
        <w:t>/transaminase glutâmico-oxalacética (TGO)];</w:t>
      </w:r>
    </w:p>
    <w:p w:rsidR="003F1CD6" w:rsidRDefault="00694219">
      <w:pPr>
        <w:pStyle w:val="PargrafodaLista"/>
        <w:numPr>
          <w:ilvl w:val="0"/>
          <w:numId w:val="2"/>
        </w:numPr>
        <w:tabs>
          <w:tab w:val="left" w:pos="813"/>
        </w:tabs>
        <w:spacing w:before="1"/>
        <w:ind w:firstLine="567"/>
        <w:rPr>
          <w:sz w:val="16"/>
        </w:rPr>
      </w:pPr>
      <w:r>
        <w:rPr>
          <w:sz w:val="16"/>
        </w:rPr>
        <w:t xml:space="preserve">Eletromiografia compatível com </w:t>
      </w:r>
      <w:proofErr w:type="spellStart"/>
      <w:r>
        <w:rPr>
          <w:sz w:val="16"/>
        </w:rPr>
        <w:t>miopatia</w:t>
      </w:r>
      <w:proofErr w:type="spellEnd"/>
      <w:r>
        <w:rPr>
          <w:sz w:val="16"/>
        </w:rPr>
        <w:t>: potenciais de unidade motora polifásicos, de baixa amplitude e de curta duração; fibrilações, mesmo em repouso; descargas de formato bi</w:t>
      </w:r>
      <w:r>
        <w:rPr>
          <w:sz w:val="16"/>
        </w:rPr>
        <w:t>zarro e repetitivas;</w:t>
      </w:r>
    </w:p>
    <w:p w:rsidR="003F1CD6" w:rsidRDefault="00694219">
      <w:pPr>
        <w:pStyle w:val="PargrafodaLista"/>
        <w:numPr>
          <w:ilvl w:val="0"/>
          <w:numId w:val="2"/>
        </w:numPr>
        <w:tabs>
          <w:tab w:val="left" w:pos="782"/>
        </w:tabs>
        <w:ind w:right="1" w:firstLine="567"/>
        <w:rPr>
          <w:sz w:val="16"/>
        </w:rPr>
      </w:pPr>
      <w:r>
        <w:rPr>
          <w:sz w:val="16"/>
        </w:rPr>
        <w:t xml:space="preserve">Lesões cutâneas características de DM: </w:t>
      </w:r>
      <w:proofErr w:type="spellStart"/>
      <w:r>
        <w:rPr>
          <w:sz w:val="16"/>
        </w:rPr>
        <w:t>heliótropo</w:t>
      </w:r>
      <w:proofErr w:type="spellEnd"/>
      <w:r>
        <w:rPr>
          <w:sz w:val="16"/>
        </w:rPr>
        <w:t xml:space="preserve">; pápulas de </w:t>
      </w:r>
      <w:proofErr w:type="spellStart"/>
      <w:r>
        <w:rPr>
          <w:sz w:val="16"/>
        </w:rPr>
        <w:t>Gottron</w:t>
      </w:r>
      <w:proofErr w:type="spellEnd"/>
      <w:r>
        <w:rPr>
          <w:sz w:val="16"/>
        </w:rPr>
        <w:t>; sinal de</w:t>
      </w:r>
      <w:r>
        <w:rPr>
          <w:spacing w:val="-7"/>
          <w:sz w:val="16"/>
        </w:rPr>
        <w:t xml:space="preserve"> </w:t>
      </w:r>
      <w:proofErr w:type="spellStart"/>
      <w:r>
        <w:rPr>
          <w:sz w:val="16"/>
        </w:rPr>
        <w:t>Gottron</w:t>
      </w:r>
      <w:proofErr w:type="spellEnd"/>
      <w:r>
        <w:rPr>
          <w:sz w:val="16"/>
        </w:rPr>
        <w:t>.</w:t>
      </w:r>
    </w:p>
    <w:p w:rsidR="003F1CD6" w:rsidRDefault="003F1CD6">
      <w:pPr>
        <w:pStyle w:val="Corpodetexto"/>
        <w:spacing w:before="10"/>
        <w:ind w:left="0"/>
        <w:jc w:val="left"/>
        <w:rPr>
          <w:sz w:val="15"/>
        </w:rPr>
      </w:pPr>
    </w:p>
    <w:p w:rsidR="003F1CD6" w:rsidRDefault="00694219">
      <w:pPr>
        <w:pStyle w:val="Corpodetexto"/>
        <w:spacing w:after="7"/>
        <w:ind w:left="673"/>
        <w:jc w:val="left"/>
      </w:pPr>
      <w:r>
        <w:t>Quadro 1- Critérios diagnósticos</w:t>
      </w: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879"/>
        <w:gridCol w:w="1665"/>
      </w:tblGrid>
      <w:tr w:rsidR="003F1CD6">
        <w:trPr>
          <w:trHeight w:val="184"/>
        </w:trPr>
        <w:tc>
          <w:tcPr>
            <w:tcW w:w="989" w:type="dxa"/>
          </w:tcPr>
          <w:p w:rsidR="003F1CD6" w:rsidRDefault="00694219">
            <w:pPr>
              <w:pStyle w:val="TableParagraph"/>
              <w:ind w:left="107"/>
              <w:rPr>
                <w:sz w:val="16"/>
              </w:rPr>
            </w:pPr>
            <w:r>
              <w:rPr>
                <w:sz w:val="16"/>
              </w:rPr>
              <w:t>Diagnóstico</w:t>
            </w:r>
          </w:p>
        </w:tc>
        <w:tc>
          <w:tcPr>
            <w:tcW w:w="1879" w:type="dxa"/>
          </w:tcPr>
          <w:p w:rsidR="003F1CD6" w:rsidRDefault="00694219">
            <w:pPr>
              <w:pStyle w:val="TableParagraph"/>
              <w:rPr>
                <w:sz w:val="16"/>
              </w:rPr>
            </w:pPr>
            <w:proofErr w:type="spellStart"/>
            <w:r>
              <w:rPr>
                <w:sz w:val="16"/>
              </w:rPr>
              <w:t>Dermatomiosite</w:t>
            </w:r>
            <w:proofErr w:type="spellEnd"/>
          </w:p>
        </w:tc>
        <w:tc>
          <w:tcPr>
            <w:tcW w:w="1665" w:type="dxa"/>
            <w:tcBorders>
              <w:right w:val="single" w:sz="2" w:space="0" w:color="000000"/>
            </w:tcBorders>
          </w:tcPr>
          <w:p w:rsidR="003F1CD6" w:rsidRDefault="00694219">
            <w:pPr>
              <w:pStyle w:val="TableParagraph"/>
              <w:rPr>
                <w:sz w:val="16"/>
              </w:rPr>
            </w:pPr>
            <w:proofErr w:type="spellStart"/>
            <w:r>
              <w:rPr>
                <w:sz w:val="16"/>
              </w:rPr>
              <w:t>Polimiosite</w:t>
            </w:r>
            <w:proofErr w:type="spellEnd"/>
          </w:p>
        </w:tc>
      </w:tr>
      <w:tr w:rsidR="003F1CD6">
        <w:trPr>
          <w:trHeight w:val="424"/>
        </w:trPr>
        <w:tc>
          <w:tcPr>
            <w:tcW w:w="989" w:type="dxa"/>
          </w:tcPr>
          <w:p w:rsidR="003F1CD6" w:rsidRDefault="00694219">
            <w:pPr>
              <w:pStyle w:val="TableParagraph"/>
              <w:spacing w:line="181" w:lineRule="exact"/>
              <w:ind w:left="107"/>
              <w:rPr>
                <w:sz w:val="16"/>
              </w:rPr>
            </w:pPr>
            <w:r>
              <w:rPr>
                <w:sz w:val="16"/>
              </w:rPr>
              <w:t>Definitivo</w:t>
            </w:r>
          </w:p>
        </w:tc>
        <w:tc>
          <w:tcPr>
            <w:tcW w:w="1879" w:type="dxa"/>
          </w:tcPr>
          <w:p w:rsidR="003F1CD6" w:rsidRDefault="00694219">
            <w:pPr>
              <w:pStyle w:val="TableParagraph"/>
              <w:tabs>
                <w:tab w:val="left" w:pos="997"/>
                <w:tab w:val="left" w:pos="1470"/>
              </w:tabs>
              <w:spacing w:line="237" w:lineRule="auto"/>
              <w:ind w:right="-15"/>
              <w:rPr>
                <w:sz w:val="16"/>
              </w:rPr>
            </w:pPr>
            <w:r>
              <w:rPr>
                <w:sz w:val="16"/>
              </w:rPr>
              <w:t>Presença</w:t>
            </w:r>
            <w:r>
              <w:rPr>
                <w:sz w:val="16"/>
              </w:rPr>
              <w:tab/>
              <w:t>de</w:t>
            </w:r>
            <w:r>
              <w:rPr>
                <w:sz w:val="16"/>
              </w:rPr>
              <w:tab/>
              <w:t>quatro critérios</w:t>
            </w:r>
            <w:r>
              <w:rPr>
                <w:spacing w:val="-1"/>
                <w:sz w:val="16"/>
              </w:rPr>
              <w:t xml:space="preserve"> </w:t>
            </w:r>
            <w:r>
              <w:rPr>
                <w:sz w:val="16"/>
              </w:rPr>
              <w:t>*</w:t>
            </w:r>
          </w:p>
        </w:tc>
        <w:tc>
          <w:tcPr>
            <w:tcW w:w="1665" w:type="dxa"/>
            <w:tcBorders>
              <w:right w:val="single" w:sz="2" w:space="0" w:color="000000"/>
            </w:tcBorders>
          </w:tcPr>
          <w:p w:rsidR="003F1CD6" w:rsidRDefault="00694219">
            <w:pPr>
              <w:pStyle w:val="TableParagraph"/>
              <w:tabs>
                <w:tab w:val="left" w:pos="892"/>
                <w:tab w:val="left" w:pos="1259"/>
              </w:tabs>
              <w:spacing w:line="237" w:lineRule="auto"/>
              <w:ind w:right="-15"/>
              <w:rPr>
                <w:sz w:val="16"/>
              </w:rPr>
            </w:pPr>
            <w:r>
              <w:rPr>
                <w:sz w:val="16"/>
              </w:rPr>
              <w:t>Presença</w:t>
            </w:r>
            <w:r>
              <w:rPr>
                <w:sz w:val="16"/>
              </w:rPr>
              <w:tab/>
              <w:t>de</w:t>
            </w:r>
            <w:r>
              <w:rPr>
                <w:sz w:val="16"/>
              </w:rPr>
              <w:tab/>
              <w:t>quatro critérios</w:t>
            </w:r>
          </w:p>
        </w:tc>
      </w:tr>
      <w:tr w:rsidR="003F1CD6">
        <w:trPr>
          <w:trHeight w:val="366"/>
        </w:trPr>
        <w:tc>
          <w:tcPr>
            <w:tcW w:w="989" w:type="dxa"/>
          </w:tcPr>
          <w:p w:rsidR="003F1CD6" w:rsidRDefault="00694219">
            <w:pPr>
              <w:pStyle w:val="TableParagraph"/>
              <w:spacing w:line="178" w:lineRule="exact"/>
              <w:ind w:left="107"/>
              <w:rPr>
                <w:sz w:val="16"/>
              </w:rPr>
            </w:pPr>
            <w:r>
              <w:rPr>
                <w:sz w:val="16"/>
              </w:rPr>
              <w:t>Provável</w:t>
            </w:r>
          </w:p>
        </w:tc>
        <w:tc>
          <w:tcPr>
            <w:tcW w:w="1879" w:type="dxa"/>
          </w:tcPr>
          <w:p w:rsidR="003F1CD6" w:rsidRDefault="00694219">
            <w:pPr>
              <w:pStyle w:val="TableParagraph"/>
              <w:spacing w:line="178" w:lineRule="exact"/>
              <w:rPr>
                <w:sz w:val="16"/>
              </w:rPr>
            </w:pPr>
            <w:r>
              <w:rPr>
                <w:sz w:val="16"/>
              </w:rPr>
              <w:t>Presença de três critérios *</w:t>
            </w:r>
          </w:p>
        </w:tc>
        <w:tc>
          <w:tcPr>
            <w:tcW w:w="1665" w:type="dxa"/>
            <w:tcBorders>
              <w:right w:val="single" w:sz="2" w:space="0" w:color="000000"/>
            </w:tcBorders>
          </w:tcPr>
          <w:p w:rsidR="003F1CD6" w:rsidRDefault="00694219">
            <w:pPr>
              <w:pStyle w:val="TableParagraph"/>
              <w:tabs>
                <w:tab w:val="left" w:pos="981"/>
                <w:tab w:val="left" w:pos="1437"/>
              </w:tabs>
              <w:spacing w:line="178" w:lineRule="exact"/>
              <w:ind w:right="-15"/>
              <w:rPr>
                <w:sz w:val="16"/>
              </w:rPr>
            </w:pPr>
            <w:r>
              <w:rPr>
                <w:sz w:val="16"/>
              </w:rPr>
              <w:t>Presença</w:t>
            </w:r>
            <w:r>
              <w:rPr>
                <w:sz w:val="16"/>
              </w:rPr>
              <w:tab/>
              <w:t>de</w:t>
            </w:r>
            <w:r>
              <w:rPr>
                <w:sz w:val="16"/>
              </w:rPr>
              <w:tab/>
              <w:t>três</w:t>
            </w:r>
          </w:p>
          <w:p w:rsidR="003F1CD6" w:rsidRDefault="00694219">
            <w:pPr>
              <w:pStyle w:val="TableParagraph"/>
              <w:spacing w:before="1" w:line="168" w:lineRule="exact"/>
              <w:rPr>
                <w:sz w:val="16"/>
              </w:rPr>
            </w:pPr>
            <w:proofErr w:type="gramStart"/>
            <w:r>
              <w:rPr>
                <w:sz w:val="16"/>
              </w:rPr>
              <w:t>critérios</w:t>
            </w:r>
            <w:proofErr w:type="gramEnd"/>
          </w:p>
        </w:tc>
      </w:tr>
      <w:tr w:rsidR="003F1CD6">
        <w:trPr>
          <w:trHeight w:val="400"/>
        </w:trPr>
        <w:tc>
          <w:tcPr>
            <w:tcW w:w="989" w:type="dxa"/>
          </w:tcPr>
          <w:p w:rsidR="003F1CD6" w:rsidRDefault="00694219">
            <w:pPr>
              <w:pStyle w:val="TableParagraph"/>
              <w:spacing w:line="181" w:lineRule="exact"/>
              <w:ind w:left="107"/>
              <w:rPr>
                <w:sz w:val="16"/>
              </w:rPr>
            </w:pPr>
            <w:r>
              <w:rPr>
                <w:sz w:val="16"/>
              </w:rPr>
              <w:t>Possível</w:t>
            </w:r>
          </w:p>
        </w:tc>
        <w:tc>
          <w:tcPr>
            <w:tcW w:w="1879" w:type="dxa"/>
          </w:tcPr>
          <w:p w:rsidR="003F1CD6" w:rsidRDefault="00694219">
            <w:pPr>
              <w:pStyle w:val="TableParagraph"/>
              <w:spacing w:line="181" w:lineRule="exact"/>
              <w:rPr>
                <w:sz w:val="16"/>
              </w:rPr>
            </w:pPr>
            <w:r>
              <w:rPr>
                <w:sz w:val="16"/>
              </w:rPr>
              <w:t>Presença de dois critérios *</w:t>
            </w:r>
          </w:p>
        </w:tc>
        <w:tc>
          <w:tcPr>
            <w:tcW w:w="1665" w:type="dxa"/>
            <w:tcBorders>
              <w:right w:val="single" w:sz="2" w:space="0" w:color="000000"/>
            </w:tcBorders>
          </w:tcPr>
          <w:p w:rsidR="003F1CD6" w:rsidRDefault="00694219">
            <w:pPr>
              <w:pStyle w:val="TableParagraph"/>
              <w:tabs>
                <w:tab w:val="left" w:pos="964"/>
                <w:tab w:val="left" w:pos="1401"/>
              </w:tabs>
              <w:spacing w:line="237" w:lineRule="auto"/>
              <w:ind w:right="-15"/>
              <w:rPr>
                <w:sz w:val="16"/>
              </w:rPr>
            </w:pPr>
            <w:r>
              <w:rPr>
                <w:sz w:val="16"/>
              </w:rPr>
              <w:t>Presença</w:t>
            </w:r>
            <w:r>
              <w:rPr>
                <w:sz w:val="16"/>
              </w:rPr>
              <w:tab/>
              <w:t>de</w:t>
            </w:r>
            <w:r>
              <w:rPr>
                <w:sz w:val="16"/>
              </w:rPr>
              <w:tab/>
              <w:t>dois critérios</w:t>
            </w:r>
          </w:p>
        </w:tc>
      </w:tr>
    </w:tbl>
    <w:p w:rsidR="003F1CD6" w:rsidRDefault="00694219">
      <w:pPr>
        <w:pStyle w:val="Corpodetexto"/>
        <w:ind w:left="714"/>
        <w:jc w:val="left"/>
      </w:pPr>
      <w:r>
        <w:t>*Acrescido do último critério, característico de DM.</w:t>
      </w:r>
    </w:p>
    <w:p w:rsidR="003F1CD6" w:rsidRDefault="003F1CD6">
      <w:pPr>
        <w:pStyle w:val="Corpodetexto"/>
        <w:spacing w:before="1"/>
        <w:ind w:left="0"/>
        <w:jc w:val="left"/>
      </w:pPr>
    </w:p>
    <w:p w:rsidR="003F1CD6" w:rsidRDefault="00694219">
      <w:pPr>
        <w:pStyle w:val="Corpodetexto"/>
        <w:ind w:right="-15" w:firstLine="566"/>
      </w:pPr>
      <w:r>
        <w:t xml:space="preserve">O fator </w:t>
      </w:r>
      <w:proofErr w:type="spellStart"/>
      <w:r>
        <w:t>antinuclear</w:t>
      </w:r>
      <w:proofErr w:type="spellEnd"/>
      <w:r>
        <w:t xml:space="preserve"> (FAN) é positivo em 80% dos pacientes com PM ou DM (9). Aproximadamente 30% dos pacientes com DM e PM possuem </w:t>
      </w:r>
      <w:proofErr w:type="spellStart"/>
      <w:r>
        <w:t>autoanticorpos</w:t>
      </w:r>
      <w:proofErr w:type="spellEnd"/>
      <w:r>
        <w:t xml:space="preserve"> definidos como “</w:t>
      </w:r>
      <w:proofErr w:type="spellStart"/>
      <w:r>
        <w:t>miosite</w:t>
      </w:r>
      <w:proofErr w:type="spellEnd"/>
      <w:r>
        <w:t xml:space="preserve">-específicos” (anti-Jo-1, </w:t>
      </w:r>
      <w:proofErr w:type="gramStart"/>
      <w:r>
        <w:t>anti-PL</w:t>
      </w:r>
      <w:proofErr w:type="gramEnd"/>
      <w:r>
        <w:t xml:space="preserve">-7, anti-PL-12, </w:t>
      </w:r>
      <w:proofErr w:type="spellStart"/>
      <w:r>
        <w:t>anti-EJ</w:t>
      </w:r>
      <w:proofErr w:type="spellEnd"/>
      <w:r>
        <w:t>, anti-Mi-2). Tais anticorpos es</w:t>
      </w:r>
      <w:r>
        <w:t xml:space="preserve">tão associados a manifestações clínicas características. Febre, artrite, fenômeno de </w:t>
      </w:r>
      <w:proofErr w:type="spellStart"/>
      <w:r>
        <w:t>Raynaud</w:t>
      </w:r>
      <w:proofErr w:type="spellEnd"/>
      <w:r>
        <w:t xml:space="preserve"> e doença pulmonar intersticial, por exemplo, compõem uma síndrome relacionada ao anticorpo anti-Jo1 (síndrome </w:t>
      </w:r>
      <w:proofErr w:type="spellStart"/>
      <w:r>
        <w:t>anti-sintetase</w:t>
      </w:r>
      <w:proofErr w:type="spellEnd"/>
      <w:r>
        <w:t>), presente em 20% dos pacientes com PM</w:t>
      </w:r>
      <w:r>
        <w:t xml:space="preserve">. Embora os anticorpos </w:t>
      </w:r>
      <w:proofErr w:type="spellStart"/>
      <w:r>
        <w:t>miosite</w:t>
      </w:r>
      <w:proofErr w:type="spellEnd"/>
      <w:r>
        <w:t xml:space="preserve">-específicos tenham papel importante na avaliação prognóstica dos pacientes, sua aplicação na tomada de decisão terapêutica na rotina clínica necessita de validação em estudos </w:t>
      </w:r>
      <w:proofErr w:type="gramStart"/>
      <w:r>
        <w:t>mais</w:t>
      </w:r>
      <w:proofErr w:type="gramEnd"/>
    </w:p>
    <w:p w:rsidR="003F1CD6" w:rsidRDefault="003F1CD6">
      <w:pPr>
        <w:sectPr w:rsidR="003F1CD6">
          <w:pgSz w:w="5110" w:h="16850"/>
          <w:pgMar w:top="480" w:right="0" w:bottom="0" w:left="460" w:header="720" w:footer="720" w:gutter="0"/>
          <w:cols w:space="720"/>
        </w:sectPr>
      </w:pPr>
    </w:p>
    <w:p w:rsidR="003F1CD6" w:rsidRDefault="00694219">
      <w:pPr>
        <w:pStyle w:val="Corpodetexto"/>
        <w:spacing w:before="80"/>
        <w:jc w:val="left"/>
      </w:pPr>
      <w:proofErr w:type="gramStart"/>
      <w:r>
        <w:lastRenderedPageBreak/>
        <w:t>abrangentes</w:t>
      </w:r>
      <w:proofErr w:type="gramEnd"/>
      <w:r>
        <w:t xml:space="preserve"> (10).</w:t>
      </w:r>
    </w:p>
    <w:p w:rsidR="003F1CD6" w:rsidRDefault="00694219">
      <w:pPr>
        <w:pStyle w:val="Corpodetexto"/>
        <w:spacing w:before="1"/>
        <w:ind w:right="1" w:firstLine="566"/>
      </w:pPr>
      <w:r>
        <w:t>Os níveis sér</w:t>
      </w:r>
      <w:r>
        <w:t>icos das enzimas musculares estão elevados em algum momento durante a evolução da doença, sendo que a CPK apresenta maior sensibilidade. O surgimento de níveis elevados de CPK pode anteceder a fraqueza muscular clínica em algumas</w:t>
      </w:r>
      <w:proofErr w:type="gramStart"/>
      <w:r>
        <w:t xml:space="preserve">  </w:t>
      </w:r>
      <w:proofErr w:type="gramEnd"/>
      <w:r>
        <w:t>semanas.</w:t>
      </w:r>
    </w:p>
    <w:p w:rsidR="003F1CD6" w:rsidRDefault="00694219">
      <w:pPr>
        <w:pStyle w:val="Corpodetexto"/>
        <w:ind w:right="-15" w:firstLine="566"/>
      </w:pPr>
      <w:r>
        <w:t>Pacientes com di</w:t>
      </w:r>
      <w:r>
        <w:t>agnóstico de PM/DM apresentam um risco aumentado de neoplasia em comparação com a população em geral, sendo esse risco maior na DM (11). Deve-se estar atento para a identificação de sinais e sintomas de neoplasias nesses pacientes, mediante a realização de</w:t>
      </w:r>
      <w:r>
        <w:t xml:space="preserve"> anamnese orientada e exame físico completo. O risco de neoplasia é mais elevado nos </w:t>
      </w:r>
      <w:proofErr w:type="gramStart"/>
      <w:r>
        <w:t>2</w:t>
      </w:r>
      <w:proofErr w:type="gramEnd"/>
      <w:r>
        <w:t xml:space="preserve"> anos que antecederam o diagnóstico e nos 2 anos seguintes (12).</w:t>
      </w:r>
    </w:p>
    <w:p w:rsidR="003F1CD6" w:rsidRDefault="003F1CD6">
      <w:pPr>
        <w:pStyle w:val="Corpodetexto"/>
        <w:spacing w:before="10"/>
        <w:ind w:left="0"/>
        <w:jc w:val="left"/>
        <w:rPr>
          <w:sz w:val="15"/>
        </w:rPr>
      </w:pPr>
    </w:p>
    <w:p w:rsidR="003F1CD6" w:rsidRDefault="00694219">
      <w:pPr>
        <w:pStyle w:val="PargrafodaLista"/>
        <w:numPr>
          <w:ilvl w:val="0"/>
          <w:numId w:val="6"/>
        </w:numPr>
        <w:tabs>
          <w:tab w:val="left" w:pos="834"/>
        </w:tabs>
        <w:ind w:left="833" w:right="0" w:hanging="160"/>
        <w:jc w:val="left"/>
        <w:rPr>
          <w:sz w:val="16"/>
        </w:rPr>
      </w:pPr>
      <w:r>
        <w:rPr>
          <w:sz w:val="16"/>
        </w:rPr>
        <w:t>CRITÉRIOS DE</w:t>
      </w:r>
      <w:r>
        <w:rPr>
          <w:spacing w:val="2"/>
          <w:sz w:val="16"/>
        </w:rPr>
        <w:t xml:space="preserve"> </w:t>
      </w:r>
      <w:r>
        <w:rPr>
          <w:sz w:val="16"/>
        </w:rPr>
        <w:t>INCLUSÃO</w:t>
      </w:r>
    </w:p>
    <w:p w:rsidR="003F1CD6" w:rsidRDefault="00694219">
      <w:pPr>
        <w:pStyle w:val="Corpodetexto"/>
        <w:spacing w:before="1"/>
        <w:ind w:firstLine="566"/>
        <w:jc w:val="left"/>
      </w:pPr>
      <w:r>
        <w:t>Serão incluídos neste protocolo os pacientes com diagnóstico provável ou definitiv</w:t>
      </w:r>
      <w:r>
        <w:t>o</w:t>
      </w:r>
      <w:r>
        <w:rPr>
          <w:spacing w:val="-30"/>
        </w:rPr>
        <w:t xml:space="preserve"> </w:t>
      </w:r>
      <w:r>
        <w:t xml:space="preserve">de PM ou DM, conforme o item </w:t>
      </w:r>
      <w:proofErr w:type="gramStart"/>
      <w:r>
        <w:t>4</w:t>
      </w:r>
      <w:proofErr w:type="gramEnd"/>
      <w:r>
        <w:t>. Diagnóstico.</w:t>
      </w:r>
    </w:p>
    <w:p w:rsidR="003F1CD6" w:rsidRDefault="003F1CD6">
      <w:pPr>
        <w:pStyle w:val="Corpodetexto"/>
        <w:ind w:left="0"/>
        <w:jc w:val="left"/>
      </w:pPr>
    </w:p>
    <w:p w:rsidR="003F1CD6" w:rsidRDefault="00694219">
      <w:pPr>
        <w:pStyle w:val="PargrafodaLista"/>
        <w:numPr>
          <w:ilvl w:val="0"/>
          <w:numId w:val="6"/>
        </w:numPr>
        <w:tabs>
          <w:tab w:val="left" w:pos="834"/>
        </w:tabs>
        <w:ind w:left="833" w:right="0" w:hanging="160"/>
        <w:jc w:val="left"/>
        <w:rPr>
          <w:sz w:val="16"/>
        </w:rPr>
      </w:pPr>
      <w:r>
        <w:rPr>
          <w:sz w:val="16"/>
        </w:rPr>
        <w:t>CRITÉRIOS DE</w:t>
      </w:r>
      <w:r>
        <w:rPr>
          <w:spacing w:val="-1"/>
          <w:sz w:val="16"/>
        </w:rPr>
        <w:t xml:space="preserve"> </w:t>
      </w:r>
      <w:r>
        <w:rPr>
          <w:sz w:val="16"/>
        </w:rPr>
        <w:t>EXCLUSÃO</w:t>
      </w:r>
    </w:p>
    <w:p w:rsidR="003F1CD6" w:rsidRDefault="00694219">
      <w:pPr>
        <w:pStyle w:val="Corpodetexto"/>
        <w:spacing w:before="1"/>
        <w:ind w:firstLine="566"/>
      </w:pPr>
      <w:r>
        <w:t>Serão excluídos deste protocolo os pacientes com as seguintes contraindicações, de acordo com cada</w:t>
      </w:r>
      <w:r>
        <w:rPr>
          <w:spacing w:val="-16"/>
        </w:rPr>
        <w:t xml:space="preserve"> </w:t>
      </w:r>
      <w:r>
        <w:t>medicamento:</w:t>
      </w:r>
    </w:p>
    <w:p w:rsidR="003F1CD6" w:rsidRDefault="00694219">
      <w:pPr>
        <w:pStyle w:val="PargrafodaLista"/>
        <w:numPr>
          <w:ilvl w:val="0"/>
          <w:numId w:val="2"/>
        </w:numPr>
        <w:tabs>
          <w:tab w:val="left" w:pos="863"/>
        </w:tabs>
        <w:ind w:firstLine="567"/>
        <w:rPr>
          <w:sz w:val="16"/>
        </w:rPr>
      </w:pPr>
      <w:proofErr w:type="spellStart"/>
      <w:r>
        <w:rPr>
          <w:sz w:val="16"/>
        </w:rPr>
        <w:t>Hidroxicloroquina</w:t>
      </w:r>
      <w:proofErr w:type="spellEnd"/>
      <w:r>
        <w:rPr>
          <w:sz w:val="16"/>
        </w:rPr>
        <w:t xml:space="preserve">: uso concomitante de </w:t>
      </w:r>
      <w:proofErr w:type="spellStart"/>
      <w:r>
        <w:rPr>
          <w:sz w:val="16"/>
        </w:rPr>
        <w:t>primaquina</w:t>
      </w:r>
      <w:proofErr w:type="spellEnd"/>
      <w:r>
        <w:rPr>
          <w:sz w:val="16"/>
        </w:rPr>
        <w:t xml:space="preserve">, </w:t>
      </w:r>
      <w:proofErr w:type="spellStart"/>
      <w:r>
        <w:rPr>
          <w:sz w:val="16"/>
        </w:rPr>
        <w:t>maculopatia</w:t>
      </w:r>
      <w:proofErr w:type="spellEnd"/>
      <w:r>
        <w:rPr>
          <w:sz w:val="16"/>
        </w:rPr>
        <w:t xml:space="preserve"> prévia asso</w:t>
      </w:r>
      <w:r>
        <w:rPr>
          <w:sz w:val="16"/>
        </w:rPr>
        <w:t>ciada aos antimaláricos</w:t>
      </w:r>
      <w:proofErr w:type="gramStart"/>
      <w:r>
        <w:rPr>
          <w:sz w:val="16"/>
        </w:rPr>
        <w:t xml:space="preserve">  </w:t>
      </w:r>
      <w:proofErr w:type="gramEnd"/>
      <w:r>
        <w:rPr>
          <w:sz w:val="16"/>
        </w:rPr>
        <w:t xml:space="preserve">ou hipersensibilidade a </w:t>
      </w:r>
      <w:proofErr w:type="spellStart"/>
      <w:r>
        <w:rPr>
          <w:sz w:val="16"/>
        </w:rPr>
        <w:t>hidroxicloroquina</w:t>
      </w:r>
      <w:proofErr w:type="spellEnd"/>
      <w:r>
        <w:rPr>
          <w:sz w:val="16"/>
        </w:rPr>
        <w:t>;</w:t>
      </w:r>
    </w:p>
    <w:p w:rsidR="003F1CD6" w:rsidRDefault="00694219">
      <w:pPr>
        <w:pStyle w:val="PargrafodaLista"/>
        <w:numPr>
          <w:ilvl w:val="0"/>
          <w:numId w:val="2"/>
        </w:numPr>
        <w:tabs>
          <w:tab w:val="left" w:pos="799"/>
        </w:tabs>
        <w:ind w:firstLine="567"/>
        <w:rPr>
          <w:sz w:val="16"/>
        </w:rPr>
      </w:pPr>
      <w:proofErr w:type="spellStart"/>
      <w:r>
        <w:rPr>
          <w:sz w:val="16"/>
        </w:rPr>
        <w:t>Azatioprina</w:t>
      </w:r>
      <w:proofErr w:type="spellEnd"/>
      <w:r>
        <w:rPr>
          <w:sz w:val="16"/>
        </w:rPr>
        <w:t xml:space="preserve"> e ciclofosfamida: imunossupressão [síndrome da imunodeficiência adquirida (</w:t>
      </w:r>
      <w:proofErr w:type="gramStart"/>
      <w:r>
        <w:rPr>
          <w:sz w:val="16"/>
        </w:rPr>
        <w:t>Aids</w:t>
      </w:r>
      <w:proofErr w:type="gramEnd"/>
      <w:r>
        <w:rPr>
          <w:rFonts w:ascii="Verdana" w:hAnsi="Verdana"/>
          <w:sz w:val="16"/>
        </w:rPr>
        <w:t>/</w:t>
      </w:r>
      <w:r>
        <w:rPr>
          <w:sz w:val="16"/>
        </w:rPr>
        <w:t xml:space="preserve">SIDA), linfoma e outros], infecção ativa, tuberculose, gestação, lactação, pacientes com neoplasia atual ou hipersensibilidade a </w:t>
      </w:r>
      <w:proofErr w:type="spellStart"/>
      <w:r>
        <w:rPr>
          <w:sz w:val="16"/>
        </w:rPr>
        <w:t>azatioprina</w:t>
      </w:r>
      <w:proofErr w:type="spellEnd"/>
      <w:r>
        <w:rPr>
          <w:sz w:val="16"/>
        </w:rPr>
        <w:t xml:space="preserve"> e</w:t>
      </w:r>
      <w:r>
        <w:rPr>
          <w:spacing w:val="-20"/>
          <w:sz w:val="16"/>
        </w:rPr>
        <w:t xml:space="preserve"> </w:t>
      </w:r>
      <w:r>
        <w:rPr>
          <w:sz w:val="16"/>
        </w:rPr>
        <w:t>ciclofosfamida;</w:t>
      </w:r>
    </w:p>
    <w:p w:rsidR="003F1CD6" w:rsidRDefault="00694219">
      <w:pPr>
        <w:pStyle w:val="PargrafodaLista"/>
        <w:numPr>
          <w:ilvl w:val="0"/>
          <w:numId w:val="2"/>
        </w:numPr>
        <w:tabs>
          <w:tab w:val="left" w:pos="839"/>
        </w:tabs>
        <w:spacing w:line="242" w:lineRule="auto"/>
        <w:ind w:firstLine="567"/>
        <w:rPr>
          <w:sz w:val="16"/>
        </w:rPr>
      </w:pPr>
      <w:r>
        <w:rPr>
          <w:sz w:val="16"/>
        </w:rPr>
        <w:t>Ciclosporina: imunossupressão (</w:t>
      </w:r>
      <w:proofErr w:type="gramStart"/>
      <w:r>
        <w:rPr>
          <w:sz w:val="16"/>
        </w:rPr>
        <w:t>Aids</w:t>
      </w:r>
      <w:proofErr w:type="gramEnd"/>
      <w:r>
        <w:rPr>
          <w:rFonts w:ascii="Verdana" w:hAnsi="Verdana"/>
          <w:sz w:val="16"/>
        </w:rPr>
        <w:t>/</w:t>
      </w:r>
      <w:r>
        <w:rPr>
          <w:sz w:val="16"/>
        </w:rPr>
        <w:t>SIDA, linfoma e outros), insuficiência renal crônica, pacient</w:t>
      </w:r>
      <w:r>
        <w:rPr>
          <w:sz w:val="16"/>
        </w:rPr>
        <w:t>es com neoplasia atual, gestação, lactação, infecção ativa, tuberculose, hipertensão não controlada ou hipersensibilidade a</w:t>
      </w:r>
      <w:r>
        <w:rPr>
          <w:spacing w:val="-3"/>
          <w:sz w:val="16"/>
        </w:rPr>
        <w:t xml:space="preserve"> </w:t>
      </w:r>
      <w:r>
        <w:rPr>
          <w:sz w:val="16"/>
        </w:rPr>
        <w:t>ciclosporina;</w:t>
      </w:r>
    </w:p>
    <w:p w:rsidR="003F1CD6" w:rsidRDefault="00694219">
      <w:pPr>
        <w:pStyle w:val="PargrafodaLista"/>
        <w:numPr>
          <w:ilvl w:val="0"/>
          <w:numId w:val="2"/>
        </w:numPr>
        <w:tabs>
          <w:tab w:val="left" w:pos="849"/>
        </w:tabs>
        <w:ind w:firstLine="567"/>
        <w:rPr>
          <w:sz w:val="16"/>
        </w:rPr>
      </w:pPr>
      <w:r>
        <w:rPr>
          <w:sz w:val="16"/>
        </w:rPr>
        <w:t xml:space="preserve">Prednisona e </w:t>
      </w:r>
      <w:proofErr w:type="spellStart"/>
      <w:r>
        <w:rPr>
          <w:sz w:val="16"/>
        </w:rPr>
        <w:t>metilprednisolona</w:t>
      </w:r>
      <w:proofErr w:type="spellEnd"/>
      <w:r>
        <w:rPr>
          <w:sz w:val="16"/>
        </w:rPr>
        <w:t>: úlcera péptica ativa, insuficiência hepática, tuberculose ou hipersensibilidade a pred</w:t>
      </w:r>
      <w:r>
        <w:rPr>
          <w:sz w:val="16"/>
        </w:rPr>
        <w:t>nisona e</w:t>
      </w:r>
      <w:r>
        <w:rPr>
          <w:spacing w:val="-3"/>
          <w:sz w:val="16"/>
        </w:rPr>
        <w:t xml:space="preserve"> </w:t>
      </w:r>
      <w:proofErr w:type="spellStart"/>
      <w:r>
        <w:rPr>
          <w:sz w:val="16"/>
        </w:rPr>
        <w:t>metilprednisolona</w:t>
      </w:r>
      <w:proofErr w:type="spellEnd"/>
      <w:r>
        <w:rPr>
          <w:sz w:val="16"/>
        </w:rPr>
        <w:t>;</w:t>
      </w:r>
    </w:p>
    <w:p w:rsidR="003F1CD6" w:rsidRDefault="00694219">
      <w:pPr>
        <w:pStyle w:val="PargrafodaLista"/>
        <w:numPr>
          <w:ilvl w:val="0"/>
          <w:numId w:val="2"/>
        </w:numPr>
        <w:tabs>
          <w:tab w:val="left" w:pos="847"/>
        </w:tabs>
        <w:ind w:firstLine="567"/>
        <w:rPr>
          <w:sz w:val="16"/>
        </w:rPr>
      </w:pPr>
      <w:r>
        <w:rPr>
          <w:sz w:val="16"/>
        </w:rPr>
        <w:t xml:space="preserve">Imunoglobulina humana: deficiência seletiva de </w:t>
      </w:r>
      <w:proofErr w:type="spellStart"/>
      <w:proofErr w:type="gramStart"/>
      <w:r>
        <w:rPr>
          <w:sz w:val="16"/>
        </w:rPr>
        <w:t>IgA</w:t>
      </w:r>
      <w:proofErr w:type="spellEnd"/>
      <w:proofErr w:type="gramEnd"/>
      <w:r>
        <w:rPr>
          <w:sz w:val="16"/>
        </w:rPr>
        <w:t xml:space="preserve">, gestação, lactação, </w:t>
      </w:r>
      <w:proofErr w:type="spellStart"/>
      <w:r>
        <w:rPr>
          <w:sz w:val="16"/>
        </w:rPr>
        <w:t>hiperprolinemia</w:t>
      </w:r>
      <w:proofErr w:type="spellEnd"/>
      <w:r>
        <w:rPr>
          <w:sz w:val="16"/>
        </w:rPr>
        <w:t xml:space="preserve"> ou hipersensibilidade a imunoglobulina</w:t>
      </w:r>
      <w:r>
        <w:rPr>
          <w:spacing w:val="-3"/>
          <w:sz w:val="16"/>
        </w:rPr>
        <w:t xml:space="preserve"> </w:t>
      </w:r>
      <w:r>
        <w:rPr>
          <w:sz w:val="16"/>
        </w:rPr>
        <w:t>humana;</w:t>
      </w:r>
    </w:p>
    <w:p w:rsidR="003F1CD6" w:rsidRDefault="00694219">
      <w:pPr>
        <w:pStyle w:val="PargrafodaLista"/>
        <w:numPr>
          <w:ilvl w:val="0"/>
          <w:numId w:val="2"/>
        </w:numPr>
        <w:tabs>
          <w:tab w:val="left" w:pos="825"/>
        </w:tabs>
        <w:ind w:firstLine="567"/>
        <w:rPr>
          <w:sz w:val="16"/>
        </w:rPr>
      </w:pPr>
      <w:proofErr w:type="spellStart"/>
      <w:r>
        <w:rPr>
          <w:sz w:val="16"/>
        </w:rPr>
        <w:t>Metotrexato</w:t>
      </w:r>
      <w:proofErr w:type="spellEnd"/>
      <w:r>
        <w:rPr>
          <w:sz w:val="16"/>
        </w:rPr>
        <w:t>: gestação, lactação, doenças hematológicas graves, doença ulcerosa péptica ativa,</w:t>
      </w:r>
      <w:r>
        <w:rPr>
          <w:sz w:val="16"/>
        </w:rPr>
        <w:t xml:space="preserve"> anormalidades hepáticas ou renais graves, abuso de drogas ou etilismo, infecção ativa, tuberculose ou hipersensibilidade ao</w:t>
      </w:r>
      <w:r>
        <w:rPr>
          <w:spacing w:val="-1"/>
          <w:sz w:val="16"/>
        </w:rPr>
        <w:t xml:space="preserve"> </w:t>
      </w:r>
      <w:proofErr w:type="spellStart"/>
      <w:r>
        <w:rPr>
          <w:sz w:val="16"/>
        </w:rPr>
        <w:t>metotrexato</w:t>
      </w:r>
      <w:proofErr w:type="spellEnd"/>
      <w:r>
        <w:rPr>
          <w:sz w:val="16"/>
        </w:rPr>
        <w:t>.</w:t>
      </w:r>
    </w:p>
    <w:p w:rsidR="003F1CD6" w:rsidRDefault="003F1CD6">
      <w:pPr>
        <w:pStyle w:val="Corpodetexto"/>
        <w:spacing w:before="4"/>
        <w:ind w:left="0"/>
        <w:jc w:val="left"/>
        <w:rPr>
          <w:sz w:val="15"/>
        </w:rPr>
      </w:pPr>
    </w:p>
    <w:p w:rsidR="003F1CD6" w:rsidRDefault="00694219">
      <w:pPr>
        <w:pStyle w:val="PargrafodaLista"/>
        <w:numPr>
          <w:ilvl w:val="0"/>
          <w:numId w:val="6"/>
        </w:numPr>
        <w:tabs>
          <w:tab w:val="left" w:pos="836"/>
        </w:tabs>
        <w:ind w:left="836" w:right="0" w:hanging="163"/>
        <w:jc w:val="left"/>
        <w:rPr>
          <w:sz w:val="16"/>
        </w:rPr>
      </w:pPr>
      <w:r>
        <w:rPr>
          <w:sz w:val="16"/>
        </w:rPr>
        <w:t>TRATAMENTO</w:t>
      </w:r>
    </w:p>
    <w:p w:rsidR="003F1CD6" w:rsidRDefault="003F1CD6">
      <w:pPr>
        <w:pStyle w:val="Corpodetexto"/>
        <w:spacing w:before="11"/>
        <w:ind w:left="0"/>
        <w:jc w:val="left"/>
        <w:rPr>
          <w:sz w:val="15"/>
        </w:rPr>
      </w:pPr>
    </w:p>
    <w:p w:rsidR="003F1CD6" w:rsidRDefault="00694219">
      <w:pPr>
        <w:pStyle w:val="PargrafodaLista"/>
        <w:numPr>
          <w:ilvl w:val="1"/>
          <w:numId w:val="6"/>
        </w:numPr>
        <w:tabs>
          <w:tab w:val="left" w:pos="916"/>
        </w:tabs>
        <w:ind w:right="0" w:firstLine="567"/>
        <w:jc w:val="left"/>
        <w:rPr>
          <w:sz w:val="16"/>
        </w:rPr>
      </w:pPr>
      <w:r>
        <w:rPr>
          <w:sz w:val="16"/>
        </w:rPr>
        <w:t>TRATAMENTO NÃO</w:t>
      </w:r>
      <w:r>
        <w:rPr>
          <w:spacing w:val="-3"/>
          <w:sz w:val="16"/>
        </w:rPr>
        <w:t xml:space="preserve"> </w:t>
      </w:r>
      <w:r>
        <w:rPr>
          <w:sz w:val="16"/>
        </w:rPr>
        <w:t>MEDICAMENTOSO</w:t>
      </w:r>
    </w:p>
    <w:p w:rsidR="003F1CD6" w:rsidRDefault="00694219">
      <w:pPr>
        <w:pStyle w:val="Corpodetexto"/>
        <w:spacing w:before="1"/>
        <w:ind w:right="-15" w:firstLine="566"/>
      </w:pPr>
      <w:r>
        <w:t xml:space="preserve">Além do tratamento medicamentoso adequado, intervenções não farmacológicas são importantes na abordagem dos pacientes com </w:t>
      </w:r>
      <w:proofErr w:type="spellStart"/>
      <w:r>
        <w:t>miopatias</w:t>
      </w:r>
      <w:proofErr w:type="spellEnd"/>
      <w:r>
        <w:t xml:space="preserve"> inflamatórias. Dentre elas destacam-se: programas de reabilitação desde o início da doença (13-15), medidas para evitar aspi</w:t>
      </w:r>
      <w:r>
        <w:t xml:space="preserve">ração em pacientes com disfunção esofágica, </w:t>
      </w:r>
      <w:proofErr w:type="spellStart"/>
      <w:r>
        <w:t>fotoproteção</w:t>
      </w:r>
      <w:proofErr w:type="spellEnd"/>
      <w:r>
        <w:t xml:space="preserve"> em pacientes com DM e profilaxia contra osteoporose e infecções oportunistas (5).</w:t>
      </w:r>
    </w:p>
    <w:p w:rsidR="003F1CD6" w:rsidRDefault="003F1CD6">
      <w:pPr>
        <w:pStyle w:val="Corpodetexto"/>
        <w:spacing w:before="10"/>
        <w:ind w:left="0"/>
        <w:jc w:val="left"/>
        <w:rPr>
          <w:sz w:val="15"/>
        </w:rPr>
      </w:pPr>
    </w:p>
    <w:p w:rsidR="003F1CD6" w:rsidRDefault="00694219">
      <w:pPr>
        <w:pStyle w:val="PargrafodaLista"/>
        <w:numPr>
          <w:ilvl w:val="1"/>
          <w:numId w:val="6"/>
        </w:numPr>
        <w:tabs>
          <w:tab w:val="left" w:pos="916"/>
        </w:tabs>
        <w:ind w:right="0" w:firstLine="567"/>
        <w:jc w:val="left"/>
        <w:rPr>
          <w:sz w:val="16"/>
        </w:rPr>
      </w:pPr>
      <w:r>
        <w:rPr>
          <w:sz w:val="16"/>
        </w:rPr>
        <w:t>TRATAMENTO</w:t>
      </w:r>
      <w:r>
        <w:rPr>
          <w:spacing w:val="-2"/>
          <w:sz w:val="16"/>
        </w:rPr>
        <w:t xml:space="preserve"> </w:t>
      </w:r>
      <w:r>
        <w:rPr>
          <w:sz w:val="16"/>
        </w:rPr>
        <w:t>MEDICAMENTOSO</w:t>
      </w:r>
    </w:p>
    <w:p w:rsidR="003F1CD6" w:rsidRDefault="00694219">
      <w:pPr>
        <w:pStyle w:val="Corpodetexto"/>
        <w:spacing w:before="2"/>
        <w:ind w:firstLine="566"/>
      </w:pPr>
      <w:r>
        <w:t xml:space="preserve">A baixa prevalência e a heterogeneidade de expressão clínica das </w:t>
      </w:r>
      <w:proofErr w:type="spellStart"/>
      <w:r>
        <w:t>miopatias</w:t>
      </w:r>
      <w:proofErr w:type="spellEnd"/>
      <w:r>
        <w:t xml:space="preserve"> inflamatórias, bem como a falta de</w:t>
      </w:r>
      <w:proofErr w:type="gramStart"/>
      <w:r>
        <w:t xml:space="preserve">  </w:t>
      </w:r>
      <w:proofErr w:type="gramEnd"/>
      <w:r>
        <w:t>critérios diagnósticos bem estabelecidos, dificultam a condução de ensaios clínicos, e, consequentemente, o estabelecimento de uma estratégia ter</w:t>
      </w:r>
      <w:r>
        <w:t>apêutica padronizada (2, 16). Além disso, a abordagem individual de cada paciente depende da gravidade da doença muscular e sistêmica e da identificação de fatores de mau</w:t>
      </w:r>
      <w:r>
        <w:rPr>
          <w:spacing w:val="-16"/>
        </w:rPr>
        <w:t xml:space="preserve"> </w:t>
      </w:r>
      <w:r>
        <w:t>prognóstico.</w:t>
      </w:r>
    </w:p>
    <w:p w:rsidR="003F1CD6" w:rsidRDefault="00694219">
      <w:pPr>
        <w:pStyle w:val="Corpodetexto"/>
        <w:spacing w:before="1"/>
        <w:ind w:right="-15" w:firstLine="566"/>
      </w:pPr>
      <w:r>
        <w:t>O tratamento visa à redução dos níveis séricos das enzimas musculares, à</w:t>
      </w:r>
      <w:r>
        <w:t xml:space="preserve"> melhora da força muscular e ao controle das manifestações </w:t>
      </w:r>
      <w:proofErr w:type="spellStart"/>
      <w:r>
        <w:t>extramusculares</w:t>
      </w:r>
      <w:proofErr w:type="spellEnd"/>
      <w:r>
        <w:t xml:space="preserve"> associadas com PM/DM. Nos pacientes com DM, um objetivo adicional inclui resolução das lesões cutâneas. Esses objetivos devem ser sempre considerados durante as reavaliações dos pac</w:t>
      </w:r>
      <w:r>
        <w:t>ientes, pois são úteis para nortear a</w:t>
      </w:r>
      <w:proofErr w:type="gramStart"/>
      <w:r>
        <w:t xml:space="preserve">  </w:t>
      </w:r>
      <w:proofErr w:type="gramEnd"/>
      <w:r>
        <w:t>terapêutica (2).</w:t>
      </w:r>
    </w:p>
    <w:p w:rsidR="003F1CD6" w:rsidRDefault="00694219">
      <w:pPr>
        <w:pStyle w:val="Corpodetexto"/>
        <w:ind w:right="-15" w:firstLine="566"/>
      </w:pPr>
      <w:r>
        <w:t xml:space="preserve">O tratamento deve ser iniciado com o uso de GC sistêmico (12, 17, 18). A associação de imunossupressores e GC desde o início do tratamento </w:t>
      </w:r>
      <w:proofErr w:type="gramStart"/>
      <w:r>
        <w:t>deve ser realizada</w:t>
      </w:r>
      <w:proofErr w:type="gramEnd"/>
      <w:r>
        <w:t xml:space="preserve"> nos pacientes com fatores de mau prognósti</w:t>
      </w:r>
      <w:r>
        <w:t xml:space="preserve">co ou complicações </w:t>
      </w:r>
      <w:proofErr w:type="spellStart"/>
      <w:r>
        <w:t>extramusculares</w:t>
      </w:r>
      <w:proofErr w:type="spellEnd"/>
      <w:r>
        <w:t xml:space="preserve">, uma vez que é considerável o número de pacientes que não atingem remissão da doença com </w:t>
      </w:r>
      <w:proofErr w:type="spellStart"/>
      <w:r>
        <w:t>corticoterapia</w:t>
      </w:r>
      <w:proofErr w:type="spellEnd"/>
      <w:r>
        <w:t xml:space="preserve"> isolada. O uso isolado de GC poderá ser considerado como teste terapêutico e até definição do diagnóstico de </w:t>
      </w:r>
      <w:proofErr w:type="spellStart"/>
      <w:r>
        <w:t>miopatia</w:t>
      </w:r>
      <w:proofErr w:type="spellEnd"/>
      <w:r>
        <w:t xml:space="preserve"> inflamatória. O uso de GC pode induzir remissão da doença em aproximadamente 40% a 60% dos pacientes, embora mais de 80% apresentem algum grau de melhora clínica e laboratorial com o tratamento (</w:t>
      </w:r>
      <w:proofErr w:type="gramStart"/>
      <w:r>
        <w:t>17, 18</w:t>
      </w:r>
      <w:proofErr w:type="gramEnd"/>
      <w:r>
        <w:t xml:space="preserve">). Os pacientes devem ser informados que a </w:t>
      </w:r>
      <w:proofErr w:type="spellStart"/>
      <w:r>
        <w:t>corticotera</w:t>
      </w:r>
      <w:r>
        <w:t>pia</w:t>
      </w:r>
      <w:proofErr w:type="spellEnd"/>
      <w:r>
        <w:t xml:space="preserve"> pode ter duração maior do que 12 meses (17, 18, 19). A </w:t>
      </w:r>
      <w:proofErr w:type="spellStart"/>
      <w:r>
        <w:t>pulsoterapia</w:t>
      </w:r>
      <w:proofErr w:type="spellEnd"/>
      <w:r>
        <w:t xml:space="preserve"> com </w:t>
      </w:r>
      <w:proofErr w:type="spellStart"/>
      <w:r>
        <w:t>metilprednisolona</w:t>
      </w:r>
      <w:proofErr w:type="spellEnd"/>
      <w:r>
        <w:t xml:space="preserve"> deverá ser considerada nos casos de fraqueza muscular grave ou acometimento sistêmico grave, incluindo envolvimento esofágico, com disfagia intensa e risco de asp</w:t>
      </w:r>
      <w:r>
        <w:t>iração, doença pulmonar intersticial e miocardite (12). A resposta ao tratamento com GC deverá ser avaliada laboratorial e</w:t>
      </w:r>
      <w:r>
        <w:rPr>
          <w:spacing w:val="39"/>
        </w:rPr>
        <w:t xml:space="preserve"> </w:t>
      </w:r>
      <w:r>
        <w:t>clinicamente</w:t>
      </w:r>
    </w:p>
    <w:p w:rsidR="003F1CD6" w:rsidRDefault="003F1CD6">
      <w:pPr>
        <w:sectPr w:rsidR="003F1CD6">
          <w:pgSz w:w="5110" w:h="16850"/>
          <w:pgMar w:top="480" w:right="0" w:bottom="280" w:left="460" w:header="720" w:footer="720" w:gutter="0"/>
          <w:cols w:space="720"/>
        </w:sectPr>
      </w:pPr>
    </w:p>
    <w:p w:rsidR="003F1CD6" w:rsidRDefault="00694219">
      <w:pPr>
        <w:pStyle w:val="Corpodetexto"/>
        <w:spacing w:before="80"/>
        <w:jc w:val="left"/>
      </w:pPr>
      <w:proofErr w:type="gramStart"/>
      <w:r>
        <w:lastRenderedPageBreak/>
        <w:t>após</w:t>
      </w:r>
      <w:proofErr w:type="gramEnd"/>
      <w:r>
        <w:t xml:space="preserve"> 4 semanas de início do tratamento. A melhora da força muscular tende a ocorrer de forma mais lenta e </w:t>
      </w:r>
      <w:r>
        <w:t>tardia (</w:t>
      </w:r>
      <w:proofErr w:type="gramStart"/>
      <w:r>
        <w:t>5, 12</w:t>
      </w:r>
      <w:proofErr w:type="gramEnd"/>
      <w:r>
        <w:t>).</w:t>
      </w:r>
    </w:p>
    <w:p w:rsidR="003F1CD6" w:rsidRDefault="00694219">
      <w:pPr>
        <w:pStyle w:val="Corpodetexto"/>
        <w:spacing w:before="2"/>
        <w:ind w:right="-15" w:firstLine="708"/>
      </w:pPr>
      <w:r>
        <w:t xml:space="preserve">A </w:t>
      </w:r>
      <w:proofErr w:type="spellStart"/>
      <w:r>
        <w:t>azatioprina</w:t>
      </w:r>
      <w:proofErr w:type="spellEnd"/>
      <w:r>
        <w:t xml:space="preserve"> (AZA) e o </w:t>
      </w:r>
      <w:proofErr w:type="spellStart"/>
      <w:r>
        <w:t>metotrexato</w:t>
      </w:r>
      <w:proofErr w:type="spellEnd"/>
      <w:r>
        <w:t xml:space="preserve"> (MTX) são considerados medicamentos de primeira linha como imunossupressores poupadores de GC (5, 12, 17). A AZA tem sido </w:t>
      </w:r>
      <w:proofErr w:type="gramStart"/>
      <w:r>
        <w:t>utilizada</w:t>
      </w:r>
      <w:proofErr w:type="gramEnd"/>
      <w:r>
        <w:t xml:space="preserve"> em associação ao GC nos casos das </w:t>
      </w:r>
      <w:proofErr w:type="spellStart"/>
      <w:r>
        <w:t>miopatias</w:t>
      </w:r>
      <w:proofErr w:type="spellEnd"/>
      <w:r>
        <w:t xml:space="preserve"> inflamatórias. A associação </w:t>
      </w:r>
      <w:r>
        <w:t>de prednisona e AZA foi avaliada em ensaio clínico randomizado, duplo-cego, sendo comparada com prednisona</w:t>
      </w:r>
      <w:proofErr w:type="gramStart"/>
      <w:r>
        <w:t xml:space="preserve">  </w:t>
      </w:r>
      <w:proofErr w:type="gramEnd"/>
      <w:r>
        <w:t xml:space="preserve">e placebo em 16 pacientes com diagnóstico de PM. Após </w:t>
      </w:r>
      <w:proofErr w:type="gramStart"/>
      <w:r>
        <w:t>3</w:t>
      </w:r>
      <w:proofErr w:type="gramEnd"/>
      <w:r>
        <w:t xml:space="preserve"> meses de tratamento, não houve diferença entre os grupos nas variáveis avaliadas (força musc</w:t>
      </w:r>
      <w:r>
        <w:t xml:space="preserve">ular ou CPK) (20). Após </w:t>
      </w:r>
      <w:proofErr w:type="gramStart"/>
      <w:r>
        <w:t>3</w:t>
      </w:r>
      <w:proofErr w:type="gramEnd"/>
      <w:r>
        <w:t xml:space="preserve"> anos de seguimento,  o grupo tratado com a associação de prednisona e AZA utilizou uma dose diária menor de GC (1,6 mg/kg vs. 8,7 mg/kg) e apresentou maior capacidade funcional (21). Portanto, a </w:t>
      </w:r>
      <w:proofErr w:type="spellStart"/>
      <w:r>
        <w:t>azatioprina</w:t>
      </w:r>
      <w:proofErr w:type="spellEnd"/>
      <w:r>
        <w:t xml:space="preserve"> poderá ser utilizada em</w:t>
      </w:r>
      <w:r>
        <w:t xml:space="preserve"> associação com GC, naqueles casos em que se optou pelo tratamento com </w:t>
      </w:r>
      <w:proofErr w:type="spellStart"/>
      <w:r>
        <w:t>corticoterapia</w:t>
      </w:r>
      <w:proofErr w:type="spellEnd"/>
      <w:r>
        <w:t xml:space="preserve"> isolada e que não há resposta satisfatória ou em casos de deterioração durante redução de dose do corticoide. Pode ainda ser usada como primeira linha, em</w:t>
      </w:r>
      <w:proofErr w:type="gramStart"/>
      <w:r>
        <w:t xml:space="preserve">  </w:t>
      </w:r>
      <w:proofErr w:type="spellStart"/>
      <w:proofErr w:type="gramEnd"/>
      <w:r>
        <w:t>monoterapia</w:t>
      </w:r>
      <w:proofErr w:type="spellEnd"/>
      <w:r>
        <w:t>, e</w:t>
      </w:r>
      <w:r>
        <w:t>m presença de contraindicação a</w:t>
      </w:r>
      <w:r>
        <w:rPr>
          <w:spacing w:val="-8"/>
        </w:rPr>
        <w:t xml:space="preserve"> </w:t>
      </w:r>
      <w:r>
        <w:t>GC.</w:t>
      </w:r>
    </w:p>
    <w:p w:rsidR="003F1CD6" w:rsidRDefault="00694219">
      <w:pPr>
        <w:pStyle w:val="Corpodetexto"/>
        <w:ind w:right="-15" w:firstLine="566"/>
      </w:pPr>
      <w:r>
        <w:t xml:space="preserve">O MTX também foi avaliado quanto à sua eficácia nas </w:t>
      </w:r>
      <w:proofErr w:type="spellStart"/>
      <w:r>
        <w:t>miopatias</w:t>
      </w:r>
      <w:proofErr w:type="spellEnd"/>
      <w:r>
        <w:t xml:space="preserve"> inflamatórias. Análise retrospectiva de 113 casos consecutivos demonstrou que o MTX pode ser superior ao uso de AZA ou GC em pacientes sem resposta clínica co</w:t>
      </w:r>
      <w:r>
        <w:t xml:space="preserve">mpleta após tratamento inicial com um curso de prednisona (18). Estudo randomizado comparou ciclosporina com MTX em pacientes com diagnóstico de PM/DM grave. Ao final de </w:t>
      </w:r>
      <w:proofErr w:type="gramStart"/>
      <w:r>
        <w:t>6</w:t>
      </w:r>
      <w:proofErr w:type="gramEnd"/>
      <w:r>
        <w:t xml:space="preserve"> meses, não houve diferença estatística significativa entre os grupos em relação à fo</w:t>
      </w:r>
      <w:r>
        <w:t xml:space="preserve">rça muscular e teste funcional, avaliação clínica e global do  paciente, nível sérico de CPK e mioglobina (22). A associação de MTX oral e AZA pode ser superior ao MTX intravenoso (IV) em </w:t>
      </w:r>
      <w:proofErr w:type="spellStart"/>
      <w:r>
        <w:t>monoterapia</w:t>
      </w:r>
      <w:proofErr w:type="spellEnd"/>
      <w:r>
        <w:t xml:space="preserve"> em pacientes com falha prévia </w:t>
      </w:r>
      <w:proofErr w:type="gramStart"/>
      <w:r>
        <w:t>a pelo</w:t>
      </w:r>
      <w:proofErr w:type="gramEnd"/>
      <w:r>
        <w:t xml:space="preserve"> menos um desses fár</w:t>
      </w:r>
      <w:r>
        <w:t xml:space="preserve">macos imunossupressores. Estudo randomizado cruzado comparou AZA associada ao MTX administrados por via oral (VO) com MTX IV em pacientes com </w:t>
      </w:r>
      <w:proofErr w:type="spellStart"/>
      <w:r>
        <w:t>miosite</w:t>
      </w:r>
      <w:proofErr w:type="spellEnd"/>
      <w:r>
        <w:t xml:space="preserve"> inflamatória refratária. Não foram encontradas diferenças nos níveis séricos de CPK no final do seguimento</w:t>
      </w:r>
      <w:r>
        <w:t>. Análise por intenção de tratar mostrou uma tendência de melhora</w:t>
      </w:r>
      <w:proofErr w:type="gramStart"/>
      <w:r>
        <w:t xml:space="preserve">  </w:t>
      </w:r>
      <w:proofErr w:type="gramEnd"/>
      <w:r>
        <w:t xml:space="preserve">clínica (força muscular e capacidade funcional) no grupo que utilizou a terapia combinada oral (23). Dessa forma, o MTX é indicado como alternativa </w:t>
      </w:r>
      <w:proofErr w:type="gramStart"/>
      <w:r>
        <w:t>à</w:t>
      </w:r>
      <w:proofErr w:type="gramEnd"/>
      <w:r>
        <w:t xml:space="preserve"> AZA, também em </w:t>
      </w:r>
      <w:proofErr w:type="spellStart"/>
      <w:r>
        <w:t>monoterapia</w:t>
      </w:r>
      <w:proofErr w:type="spellEnd"/>
      <w:r>
        <w:t xml:space="preserve"> se houver co</w:t>
      </w:r>
      <w:r>
        <w:t>ntraindicação ao uso de GC, e em casos de resposta insatisfatória com GC isolado, caso se tenha optado por essa modalidade de tratamento inicial. Seu uso associado ao GC será necessário até seu efeito máximo, objetivando a redução da dose e suspensão do GC</w:t>
      </w:r>
      <w:r>
        <w:t xml:space="preserve"> conforme melhora clínica e</w:t>
      </w:r>
      <w:r>
        <w:rPr>
          <w:spacing w:val="-5"/>
        </w:rPr>
        <w:t xml:space="preserve"> </w:t>
      </w:r>
      <w:r>
        <w:t>laboratorial.</w:t>
      </w:r>
    </w:p>
    <w:p w:rsidR="003F1CD6" w:rsidRDefault="00694219">
      <w:pPr>
        <w:pStyle w:val="Corpodetexto"/>
        <w:ind w:right="-15" w:firstLine="566"/>
      </w:pPr>
      <w:r>
        <w:t xml:space="preserve">A resposta aos imunossupressores ocorrerá de forma mais lenta, cerca 2-3 meses após o início do seu uso. Se após </w:t>
      </w:r>
      <w:proofErr w:type="gramStart"/>
      <w:r>
        <w:t>3</w:t>
      </w:r>
      <w:proofErr w:type="gramEnd"/>
      <w:r>
        <w:t xml:space="preserve"> meses, com dose otimizada do imunossupressor o paciente apresentar sinais clínicos e laboratoriais </w:t>
      </w:r>
      <w:r>
        <w:t>de atividade de doença, ele não está respondendo conforme o esperado ao imunossupressor e o esquema terapêutico deverá ser trocado.</w:t>
      </w:r>
    </w:p>
    <w:p w:rsidR="003F1CD6" w:rsidRDefault="00694219">
      <w:pPr>
        <w:pStyle w:val="Corpodetexto"/>
        <w:ind w:firstLine="566"/>
      </w:pPr>
      <w:r>
        <w:t xml:space="preserve">Devido ao risco de maior </w:t>
      </w:r>
      <w:proofErr w:type="spellStart"/>
      <w:r>
        <w:t>hepatotoxicidade</w:t>
      </w:r>
      <w:proofErr w:type="spellEnd"/>
      <w:r>
        <w:t xml:space="preserve"> e de toxicidade pulmonar associado ao uso de MTX, a AZA é </w:t>
      </w:r>
      <w:proofErr w:type="gramStart"/>
      <w:r>
        <w:t>considerada</w:t>
      </w:r>
      <w:proofErr w:type="gramEnd"/>
      <w:r>
        <w:t xml:space="preserve"> o imunossupr</w:t>
      </w:r>
      <w:r>
        <w:t>essor de escolha, associado com GC, em casos com acometimento pulmonar associado, e naqueles com disfunção hepática ou alcoolismo sem abstinência (12).</w:t>
      </w:r>
    </w:p>
    <w:p w:rsidR="003F1CD6" w:rsidRDefault="00694219">
      <w:pPr>
        <w:pStyle w:val="Corpodetexto"/>
        <w:spacing w:before="2"/>
        <w:ind w:right="-15" w:firstLine="566"/>
      </w:pPr>
      <w:r>
        <w:t>Se a resposta ao tratamento for insatisfatória, recomenda-se reavaliação diagnóstica. Deve-se considerar</w:t>
      </w:r>
      <w:r>
        <w:t xml:space="preserve"> má adesão ao tratamento, repetir a biópsia muscular com vistas ao diagnóstico diferencial com outras </w:t>
      </w:r>
      <w:proofErr w:type="spellStart"/>
      <w:r>
        <w:t>miopatias</w:t>
      </w:r>
      <w:proofErr w:type="spellEnd"/>
      <w:r>
        <w:t xml:space="preserve"> (p. ex., </w:t>
      </w:r>
      <w:proofErr w:type="spellStart"/>
      <w:r>
        <w:t>miosite</w:t>
      </w:r>
      <w:proofErr w:type="spellEnd"/>
      <w:r>
        <w:t xml:space="preserve"> por corpúsculo de inclusão) e ampliar a investigação de neoplasia. Além disso, a ocorrência de </w:t>
      </w:r>
      <w:proofErr w:type="spellStart"/>
      <w:r>
        <w:t>miopatia</w:t>
      </w:r>
      <w:proofErr w:type="spellEnd"/>
      <w:r>
        <w:t xml:space="preserve"> por GC deve ser conside</w:t>
      </w:r>
      <w:r>
        <w:t>rada como causa de má resposta (</w:t>
      </w:r>
      <w:proofErr w:type="gramStart"/>
      <w:r>
        <w:t>5, 12</w:t>
      </w:r>
      <w:proofErr w:type="gramEnd"/>
      <w:r>
        <w:t xml:space="preserve">). Esta última, assim como a PM/DM, também se manifesta com fraqueza da musculatura proximal, e a biópsia muscular nem sempre ajuda na elucidação diagnóstica. Pacientes em uso de prednisona </w:t>
      </w:r>
      <w:proofErr w:type="gramStart"/>
      <w:r>
        <w:t>1</w:t>
      </w:r>
      <w:proofErr w:type="gramEnd"/>
      <w:r>
        <w:t xml:space="preserve"> mg/kg/dia por mais de 6 sem</w:t>
      </w:r>
      <w:r>
        <w:t>anas estão sob maior risco.</w:t>
      </w:r>
    </w:p>
    <w:p w:rsidR="003F1CD6" w:rsidRDefault="00694219">
      <w:pPr>
        <w:pStyle w:val="Corpodetexto"/>
        <w:ind w:right="-15" w:firstLine="566"/>
      </w:pPr>
      <w:r>
        <w:t xml:space="preserve">Na evidência de atividade de doença (doença resistente), necessidade de aumento da dose de GC ou seu reinício (doença </w:t>
      </w:r>
      <w:proofErr w:type="spellStart"/>
      <w:r>
        <w:t>recidivante</w:t>
      </w:r>
      <w:proofErr w:type="spellEnd"/>
      <w:r>
        <w:t xml:space="preserve">), bem como na intolerância ao MTX ou AZA, deverá ser </w:t>
      </w:r>
      <w:proofErr w:type="gramStart"/>
      <w:r>
        <w:t>considerada</w:t>
      </w:r>
      <w:proofErr w:type="gramEnd"/>
      <w:r>
        <w:t xml:space="preserve"> modificação terapêutica. Dessa fo</w:t>
      </w:r>
      <w:r>
        <w:t>rma, preconiza-se a troca do MTX por AZA (e vice-versa) ou associação de AZA com MTX.</w:t>
      </w:r>
    </w:p>
    <w:p w:rsidR="003F1CD6" w:rsidRDefault="00694219">
      <w:pPr>
        <w:pStyle w:val="Corpodetexto"/>
        <w:ind w:right="-15" w:firstLine="566"/>
      </w:pPr>
      <w:r>
        <w:t>Na ausência de resposta às medidas acima descritas, por intolerância ou recidiva, recomenda-se a</w:t>
      </w:r>
      <w:proofErr w:type="gramStart"/>
      <w:r>
        <w:t xml:space="preserve">  </w:t>
      </w:r>
      <w:proofErr w:type="gramEnd"/>
      <w:r>
        <w:t>substituição do tratamento até então utilizado por ciclofosfamida, imuno</w:t>
      </w:r>
      <w:r>
        <w:t>globulina humana (IGH) ou ciclosporina. O GC deverá ser mantido até controle de atividade de doença.</w:t>
      </w:r>
    </w:p>
    <w:p w:rsidR="003F1CD6" w:rsidRDefault="00694219">
      <w:pPr>
        <w:pStyle w:val="Corpodetexto"/>
        <w:ind w:right="-15" w:firstLine="566"/>
      </w:pPr>
      <w:r>
        <w:t>Uma opção para pacientes resistentes ou intolerantes aos medicamentos descritos é a IGH (24-26). A IGH foi avaliada em ensaio clínico duplo-cego, controlad</w:t>
      </w:r>
      <w:r>
        <w:t>o contra placebo, em 15 pacientes apenas com DM resistente ao tratamento com GC</w:t>
      </w:r>
      <w:proofErr w:type="gramStart"/>
      <w:r>
        <w:t xml:space="preserve">  </w:t>
      </w:r>
      <w:proofErr w:type="gramEnd"/>
      <w:r>
        <w:t xml:space="preserve">e imunossupressores (MTX, AZA ou ciclofosfamida). No grupo tratado com </w:t>
      </w:r>
      <w:r>
        <w:rPr>
          <w:spacing w:val="-3"/>
        </w:rPr>
        <w:t xml:space="preserve">IGH, </w:t>
      </w:r>
      <w:r>
        <w:t>houve resposta estatisticamente significativa na</w:t>
      </w:r>
      <w:proofErr w:type="gramStart"/>
      <w:r>
        <w:t xml:space="preserve">  </w:t>
      </w:r>
      <w:proofErr w:type="gramEnd"/>
      <w:r>
        <w:t>avaliação do escore de força muscular e dos sinto</w:t>
      </w:r>
      <w:r>
        <w:t xml:space="preserve">mas neuromusculares após 3 meses (25, 27). Em estudo observacional com 35 pacientes com PM refratária à </w:t>
      </w:r>
      <w:proofErr w:type="spellStart"/>
      <w:r>
        <w:t>corticoterapia</w:t>
      </w:r>
      <w:proofErr w:type="spellEnd"/>
      <w:r>
        <w:t xml:space="preserve"> e imunossupressores, foi administrada IGH mensalmente, com duração de tratamento de 4 a 6 meses. Após</w:t>
      </w:r>
      <w:r>
        <w:rPr>
          <w:spacing w:val="9"/>
        </w:rPr>
        <w:t xml:space="preserve"> </w:t>
      </w:r>
      <w:proofErr w:type="gramStart"/>
      <w:r>
        <w:t>6</w:t>
      </w:r>
      <w:proofErr w:type="gramEnd"/>
    </w:p>
    <w:p w:rsidR="003F1CD6" w:rsidRDefault="003F1CD6">
      <w:pPr>
        <w:sectPr w:rsidR="003F1CD6">
          <w:pgSz w:w="5110" w:h="16850"/>
          <w:pgMar w:top="480" w:right="0" w:bottom="280" w:left="460" w:header="720" w:footer="720" w:gutter="0"/>
          <w:cols w:space="720"/>
        </w:sectPr>
      </w:pPr>
    </w:p>
    <w:p w:rsidR="003F1CD6" w:rsidRDefault="00694219">
      <w:pPr>
        <w:pStyle w:val="Corpodetexto"/>
        <w:spacing w:before="80"/>
        <w:ind w:right="-15"/>
      </w:pPr>
      <w:proofErr w:type="gramStart"/>
      <w:r>
        <w:lastRenderedPageBreak/>
        <w:t>meses</w:t>
      </w:r>
      <w:proofErr w:type="gramEnd"/>
      <w:r>
        <w:t>, houve uma re</w:t>
      </w:r>
      <w:r>
        <w:t xml:space="preserve">dução de 50% da dose inicial de prednisona, redução dos níveis de CPK e melhora da força muscular. Houve resposta clínica satisfatória em 70% dos pacientes, que foi mantida em aproximadamente metade deles ao longo de </w:t>
      </w:r>
      <w:proofErr w:type="gramStart"/>
      <w:r>
        <w:t>3</w:t>
      </w:r>
      <w:proofErr w:type="gramEnd"/>
      <w:r>
        <w:t xml:space="preserve"> anos de observação. O uso de IGH não </w:t>
      </w:r>
      <w:r>
        <w:t>se relacionou com eventos adversos sérios (26). Deve ser considerado seu uso como tratamento de primeira linha naqueles pacientes com infecção, e</w:t>
      </w:r>
      <w:proofErr w:type="gramStart"/>
      <w:r>
        <w:t xml:space="preserve"> portanto</w:t>
      </w:r>
      <w:proofErr w:type="gramEnd"/>
      <w:r>
        <w:t>, com contraindicação ao uso de GC e imunossupressores, ou em caso de doença resistente aos imunossupr</w:t>
      </w:r>
      <w:r>
        <w:t>essores já citados, incluindo a ciclofosfamida.</w:t>
      </w:r>
    </w:p>
    <w:p w:rsidR="003F1CD6" w:rsidRDefault="00694219">
      <w:pPr>
        <w:pStyle w:val="Corpodetexto"/>
        <w:ind w:right="-15" w:firstLine="566"/>
      </w:pPr>
      <w:r>
        <w:t xml:space="preserve">A ciclofosfamida IV é uma alternativa em pacientes portadores de PM/DM associada </w:t>
      </w:r>
      <w:proofErr w:type="gramStart"/>
      <w:r>
        <w:t>a</w:t>
      </w:r>
      <w:proofErr w:type="gramEnd"/>
      <w:r>
        <w:t xml:space="preserve"> doença resistente ao uso de GC, MTX e AZA. Em estudo observacional com 17 pacientes, foram encontrados os seguintes resultado</w:t>
      </w:r>
      <w:r>
        <w:t xml:space="preserve">s: 11 pacientes evoluíram com melhora da dispneia após introdução da ciclofosfamida, </w:t>
      </w:r>
      <w:proofErr w:type="gramStart"/>
      <w:r>
        <w:t>6</w:t>
      </w:r>
      <w:proofErr w:type="gramEnd"/>
      <w:r>
        <w:t xml:space="preserve"> de 7 suspenderam a </w:t>
      </w:r>
      <w:proofErr w:type="spellStart"/>
      <w:r>
        <w:t>oxigenioterapia</w:t>
      </w:r>
      <w:proofErr w:type="spellEnd"/>
      <w:r>
        <w:t xml:space="preserve"> e 12 obtiveram melhora maior ou igual a 10% na capacidade vital (28).</w:t>
      </w:r>
    </w:p>
    <w:p w:rsidR="003F1CD6" w:rsidRDefault="00694219">
      <w:pPr>
        <w:pStyle w:val="Corpodetexto"/>
        <w:spacing w:before="1"/>
        <w:ind w:right="-15" w:firstLine="566"/>
      </w:pPr>
      <w:r>
        <w:t>Na ausência de doença intersticial pulmonar ou vasculite sistêmi</w:t>
      </w:r>
      <w:r>
        <w:t xml:space="preserve">ca, o uso da ciclofosfamida deve ser considerado em pacientes com PM/DM que não responderam a </w:t>
      </w:r>
      <w:proofErr w:type="gramStart"/>
      <w:r>
        <w:t>outros tratamentos de segunda linha devido à sua toxicidade a médio</w:t>
      </w:r>
      <w:proofErr w:type="gramEnd"/>
      <w:r>
        <w:t xml:space="preserve"> e longo prazos. Em caso de não resposta ou intolerância a esse medicamento, considerar o uso d</w:t>
      </w:r>
      <w:r>
        <w:t>e IGH, se não utilizada ainda.</w:t>
      </w:r>
    </w:p>
    <w:p w:rsidR="003F1CD6" w:rsidRDefault="00694219">
      <w:pPr>
        <w:pStyle w:val="Corpodetexto"/>
        <w:spacing w:before="1"/>
        <w:ind w:right="-15" w:firstLine="566"/>
      </w:pPr>
      <w:r>
        <w:t xml:space="preserve">A ciclosporina foi utilizada em pacientes resistentes ao uso prévio de MTX, </w:t>
      </w:r>
      <w:proofErr w:type="gramStart"/>
      <w:r>
        <w:t>AZA,</w:t>
      </w:r>
      <w:proofErr w:type="gramEnd"/>
      <w:r>
        <w:t xml:space="preserve"> ciclofosfamida ou </w:t>
      </w:r>
      <w:r>
        <w:rPr>
          <w:spacing w:val="-3"/>
        </w:rPr>
        <w:t xml:space="preserve">IGH </w:t>
      </w:r>
      <w:r>
        <w:t xml:space="preserve">em um grupo de seis pacientes. Em </w:t>
      </w:r>
      <w:proofErr w:type="gramStart"/>
      <w:r>
        <w:t>6</w:t>
      </w:r>
      <w:proofErr w:type="gramEnd"/>
      <w:r>
        <w:t xml:space="preserve"> meses de tratamento, a dose da prednisona foi reduzida em 75%. Também ocorreu melhora da força (12). A ciclosporina deverá ser considerada na recidiva ou intolerância aos demais medicamentos</w:t>
      </w:r>
      <w:r>
        <w:rPr>
          <w:spacing w:val="-3"/>
        </w:rPr>
        <w:t xml:space="preserve"> </w:t>
      </w:r>
      <w:r>
        <w:t>citados.</w:t>
      </w:r>
    </w:p>
    <w:p w:rsidR="003F1CD6" w:rsidRDefault="00694219">
      <w:pPr>
        <w:pStyle w:val="Corpodetexto"/>
        <w:ind w:right="-15" w:firstLine="566"/>
      </w:pPr>
      <w:r>
        <w:t>Alguns pacientes com</w:t>
      </w:r>
      <w:r>
        <w:t xml:space="preserve"> DM apresentam doença cutânea não responsiva ao uso de GC e imunossupressores. Estudos observacionais têm demonstrado benefício com o uso de antimaláricos como a </w:t>
      </w:r>
      <w:proofErr w:type="spellStart"/>
      <w:r>
        <w:t>hidroxicloroquina</w:t>
      </w:r>
      <w:proofErr w:type="spellEnd"/>
      <w:r>
        <w:t xml:space="preserve"> e </w:t>
      </w:r>
      <w:proofErr w:type="spellStart"/>
      <w:r>
        <w:t>disfosfato</w:t>
      </w:r>
      <w:proofErr w:type="spellEnd"/>
      <w:r>
        <w:t xml:space="preserve"> de cloroquina. O primeiro é indicado devido ao menor risco de t</w:t>
      </w:r>
      <w:r>
        <w:t>oxicidade ocular (</w:t>
      </w:r>
      <w:proofErr w:type="gramStart"/>
      <w:r>
        <w:t>29, 30</w:t>
      </w:r>
      <w:proofErr w:type="gramEnd"/>
      <w:r>
        <w:t>). O benefício dos antimaláricos é restrito à doença cutânea, não tendo impacto no controle de atividade da doença muscular. Os demais imunossupressores podem contribuir para o controle da doença de pele.</w:t>
      </w:r>
    </w:p>
    <w:p w:rsidR="003F1CD6" w:rsidRDefault="003F1CD6">
      <w:pPr>
        <w:pStyle w:val="Corpodetexto"/>
        <w:spacing w:before="10"/>
        <w:ind w:left="0"/>
        <w:jc w:val="left"/>
        <w:rPr>
          <w:sz w:val="15"/>
        </w:rPr>
      </w:pPr>
    </w:p>
    <w:p w:rsidR="003F1CD6" w:rsidRDefault="00694219">
      <w:pPr>
        <w:pStyle w:val="PargrafodaLista"/>
        <w:numPr>
          <w:ilvl w:val="1"/>
          <w:numId w:val="6"/>
        </w:numPr>
        <w:tabs>
          <w:tab w:val="left" w:pos="916"/>
        </w:tabs>
        <w:spacing w:before="1"/>
        <w:ind w:right="0" w:firstLine="567"/>
        <w:jc w:val="left"/>
        <w:rPr>
          <w:sz w:val="16"/>
        </w:rPr>
      </w:pPr>
      <w:r>
        <w:rPr>
          <w:sz w:val="16"/>
        </w:rPr>
        <w:t>FÁRMACOS</w:t>
      </w:r>
    </w:p>
    <w:p w:rsidR="003F1CD6" w:rsidRDefault="00694219">
      <w:pPr>
        <w:pStyle w:val="PargrafodaLista"/>
        <w:numPr>
          <w:ilvl w:val="0"/>
          <w:numId w:val="2"/>
        </w:numPr>
        <w:tabs>
          <w:tab w:val="left" w:pos="767"/>
        </w:tabs>
        <w:ind w:right="0" w:firstLine="567"/>
        <w:jc w:val="left"/>
        <w:rPr>
          <w:sz w:val="16"/>
        </w:rPr>
      </w:pPr>
      <w:r>
        <w:rPr>
          <w:sz w:val="16"/>
        </w:rPr>
        <w:t>Prednisona: compr</w:t>
      </w:r>
      <w:r>
        <w:rPr>
          <w:sz w:val="16"/>
        </w:rPr>
        <w:t xml:space="preserve">imidos de </w:t>
      </w:r>
      <w:proofErr w:type="gramStart"/>
      <w:r>
        <w:rPr>
          <w:sz w:val="16"/>
        </w:rPr>
        <w:t>5</w:t>
      </w:r>
      <w:proofErr w:type="gramEnd"/>
      <w:r>
        <w:rPr>
          <w:sz w:val="16"/>
        </w:rPr>
        <w:t xml:space="preserve"> e 20</w:t>
      </w:r>
      <w:r>
        <w:rPr>
          <w:spacing w:val="-10"/>
          <w:sz w:val="16"/>
        </w:rPr>
        <w:t xml:space="preserve"> </w:t>
      </w:r>
      <w:r>
        <w:rPr>
          <w:sz w:val="16"/>
        </w:rPr>
        <w:t>mg,</w:t>
      </w:r>
    </w:p>
    <w:p w:rsidR="003F1CD6" w:rsidRDefault="00694219">
      <w:pPr>
        <w:pStyle w:val="PargrafodaLista"/>
        <w:numPr>
          <w:ilvl w:val="0"/>
          <w:numId w:val="2"/>
        </w:numPr>
        <w:tabs>
          <w:tab w:val="left" w:pos="767"/>
        </w:tabs>
        <w:spacing w:before="1" w:line="183" w:lineRule="exact"/>
        <w:ind w:right="0" w:firstLine="567"/>
        <w:jc w:val="left"/>
        <w:rPr>
          <w:sz w:val="16"/>
        </w:rPr>
      </w:pPr>
      <w:proofErr w:type="spellStart"/>
      <w:r>
        <w:rPr>
          <w:sz w:val="16"/>
        </w:rPr>
        <w:t>Metilprednisolona</w:t>
      </w:r>
      <w:proofErr w:type="spellEnd"/>
      <w:r>
        <w:rPr>
          <w:sz w:val="16"/>
        </w:rPr>
        <w:t xml:space="preserve">: pó para solução injetável de 500 </w:t>
      </w:r>
      <w:proofErr w:type="gramStart"/>
      <w:r>
        <w:rPr>
          <w:sz w:val="16"/>
        </w:rPr>
        <w:t>mg</w:t>
      </w:r>
      <w:proofErr w:type="gramEnd"/>
      <w:r>
        <w:rPr>
          <w:spacing w:val="-18"/>
          <w:sz w:val="16"/>
        </w:rPr>
        <w:t xml:space="preserve"> </w:t>
      </w:r>
      <w:r>
        <w:rPr>
          <w:sz w:val="16"/>
        </w:rPr>
        <w:t>,</w:t>
      </w:r>
    </w:p>
    <w:p w:rsidR="003F1CD6" w:rsidRDefault="00694219">
      <w:pPr>
        <w:pStyle w:val="PargrafodaLista"/>
        <w:numPr>
          <w:ilvl w:val="0"/>
          <w:numId w:val="2"/>
        </w:numPr>
        <w:tabs>
          <w:tab w:val="left" w:pos="767"/>
        </w:tabs>
        <w:spacing w:line="183" w:lineRule="exact"/>
        <w:ind w:right="0" w:firstLine="567"/>
        <w:jc w:val="left"/>
        <w:rPr>
          <w:sz w:val="16"/>
        </w:rPr>
      </w:pPr>
      <w:proofErr w:type="spellStart"/>
      <w:r>
        <w:rPr>
          <w:sz w:val="16"/>
        </w:rPr>
        <w:t>Azatioprina</w:t>
      </w:r>
      <w:proofErr w:type="spellEnd"/>
      <w:r>
        <w:rPr>
          <w:sz w:val="16"/>
        </w:rPr>
        <w:t>: comprimidos de 50</w:t>
      </w:r>
      <w:r>
        <w:rPr>
          <w:spacing w:val="-9"/>
          <w:sz w:val="16"/>
        </w:rPr>
        <w:t xml:space="preserve"> </w:t>
      </w:r>
      <w:proofErr w:type="gramStart"/>
      <w:r>
        <w:rPr>
          <w:sz w:val="16"/>
        </w:rPr>
        <w:t>mg</w:t>
      </w:r>
      <w:proofErr w:type="gramEnd"/>
      <w:r>
        <w:rPr>
          <w:sz w:val="16"/>
        </w:rPr>
        <w:t>,</w:t>
      </w:r>
    </w:p>
    <w:p w:rsidR="003F1CD6" w:rsidRDefault="00694219">
      <w:pPr>
        <w:pStyle w:val="PargrafodaLista"/>
        <w:numPr>
          <w:ilvl w:val="0"/>
          <w:numId w:val="2"/>
        </w:numPr>
        <w:tabs>
          <w:tab w:val="left" w:pos="789"/>
        </w:tabs>
        <w:spacing w:before="1"/>
        <w:ind w:right="0" w:firstLine="567"/>
        <w:jc w:val="left"/>
        <w:rPr>
          <w:sz w:val="16"/>
        </w:rPr>
      </w:pPr>
      <w:proofErr w:type="spellStart"/>
      <w:r>
        <w:rPr>
          <w:sz w:val="16"/>
        </w:rPr>
        <w:t>Metotrexato</w:t>
      </w:r>
      <w:proofErr w:type="spellEnd"/>
      <w:r>
        <w:rPr>
          <w:sz w:val="16"/>
        </w:rPr>
        <w:t xml:space="preserve">: comprimidos de 2,5 </w:t>
      </w:r>
      <w:proofErr w:type="gramStart"/>
      <w:r>
        <w:rPr>
          <w:sz w:val="16"/>
        </w:rPr>
        <w:t>mg</w:t>
      </w:r>
      <w:proofErr w:type="gramEnd"/>
      <w:r>
        <w:rPr>
          <w:sz w:val="16"/>
        </w:rPr>
        <w:t xml:space="preserve"> ou solução injetável de 25</w:t>
      </w:r>
      <w:r>
        <w:rPr>
          <w:spacing w:val="-2"/>
          <w:sz w:val="16"/>
        </w:rPr>
        <w:t xml:space="preserve"> </w:t>
      </w:r>
      <w:r>
        <w:rPr>
          <w:sz w:val="16"/>
        </w:rPr>
        <w:t>mg/</w:t>
      </w:r>
      <w:proofErr w:type="spellStart"/>
      <w:r>
        <w:rPr>
          <w:sz w:val="16"/>
        </w:rPr>
        <w:t>mL</w:t>
      </w:r>
      <w:proofErr w:type="spellEnd"/>
      <w:r>
        <w:rPr>
          <w:sz w:val="16"/>
        </w:rPr>
        <w:t>,</w:t>
      </w:r>
    </w:p>
    <w:p w:rsidR="003F1CD6" w:rsidRDefault="00694219">
      <w:pPr>
        <w:pStyle w:val="PargrafodaLista"/>
        <w:numPr>
          <w:ilvl w:val="0"/>
          <w:numId w:val="2"/>
        </w:numPr>
        <w:tabs>
          <w:tab w:val="left" w:pos="772"/>
        </w:tabs>
        <w:spacing w:line="183" w:lineRule="exact"/>
        <w:ind w:left="771" w:right="0" w:hanging="98"/>
        <w:jc w:val="left"/>
        <w:rPr>
          <w:sz w:val="16"/>
        </w:rPr>
      </w:pPr>
      <w:r>
        <w:rPr>
          <w:sz w:val="16"/>
        </w:rPr>
        <w:t xml:space="preserve">Ciclosporina: cápsulas de 10, 25, 50, 100 </w:t>
      </w:r>
      <w:proofErr w:type="gramStart"/>
      <w:r>
        <w:rPr>
          <w:sz w:val="16"/>
        </w:rPr>
        <w:t>mg</w:t>
      </w:r>
      <w:proofErr w:type="gramEnd"/>
      <w:r>
        <w:rPr>
          <w:sz w:val="16"/>
        </w:rPr>
        <w:t xml:space="preserve"> e solução</w:t>
      </w:r>
      <w:r>
        <w:rPr>
          <w:spacing w:val="29"/>
          <w:sz w:val="16"/>
        </w:rPr>
        <w:t xml:space="preserve"> </w:t>
      </w:r>
      <w:r>
        <w:rPr>
          <w:sz w:val="16"/>
        </w:rPr>
        <w:t>oral</w:t>
      </w:r>
    </w:p>
    <w:p w:rsidR="003F1CD6" w:rsidRDefault="00694219">
      <w:pPr>
        <w:pStyle w:val="Corpodetexto"/>
        <w:spacing w:before="1"/>
        <w:jc w:val="left"/>
      </w:pPr>
      <w:proofErr w:type="gramStart"/>
      <w:r>
        <w:t>de</w:t>
      </w:r>
      <w:proofErr w:type="gramEnd"/>
      <w:r>
        <w:t xml:space="preserve"> 100 mg/</w:t>
      </w:r>
      <w:proofErr w:type="spellStart"/>
      <w:r>
        <w:t>mL</w:t>
      </w:r>
      <w:proofErr w:type="spellEnd"/>
      <w:r>
        <w:t xml:space="preserve"> – 50 </w:t>
      </w:r>
      <w:proofErr w:type="spellStart"/>
      <w:r>
        <w:t>mL</w:t>
      </w:r>
      <w:proofErr w:type="spellEnd"/>
      <w:r>
        <w:t>,</w:t>
      </w:r>
    </w:p>
    <w:p w:rsidR="003F1CD6" w:rsidRDefault="00694219">
      <w:pPr>
        <w:pStyle w:val="PargrafodaLista"/>
        <w:numPr>
          <w:ilvl w:val="0"/>
          <w:numId w:val="2"/>
        </w:numPr>
        <w:tabs>
          <w:tab w:val="left" w:pos="767"/>
        </w:tabs>
        <w:spacing w:before="1" w:line="183" w:lineRule="exact"/>
        <w:ind w:right="0" w:firstLine="567"/>
        <w:jc w:val="left"/>
        <w:rPr>
          <w:sz w:val="16"/>
        </w:rPr>
      </w:pPr>
      <w:r>
        <w:rPr>
          <w:sz w:val="16"/>
        </w:rPr>
        <w:t xml:space="preserve">Ciclofosfamida: pó para solução injetável de 200 </w:t>
      </w:r>
      <w:proofErr w:type="gramStart"/>
      <w:r>
        <w:rPr>
          <w:sz w:val="16"/>
        </w:rPr>
        <w:t>mg</w:t>
      </w:r>
      <w:proofErr w:type="gramEnd"/>
      <w:r>
        <w:rPr>
          <w:sz w:val="16"/>
        </w:rPr>
        <w:t xml:space="preserve"> e</w:t>
      </w:r>
      <w:r>
        <w:rPr>
          <w:spacing w:val="-19"/>
          <w:sz w:val="16"/>
        </w:rPr>
        <w:t xml:space="preserve"> </w:t>
      </w:r>
      <w:r>
        <w:rPr>
          <w:sz w:val="16"/>
        </w:rPr>
        <w:t>1g,</w:t>
      </w:r>
    </w:p>
    <w:p w:rsidR="003F1CD6" w:rsidRDefault="00694219">
      <w:pPr>
        <w:pStyle w:val="PargrafodaLista"/>
        <w:numPr>
          <w:ilvl w:val="0"/>
          <w:numId w:val="2"/>
        </w:numPr>
        <w:tabs>
          <w:tab w:val="left" w:pos="772"/>
        </w:tabs>
        <w:ind w:firstLine="567"/>
        <w:jc w:val="left"/>
        <w:rPr>
          <w:sz w:val="16"/>
        </w:rPr>
      </w:pPr>
      <w:r>
        <w:rPr>
          <w:sz w:val="16"/>
        </w:rPr>
        <w:t>Imunoglobulina humana: frasco-ampola de 0,5 g, 1 g, 2,5 g, 3 g, 5 g e 6</w:t>
      </w:r>
      <w:r>
        <w:rPr>
          <w:spacing w:val="-3"/>
          <w:sz w:val="16"/>
        </w:rPr>
        <w:t xml:space="preserve"> </w:t>
      </w:r>
      <w:r>
        <w:rPr>
          <w:sz w:val="16"/>
        </w:rPr>
        <w:t>g,</w:t>
      </w:r>
    </w:p>
    <w:p w:rsidR="003F1CD6" w:rsidRDefault="00694219">
      <w:pPr>
        <w:pStyle w:val="PargrafodaLista"/>
        <w:numPr>
          <w:ilvl w:val="0"/>
          <w:numId w:val="2"/>
        </w:numPr>
        <w:tabs>
          <w:tab w:val="left" w:pos="767"/>
        </w:tabs>
        <w:spacing w:before="1"/>
        <w:ind w:right="0" w:firstLine="567"/>
        <w:jc w:val="left"/>
        <w:rPr>
          <w:sz w:val="16"/>
        </w:rPr>
      </w:pPr>
      <w:proofErr w:type="spellStart"/>
      <w:r>
        <w:rPr>
          <w:sz w:val="16"/>
        </w:rPr>
        <w:t>Hidroxicloroquina</w:t>
      </w:r>
      <w:proofErr w:type="spellEnd"/>
      <w:r>
        <w:rPr>
          <w:sz w:val="16"/>
        </w:rPr>
        <w:t>: comprimidos de 400</w:t>
      </w:r>
      <w:r>
        <w:rPr>
          <w:spacing w:val="-6"/>
          <w:sz w:val="16"/>
        </w:rPr>
        <w:t xml:space="preserve"> </w:t>
      </w:r>
      <w:proofErr w:type="gramStart"/>
      <w:r>
        <w:rPr>
          <w:sz w:val="16"/>
        </w:rPr>
        <w:t>mg</w:t>
      </w:r>
      <w:proofErr w:type="gramEnd"/>
      <w:r>
        <w:rPr>
          <w:sz w:val="16"/>
        </w:rPr>
        <w:t>,</w:t>
      </w:r>
    </w:p>
    <w:p w:rsidR="003F1CD6" w:rsidRDefault="003F1CD6">
      <w:pPr>
        <w:pStyle w:val="Corpodetexto"/>
        <w:spacing w:before="10"/>
        <w:ind w:left="0"/>
        <w:jc w:val="left"/>
        <w:rPr>
          <w:sz w:val="15"/>
        </w:rPr>
      </w:pPr>
    </w:p>
    <w:p w:rsidR="003F1CD6" w:rsidRDefault="00694219">
      <w:pPr>
        <w:pStyle w:val="PargrafodaLista"/>
        <w:numPr>
          <w:ilvl w:val="1"/>
          <w:numId w:val="6"/>
        </w:numPr>
        <w:tabs>
          <w:tab w:val="left" w:pos="916"/>
        </w:tabs>
        <w:ind w:right="0" w:firstLine="567"/>
        <w:jc w:val="left"/>
        <w:rPr>
          <w:sz w:val="16"/>
        </w:rPr>
      </w:pPr>
      <w:r>
        <w:rPr>
          <w:sz w:val="16"/>
        </w:rPr>
        <w:t>ESQUEMAS DE</w:t>
      </w:r>
      <w:r>
        <w:rPr>
          <w:spacing w:val="-1"/>
          <w:sz w:val="16"/>
        </w:rPr>
        <w:t xml:space="preserve"> </w:t>
      </w:r>
      <w:r>
        <w:rPr>
          <w:sz w:val="16"/>
        </w:rPr>
        <w:t>ADMINISTRAÇÃO</w:t>
      </w:r>
    </w:p>
    <w:p w:rsidR="003F1CD6" w:rsidRDefault="00694219">
      <w:pPr>
        <w:pStyle w:val="PargrafodaLista"/>
        <w:numPr>
          <w:ilvl w:val="0"/>
          <w:numId w:val="2"/>
        </w:numPr>
        <w:tabs>
          <w:tab w:val="left" w:pos="767"/>
        </w:tabs>
        <w:spacing w:before="1"/>
        <w:ind w:firstLine="567"/>
        <w:rPr>
          <w:sz w:val="16"/>
        </w:rPr>
      </w:pPr>
      <w:r>
        <w:rPr>
          <w:sz w:val="16"/>
        </w:rPr>
        <w:t xml:space="preserve">Prednisona: iniciar com </w:t>
      </w:r>
      <w:proofErr w:type="gramStart"/>
      <w:r>
        <w:rPr>
          <w:sz w:val="16"/>
        </w:rPr>
        <w:t>1</w:t>
      </w:r>
      <w:proofErr w:type="gramEnd"/>
      <w:r>
        <w:rPr>
          <w:sz w:val="16"/>
        </w:rPr>
        <w:t xml:space="preserve"> mg/kg/</w:t>
      </w:r>
      <w:r>
        <w:rPr>
          <w:sz w:val="16"/>
        </w:rPr>
        <w:t xml:space="preserve">dia por VO (no máximo 80 mg/dia), mantendo-se essa dose por 6 a 8 semanas; se houver controle da doença, iniciar diminuição gradual da dose, reduzindo-se até 20% da dose vigente a cada 4 semanas até atingir 10 mg/dia. Manter </w:t>
      </w:r>
      <w:proofErr w:type="spellStart"/>
      <w:r>
        <w:rPr>
          <w:sz w:val="16"/>
        </w:rPr>
        <w:t>corticoterapia</w:t>
      </w:r>
      <w:proofErr w:type="spellEnd"/>
      <w:r>
        <w:rPr>
          <w:sz w:val="16"/>
        </w:rPr>
        <w:t xml:space="preserve"> conforme evoluçã</w:t>
      </w:r>
      <w:r>
        <w:rPr>
          <w:sz w:val="16"/>
        </w:rPr>
        <w:t xml:space="preserve">o clínica até completar 9 a 12 meses de tratamento. Nos casos refratários ou </w:t>
      </w:r>
      <w:proofErr w:type="spellStart"/>
      <w:r>
        <w:rPr>
          <w:sz w:val="16"/>
        </w:rPr>
        <w:t>recidivantes</w:t>
      </w:r>
      <w:proofErr w:type="spellEnd"/>
      <w:r>
        <w:rPr>
          <w:sz w:val="16"/>
        </w:rPr>
        <w:t>, seu uso poderá exceder 12 meses. Em caso de recidiva durante a redução de dose, retornar à mínima dose efetiva e adicionar AZA ou MTX (ou ajustar</w:t>
      </w:r>
      <w:proofErr w:type="gramStart"/>
      <w:r>
        <w:rPr>
          <w:sz w:val="16"/>
        </w:rPr>
        <w:t xml:space="preserve">  </w:t>
      </w:r>
      <w:proofErr w:type="gramEnd"/>
      <w:r>
        <w:rPr>
          <w:sz w:val="16"/>
        </w:rPr>
        <w:t>as doses desses me</w:t>
      </w:r>
      <w:r>
        <w:rPr>
          <w:sz w:val="16"/>
        </w:rPr>
        <w:t>dicamentos, se já em</w:t>
      </w:r>
      <w:r>
        <w:rPr>
          <w:spacing w:val="-10"/>
          <w:sz w:val="16"/>
        </w:rPr>
        <w:t xml:space="preserve"> </w:t>
      </w:r>
      <w:r>
        <w:rPr>
          <w:sz w:val="16"/>
        </w:rPr>
        <w:t>uso).</w:t>
      </w:r>
    </w:p>
    <w:p w:rsidR="003F1CD6" w:rsidRDefault="00694219">
      <w:pPr>
        <w:pStyle w:val="PargrafodaLista"/>
        <w:numPr>
          <w:ilvl w:val="0"/>
          <w:numId w:val="2"/>
        </w:numPr>
        <w:tabs>
          <w:tab w:val="left" w:pos="777"/>
        </w:tabs>
        <w:spacing w:before="1"/>
        <w:ind w:firstLine="567"/>
        <w:rPr>
          <w:sz w:val="16"/>
        </w:rPr>
      </w:pPr>
      <w:proofErr w:type="spellStart"/>
      <w:r>
        <w:rPr>
          <w:sz w:val="16"/>
        </w:rPr>
        <w:t>Metilprednisolona</w:t>
      </w:r>
      <w:proofErr w:type="spellEnd"/>
      <w:r>
        <w:rPr>
          <w:sz w:val="16"/>
        </w:rPr>
        <w:t xml:space="preserve"> (</w:t>
      </w:r>
      <w:proofErr w:type="spellStart"/>
      <w:r>
        <w:rPr>
          <w:sz w:val="16"/>
        </w:rPr>
        <w:t>pulsoterapia</w:t>
      </w:r>
      <w:proofErr w:type="spellEnd"/>
      <w:r>
        <w:rPr>
          <w:sz w:val="16"/>
        </w:rPr>
        <w:t xml:space="preserve">): administrar 1.000 </w:t>
      </w:r>
      <w:proofErr w:type="gramStart"/>
      <w:r>
        <w:rPr>
          <w:sz w:val="16"/>
        </w:rPr>
        <w:t>mg</w:t>
      </w:r>
      <w:proofErr w:type="gramEnd"/>
      <w:r>
        <w:rPr>
          <w:sz w:val="16"/>
        </w:rPr>
        <w:t xml:space="preserve"> por via </w:t>
      </w:r>
      <w:r>
        <w:rPr>
          <w:spacing w:val="-3"/>
          <w:sz w:val="16"/>
        </w:rPr>
        <w:t xml:space="preserve">IV </w:t>
      </w:r>
      <w:r>
        <w:rPr>
          <w:sz w:val="16"/>
        </w:rPr>
        <w:t xml:space="preserve">ao longo de 1 hora por 3 dias consecutivos;  repetir mensalmente conforme resposta terapêutica. Para pacientes pediátricos, a dose é de 30 </w:t>
      </w:r>
      <w:proofErr w:type="gramStart"/>
      <w:r>
        <w:rPr>
          <w:sz w:val="16"/>
        </w:rPr>
        <w:t>mg</w:t>
      </w:r>
      <w:proofErr w:type="gramEnd"/>
      <w:r>
        <w:rPr>
          <w:sz w:val="16"/>
        </w:rPr>
        <w:t>/kg, chegando ao máxim</w:t>
      </w:r>
      <w:r>
        <w:rPr>
          <w:sz w:val="16"/>
        </w:rPr>
        <w:t>o 1.000 mg ao dia, também por 3 dias</w:t>
      </w:r>
      <w:r>
        <w:rPr>
          <w:spacing w:val="-9"/>
          <w:sz w:val="16"/>
        </w:rPr>
        <w:t xml:space="preserve"> </w:t>
      </w:r>
      <w:r>
        <w:rPr>
          <w:sz w:val="16"/>
        </w:rPr>
        <w:t>consecutivos.</w:t>
      </w:r>
    </w:p>
    <w:p w:rsidR="003F1CD6" w:rsidRDefault="00694219">
      <w:pPr>
        <w:pStyle w:val="PargrafodaLista"/>
        <w:numPr>
          <w:ilvl w:val="0"/>
          <w:numId w:val="2"/>
        </w:numPr>
        <w:tabs>
          <w:tab w:val="left" w:pos="767"/>
        </w:tabs>
        <w:ind w:firstLine="567"/>
        <w:rPr>
          <w:sz w:val="16"/>
        </w:rPr>
      </w:pPr>
      <w:proofErr w:type="spellStart"/>
      <w:r>
        <w:rPr>
          <w:sz w:val="16"/>
        </w:rPr>
        <w:t>Azatioprina</w:t>
      </w:r>
      <w:proofErr w:type="spellEnd"/>
      <w:r>
        <w:rPr>
          <w:sz w:val="16"/>
        </w:rPr>
        <w:t xml:space="preserve">: iniciar com 50 </w:t>
      </w:r>
      <w:proofErr w:type="gramStart"/>
      <w:r>
        <w:rPr>
          <w:sz w:val="16"/>
        </w:rPr>
        <w:t>mg</w:t>
      </w:r>
      <w:proofErr w:type="gramEnd"/>
      <w:r>
        <w:rPr>
          <w:sz w:val="16"/>
        </w:rPr>
        <w:t xml:space="preserve">/dia, por VO, aumentando 50 mg quinzenalmente até a dose total de 2-3 mg/kg/dia. Para crianças, iniciar com dose 0,5 </w:t>
      </w:r>
      <w:proofErr w:type="gramStart"/>
      <w:r>
        <w:rPr>
          <w:sz w:val="16"/>
        </w:rPr>
        <w:t>mg</w:t>
      </w:r>
      <w:proofErr w:type="gramEnd"/>
      <w:r>
        <w:rPr>
          <w:sz w:val="16"/>
        </w:rPr>
        <w:t>/kg/dia com mesmo alvo adotado para os adultos.</w:t>
      </w:r>
    </w:p>
    <w:p w:rsidR="003F1CD6" w:rsidRDefault="00694219">
      <w:pPr>
        <w:pStyle w:val="PargrafodaLista"/>
        <w:numPr>
          <w:ilvl w:val="0"/>
          <w:numId w:val="2"/>
        </w:numPr>
        <w:tabs>
          <w:tab w:val="left" w:pos="873"/>
        </w:tabs>
        <w:ind w:firstLine="567"/>
        <w:rPr>
          <w:sz w:val="16"/>
        </w:rPr>
      </w:pPr>
      <w:proofErr w:type="spellStart"/>
      <w:r>
        <w:rPr>
          <w:sz w:val="16"/>
        </w:rPr>
        <w:t>Metotrex</w:t>
      </w:r>
      <w:r>
        <w:rPr>
          <w:sz w:val="16"/>
        </w:rPr>
        <w:t>ato</w:t>
      </w:r>
      <w:proofErr w:type="spellEnd"/>
      <w:r>
        <w:rPr>
          <w:sz w:val="16"/>
        </w:rPr>
        <w:t xml:space="preserve">: iniciar com 15 </w:t>
      </w:r>
      <w:proofErr w:type="gramStart"/>
      <w:r>
        <w:rPr>
          <w:sz w:val="16"/>
        </w:rPr>
        <w:t>mg</w:t>
      </w:r>
      <w:proofErr w:type="gramEnd"/>
      <w:r>
        <w:rPr>
          <w:sz w:val="16"/>
        </w:rPr>
        <w:t>/semana por VO, subcutânea,</w:t>
      </w:r>
      <w:r>
        <w:rPr>
          <w:spacing w:val="17"/>
          <w:sz w:val="16"/>
        </w:rPr>
        <w:t xml:space="preserve"> </w:t>
      </w:r>
      <w:r>
        <w:rPr>
          <w:sz w:val="16"/>
        </w:rPr>
        <w:t>intramuscular</w:t>
      </w:r>
      <w:r>
        <w:rPr>
          <w:spacing w:val="19"/>
          <w:sz w:val="16"/>
        </w:rPr>
        <w:t xml:space="preserve"> </w:t>
      </w:r>
      <w:r>
        <w:rPr>
          <w:sz w:val="16"/>
        </w:rPr>
        <w:t>ou</w:t>
      </w:r>
      <w:r>
        <w:rPr>
          <w:spacing w:val="19"/>
          <w:sz w:val="16"/>
        </w:rPr>
        <w:t xml:space="preserve"> </w:t>
      </w:r>
      <w:r>
        <w:rPr>
          <w:sz w:val="16"/>
        </w:rPr>
        <w:t>IV,</w:t>
      </w:r>
      <w:r>
        <w:rPr>
          <w:spacing w:val="20"/>
          <w:sz w:val="16"/>
        </w:rPr>
        <w:t xml:space="preserve"> </w:t>
      </w:r>
      <w:r>
        <w:rPr>
          <w:sz w:val="16"/>
        </w:rPr>
        <w:t>podendo</w:t>
      </w:r>
      <w:r>
        <w:rPr>
          <w:spacing w:val="21"/>
          <w:sz w:val="16"/>
        </w:rPr>
        <w:t xml:space="preserve"> </w:t>
      </w:r>
      <w:r>
        <w:rPr>
          <w:sz w:val="16"/>
        </w:rPr>
        <w:t>a</w:t>
      </w:r>
      <w:r>
        <w:rPr>
          <w:spacing w:val="18"/>
          <w:sz w:val="16"/>
        </w:rPr>
        <w:t xml:space="preserve"> </w:t>
      </w:r>
      <w:r>
        <w:rPr>
          <w:sz w:val="16"/>
        </w:rPr>
        <w:t>dose</w:t>
      </w:r>
      <w:r>
        <w:rPr>
          <w:spacing w:val="18"/>
          <w:sz w:val="16"/>
        </w:rPr>
        <w:t xml:space="preserve"> </w:t>
      </w:r>
      <w:r>
        <w:rPr>
          <w:sz w:val="16"/>
        </w:rPr>
        <w:t>ser</w:t>
      </w:r>
      <w:r>
        <w:rPr>
          <w:spacing w:val="19"/>
          <w:sz w:val="16"/>
        </w:rPr>
        <w:t xml:space="preserve"> </w:t>
      </w:r>
      <w:r>
        <w:rPr>
          <w:sz w:val="16"/>
        </w:rPr>
        <w:t>aumentada</w:t>
      </w:r>
      <w:r>
        <w:rPr>
          <w:spacing w:val="18"/>
          <w:sz w:val="16"/>
        </w:rPr>
        <w:t xml:space="preserve"> </w:t>
      </w:r>
      <w:r>
        <w:rPr>
          <w:sz w:val="16"/>
        </w:rPr>
        <w:t>até</w:t>
      </w:r>
    </w:p>
    <w:p w:rsidR="003F1CD6" w:rsidRDefault="00694219">
      <w:pPr>
        <w:pStyle w:val="Corpodetexto"/>
        <w:ind w:right="-15"/>
      </w:pPr>
      <w:r>
        <w:t xml:space="preserve">25 </w:t>
      </w:r>
      <w:proofErr w:type="gramStart"/>
      <w:r>
        <w:t>mg</w:t>
      </w:r>
      <w:proofErr w:type="gramEnd"/>
      <w:r>
        <w:t xml:space="preserve">/semana. Nos pacientes pediátricos, a dose é de 15 </w:t>
      </w:r>
      <w:proofErr w:type="gramStart"/>
      <w:r>
        <w:t>mg</w:t>
      </w:r>
      <w:proofErr w:type="gramEnd"/>
      <w:r>
        <w:t xml:space="preserve">/m²/semana. Necessário associar ácido fólico 5-10 </w:t>
      </w:r>
      <w:proofErr w:type="gramStart"/>
      <w:r>
        <w:t>mg</w:t>
      </w:r>
      <w:proofErr w:type="gramEnd"/>
      <w:r>
        <w:t xml:space="preserve">/semana 2 dias após o uso do </w:t>
      </w:r>
      <w:proofErr w:type="spellStart"/>
      <w:r>
        <w:t>metotrexato</w:t>
      </w:r>
      <w:proofErr w:type="spellEnd"/>
      <w:r>
        <w:t xml:space="preserve"> em adultos e 1 mg/dia em crianças.</w:t>
      </w:r>
    </w:p>
    <w:p w:rsidR="003F1CD6" w:rsidRDefault="00694219">
      <w:pPr>
        <w:pStyle w:val="PargrafodaLista"/>
        <w:numPr>
          <w:ilvl w:val="0"/>
          <w:numId w:val="1"/>
        </w:numPr>
        <w:tabs>
          <w:tab w:val="left" w:pos="779"/>
        </w:tabs>
        <w:ind w:firstLine="567"/>
        <w:rPr>
          <w:sz w:val="16"/>
        </w:rPr>
      </w:pPr>
      <w:r>
        <w:rPr>
          <w:sz w:val="16"/>
        </w:rPr>
        <w:t xml:space="preserve">Ciclosporina: iniciar com 3-5 </w:t>
      </w:r>
      <w:proofErr w:type="gramStart"/>
      <w:r>
        <w:rPr>
          <w:sz w:val="16"/>
        </w:rPr>
        <w:t>mg</w:t>
      </w:r>
      <w:proofErr w:type="gramEnd"/>
      <w:r>
        <w:rPr>
          <w:sz w:val="16"/>
        </w:rPr>
        <w:t>/kg/dia divididos em duas doses, tanto</w:t>
      </w:r>
      <w:r>
        <w:rPr>
          <w:sz w:val="16"/>
        </w:rPr>
        <w:t xml:space="preserve"> em crianças como adultos, podendo-se aumentar até a dose máxima de 6</w:t>
      </w:r>
      <w:r>
        <w:rPr>
          <w:spacing w:val="-8"/>
          <w:sz w:val="16"/>
        </w:rPr>
        <w:t xml:space="preserve"> </w:t>
      </w:r>
      <w:r>
        <w:rPr>
          <w:sz w:val="16"/>
        </w:rPr>
        <w:t>mg/kg/dia.</w:t>
      </w:r>
    </w:p>
    <w:p w:rsidR="003F1CD6" w:rsidRDefault="00694219">
      <w:pPr>
        <w:pStyle w:val="PargrafodaLista"/>
        <w:numPr>
          <w:ilvl w:val="1"/>
          <w:numId w:val="1"/>
        </w:numPr>
        <w:tabs>
          <w:tab w:val="left" w:pos="919"/>
        </w:tabs>
        <w:ind w:right="0" w:firstLine="708"/>
        <w:rPr>
          <w:sz w:val="16"/>
        </w:rPr>
      </w:pPr>
      <w:r>
        <w:rPr>
          <w:sz w:val="16"/>
        </w:rPr>
        <w:t xml:space="preserve">Ciclofosfamida: administrar 300 a 800 </w:t>
      </w:r>
      <w:proofErr w:type="gramStart"/>
      <w:r>
        <w:rPr>
          <w:sz w:val="16"/>
        </w:rPr>
        <w:t>mg</w:t>
      </w:r>
      <w:proofErr w:type="gramEnd"/>
      <w:r>
        <w:rPr>
          <w:sz w:val="16"/>
        </w:rPr>
        <w:t>/m</w:t>
      </w:r>
      <w:r>
        <w:rPr>
          <w:sz w:val="16"/>
          <w:vertAlign w:val="superscript"/>
        </w:rPr>
        <w:t>2</w:t>
      </w:r>
      <w:r>
        <w:rPr>
          <w:sz w:val="16"/>
        </w:rPr>
        <w:t xml:space="preserve"> por via </w:t>
      </w:r>
      <w:r>
        <w:rPr>
          <w:spacing w:val="-3"/>
          <w:sz w:val="16"/>
        </w:rPr>
        <w:t xml:space="preserve">IV </w:t>
      </w:r>
      <w:r>
        <w:rPr>
          <w:sz w:val="16"/>
        </w:rPr>
        <w:t>a cada 4</w:t>
      </w:r>
      <w:r>
        <w:rPr>
          <w:spacing w:val="-1"/>
          <w:sz w:val="16"/>
        </w:rPr>
        <w:t xml:space="preserve"> </w:t>
      </w:r>
      <w:r>
        <w:rPr>
          <w:sz w:val="16"/>
        </w:rPr>
        <w:t>semanas.</w:t>
      </w:r>
    </w:p>
    <w:p w:rsidR="003F1CD6" w:rsidRDefault="00694219">
      <w:pPr>
        <w:pStyle w:val="PargrafodaLista"/>
        <w:numPr>
          <w:ilvl w:val="1"/>
          <w:numId w:val="1"/>
        </w:numPr>
        <w:tabs>
          <w:tab w:val="left" w:pos="947"/>
        </w:tabs>
        <w:ind w:right="0" w:firstLine="708"/>
        <w:rPr>
          <w:sz w:val="16"/>
        </w:rPr>
      </w:pPr>
      <w:r>
        <w:rPr>
          <w:sz w:val="16"/>
        </w:rPr>
        <w:t xml:space="preserve">Imunoglobulina humana: 1 g/kg/dia por </w:t>
      </w:r>
      <w:proofErr w:type="gramStart"/>
      <w:r>
        <w:rPr>
          <w:sz w:val="16"/>
        </w:rPr>
        <w:t>2</w:t>
      </w:r>
      <w:proofErr w:type="gramEnd"/>
      <w:r>
        <w:rPr>
          <w:sz w:val="16"/>
        </w:rPr>
        <w:t xml:space="preserve"> dias ou 0,4 g/kg/dia por 5 dias, com dose máxima de 70 g, repetidas mensalmente por 3 a 6 meses em adultos. Para crianças, a dose de 1 g/kg/dia por </w:t>
      </w:r>
      <w:proofErr w:type="gramStart"/>
      <w:r>
        <w:rPr>
          <w:sz w:val="16"/>
        </w:rPr>
        <w:t>2</w:t>
      </w:r>
      <w:proofErr w:type="gramEnd"/>
      <w:r>
        <w:rPr>
          <w:sz w:val="16"/>
        </w:rPr>
        <w:t xml:space="preserve"> dias deve ser realizada a cada 2 semanas inicialmente até completa</w:t>
      </w:r>
      <w:r>
        <w:rPr>
          <w:sz w:val="16"/>
        </w:rPr>
        <w:t>r 5 doses e posteriormente mantida mensalmente por até 2</w:t>
      </w:r>
      <w:r>
        <w:rPr>
          <w:spacing w:val="-16"/>
          <w:sz w:val="16"/>
        </w:rPr>
        <w:t xml:space="preserve"> </w:t>
      </w:r>
      <w:r>
        <w:rPr>
          <w:sz w:val="16"/>
        </w:rPr>
        <w:t>anos.</w:t>
      </w:r>
    </w:p>
    <w:p w:rsidR="003F1CD6" w:rsidRDefault="00694219">
      <w:pPr>
        <w:pStyle w:val="PargrafodaLista"/>
        <w:numPr>
          <w:ilvl w:val="1"/>
          <w:numId w:val="1"/>
        </w:numPr>
        <w:tabs>
          <w:tab w:val="left" w:pos="909"/>
        </w:tabs>
        <w:spacing w:line="183" w:lineRule="exact"/>
        <w:ind w:left="908" w:right="0" w:hanging="94"/>
        <w:jc w:val="left"/>
        <w:rPr>
          <w:sz w:val="16"/>
        </w:rPr>
      </w:pPr>
      <w:proofErr w:type="spellStart"/>
      <w:r>
        <w:rPr>
          <w:sz w:val="16"/>
        </w:rPr>
        <w:t>Hidroxicloroquina</w:t>
      </w:r>
      <w:proofErr w:type="spellEnd"/>
      <w:r>
        <w:rPr>
          <w:sz w:val="16"/>
        </w:rPr>
        <w:t xml:space="preserve">: 400 </w:t>
      </w:r>
      <w:proofErr w:type="gramStart"/>
      <w:r>
        <w:rPr>
          <w:sz w:val="16"/>
        </w:rPr>
        <w:t>mg</w:t>
      </w:r>
      <w:proofErr w:type="gramEnd"/>
      <w:r>
        <w:rPr>
          <w:sz w:val="16"/>
        </w:rPr>
        <w:t>/dia, por</w:t>
      </w:r>
      <w:r>
        <w:rPr>
          <w:spacing w:val="-9"/>
          <w:sz w:val="16"/>
        </w:rPr>
        <w:t xml:space="preserve"> </w:t>
      </w:r>
      <w:r>
        <w:rPr>
          <w:sz w:val="16"/>
        </w:rPr>
        <w:t>VO.</w:t>
      </w:r>
    </w:p>
    <w:p w:rsidR="003F1CD6" w:rsidRDefault="003F1CD6">
      <w:pPr>
        <w:spacing w:line="183" w:lineRule="exact"/>
        <w:rPr>
          <w:sz w:val="16"/>
        </w:rPr>
        <w:sectPr w:rsidR="003F1CD6">
          <w:pgSz w:w="5110" w:h="16850"/>
          <w:pgMar w:top="480" w:right="0" w:bottom="280" w:left="460" w:header="720" w:footer="720" w:gutter="0"/>
          <w:cols w:space="720"/>
        </w:sectPr>
      </w:pPr>
    </w:p>
    <w:p w:rsidR="003F1CD6" w:rsidRDefault="00694219">
      <w:pPr>
        <w:pStyle w:val="PargrafodaLista"/>
        <w:numPr>
          <w:ilvl w:val="1"/>
          <w:numId w:val="6"/>
        </w:numPr>
        <w:tabs>
          <w:tab w:val="left" w:pos="1129"/>
        </w:tabs>
        <w:spacing w:before="65"/>
        <w:ind w:right="1" w:firstLine="708"/>
        <w:jc w:val="both"/>
        <w:rPr>
          <w:sz w:val="16"/>
        </w:rPr>
      </w:pPr>
      <w:r>
        <w:rPr>
          <w:sz w:val="16"/>
        </w:rPr>
        <w:lastRenderedPageBreak/>
        <w:t>TEMPO DE TRATAMENTO - CRITÉRIOS DE INTERRUPÇÃO</w:t>
      </w:r>
    </w:p>
    <w:p w:rsidR="003F1CD6" w:rsidRDefault="00694219">
      <w:pPr>
        <w:pStyle w:val="Corpodetexto"/>
        <w:ind w:right="-15" w:firstLine="708"/>
      </w:pPr>
      <w:r>
        <w:t xml:space="preserve">Inexiste um período estabelecido para a duração do tratamento. Após se controlar a doença de </w:t>
      </w:r>
      <w:r>
        <w:t xml:space="preserve">acordo com os objetivos pretendidos, as doses dos fármacos podem ser diminuídas gradualmente, sob monitorização sistemática da atividade de doença. Inicialmente, sugere-se diminuir a dose da prednisona ou </w:t>
      </w:r>
      <w:proofErr w:type="spellStart"/>
      <w:r>
        <w:t>metilprednisolona</w:t>
      </w:r>
      <w:proofErr w:type="spellEnd"/>
      <w:r>
        <w:t xml:space="preserve"> visando ao controle da doença, de</w:t>
      </w:r>
      <w:r>
        <w:t xml:space="preserve">vido aos efeitos adversos associados aos GC. Posteriormente, e com a manutenção dos parâmetros clínicos e laboratoriais, pode-se tentar a redução da dose do imunossupressor lentamente e em intervalos mensais ao longo de aproximadamente </w:t>
      </w:r>
      <w:proofErr w:type="gramStart"/>
      <w:r>
        <w:t>6</w:t>
      </w:r>
      <w:proofErr w:type="gramEnd"/>
      <w:r>
        <w:t xml:space="preserve"> meses (17,</w:t>
      </w:r>
      <w:r>
        <w:rPr>
          <w:spacing w:val="-4"/>
        </w:rPr>
        <w:t xml:space="preserve"> </w:t>
      </w:r>
      <w:r>
        <w:t>18).</w:t>
      </w:r>
    </w:p>
    <w:p w:rsidR="003F1CD6" w:rsidRDefault="003F1CD6">
      <w:pPr>
        <w:pStyle w:val="Corpodetexto"/>
        <w:spacing w:before="10"/>
        <w:ind w:left="0"/>
        <w:jc w:val="left"/>
        <w:rPr>
          <w:sz w:val="15"/>
        </w:rPr>
      </w:pPr>
    </w:p>
    <w:p w:rsidR="003F1CD6" w:rsidRDefault="00694219">
      <w:pPr>
        <w:pStyle w:val="PargrafodaLista"/>
        <w:numPr>
          <w:ilvl w:val="1"/>
          <w:numId w:val="6"/>
        </w:numPr>
        <w:tabs>
          <w:tab w:val="left" w:pos="1055"/>
        </w:tabs>
        <w:ind w:left="1054" w:right="0" w:hanging="240"/>
        <w:jc w:val="left"/>
        <w:rPr>
          <w:sz w:val="16"/>
        </w:rPr>
      </w:pPr>
      <w:r>
        <w:rPr>
          <w:sz w:val="16"/>
        </w:rPr>
        <w:t>B</w:t>
      </w:r>
      <w:r>
        <w:rPr>
          <w:sz w:val="16"/>
        </w:rPr>
        <w:t>ENEFÍCIOS</w:t>
      </w:r>
      <w:r>
        <w:rPr>
          <w:spacing w:val="-1"/>
          <w:sz w:val="16"/>
        </w:rPr>
        <w:t xml:space="preserve"> </w:t>
      </w:r>
      <w:r>
        <w:rPr>
          <w:sz w:val="16"/>
        </w:rPr>
        <w:t>ESPERADOS</w:t>
      </w:r>
    </w:p>
    <w:p w:rsidR="003F1CD6" w:rsidRDefault="00694219">
      <w:pPr>
        <w:pStyle w:val="PargrafodaLista"/>
        <w:numPr>
          <w:ilvl w:val="1"/>
          <w:numId w:val="1"/>
        </w:numPr>
        <w:tabs>
          <w:tab w:val="left" w:pos="909"/>
        </w:tabs>
        <w:spacing w:before="1"/>
        <w:ind w:left="908" w:right="0" w:hanging="94"/>
        <w:jc w:val="left"/>
        <w:rPr>
          <w:sz w:val="16"/>
        </w:rPr>
      </w:pPr>
      <w:r>
        <w:rPr>
          <w:sz w:val="16"/>
        </w:rPr>
        <w:t>Melhora da força</w:t>
      </w:r>
      <w:r>
        <w:rPr>
          <w:spacing w:val="-1"/>
          <w:sz w:val="16"/>
        </w:rPr>
        <w:t xml:space="preserve"> </w:t>
      </w:r>
      <w:r>
        <w:rPr>
          <w:sz w:val="16"/>
        </w:rPr>
        <w:t>muscular;</w:t>
      </w:r>
    </w:p>
    <w:p w:rsidR="003F1CD6" w:rsidRDefault="00694219">
      <w:pPr>
        <w:pStyle w:val="PargrafodaLista"/>
        <w:numPr>
          <w:ilvl w:val="1"/>
          <w:numId w:val="1"/>
        </w:numPr>
        <w:tabs>
          <w:tab w:val="left" w:pos="1036"/>
        </w:tabs>
        <w:spacing w:before="1"/>
        <w:ind w:right="2" w:firstLine="708"/>
        <w:jc w:val="left"/>
        <w:rPr>
          <w:sz w:val="16"/>
        </w:rPr>
      </w:pPr>
      <w:r>
        <w:rPr>
          <w:sz w:val="16"/>
        </w:rPr>
        <w:t xml:space="preserve">Prevenção de desenvolvimento de complicações </w:t>
      </w:r>
      <w:proofErr w:type="spellStart"/>
      <w:r>
        <w:rPr>
          <w:sz w:val="16"/>
        </w:rPr>
        <w:t>extramusculares</w:t>
      </w:r>
      <w:proofErr w:type="spellEnd"/>
      <w:r>
        <w:rPr>
          <w:sz w:val="16"/>
        </w:rPr>
        <w:t>;</w:t>
      </w:r>
    </w:p>
    <w:p w:rsidR="003F1CD6" w:rsidRDefault="00694219">
      <w:pPr>
        <w:pStyle w:val="PargrafodaLista"/>
        <w:numPr>
          <w:ilvl w:val="1"/>
          <w:numId w:val="1"/>
        </w:numPr>
        <w:tabs>
          <w:tab w:val="left" w:pos="909"/>
        </w:tabs>
        <w:spacing w:line="183" w:lineRule="exact"/>
        <w:ind w:left="908" w:right="0" w:hanging="94"/>
        <w:jc w:val="left"/>
        <w:rPr>
          <w:sz w:val="16"/>
        </w:rPr>
      </w:pPr>
      <w:r>
        <w:rPr>
          <w:sz w:val="16"/>
        </w:rPr>
        <w:t>Controle das manifestações cutâneas na</w:t>
      </w:r>
      <w:r>
        <w:rPr>
          <w:spacing w:val="-10"/>
          <w:sz w:val="16"/>
        </w:rPr>
        <w:t xml:space="preserve"> </w:t>
      </w:r>
      <w:r>
        <w:rPr>
          <w:sz w:val="16"/>
        </w:rPr>
        <w:t>DM.</w:t>
      </w:r>
    </w:p>
    <w:p w:rsidR="003F1CD6" w:rsidRDefault="003F1CD6">
      <w:pPr>
        <w:pStyle w:val="Corpodetexto"/>
        <w:spacing w:before="10"/>
        <w:ind w:left="0"/>
        <w:jc w:val="left"/>
        <w:rPr>
          <w:sz w:val="15"/>
        </w:rPr>
      </w:pPr>
    </w:p>
    <w:p w:rsidR="003F1CD6" w:rsidRDefault="00694219">
      <w:pPr>
        <w:pStyle w:val="PargrafodaLista"/>
        <w:numPr>
          <w:ilvl w:val="0"/>
          <w:numId w:val="6"/>
        </w:numPr>
        <w:tabs>
          <w:tab w:val="left" w:pos="268"/>
        </w:tabs>
        <w:spacing w:before="1"/>
        <w:ind w:left="267" w:right="0" w:hanging="161"/>
        <w:jc w:val="left"/>
        <w:rPr>
          <w:sz w:val="16"/>
        </w:rPr>
      </w:pPr>
      <w:r>
        <w:rPr>
          <w:sz w:val="16"/>
        </w:rPr>
        <w:t>MONITORIZAÇÃO</w:t>
      </w:r>
    </w:p>
    <w:p w:rsidR="003F1CD6" w:rsidRDefault="00694219">
      <w:pPr>
        <w:pStyle w:val="Corpodetexto"/>
        <w:spacing w:before="1"/>
        <w:ind w:right="-15" w:firstLine="708"/>
      </w:pPr>
      <w:r>
        <w:t xml:space="preserve">Sugere-se a monitorização periódica da força muscular nos quadríceps, deltoides e flexores do pescoço, bem como das enzimas musculares. As enzimas mais comumente utilizadas são as CPK, </w:t>
      </w:r>
      <w:proofErr w:type="spellStart"/>
      <w:r>
        <w:t>aldolase</w:t>
      </w:r>
      <w:proofErr w:type="spellEnd"/>
      <w:r>
        <w:t xml:space="preserve">, LDH, AST/TGO e a </w:t>
      </w:r>
      <w:proofErr w:type="spellStart"/>
      <w:r>
        <w:t>alanino-aminotransferase</w:t>
      </w:r>
      <w:proofErr w:type="spellEnd"/>
      <w:r>
        <w:t xml:space="preserve"> (ALT</w:t>
      </w:r>
      <w:proofErr w:type="gramStart"/>
      <w:r>
        <w:t>)</w:t>
      </w:r>
      <w:proofErr w:type="gramEnd"/>
      <w:r>
        <w:t xml:space="preserve">/transaminase </w:t>
      </w:r>
      <w:r>
        <w:t>glutâmico-pirúvica (TGP). A melhora clínica tem maior valor na avaliação da resposta terapêutica do que as enzimas musculares séricas. Ajustes nas doses do GC com o objetivo de normalizá-las podem determinar doses cumulativas desnecessariamente aumentadas</w:t>
      </w:r>
      <w:r>
        <w:rPr>
          <w:spacing w:val="-3"/>
        </w:rPr>
        <w:t xml:space="preserve"> </w:t>
      </w:r>
      <w:r>
        <w:t>(5).</w:t>
      </w:r>
    </w:p>
    <w:p w:rsidR="003F1CD6" w:rsidRDefault="00694219">
      <w:pPr>
        <w:pStyle w:val="Corpodetexto"/>
        <w:ind w:right="1" w:firstLine="708"/>
      </w:pPr>
      <w:r>
        <w:t>Além da triagem de doenças infecciosas previamente ao seu início, a toxicidade dos imunossupressores deve ser cuidadosamente</w:t>
      </w:r>
      <w:r>
        <w:rPr>
          <w:spacing w:val="-3"/>
        </w:rPr>
        <w:t xml:space="preserve"> </w:t>
      </w:r>
      <w:r>
        <w:t>monitorizada:</w:t>
      </w:r>
    </w:p>
    <w:p w:rsidR="003F1CD6" w:rsidRDefault="00694219">
      <w:pPr>
        <w:pStyle w:val="PargrafodaLista"/>
        <w:numPr>
          <w:ilvl w:val="0"/>
          <w:numId w:val="5"/>
        </w:numPr>
        <w:tabs>
          <w:tab w:val="left" w:pos="964"/>
        </w:tabs>
        <w:ind w:firstLine="708"/>
        <w:rPr>
          <w:sz w:val="16"/>
        </w:rPr>
      </w:pPr>
      <w:r>
        <w:rPr>
          <w:sz w:val="16"/>
        </w:rPr>
        <w:t xml:space="preserve">Prednisona e </w:t>
      </w:r>
      <w:proofErr w:type="spellStart"/>
      <w:r>
        <w:rPr>
          <w:sz w:val="16"/>
        </w:rPr>
        <w:t>metilprednisolona</w:t>
      </w:r>
      <w:proofErr w:type="spellEnd"/>
      <w:r>
        <w:rPr>
          <w:sz w:val="16"/>
        </w:rPr>
        <w:t xml:space="preserve">: solicitar glicemia de jejum, potássio, perfil </w:t>
      </w:r>
      <w:proofErr w:type="gramStart"/>
      <w:r>
        <w:rPr>
          <w:sz w:val="16"/>
        </w:rPr>
        <w:t>lipídico, densitometria óssea</w:t>
      </w:r>
      <w:proofErr w:type="gramEnd"/>
      <w:r>
        <w:rPr>
          <w:sz w:val="16"/>
        </w:rPr>
        <w:t xml:space="preserve"> e af</w:t>
      </w:r>
      <w:r>
        <w:rPr>
          <w:sz w:val="16"/>
        </w:rPr>
        <w:t xml:space="preserve">erição da pressão arterial no início do tratamento. Pacientes devem receber suplementação diária de cálcio (1.500 </w:t>
      </w:r>
      <w:proofErr w:type="gramStart"/>
      <w:r>
        <w:rPr>
          <w:sz w:val="16"/>
        </w:rPr>
        <w:t>mg</w:t>
      </w:r>
      <w:proofErr w:type="gramEnd"/>
      <w:r>
        <w:rPr>
          <w:sz w:val="16"/>
        </w:rPr>
        <w:t xml:space="preserve">/cálcio elementar), vitamina D3 (400-800 UI) ou </w:t>
      </w:r>
      <w:proofErr w:type="spellStart"/>
      <w:r>
        <w:rPr>
          <w:sz w:val="16"/>
        </w:rPr>
        <w:t>bifosfonato</w:t>
      </w:r>
      <w:proofErr w:type="spellEnd"/>
      <w:r>
        <w:rPr>
          <w:sz w:val="16"/>
        </w:rPr>
        <w:t xml:space="preserve"> de acordo com o Protocolo Clínico e Diretrizes Terapêuticas do Ministério da Saú</w:t>
      </w:r>
      <w:r>
        <w:rPr>
          <w:sz w:val="16"/>
        </w:rPr>
        <w:t>de para Osteoporose. Proceder anualmente à reavaliação do perfil lipídico e a densitometria óssea.</w:t>
      </w:r>
    </w:p>
    <w:p w:rsidR="003F1CD6" w:rsidRDefault="00694219">
      <w:pPr>
        <w:pStyle w:val="PargrafodaLista"/>
        <w:numPr>
          <w:ilvl w:val="0"/>
          <w:numId w:val="5"/>
        </w:numPr>
        <w:tabs>
          <w:tab w:val="left" w:pos="938"/>
        </w:tabs>
        <w:ind w:firstLine="708"/>
        <w:rPr>
          <w:sz w:val="16"/>
        </w:rPr>
      </w:pPr>
      <w:proofErr w:type="spellStart"/>
      <w:r>
        <w:rPr>
          <w:sz w:val="16"/>
        </w:rPr>
        <w:t>Azatioprina</w:t>
      </w:r>
      <w:proofErr w:type="spellEnd"/>
      <w:r>
        <w:rPr>
          <w:sz w:val="16"/>
        </w:rPr>
        <w:t>: solicitar hemograma e plaquetas, testes de função hepática (</w:t>
      </w:r>
      <w:proofErr w:type="spellStart"/>
      <w:r>
        <w:rPr>
          <w:sz w:val="16"/>
        </w:rPr>
        <w:t>fosfatase</w:t>
      </w:r>
      <w:proofErr w:type="spellEnd"/>
      <w:r>
        <w:rPr>
          <w:sz w:val="16"/>
        </w:rPr>
        <w:t xml:space="preserve"> alcalina, AST/TGO e ALT/TGP) quinzenalmente até o terceiro mês e, após, me</w:t>
      </w:r>
      <w:r>
        <w:rPr>
          <w:sz w:val="16"/>
        </w:rPr>
        <w:t xml:space="preserve">nsalmente. A AZA deve ser </w:t>
      </w:r>
      <w:proofErr w:type="gramStart"/>
      <w:r>
        <w:rPr>
          <w:sz w:val="16"/>
        </w:rPr>
        <w:t>suspensa</w:t>
      </w:r>
      <w:proofErr w:type="gramEnd"/>
      <w:r>
        <w:rPr>
          <w:sz w:val="16"/>
        </w:rPr>
        <w:t xml:space="preserve"> ou ter a dose reduzida em pacientes que desenvolvem leucopenia (contagem de leucócitos menor que 4.000/mm</w:t>
      </w:r>
      <w:r>
        <w:rPr>
          <w:sz w:val="16"/>
          <w:vertAlign w:val="superscript"/>
        </w:rPr>
        <w:t>3</w:t>
      </w:r>
      <w:r>
        <w:rPr>
          <w:sz w:val="16"/>
        </w:rPr>
        <w:t>), trombocitopenia (contagem de plaquetas menor que 150.000/mm</w:t>
      </w:r>
      <w:r>
        <w:rPr>
          <w:sz w:val="16"/>
          <w:vertAlign w:val="superscript"/>
        </w:rPr>
        <w:t>3</w:t>
      </w:r>
      <w:r>
        <w:rPr>
          <w:sz w:val="16"/>
        </w:rPr>
        <w:t xml:space="preserve">) ou elevação de </w:t>
      </w:r>
      <w:proofErr w:type="spellStart"/>
      <w:r>
        <w:rPr>
          <w:sz w:val="16"/>
        </w:rPr>
        <w:t>aminotransferases</w:t>
      </w:r>
      <w:proofErr w:type="spellEnd"/>
      <w:r>
        <w:rPr>
          <w:rFonts w:ascii="Verdana" w:hAnsi="Verdana"/>
          <w:sz w:val="16"/>
        </w:rPr>
        <w:t>/</w:t>
      </w:r>
      <w:r>
        <w:rPr>
          <w:sz w:val="16"/>
        </w:rPr>
        <w:t xml:space="preserve">transaminases e </w:t>
      </w:r>
      <w:proofErr w:type="spellStart"/>
      <w:r>
        <w:rPr>
          <w:sz w:val="16"/>
        </w:rPr>
        <w:t>f</w:t>
      </w:r>
      <w:r>
        <w:rPr>
          <w:sz w:val="16"/>
        </w:rPr>
        <w:t>osfatase</w:t>
      </w:r>
      <w:proofErr w:type="spellEnd"/>
      <w:r>
        <w:rPr>
          <w:sz w:val="16"/>
        </w:rPr>
        <w:t xml:space="preserve"> alcalina em qualquer</w:t>
      </w:r>
      <w:r>
        <w:rPr>
          <w:spacing w:val="-2"/>
          <w:sz w:val="16"/>
        </w:rPr>
        <w:t xml:space="preserve"> </w:t>
      </w:r>
      <w:r>
        <w:rPr>
          <w:sz w:val="16"/>
        </w:rPr>
        <w:t>nível.</w:t>
      </w:r>
    </w:p>
    <w:p w:rsidR="003F1CD6" w:rsidRDefault="00694219">
      <w:pPr>
        <w:pStyle w:val="PargrafodaLista"/>
        <w:numPr>
          <w:ilvl w:val="0"/>
          <w:numId w:val="5"/>
        </w:numPr>
        <w:tabs>
          <w:tab w:val="left" w:pos="959"/>
        </w:tabs>
        <w:ind w:firstLine="708"/>
        <w:rPr>
          <w:sz w:val="16"/>
        </w:rPr>
      </w:pPr>
      <w:proofErr w:type="spellStart"/>
      <w:r>
        <w:rPr>
          <w:sz w:val="16"/>
        </w:rPr>
        <w:t>Metotrexato</w:t>
      </w:r>
      <w:proofErr w:type="spellEnd"/>
      <w:r>
        <w:rPr>
          <w:sz w:val="16"/>
        </w:rPr>
        <w:t xml:space="preserve">: devem ser solicitadas provas de função hepática (AST/TGO e ALT/TGP), hemograma, contagem de plaquetas, ureia e creatinina séricas antes do início do tratamento, e mensalmente nos primeiros </w:t>
      </w:r>
      <w:proofErr w:type="gramStart"/>
      <w:r>
        <w:rPr>
          <w:sz w:val="16"/>
        </w:rPr>
        <w:t>6</w:t>
      </w:r>
      <w:proofErr w:type="gramEnd"/>
      <w:r>
        <w:rPr>
          <w:sz w:val="16"/>
        </w:rPr>
        <w:t xml:space="preserve"> meses e, após, a cada 2 a 3 meses durante seu uso ou</w:t>
      </w:r>
      <w:r>
        <w:rPr>
          <w:sz w:val="16"/>
        </w:rPr>
        <w:t xml:space="preserve"> conforme necessidade clínica. Se houver elevação de </w:t>
      </w:r>
      <w:proofErr w:type="spellStart"/>
      <w:r>
        <w:rPr>
          <w:sz w:val="16"/>
        </w:rPr>
        <w:t>aminotransferases</w:t>
      </w:r>
      <w:proofErr w:type="spellEnd"/>
      <w:r>
        <w:rPr>
          <w:rFonts w:ascii="Verdana" w:hAnsi="Verdana"/>
          <w:sz w:val="16"/>
        </w:rPr>
        <w:t>/</w:t>
      </w:r>
      <w:r>
        <w:rPr>
          <w:sz w:val="16"/>
        </w:rPr>
        <w:t xml:space="preserve">transaminases de duas vezes o valor do limite superior de referência, o medicamento deve ser suspenso por </w:t>
      </w:r>
      <w:proofErr w:type="gramStart"/>
      <w:r>
        <w:rPr>
          <w:sz w:val="16"/>
        </w:rPr>
        <w:t>2</w:t>
      </w:r>
      <w:proofErr w:type="gramEnd"/>
      <w:r>
        <w:rPr>
          <w:sz w:val="16"/>
        </w:rPr>
        <w:t xml:space="preserve"> semanas e então reavaliado o retorno ao seu uso, com nova aferição de enzimas</w:t>
      </w:r>
      <w:r>
        <w:rPr>
          <w:sz w:val="16"/>
        </w:rPr>
        <w:t xml:space="preserve"> hepáticas. Consumo de bebidas alcoólicas é desaconselhado ao longo do tratamento com MTX. Diminuição da contagem de leucócitos ou de plaquetas necessita redução da dose do MTX. Também </w:t>
      </w:r>
      <w:proofErr w:type="gramStart"/>
      <w:r>
        <w:rPr>
          <w:sz w:val="16"/>
        </w:rPr>
        <w:t>deve-se</w:t>
      </w:r>
      <w:proofErr w:type="gramEnd"/>
      <w:r>
        <w:rPr>
          <w:sz w:val="16"/>
        </w:rPr>
        <w:t xml:space="preserve"> diminuir a dose se houver o surgimento de úlceras bucais ou est</w:t>
      </w:r>
      <w:r>
        <w:rPr>
          <w:sz w:val="16"/>
        </w:rPr>
        <w:t xml:space="preserve">omatite. Em caso de insuficiência renal aguda (caracterizada como o aumento mínimo de 0,3 </w:t>
      </w:r>
      <w:proofErr w:type="gramStart"/>
      <w:r>
        <w:rPr>
          <w:sz w:val="16"/>
        </w:rPr>
        <w:t>mg</w:t>
      </w:r>
      <w:proofErr w:type="gramEnd"/>
      <w:r>
        <w:rPr>
          <w:sz w:val="16"/>
        </w:rPr>
        <w:t>/</w:t>
      </w:r>
      <w:proofErr w:type="spellStart"/>
      <w:r>
        <w:rPr>
          <w:sz w:val="16"/>
        </w:rPr>
        <w:t>dL</w:t>
      </w:r>
      <w:proofErr w:type="spellEnd"/>
      <w:r>
        <w:rPr>
          <w:sz w:val="16"/>
        </w:rPr>
        <w:t xml:space="preserve"> da creatinina sérica basal ou 150%-200% do seu valor basal associada ou não a uma diurese abaixo de 0,5 </w:t>
      </w:r>
      <w:proofErr w:type="spellStart"/>
      <w:r>
        <w:rPr>
          <w:sz w:val="16"/>
        </w:rPr>
        <w:t>mL</w:t>
      </w:r>
      <w:proofErr w:type="spellEnd"/>
      <w:r>
        <w:rPr>
          <w:sz w:val="16"/>
        </w:rPr>
        <w:t>/kg/h por 6 horas) suspender o medicamento (27). Devid</w:t>
      </w:r>
      <w:r>
        <w:rPr>
          <w:sz w:val="16"/>
        </w:rPr>
        <w:t xml:space="preserve">o ao potencial risco de </w:t>
      </w:r>
      <w:proofErr w:type="spellStart"/>
      <w:r>
        <w:rPr>
          <w:sz w:val="16"/>
        </w:rPr>
        <w:t>pneumonite</w:t>
      </w:r>
      <w:proofErr w:type="spellEnd"/>
      <w:r>
        <w:rPr>
          <w:sz w:val="16"/>
        </w:rPr>
        <w:t xml:space="preserve">, tosse e dispneia devem ser avaliadas com radiografia simples de tórax e testes de função pulmonar; portanto, o medicamento deve ser usado com cautela em pacientes </w:t>
      </w:r>
      <w:proofErr w:type="spellStart"/>
      <w:r>
        <w:rPr>
          <w:sz w:val="16"/>
        </w:rPr>
        <w:t>pneumopatas</w:t>
      </w:r>
      <w:proofErr w:type="spellEnd"/>
      <w:r>
        <w:rPr>
          <w:sz w:val="16"/>
        </w:rPr>
        <w:t>. Náusea e vômitos respondem à redução da dose</w:t>
      </w:r>
      <w:r>
        <w:rPr>
          <w:sz w:val="16"/>
        </w:rPr>
        <w:t xml:space="preserve"> do MTX ou incremento da dose semanal de ácido fólico,</w:t>
      </w:r>
      <w:proofErr w:type="gramStart"/>
      <w:r>
        <w:rPr>
          <w:sz w:val="16"/>
        </w:rPr>
        <w:t xml:space="preserve">  </w:t>
      </w:r>
      <w:proofErr w:type="gramEnd"/>
      <w:r>
        <w:rPr>
          <w:sz w:val="16"/>
        </w:rPr>
        <w:t xml:space="preserve">podendo ser utilizado </w:t>
      </w:r>
      <w:proofErr w:type="spellStart"/>
      <w:r>
        <w:rPr>
          <w:sz w:val="16"/>
        </w:rPr>
        <w:t>antiemético</w:t>
      </w:r>
      <w:proofErr w:type="spellEnd"/>
      <w:r>
        <w:rPr>
          <w:sz w:val="16"/>
        </w:rPr>
        <w:t xml:space="preserve"> ou ingestão com as refeições para tentar diminuir essas queixas. As causas mais comuns de toxicidade aguda do MTX são a insuficiência renal aguda e a administração co</w:t>
      </w:r>
      <w:r>
        <w:rPr>
          <w:sz w:val="16"/>
        </w:rPr>
        <w:t xml:space="preserve">ncomitante de </w:t>
      </w:r>
      <w:proofErr w:type="spellStart"/>
      <w:r>
        <w:rPr>
          <w:sz w:val="16"/>
        </w:rPr>
        <w:t>sulfametoxazol-trimetoprim</w:t>
      </w:r>
      <w:proofErr w:type="spellEnd"/>
      <w:r>
        <w:rPr>
          <w:sz w:val="16"/>
        </w:rPr>
        <w:t xml:space="preserve">. A associação de ácido fólico (5-10 </w:t>
      </w:r>
      <w:proofErr w:type="gramStart"/>
      <w:r>
        <w:rPr>
          <w:sz w:val="16"/>
        </w:rPr>
        <w:t>mg</w:t>
      </w:r>
      <w:proofErr w:type="gramEnd"/>
      <w:r>
        <w:rPr>
          <w:sz w:val="16"/>
        </w:rPr>
        <w:t>/semana) após 24-48 horas da última dose pode minimizar os efeitos adversos. É contraindicado o uso de MTX em pacientes com insuficiência renal, hepatopatia, supressão da medula</w:t>
      </w:r>
      <w:r>
        <w:rPr>
          <w:sz w:val="16"/>
        </w:rPr>
        <w:t xml:space="preserve"> óssea e em mulheres em idade fértil sem uso de</w:t>
      </w:r>
      <w:r>
        <w:rPr>
          <w:spacing w:val="-13"/>
          <w:sz w:val="16"/>
        </w:rPr>
        <w:t xml:space="preserve"> </w:t>
      </w:r>
      <w:r>
        <w:rPr>
          <w:sz w:val="16"/>
        </w:rPr>
        <w:t>contraceptivo.</w:t>
      </w:r>
    </w:p>
    <w:p w:rsidR="003F1CD6" w:rsidRDefault="00694219">
      <w:pPr>
        <w:pStyle w:val="PargrafodaLista"/>
        <w:numPr>
          <w:ilvl w:val="0"/>
          <w:numId w:val="5"/>
        </w:numPr>
        <w:tabs>
          <w:tab w:val="left" w:pos="1000"/>
        </w:tabs>
        <w:spacing w:before="1"/>
        <w:ind w:firstLine="708"/>
        <w:rPr>
          <w:sz w:val="16"/>
        </w:rPr>
      </w:pPr>
      <w:r>
        <w:rPr>
          <w:sz w:val="16"/>
        </w:rPr>
        <w:t>Ciclofosfamida: solicitar hemograma, contagem de plaquetas e exame comum de urina com microscopia 10-14 dias após cada infusão. Redução da dose da ciclofosfamida poderá</w:t>
      </w:r>
      <w:proofErr w:type="gramStart"/>
      <w:r>
        <w:rPr>
          <w:sz w:val="16"/>
        </w:rPr>
        <w:t xml:space="preserve">  </w:t>
      </w:r>
      <w:proofErr w:type="gramEnd"/>
      <w:r>
        <w:rPr>
          <w:sz w:val="16"/>
        </w:rPr>
        <w:t>ser necessária em caso de leucopenia inferior a 4.000/mm</w:t>
      </w:r>
      <w:r>
        <w:rPr>
          <w:sz w:val="16"/>
          <w:vertAlign w:val="superscript"/>
        </w:rPr>
        <w:t>3</w:t>
      </w:r>
      <w:r>
        <w:rPr>
          <w:sz w:val="16"/>
        </w:rPr>
        <w:t>. No</w:t>
      </w:r>
      <w:proofErr w:type="gramStart"/>
      <w:r>
        <w:rPr>
          <w:sz w:val="16"/>
        </w:rPr>
        <w:t xml:space="preserve">  </w:t>
      </w:r>
      <w:proofErr w:type="gramEnd"/>
      <w:r>
        <w:rPr>
          <w:sz w:val="16"/>
        </w:rPr>
        <w:t>surgimento de hematúria</w:t>
      </w:r>
      <w:r>
        <w:rPr>
          <w:sz w:val="16"/>
        </w:rPr>
        <w:t>, a hipótese de cistite hemorrágica deverá ser considerada, assim como sua investigação. Além da imunossupressão com consequente aumento de risco de infecções, aumento de risco de neoplasias, infertilidade, toxicidade hematológica e</w:t>
      </w:r>
      <w:r>
        <w:rPr>
          <w:spacing w:val="34"/>
          <w:sz w:val="16"/>
        </w:rPr>
        <w:t xml:space="preserve"> </w:t>
      </w:r>
      <w:proofErr w:type="gramStart"/>
      <w:r>
        <w:rPr>
          <w:sz w:val="16"/>
        </w:rPr>
        <w:t>cistite</w:t>
      </w:r>
      <w:proofErr w:type="gramEnd"/>
    </w:p>
    <w:p w:rsidR="003F1CD6" w:rsidRDefault="003F1CD6">
      <w:pPr>
        <w:jc w:val="both"/>
        <w:rPr>
          <w:sz w:val="16"/>
        </w:rPr>
        <w:sectPr w:rsidR="003F1CD6">
          <w:pgSz w:w="5110" w:h="16850"/>
          <w:pgMar w:top="680" w:right="0" w:bottom="280" w:left="460" w:header="720" w:footer="720" w:gutter="0"/>
          <w:cols w:space="720"/>
        </w:sectPr>
      </w:pPr>
    </w:p>
    <w:p w:rsidR="003F1CD6" w:rsidRDefault="00694219">
      <w:pPr>
        <w:pStyle w:val="Corpodetexto"/>
        <w:spacing w:before="80"/>
        <w:ind w:right="-15"/>
      </w:pPr>
      <w:proofErr w:type="gramStart"/>
      <w:r>
        <w:lastRenderedPageBreak/>
        <w:t>h</w:t>
      </w:r>
      <w:r>
        <w:t>emorrágica</w:t>
      </w:r>
      <w:proofErr w:type="gramEnd"/>
      <w:r>
        <w:t xml:space="preserve"> são outros eventos adversos potenciais. Para prevenir a cistite hemorrágica, recomenda-se hidratação vigorosa e se sugere a administração de MESNA </w:t>
      </w:r>
      <w:r>
        <w:rPr>
          <w:spacing w:val="-3"/>
        </w:rPr>
        <w:t xml:space="preserve">IV </w:t>
      </w:r>
      <w:r>
        <w:t>ou VO (</w:t>
      </w:r>
      <w:proofErr w:type="gramStart"/>
      <w:r>
        <w:t>1</w:t>
      </w:r>
      <w:proofErr w:type="gramEnd"/>
      <w:r>
        <w:t xml:space="preserve"> mg para cada mg de ciclofosfamida) dividida em três doses: 30 minutos antes da infusão</w:t>
      </w:r>
      <w:r>
        <w:t>, 30 minutos após a infusão e 4 horas após o término da</w:t>
      </w:r>
      <w:r>
        <w:rPr>
          <w:spacing w:val="-21"/>
        </w:rPr>
        <w:t xml:space="preserve"> </w:t>
      </w:r>
      <w:r>
        <w:t>infusão.</w:t>
      </w:r>
    </w:p>
    <w:p w:rsidR="003F1CD6" w:rsidRDefault="00694219">
      <w:pPr>
        <w:pStyle w:val="PargrafodaLista"/>
        <w:numPr>
          <w:ilvl w:val="0"/>
          <w:numId w:val="5"/>
        </w:numPr>
        <w:tabs>
          <w:tab w:val="left" w:pos="1070"/>
        </w:tabs>
        <w:spacing w:before="2"/>
        <w:ind w:firstLine="708"/>
        <w:rPr>
          <w:sz w:val="16"/>
        </w:rPr>
      </w:pPr>
      <w:r>
        <w:rPr>
          <w:sz w:val="16"/>
        </w:rPr>
        <w:t xml:space="preserve">Imunoglobulina humana: pacientes devem ser monitorados quanto a reações </w:t>
      </w:r>
      <w:proofErr w:type="spellStart"/>
      <w:r>
        <w:rPr>
          <w:sz w:val="16"/>
        </w:rPr>
        <w:t>infusionais</w:t>
      </w:r>
      <w:proofErr w:type="spellEnd"/>
      <w:r>
        <w:rPr>
          <w:sz w:val="16"/>
        </w:rPr>
        <w:t xml:space="preserve">. Entre outros eventos descritos, citam-se meningite asséptica, insuficiência renal, </w:t>
      </w:r>
      <w:proofErr w:type="spellStart"/>
      <w:r>
        <w:rPr>
          <w:sz w:val="16"/>
        </w:rPr>
        <w:t>hiperproteinemia</w:t>
      </w:r>
      <w:proofErr w:type="spellEnd"/>
      <w:r>
        <w:rPr>
          <w:sz w:val="16"/>
        </w:rPr>
        <w:t>, edema</w:t>
      </w:r>
      <w:r>
        <w:rPr>
          <w:sz w:val="16"/>
        </w:rPr>
        <w:t xml:space="preserve"> pulmonar e eventos</w:t>
      </w:r>
      <w:r>
        <w:rPr>
          <w:spacing w:val="-10"/>
          <w:sz w:val="16"/>
        </w:rPr>
        <w:t xml:space="preserve"> </w:t>
      </w:r>
      <w:r>
        <w:rPr>
          <w:sz w:val="16"/>
        </w:rPr>
        <w:t>trombóticos.</w:t>
      </w:r>
    </w:p>
    <w:p w:rsidR="003F1CD6" w:rsidRDefault="00694219">
      <w:pPr>
        <w:pStyle w:val="PargrafodaLista"/>
        <w:numPr>
          <w:ilvl w:val="0"/>
          <w:numId w:val="5"/>
        </w:numPr>
        <w:tabs>
          <w:tab w:val="left" w:pos="914"/>
        </w:tabs>
        <w:ind w:firstLine="708"/>
        <w:rPr>
          <w:sz w:val="16"/>
        </w:rPr>
      </w:pPr>
      <w:r>
        <w:rPr>
          <w:sz w:val="16"/>
        </w:rPr>
        <w:t xml:space="preserve">Ciclosporina: seu perfil de toxicidade perfil de toxicidade restringe sua utilização. Monitorizar as pressão arterial sistêmica e função renal (dosagem sérica de creatinina) antes do início do tratamento e repetir a cada </w:t>
      </w:r>
      <w:proofErr w:type="gramStart"/>
      <w:r>
        <w:rPr>
          <w:sz w:val="16"/>
        </w:rPr>
        <w:t>2</w:t>
      </w:r>
      <w:proofErr w:type="gramEnd"/>
      <w:r>
        <w:rPr>
          <w:sz w:val="16"/>
        </w:rPr>
        <w:t xml:space="preserve"> </w:t>
      </w:r>
      <w:r>
        <w:rPr>
          <w:sz w:val="16"/>
        </w:rPr>
        <w:t>semanas nos primeiros 3 meses de tratamento e, após, mensalmente se o paciente estiver clinicamente estável. Se houver o desenvolvimento de hipertensão arterial, deve ser realizada redução de 25% a 50% da dose de ciclosporina; persistindo a hipertensão apó</w:t>
      </w:r>
      <w:r>
        <w:rPr>
          <w:sz w:val="16"/>
        </w:rPr>
        <w:t xml:space="preserve">s essa redução, o tratamento deve ser suspenso. Também o perfil lipídico e eletrólitos séricos, em especial potássio (devido ao risco de </w:t>
      </w:r>
      <w:proofErr w:type="spellStart"/>
      <w:r>
        <w:rPr>
          <w:sz w:val="16"/>
        </w:rPr>
        <w:t>hipercalemia</w:t>
      </w:r>
      <w:proofErr w:type="spellEnd"/>
      <w:r>
        <w:rPr>
          <w:sz w:val="16"/>
        </w:rPr>
        <w:t xml:space="preserve">), devem ser avaliados periodicamente. Na ocorrência de </w:t>
      </w:r>
      <w:proofErr w:type="spellStart"/>
      <w:r>
        <w:rPr>
          <w:sz w:val="16"/>
        </w:rPr>
        <w:t>hipercalemia</w:t>
      </w:r>
      <w:proofErr w:type="spellEnd"/>
      <w:r>
        <w:rPr>
          <w:sz w:val="16"/>
        </w:rPr>
        <w:t>, considerar</w:t>
      </w:r>
      <w:proofErr w:type="gramStart"/>
      <w:r>
        <w:rPr>
          <w:sz w:val="16"/>
        </w:rPr>
        <w:t xml:space="preserve">  </w:t>
      </w:r>
      <w:proofErr w:type="gramEnd"/>
      <w:r>
        <w:rPr>
          <w:sz w:val="16"/>
        </w:rPr>
        <w:t>interrupção do medicament</w:t>
      </w:r>
      <w:r>
        <w:rPr>
          <w:sz w:val="16"/>
        </w:rPr>
        <w:t xml:space="preserve">o e uso de </w:t>
      </w:r>
      <w:proofErr w:type="spellStart"/>
      <w:r>
        <w:rPr>
          <w:sz w:val="16"/>
        </w:rPr>
        <w:t>antilipemiantes</w:t>
      </w:r>
      <w:proofErr w:type="spellEnd"/>
      <w:r>
        <w:rPr>
          <w:sz w:val="16"/>
        </w:rPr>
        <w:t xml:space="preserve"> para controle do perfil lipídico. A ciclosporina está contraindicada em pacientes com alteração da função renal, hipertensão arterial não controlada ou neoplasia</w:t>
      </w:r>
      <w:r>
        <w:rPr>
          <w:spacing w:val="-3"/>
          <w:sz w:val="16"/>
        </w:rPr>
        <w:t xml:space="preserve"> </w:t>
      </w:r>
      <w:r>
        <w:rPr>
          <w:sz w:val="16"/>
        </w:rPr>
        <w:t>maligna.</w:t>
      </w:r>
    </w:p>
    <w:p w:rsidR="003F1CD6" w:rsidRDefault="00694219">
      <w:pPr>
        <w:pStyle w:val="PargrafodaLista"/>
        <w:numPr>
          <w:ilvl w:val="0"/>
          <w:numId w:val="5"/>
        </w:numPr>
        <w:tabs>
          <w:tab w:val="left" w:pos="1079"/>
        </w:tabs>
        <w:ind w:firstLine="708"/>
        <w:rPr>
          <w:sz w:val="16"/>
        </w:rPr>
      </w:pPr>
      <w:proofErr w:type="spellStart"/>
      <w:r>
        <w:rPr>
          <w:sz w:val="16"/>
        </w:rPr>
        <w:t>Hidroxicloroquina</w:t>
      </w:r>
      <w:proofErr w:type="spellEnd"/>
      <w:r>
        <w:rPr>
          <w:sz w:val="16"/>
        </w:rPr>
        <w:t xml:space="preserve">: deve ser realizado exame oftalmológico </w:t>
      </w:r>
      <w:r>
        <w:rPr>
          <w:sz w:val="16"/>
        </w:rPr>
        <w:t xml:space="preserve">no início do tratamento e a cada 6-12 meses. Dosagem de enzimas musculares (CPK e </w:t>
      </w:r>
      <w:proofErr w:type="spellStart"/>
      <w:r>
        <w:rPr>
          <w:sz w:val="16"/>
        </w:rPr>
        <w:t>aldolase</w:t>
      </w:r>
      <w:proofErr w:type="spellEnd"/>
      <w:r>
        <w:rPr>
          <w:sz w:val="16"/>
        </w:rPr>
        <w:t xml:space="preserve">) está indicada nos casos com suspeita de </w:t>
      </w:r>
      <w:proofErr w:type="spellStart"/>
      <w:r>
        <w:rPr>
          <w:sz w:val="16"/>
        </w:rPr>
        <w:t>miopatia</w:t>
      </w:r>
      <w:proofErr w:type="spellEnd"/>
      <w:r>
        <w:rPr>
          <w:sz w:val="16"/>
        </w:rPr>
        <w:t xml:space="preserve">. Em caso de evidência de </w:t>
      </w:r>
      <w:proofErr w:type="spellStart"/>
      <w:r>
        <w:rPr>
          <w:sz w:val="16"/>
        </w:rPr>
        <w:t>maculopatia</w:t>
      </w:r>
      <w:proofErr w:type="spellEnd"/>
      <w:r>
        <w:rPr>
          <w:sz w:val="16"/>
        </w:rPr>
        <w:t xml:space="preserve"> na avaliação oftalmológica ou suspeita de </w:t>
      </w:r>
      <w:proofErr w:type="spellStart"/>
      <w:r>
        <w:rPr>
          <w:sz w:val="16"/>
        </w:rPr>
        <w:t>miopatia</w:t>
      </w:r>
      <w:proofErr w:type="spellEnd"/>
      <w:r>
        <w:rPr>
          <w:sz w:val="16"/>
        </w:rPr>
        <w:t>, o medicamento deverá ser</w:t>
      </w:r>
      <w:r>
        <w:rPr>
          <w:spacing w:val="-1"/>
          <w:sz w:val="16"/>
        </w:rPr>
        <w:t xml:space="preserve"> </w:t>
      </w:r>
      <w:r>
        <w:rPr>
          <w:sz w:val="16"/>
        </w:rPr>
        <w:t>s</w:t>
      </w:r>
      <w:r>
        <w:rPr>
          <w:sz w:val="16"/>
        </w:rPr>
        <w:t>uspenso.</w:t>
      </w:r>
    </w:p>
    <w:p w:rsidR="003F1CD6" w:rsidRDefault="003F1CD6">
      <w:pPr>
        <w:pStyle w:val="Corpodetexto"/>
        <w:ind w:left="0"/>
        <w:jc w:val="left"/>
      </w:pPr>
    </w:p>
    <w:p w:rsidR="003F1CD6" w:rsidRDefault="00694219">
      <w:pPr>
        <w:pStyle w:val="PargrafodaLista"/>
        <w:numPr>
          <w:ilvl w:val="0"/>
          <w:numId w:val="6"/>
        </w:numPr>
        <w:tabs>
          <w:tab w:val="left" w:pos="270"/>
        </w:tabs>
        <w:spacing w:line="183" w:lineRule="exact"/>
        <w:ind w:left="269" w:right="0" w:hanging="163"/>
        <w:jc w:val="left"/>
        <w:rPr>
          <w:sz w:val="16"/>
        </w:rPr>
      </w:pPr>
      <w:r>
        <w:rPr>
          <w:sz w:val="16"/>
        </w:rPr>
        <w:t>ACOMPANHAMENTO</w:t>
      </w:r>
      <w:r>
        <w:rPr>
          <w:spacing w:val="-2"/>
          <w:sz w:val="16"/>
        </w:rPr>
        <w:t xml:space="preserve"> </w:t>
      </w:r>
      <w:r>
        <w:rPr>
          <w:sz w:val="16"/>
        </w:rPr>
        <w:t>PÓS-TRATAMENTO</w:t>
      </w:r>
    </w:p>
    <w:p w:rsidR="003F1CD6" w:rsidRDefault="00694219">
      <w:pPr>
        <w:pStyle w:val="Corpodetexto"/>
        <w:ind w:right="-15" w:firstLine="708"/>
      </w:pPr>
      <w:r>
        <w:t>Inexiste uma duração de tratamento predeterminada. O seguimento dos pacientes, incluindo consultas e exames complementares, deverá ser programado conforme a evolução clínica</w:t>
      </w:r>
      <w:proofErr w:type="gramStart"/>
      <w:r>
        <w:t xml:space="preserve">  </w:t>
      </w:r>
      <w:proofErr w:type="gramEnd"/>
      <w:r>
        <w:t>e as alterações detectadas à monitorizaçã</w:t>
      </w:r>
      <w:r>
        <w:t>o da toxicidade do(s) medicamento(s) em</w:t>
      </w:r>
      <w:r>
        <w:rPr>
          <w:spacing w:val="-2"/>
        </w:rPr>
        <w:t xml:space="preserve"> </w:t>
      </w:r>
      <w:r>
        <w:t>uso.</w:t>
      </w:r>
    </w:p>
    <w:p w:rsidR="003F1CD6" w:rsidRDefault="003F1CD6">
      <w:pPr>
        <w:pStyle w:val="Corpodetexto"/>
        <w:ind w:left="0"/>
        <w:jc w:val="left"/>
      </w:pPr>
    </w:p>
    <w:p w:rsidR="003F1CD6" w:rsidRDefault="00694219">
      <w:pPr>
        <w:pStyle w:val="PargrafodaLista"/>
        <w:numPr>
          <w:ilvl w:val="0"/>
          <w:numId w:val="6"/>
        </w:numPr>
        <w:tabs>
          <w:tab w:val="left" w:pos="347"/>
        </w:tabs>
        <w:ind w:left="814" w:right="1" w:hanging="708"/>
        <w:jc w:val="left"/>
        <w:rPr>
          <w:sz w:val="16"/>
        </w:rPr>
      </w:pPr>
      <w:r>
        <w:rPr>
          <w:sz w:val="16"/>
        </w:rPr>
        <w:t>REGULAÇÃO/CONTROLE/AVALIAÇÃO PELO GESTOR Recomenda-se que os pacientes sejam atendidos</w:t>
      </w:r>
      <w:r>
        <w:rPr>
          <w:spacing w:val="31"/>
          <w:sz w:val="16"/>
        </w:rPr>
        <w:t xml:space="preserve"> </w:t>
      </w:r>
      <w:r>
        <w:rPr>
          <w:sz w:val="16"/>
        </w:rPr>
        <w:t>em</w:t>
      </w:r>
    </w:p>
    <w:p w:rsidR="003F1CD6" w:rsidRDefault="00694219">
      <w:pPr>
        <w:pStyle w:val="Corpodetexto"/>
        <w:spacing w:before="2"/>
        <w:ind w:right="-15"/>
      </w:pPr>
      <w:proofErr w:type="gramStart"/>
      <w:r>
        <w:t>serviços</w:t>
      </w:r>
      <w:proofErr w:type="gramEnd"/>
      <w:r>
        <w:t xml:space="preserve"> especializados em reumatologia ou de clínica médica. Devem ser observados os critérios de inclusão e exclusão de pacientes neste protocolo, a duração e a monitorização do tratamento, bem como a verificação periódica da(s) dose(s) do(s) medicamento</w:t>
      </w:r>
      <w:r>
        <w:t>(s) prescrito(s) e dispensado(s), a adequação de uso e o acompanhamento pós- tratamento.</w:t>
      </w:r>
    </w:p>
    <w:p w:rsidR="003F1CD6" w:rsidRDefault="00694219">
      <w:pPr>
        <w:pStyle w:val="Corpodetexto"/>
        <w:ind w:right="1" w:firstLine="708"/>
      </w:pPr>
      <w:r>
        <w:t xml:space="preserve">Verificar na Relação Nacional de Medicamentos </w:t>
      </w:r>
      <w:proofErr w:type="gramStart"/>
      <w:r>
        <w:t>Essenciais (RENAME) vigente</w:t>
      </w:r>
      <w:proofErr w:type="gramEnd"/>
      <w:r>
        <w:t xml:space="preserve"> em qual componente da Assistência Farmacêutica se encontram os medicamentos preconizados nest</w:t>
      </w:r>
      <w:r>
        <w:t>e Protocolo.</w:t>
      </w:r>
    </w:p>
    <w:p w:rsidR="003F1CD6" w:rsidRDefault="003F1CD6">
      <w:pPr>
        <w:pStyle w:val="Corpodetexto"/>
        <w:spacing w:before="9"/>
        <w:ind w:left="0"/>
        <w:jc w:val="left"/>
        <w:rPr>
          <w:sz w:val="15"/>
        </w:rPr>
      </w:pPr>
    </w:p>
    <w:p w:rsidR="003F1CD6" w:rsidRDefault="00694219">
      <w:pPr>
        <w:pStyle w:val="PargrafodaLista"/>
        <w:numPr>
          <w:ilvl w:val="0"/>
          <w:numId w:val="6"/>
        </w:numPr>
        <w:tabs>
          <w:tab w:val="left" w:pos="376"/>
        </w:tabs>
        <w:spacing w:before="1"/>
        <w:ind w:firstLine="0"/>
        <w:jc w:val="left"/>
        <w:rPr>
          <w:sz w:val="16"/>
        </w:rPr>
      </w:pPr>
      <w:r>
        <w:rPr>
          <w:sz w:val="16"/>
        </w:rPr>
        <w:t>TERMO DE ESCLARECIMENTO E RESPONSABILIDADE - TER</w:t>
      </w:r>
    </w:p>
    <w:p w:rsidR="003F1CD6" w:rsidRDefault="00694219">
      <w:pPr>
        <w:pStyle w:val="Corpodetexto"/>
        <w:spacing w:before="1"/>
        <w:ind w:right="-15" w:firstLine="708"/>
      </w:pPr>
      <w:r>
        <w:t>Deve-se cientificar o paciente, ou seu responsável legal, sobre os potenciais riscos, benefícios e efeitos adversos relacionados ao uso dos medicamentos preconizados neste Protocolo, levando-se</w:t>
      </w:r>
      <w:r>
        <w:t xml:space="preserve"> em consideração as informações contidas no</w:t>
      </w:r>
      <w:r>
        <w:rPr>
          <w:spacing w:val="-11"/>
        </w:rPr>
        <w:t xml:space="preserve"> </w:t>
      </w:r>
      <w:r>
        <w:t>TER.</w:t>
      </w:r>
    </w:p>
    <w:p w:rsidR="003F1CD6" w:rsidRDefault="003F1CD6">
      <w:pPr>
        <w:pStyle w:val="Corpodetexto"/>
        <w:ind w:left="0"/>
        <w:jc w:val="left"/>
      </w:pPr>
    </w:p>
    <w:p w:rsidR="003F1CD6" w:rsidRDefault="00694219">
      <w:pPr>
        <w:pStyle w:val="PargrafodaLista"/>
        <w:numPr>
          <w:ilvl w:val="0"/>
          <w:numId w:val="6"/>
        </w:numPr>
        <w:tabs>
          <w:tab w:val="left" w:pos="347"/>
        </w:tabs>
        <w:ind w:left="346" w:right="0" w:hanging="240"/>
        <w:jc w:val="both"/>
        <w:rPr>
          <w:sz w:val="16"/>
        </w:rPr>
      </w:pPr>
      <w:r>
        <w:rPr>
          <w:sz w:val="16"/>
        </w:rPr>
        <w:t>REFERÊNCIAS</w:t>
      </w:r>
      <w:r>
        <w:rPr>
          <w:spacing w:val="-1"/>
          <w:sz w:val="16"/>
        </w:rPr>
        <w:t xml:space="preserve"> </w:t>
      </w:r>
      <w:r>
        <w:rPr>
          <w:sz w:val="16"/>
        </w:rPr>
        <w:t>BIBLIOGRÁFICAS</w:t>
      </w:r>
    </w:p>
    <w:p w:rsidR="003F1CD6" w:rsidRDefault="00694219">
      <w:pPr>
        <w:pStyle w:val="PargrafodaLista"/>
        <w:numPr>
          <w:ilvl w:val="0"/>
          <w:numId w:val="4"/>
        </w:numPr>
        <w:tabs>
          <w:tab w:val="left" w:pos="467"/>
        </w:tabs>
        <w:spacing w:before="1"/>
        <w:ind w:right="0" w:firstLine="0"/>
        <w:jc w:val="both"/>
        <w:rPr>
          <w:sz w:val="16"/>
        </w:rPr>
      </w:pPr>
      <w:proofErr w:type="spellStart"/>
      <w:r w:rsidRPr="00694219">
        <w:rPr>
          <w:sz w:val="16"/>
          <w:lang w:val="en-US"/>
        </w:rPr>
        <w:t>Bohan</w:t>
      </w:r>
      <w:proofErr w:type="spellEnd"/>
      <w:r w:rsidRPr="00694219">
        <w:rPr>
          <w:sz w:val="16"/>
          <w:lang w:val="en-US"/>
        </w:rPr>
        <w:t xml:space="preserve"> A, Peter JB. </w:t>
      </w:r>
      <w:proofErr w:type="spellStart"/>
      <w:r w:rsidRPr="00694219">
        <w:rPr>
          <w:sz w:val="16"/>
          <w:lang w:val="en-US"/>
        </w:rPr>
        <w:t>Polymyositis</w:t>
      </w:r>
      <w:proofErr w:type="spellEnd"/>
      <w:r w:rsidRPr="00694219">
        <w:rPr>
          <w:sz w:val="16"/>
          <w:lang w:val="en-US"/>
        </w:rPr>
        <w:t xml:space="preserve"> and </w:t>
      </w:r>
      <w:proofErr w:type="spellStart"/>
      <w:r w:rsidRPr="00694219">
        <w:rPr>
          <w:sz w:val="16"/>
          <w:lang w:val="en-US"/>
        </w:rPr>
        <w:t>dermatomyositis</w:t>
      </w:r>
      <w:proofErr w:type="spellEnd"/>
      <w:r w:rsidRPr="00694219">
        <w:rPr>
          <w:sz w:val="16"/>
          <w:lang w:val="en-US"/>
        </w:rPr>
        <w:t xml:space="preserve"> (first of two parts). </w:t>
      </w:r>
      <w:r>
        <w:rPr>
          <w:sz w:val="16"/>
        </w:rPr>
        <w:t xml:space="preserve">N </w:t>
      </w:r>
      <w:proofErr w:type="spellStart"/>
      <w:r>
        <w:rPr>
          <w:sz w:val="16"/>
        </w:rPr>
        <w:t>Engl</w:t>
      </w:r>
      <w:proofErr w:type="spellEnd"/>
      <w:r>
        <w:rPr>
          <w:sz w:val="16"/>
        </w:rPr>
        <w:t xml:space="preserve"> J Med.</w:t>
      </w:r>
      <w:r>
        <w:rPr>
          <w:spacing w:val="-9"/>
          <w:sz w:val="16"/>
        </w:rPr>
        <w:t xml:space="preserve"> </w:t>
      </w:r>
      <w:proofErr w:type="gramStart"/>
      <w:r>
        <w:rPr>
          <w:sz w:val="16"/>
        </w:rPr>
        <w:t>1975;</w:t>
      </w:r>
      <w:proofErr w:type="gramEnd"/>
      <w:r>
        <w:rPr>
          <w:sz w:val="16"/>
        </w:rPr>
        <w:t>292(7):344-7.</w:t>
      </w:r>
    </w:p>
    <w:p w:rsidR="003F1CD6" w:rsidRPr="00694219" w:rsidRDefault="00694219">
      <w:pPr>
        <w:pStyle w:val="PargrafodaLista"/>
        <w:numPr>
          <w:ilvl w:val="0"/>
          <w:numId w:val="4"/>
        </w:numPr>
        <w:tabs>
          <w:tab w:val="left" w:pos="467"/>
        </w:tabs>
        <w:ind w:firstLine="0"/>
        <w:jc w:val="both"/>
        <w:rPr>
          <w:sz w:val="16"/>
          <w:lang w:val="en-US"/>
        </w:rPr>
      </w:pPr>
      <w:proofErr w:type="spellStart"/>
      <w:r w:rsidRPr="00694219">
        <w:rPr>
          <w:sz w:val="16"/>
          <w:lang w:val="en-US"/>
        </w:rPr>
        <w:t>Oddis</w:t>
      </w:r>
      <w:proofErr w:type="spellEnd"/>
      <w:r w:rsidRPr="00694219">
        <w:rPr>
          <w:sz w:val="16"/>
          <w:lang w:val="en-US"/>
        </w:rPr>
        <w:t xml:space="preserve"> CV, Rider </w:t>
      </w:r>
      <w:r w:rsidRPr="00694219">
        <w:rPr>
          <w:spacing w:val="-3"/>
          <w:sz w:val="16"/>
          <w:lang w:val="en-US"/>
        </w:rPr>
        <w:t xml:space="preserve">LG, </w:t>
      </w:r>
      <w:r w:rsidRPr="00694219">
        <w:rPr>
          <w:sz w:val="16"/>
          <w:lang w:val="en-US"/>
        </w:rPr>
        <w:t xml:space="preserve">Reed AM, </w:t>
      </w:r>
      <w:proofErr w:type="spellStart"/>
      <w:r w:rsidRPr="00694219">
        <w:rPr>
          <w:sz w:val="16"/>
          <w:lang w:val="en-US"/>
        </w:rPr>
        <w:t>Ruperto</w:t>
      </w:r>
      <w:proofErr w:type="spellEnd"/>
      <w:r w:rsidRPr="00694219">
        <w:rPr>
          <w:sz w:val="16"/>
          <w:lang w:val="en-US"/>
        </w:rPr>
        <w:t xml:space="preserve"> N, Brunner HI, </w:t>
      </w:r>
      <w:proofErr w:type="spellStart"/>
      <w:r w:rsidRPr="00694219">
        <w:rPr>
          <w:sz w:val="16"/>
          <w:lang w:val="en-US"/>
        </w:rPr>
        <w:t>Koneru</w:t>
      </w:r>
      <w:proofErr w:type="spellEnd"/>
      <w:r w:rsidRPr="00694219">
        <w:rPr>
          <w:sz w:val="16"/>
          <w:lang w:val="en-US"/>
        </w:rPr>
        <w:t xml:space="preserve"> B, et al. Int</w:t>
      </w:r>
      <w:r w:rsidRPr="00694219">
        <w:rPr>
          <w:sz w:val="16"/>
          <w:lang w:val="en-US"/>
        </w:rPr>
        <w:t>ernational consensus guidelines for trials of therapies in the idiopathic inflammatory myopathies. Arthritis Rheum. 2005</w:t>
      </w:r>
      <w:proofErr w:type="gramStart"/>
      <w:r w:rsidRPr="00694219">
        <w:rPr>
          <w:sz w:val="16"/>
          <w:lang w:val="en-US"/>
        </w:rPr>
        <w:t>;52</w:t>
      </w:r>
      <w:proofErr w:type="gramEnd"/>
      <w:r w:rsidRPr="00694219">
        <w:rPr>
          <w:sz w:val="16"/>
          <w:lang w:val="en-US"/>
        </w:rPr>
        <w:t>(9):2607-15.</w:t>
      </w:r>
    </w:p>
    <w:p w:rsidR="003F1CD6" w:rsidRDefault="00694219">
      <w:pPr>
        <w:pStyle w:val="PargrafodaLista"/>
        <w:numPr>
          <w:ilvl w:val="0"/>
          <w:numId w:val="4"/>
        </w:numPr>
        <w:tabs>
          <w:tab w:val="left" w:pos="467"/>
        </w:tabs>
        <w:ind w:right="1" w:firstLine="0"/>
        <w:jc w:val="both"/>
        <w:rPr>
          <w:sz w:val="16"/>
        </w:rPr>
      </w:pPr>
      <w:proofErr w:type="spellStart"/>
      <w:r>
        <w:rPr>
          <w:sz w:val="16"/>
        </w:rPr>
        <w:t>Brenol</w:t>
      </w:r>
      <w:proofErr w:type="spellEnd"/>
      <w:r>
        <w:rPr>
          <w:sz w:val="16"/>
        </w:rPr>
        <w:t xml:space="preserve"> CV, Xavier RM. Semiologia do sistema locomotor. In: Exame clínico - consulta rápida. Barros E, Albuquerque GC, Pinheiro CTS, </w:t>
      </w:r>
      <w:proofErr w:type="spellStart"/>
      <w:r>
        <w:rPr>
          <w:sz w:val="16"/>
        </w:rPr>
        <w:t>Czepielewski</w:t>
      </w:r>
      <w:proofErr w:type="spellEnd"/>
      <w:r>
        <w:rPr>
          <w:sz w:val="16"/>
        </w:rPr>
        <w:t xml:space="preserve"> MA, </w:t>
      </w:r>
      <w:proofErr w:type="spellStart"/>
      <w:r>
        <w:rPr>
          <w:sz w:val="16"/>
        </w:rPr>
        <w:t>editors</w:t>
      </w:r>
      <w:proofErr w:type="spellEnd"/>
      <w:r>
        <w:rPr>
          <w:sz w:val="16"/>
        </w:rPr>
        <w:t xml:space="preserve">. Porto Alegre: </w:t>
      </w:r>
      <w:proofErr w:type="spellStart"/>
      <w:proofErr w:type="gramStart"/>
      <w:r>
        <w:rPr>
          <w:sz w:val="16"/>
        </w:rPr>
        <w:t>ArtMed</w:t>
      </w:r>
      <w:proofErr w:type="spellEnd"/>
      <w:proofErr w:type="gramEnd"/>
      <w:r>
        <w:rPr>
          <w:sz w:val="16"/>
        </w:rPr>
        <w:t xml:space="preserve">; 2004. </w:t>
      </w:r>
      <w:proofErr w:type="gramStart"/>
      <w:r>
        <w:rPr>
          <w:sz w:val="16"/>
        </w:rPr>
        <w:t>p.</w:t>
      </w:r>
      <w:proofErr w:type="gramEnd"/>
      <w:r>
        <w:rPr>
          <w:spacing w:val="-27"/>
          <w:sz w:val="16"/>
        </w:rPr>
        <w:t xml:space="preserve"> </w:t>
      </w:r>
      <w:r>
        <w:rPr>
          <w:sz w:val="16"/>
        </w:rPr>
        <w:t>510.</w:t>
      </w:r>
    </w:p>
    <w:p w:rsidR="003F1CD6" w:rsidRDefault="00694219">
      <w:pPr>
        <w:pStyle w:val="PargrafodaLista"/>
        <w:numPr>
          <w:ilvl w:val="0"/>
          <w:numId w:val="4"/>
        </w:numPr>
        <w:tabs>
          <w:tab w:val="left" w:pos="467"/>
        </w:tabs>
        <w:ind w:right="4" w:firstLine="0"/>
        <w:jc w:val="both"/>
        <w:rPr>
          <w:sz w:val="16"/>
        </w:rPr>
      </w:pPr>
      <w:proofErr w:type="spellStart"/>
      <w:r w:rsidRPr="00694219">
        <w:rPr>
          <w:sz w:val="16"/>
          <w:lang w:val="en-US"/>
        </w:rPr>
        <w:t>Firestein</w:t>
      </w:r>
      <w:proofErr w:type="spellEnd"/>
      <w:r w:rsidRPr="00694219">
        <w:rPr>
          <w:sz w:val="16"/>
          <w:lang w:val="en-US"/>
        </w:rPr>
        <w:t xml:space="preserve"> GS, Kelley WN. Kelley'</w:t>
      </w:r>
      <w:r w:rsidRPr="00694219">
        <w:rPr>
          <w:sz w:val="16"/>
          <w:lang w:val="en-US"/>
        </w:rPr>
        <w:t xml:space="preserve">s textbook of rheumatology. </w:t>
      </w:r>
      <w:r>
        <w:rPr>
          <w:sz w:val="16"/>
        </w:rPr>
        <w:t xml:space="preserve">Philadelphia: </w:t>
      </w:r>
      <w:proofErr w:type="spellStart"/>
      <w:r>
        <w:rPr>
          <w:sz w:val="16"/>
        </w:rPr>
        <w:t>Saunders</w:t>
      </w:r>
      <w:proofErr w:type="spellEnd"/>
      <w:r>
        <w:rPr>
          <w:sz w:val="16"/>
        </w:rPr>
        <w:t>/</w:t>
      </w:r>
      <w:proofErr w:type="spellStart"/>
      <w:r>
        <w:rPr>
          <w:sz w:val="16"/>
        </w:rPr>
        <w:t>Elsevier</w:t>
      </w:r>
      <w:proofErr w:type="spellEnd"/>
      <w:r>
        <w:rPr>
          <w:sz w:val="16"/>
        </w:rPr>
        <w:t>;</w:t>
      </w:r>
      <w:r>
        <w:rPr>
          <w:spacing w:val="-1"/>
          <w:sz w:val="16"/>
        </w:rPr>
        <w:t xml:space="preserve"> </w:t>
      </w:r>
      <w:r>
        <w:rPr>
          <w:sz w:val="16"/>
        </w:rPr>
        <w:t>2009.</w:t>
      </w:r>
    </w:p>
    <w:p w:rsidR="003F1CD6" w:rsidRDefault="00694219">
      <w:pPr>
        <w:pStyle w:val="PargrafodaLista"/>
        <w:numPr>
          <w:ilvl w:val="0"/>
          <w:numId w:val="4"/>
        </w:numPr>
        <w:tabs>
          <w:tab w:val="left" w:pos="467"/>
        </w:tabs>
        <w:ind w:firstLine="0"/>
        <w:jc w:val="both"/>
        <w:rPr>
          <w:sz w:val="16"/>
        </w:rPr>
      </w:pPr>
      <w:r w:rsidRPr="00694219">
        <w:rPr>
          <w:sz w:val="16"/>
          <w:lang w:val="en-US"/>
        </w:rPr>
        <w:t xml:space="preserve">Miller ML, </w:t>
      </w:r>
      <w:proofErr w:type="spellStart"/>
      <w:r w:rsidRPr="00694219">
        <w:rPr>
          <w:sz w:val="16"/>
          <w:lang w:val="en-US"/>
        </w:rPr>
        <w:t>Rudnicki</w:t>
      </w:r>
      <w:proofErr w:type="spellEnd"/>
      <w:r w:rsidRPr="00694219">
        <w:rPr>
          <w:sz w:val="16"/>
          <w:lang w:val="en-US"/>
        </w:rPr>
        <w:t xml:space="preserve">. SA. Initial treatment of </w:t>
      </w:r>
      <w:proofErr w:type="spellStart"/>
      <w:r w:rsidRPr="00694219">
        <w:rPr>
          <w:sz w:val="16"/>
          <w:lang w:val="en-US"/>
        </w:rPr>
        <w:t>dermatomyositis</w:t>
      </w:r>
      <w:proofErr w:type="spellEnd"/>
      <w:r w:rsidRPr="00694219">
        <w:rPr>
          <w:sz w:val="16"/>
          <w:lang w:val="en-US"/>
        </w:rPr>
        <w:t xml:space="preserve"> and </w:t>
      </w:r>
      <w:proofErr w:type="spellStart"/>
      <w:r w:rsidRPr="00694219">
        <w:rPr>
          <w:sz w:val="16"/>
          <w:lang w:val="en-US"/>
        </w:rPr>
        <w:t>polymyositis</w:t>
      </w:r>
      <w:proofErr w:type="spellEnd"/>
      <w:r w:rsidRPr="00694219">
        <w:rPr>
          <w:sz w:val="16"/>
          <w:lang w:val="en-US"/>
        </w:rPr>
        <w:t xml:space="preserve"> in adults [Internet]. </w:t>
      </w:r>
      <w:proofErr w:type="spellStart"/>
      <w:proofErr w:type="gramStart"/>
      <w:r>
        <w:rPr>
          <w:sz w:val="16"/>
        </w:rPr>
        <w:t>UpToDate</w:t>
      </w:r>
      <w:proofErr w:type="spellEnd"/>
      <w:proofErr w:type="gramEnd"/>
      <w:r>
        <w:rPr>
          <w:sz w:val="16"/>
        </w:rPr>
        <w:t xml:space="preserve">; 2009 [acesso em 18 </w:t>
      </w:r>
      <w:proofErr w:type="spellStart"/>
      <w:r>
        <w:rPr>
          <w:sz w:val="16"/>
        </w:rPr>
        <w:t>mai</w:t>
      </w:r>
      <w:proofErr w:type="spellEnd"/>
      <w:r>
        <w:rPr>
          <w:sz w:val="16"/>
        </w:rPr>
        <w:t xml:space="preserve"> 2010]. Disponível em: </w:t>
      </w:r>
      <w:hyperlink r:id="rId7">
        <w:r>
          <w:rPr>
            <w:sz w:val="16"/>
            <w:u w:val="single"/>
          </w:rPr>
          <w:t>http://www.uptodate.com/contents/initial-</w:t>
        </w:r>
      </w:hyperlink>
      <w:r>
        <w:rPr>
          <w:sz w:val="16"/>
          <w:u w:val="single"/>
        </w:rPr>
        <w:t xml:space="preserve"> </w:t>
      </w:r>
      <w:proofErr w:type="spellStart"/>
      <w:r>
        <w:rPr>
          <w:sz w:val="16"/>
          <w:u w:val="single"/>
        </w:rPr>
        <w:t>treatment</w:t>
      </w:r>
      <w:proofErr w:type="spellEnd"/>
      <w:r>
        <w:rPr>
          <w:sz w:val="16"/>
          <w:u w:val="single"/>
        </w:rPr>
        <w:t>-</w:t>
      </w:r>
      <w:proofErr w:type="spellStart"/>
      <w:r>
        <w:rPr>
          <w:sz w:val="16"/>
          <w:u w:val="single"/>
        </w:rPr>
        <w:t>of</w:t>
      </w:r>
      <w:proofErr w:type="spellEnd"/>
      <w:r>
        <w:rPr>
          <w:sz w:val="16"/>
          <w:u w:val="single"/>
        </w:rPr>
        <w:t>-</w:t>
      </w:r>
      <w:proofErr w:type="spellStart"/>
      <w:r>
        <w:rPr>
          <w:sz w:val="16"/>
          <w:u w:val="single"/>
        </w:rPr>
        <w:t>dermatomyositis</w:t>
      </w:r>
      <w:proofErr w:type="spellEnd"/>
      <w:r>
        <w:rPr>
          <w:sz w:val="16"/>
          <w:u w:val="single"/>
        </w:rPr>
        <w:t>-</w:t>
      </w:r>
      <w:proofErr w:type="spellStart"/>
      <w:r>
        <w:rPr>
          <w:sz w:val="16"/>
          <w:u w:val="single"/>
        </w:rPr>
        <w:t>and</w:t>
      </w:r>
      <w:proofErr w:type="spellEnd"/>
      <w:r>
        <w:rPr>
          <w:sz w:val="16"/>
          <w:u w:val="single"/>
        </w:rPr>
        <w:t>-</w:t>
      </w:r>
      <w:proofErr w:type="spellStart"/>
      <w:r>
        <w:rPr>
          <w:sz w:val="16"/>
          <w:u w:val="single"/>
        </w:rPr>
        <w:t>polymyositis</w:t>
      </w:r>
      <w:proofErr w:type="spellEnd"/>
      <w:r>
        <w:rPr>
          <w:sz w:val="16"/>
          <w:u w:val="single"/>
        </w:rPr>
        <w:t>-</w:t>
      </w:r>
      <w:proofErr w:type="spellStart"/>
      <w:r>
        <w:rPr>
          <w:sz w:val="16"/>
          <w:u w:val="single"/>
        </w:rPr>
        <w:t>in-adults</w:t>
      </w:r>
      <w:proofErr w:type="spellEnd"/>
      <w:r>
        <w:rPr>
          <w:sz w:val="16"/>
        </w:rPr>
        <w:t>.</w:t>
      </w:r>
    </w:p>
    <w:p w:rsidR="003F1CD6" w:rsidRDefault="00694219">
      <w:pPr>
        <w:pStyle w:val="PargrafodaLista"/>
        <w:numPr>
          <w:ilvl w:val="0"/>
          <w:numId w:val="4"/>
        </w:numPr>
        <w:tabs>
          <w:tab w:val="left" w:pos="467"/>
        </w:tabs>
        <w:ind w:firstLine="0"/>
        <w:jc w:val="both"/>
        <w:rPr>
          <w:sz w:val="16"/>
        </w:rPr>
      </w:pPr>
      <w:proofErr w:type="spellStart"/>
      <w:r w:rsidRPr="00694219">
        <w:rPr>
          <w:sz w:val="16"/>
          <w:lang w:val="en-US"/>
        </w:rPr>
        <w:t>Danko</w:t>
      </w:r>
      <w:proofErr w:type="spellEnd"/>
      <w:r w:rsidRPr="00694219">
        <w:rPr>
          <w:sz w:val="16"/>
          <w:lang w:val="en-US"/>
        </w:rPr>
        <w:t xml:space="preserve"> K, </w:t>
      </w:r>
      <w:proofErr w:type="spellStart"/>
      <w:r w:rsidRPr="00694219">
        <w:rPr>
          <w:sz w:val="16"/>
          <w:lang w:val="en-US"/>
        </w:rPr>
        <w:t>Ponyi</w:t>
      </w:r>
      <w:proofErr w:type="spellEnd"/>
      <w:r w:rsidRPr="00694219">
        <w:rPr>
          <w:sz w:val="16"/>
          <w:lang w:val="en-US"/>
        </w:rPr>
        <w:t xml:space="preserve"> A, </w:t>
      </w:r>
      <w:proofErr w:type="spellStart"/>
      <w:r w:rsidRPr="00694219">
        <w:rPr>
          <w:sz w:val="16"/>
          <w:lang w:val="en-US"/>
        </w:rPr>
        <w:t>Constantin</w:t>
      </w:r>
      <w:proofErr w:type="spellEnd"/>
      <w:r w:rsidRPr="00694219">
        <w:rPr>
          <w:sz w:val="16"/>
          <w:lang w:val="en-US"/>
        </w:rPr>
        <w:t xml:space="preserve"> T, </w:t>
      </w:r>
      <w:proofErr w:type="spellStart"/>
      <w:r w:rsidRPr="00694219">
        <w:rPr>
          <w:sz w:val="16"/>
          <w:lang w:val="en-US"/>
        </w:rPr>
        <w:t>Borgulya</w:t>
      </w:r>
      <w:proofErr w:type="spellEnd"/>
      <w:r w:rsidRPr="00694219">
        <w:rPr>
          <w:sz w:val="16"/>
          <w:lang w:val="en-US"/>
        </w:rPr>
        <w:t xml:space="preserve"> G, </w:t>
      </w:r>
      <w:proofErr w:type="spellStart"/>
      <w:r w:rsidRPr="00694219">
        <w:rPr>
          <w:sz w:val="16"/>
          <w:lang w:val="en-US"/>
        </w:rPr>
        <w:t>Szegedi</w:t>
      </w:r>
      <w:proofErr w:type="spellEnd"/>
      <w:r w:rsidRPr="00694219">
        <w:rPr>
          <w:sz w:val="16"/>
          <w:lang w:val="en-US"/>
        </w:rPr>
        <w:t xml:space="preserve"> G. Long- term survival of patients with idiopathic inflammatory myopathies ac</w:t>
      </w:r>
      <w:r w:rsidRPr="00694219">
        <w:rPr>
          <w:sz w:val="16"/>
          <w:lang w:val="en-US"/>
        </w:rPr>
        <w:t xml:space="preserve">cording to clinical features: a longitudinal study of 162 cases. </w:t>
      </w:r>
      <w:r>
        <w:rPr>
          <w:sz w:val="16"/>
        </w:rPr>
        <w:t>Medicine (Baltimore).</w:t>
      </w:r>
      <w:r>
        <w:rPr>
          <w:spacing w:val="-2"/>
          <w:sz w:val="16"/>
        </w:rPr>
        <w:t xml:space="preserve"> </w:t>
      </w:r>
      <w:proofErr w:type="gramStart"/>
      <w:r>
        <w:rPr>
          <w:sz w:val="16"/>
        </w:rPr>
        <w:t>2004;</w:t>
      </w:r>
      <w:proofErr w:type="gramEnd"/>
      <w:r>
        <w:rPr>
          <w:sz w:val="16"/>
        </w:rPr>
        <w:t>83(1):35-42.</w:t>
      </w:r>
    </w:p>
    <w:p w:rsidR="003F1CD6" w:rsidRPr="00694219" w:rsidRDefault="00694219">
      <w:pPr>
        <w:pStyle w:val="PargrafodaLista"/>
        <w:numPr>
          <w:ilvl w:val="0"/>
          <w:numId w:val="4"/>
        </w:numPr>
        <w:tabs>
          <w:tab w:val="left" w:pos="467"/>
        </w:tabs>
        <w:ind w:right="0" w:firstLine="0"/>
        <w:jc w:val="both"/>
        <w:rPr>
          <w:sz w:val="16"/>
          <w:lang w:val="en-US"/>
        </w:rPr>
      </w:pPr>
      <w:r w:rsidRPr="00694219">
        <w:rPr>
          <w:sz w:val="16"/>
          <w:lang w:val="en-US"/>
        </w:rPr>
        <w:t xml:space="preserve">Marie </w:t>
      </w:r>
      <w:r w:rsidRPr="00694219">
        <w:rPr>
          <w:spacing w:val="-3"/>
          <w:sz w:val="16"/>
          <w:lang w:val="en-US"/>
        </w:rPr>
        <w:t xml:space="preserve">I, </w:t>
      </w:r>
      <w:proofErr w:type="spellStart"/>
      <w:r w:rsidRPr="00694219">
        <w:rPr>
          <w:sz w:val="16"/>
          <w:lang w:val="en-US"/>
        </w:rPr>
        <w:t>Hachulla</w:t>
      </w:r>
      <w:proofErr w:type="spellEnd"/>
      <w:r w:rsidRPr="00694219">
        <w:rPr>
          <w:sz w:val="16"/>
          <w:lang w:val="en-US"/>
        </w:rPr>
        <w:t xml:space="preserve"> E, </w:t>
      </w:r>
      <w:proofErr w:type="spellStart"/>
      <w:r w:rsidRPr="00694219">
        <w:rPr>
          <w:sz w:val="16"/>
          <w:lang w:val="en-US"/>
        </w:rPr>
        <w:t>Hatron</w:t>
      </w:r>
      <w:proofErr w:type="spellEnd"/>
      <w:r w:rsidRPr="00694219">
        <w:rPr>
          <w:sz w:val="16"/>
          <w:lang w:val="en-US"/>
        </w:rPr>
        <w:t xml:space="preserve"> PY, </w:t>
      </w:r>
      <w:proofErr w:type="spellStart"/>
      <w:r w:rsidRPr="00694219">
        <w:rPr>
          <w:sz w:val="16"/>
          <w:lang w:val="en-US"/>
        </w:rPr>
        <w:t>Hellot</w:t>
      </w:r>
      <w:proofErr w:type="spellEnd"/>
      <w:r w:rsidRPr="00694219">
        <w:rPr>
          <w:sz w:val="16"/>
          <w:lang w:val="en-US"/>
        </w:rPr>
        <w:t xml:space="preserve"> MF, Levesque H, </w:t>
      </w:r>
      <w:proofErr w:type="spellStart"/>
      <w:r w:rsidRPr="00694219">
        <w:rPr>
          <w:sz w:val="16"/>
          <w:lang w:val="en-US"/>
        </w:rPr>
        <w:t>Devulder</w:t>
      </w:r>
      <w:proofErr w:type="spellEnd"/>
      <w:r w:rsidRPr="00694219">
        <w:rPr>
          <w:sz w:val="16"/>
          <w:lang w:val="en-US"/>
        </w:rPr>
        <w:t xml:space="preserve"> B, et al. </w:t>
      </w:r>
      <w:proofErr w:type="spellStart"/>
      <w:r w:rsidRPr="00694219">
        <w:rPr>
          <w:sz w:val="16"/>
          <w:lang w:val="en-US"/>
        </w:rPr>
        <w:t>Polymyositis</w:t>
      </w:r>
      <w:proofErr w:type="spellEnd"/>
      <w:r w:rsidRPr="00694219">
        <w:rPr>
          <w:sz w:val="16"/>
          <w:lang w:val="en-US"/>
        </w:rPr>
        <w:t xml:space="preserve"> and </w:t>
      </w:r>
      <w:proofErr w:type="spellStart"/>
      <w:r w:rsidRPr="00694219">
        <w:rPr>
          <w:sz w:val="16"/>
          <w:lang w:val="en-US"/>
        </w:rPr>
        <w:t>dermatomyositis</w:t>
      </w:r>
      <w:proofErr w:type="spellEnd"/>
      <w:r w:rsidRPr="00694219">
        <w:rPr>
          <w:sz w:val="16"/>
          <w:lang w:val="en-US"/>
        </w:rPr>
        <w:t xml:space="preserve">: short term and </w:t>
      </w:r>
      <w:proofErr w:type="spellStart"/>
      <w:r w:rsidRPr="00694219">
        <w:rPr>
          <w:sz w:val="16"/>
          <w:lang w:val="en-US"/>
        </w:rPr>
        <w:t>longterm</w:t>
      </w:r>
      <w:proofErr w:type="spellEnd"/>
      <w:r w:rsidRPr="00694219">
        <w:rPr>
          <w:sz w:val="16"/>
          <w:lang w:val="en-US"/>
        </w:rPr>
        <w:t xml:space="preserve"> outcome, and predic</w:t>
      </w:r>
      <w:r w:rsidRPr="00694219">
        <w:rPr>
          <w:sz w:val="16"/>
          <w:lang w:val="en-US"/>
        </w:rPr>
        <w:t xml:space="preserve">tive factors of prognosis. J </w:t>
      </w:r>
      <w:proofErr w:type="spellStart"/>
      <w:r w:rsidRPr="00694219">
        <w:rPr>
          <w:sz w:val="16"/>
          <w:lang w:val="en-US"/>
        </w:rPr>
        <w:t>Rheumatol</w:t>
      </w:r>
      <w:proofErr w:type="spellEnd"/>
      <w:r w:rsidRPr="00694219">
        <w:rPr>
          <w:sz w:val="16"/>
          <w:lang w:val="en-US"/>
        </w:rPr>
        <w:t>. 2001</w:t>
      </w:r>
      <w:proofErr w:type="gramStart"/>
      <w:r w:rsidRPr="00694219">
        <w:rPr>
          <w:sz w:val="16"/>
          <w:lang w:val="en-US"/>
        </w:rPr>
        <w:t>;28</w:t>
      </w:r>
      <w:proofErr w:type="gramEnd"/>
      <w:r w:rsidRPr="00694219">
        <w:rPr>
          <w:sz w:val="16"/>
          <w:lang w:val="en-US"/>
        </w:rPr>
        <w:t>(10):2230-7.</w:t>
      </w:r>
    </w:p>
    <w:p w:rsidR="003F1CD6" w:rsidRDefault="00694219">
      <w:pPr>
        <w:pStyle w:val="PargrafodaLista"/>
        <w:numPr>
          <w:ilvl w:val="0"/>
          <w:numId w:val="4"/>
        </w:numPr>
        <w:tabs>
          <w:tab w:val="left" w:pos="467"/>
        </w:tabs>
        <w:ind w:right="0" w:firstLine="0"/>
        <w:jc w:val="both"/>
        <w:rPr>
          <w:sz w:val="16"/>
        </w:rPr>
      </w:pPr>
      <w:proofErr w:type="spellStart"/>
      <w:r w:rsidRPr="00694219">
        <w:rPr>
          <w:sz w:val="16"/>
          <w:lang w:val="en-US"/>
        </w:rPr>
        <w:t>Bohan</w:t>
      </w:r>
      <w:proofErr w:type="spellEnd"/>
      <w:r w:rsidRPr="00694219">
        <w:rPr>
          <w:sz w:val="16"/>
          <w:lang w:val="en-US"/>
        </w:rPr>
        <w:t xml:space="preserve"> A, Peter JB. </w:t>
      </w:r>
      <w:proofErr w:type="spellStart"/>
      <w:r w:rsidRPr="00694219">
        <w:rPr>
          <w:sz w:val="16"/>
          <w:lang w:val="en-US"/>
        </w:rPr>
        <w:t>Polymyositis</w:t>
      </w:r>
      <w:proofErr w:type="spellEnd"/>
      <w:r w:rsidRPr="00694219">
        <w:rPr>
          <w:sz w:val="16"/>
          <w:lang w:val="en-US"/>
        </w:rPr>
        <w:t xml:space="preserve"> and </w:t>
      </w:r>
      <w:proofErr w:type="spellStart"/>
      <w:r w:rsidRPr="00694219">
        <w:rPr>
          <w:sz w:val="16"/>
          <w:lang w:val="en-US"/>
        </w:rPr>
        <w:t>dermatomyositis</w:t>
      </w:r>
      <w:proofErr w:type="spellEnd"/>
      <w:r w:rsidRPr="00694219">
        <w:rPr>
          <w:sz w:val="16"/>
          <w:lang w:val="en-US"/>
        </w:rPr>
        <w:t xml:space="preserve"> (second of two parts). </w:t>
      </w:r>
      <w:r>
        <w:rPr>
          <w:sz w:val="16"/>
        </w:rPr>
        <w:t xml:space="preserve">N </w:t>
      </w:r>
      <w:proofErr w:type="spellStart"/>
      <w:r>
        <w:rPr>
          <w:sz w:val="16"/>
        </w:rPr>
        <w:t>Engl</w:t>
      </w:r>
      <w:proofErr w:type="spellEnd"/>
      <w:r>
        <w:rPr>
          <w:sz w:val="16"/>
        </w:rPr>
        <w:t xml:space="preserve"> J Med.</w:t>
      </w:r>
      <w:r>
        <w:rPr>
          <w:spacing w:val="-9"/>
          <w:sz w:val="16"/>
        </w:rPr>
        <w:t xml:space="preserve"> </w:t>
      </w:r>
      <w:proofErr w:type="gramStart"/>
      <w:r>
        <w:rPr>
          <w:sz w:val="16"/>
        </w:rPr>
        <w:t>1975;</w:t>
      </w:r>
      <w:proofErr w:type="gramEnd"/>
      <w:r>
        <w:rPr>
          <w:sz w:val="16"/>
        </w:rPr>
        <w:t>292(8):403-7.</w:t>
      </w:r>
    </w:p>
    <w:p w:rsidR="003F1CD6" w:rsidRPr="00694219" w:rsidRDefault="00694219">
      <w:pPr>
        <w:pStyle w:val="PargrafodaLista"/>
        <w:numPr>
          <w:ilvl w:val="0"/>
          <w:numId w:val="4"/>
        </w:numPr>
        <w:tabs>
          <w:tab w:val="left" w:pos="467"/>
        </w:tabs>
        <w:ind w:right="0" w:firstLine="0"/>
        <w:jc w:val="both"/>
        <w:rPr>
          <w:sz w:val="16"/>
          <w:lang w:val="en-US"/>
        </w:rPr>
      </w:pPr>
      <w:proofErr w:type="spellStart"/>
      <w:r w:rsidRPr="00694219">
        <w:rPr>
          <w:sz w:val="16"/>
          <w:lang w:val="en-US"/>
        </w:rPr>
        <w:t>Reichlin</w:t>
      </w:r>
      <w:proofErr w:type="spellEnd"/>
      <w:r w:rsidRPr="00694219">
        <w:rPr>
          <w:sz w:val="16"/>
          <w:lang w:val="en-US"/>
        </w:rPr>
        <w:t xml:space="preserve"> M, Arnett FC Jr. Multiplicity of antibodies in myositis sera. Arthritis Rheum.</w:t>
      </w:r>
      <w:r w:rsidRPr="00694219">
        <w:rPr>
          <w:spacing w:val="-5"/>
          <w:sz w:val="16"/>
          <w:lang w:val="en-US"/>
        </w:rPr>
        <w:t xml:space="preserve"> </w:t>
      </w:r>
      <w:r w:rsidRPr="00694219">
        <w:rPr>
          <w:sz w:val="16"/>
          <w:lang w:val="en-US"/>
        </w:rPr>
        <w:t>1984</w:t>
      </w:r>
      <w:proofErr w:type="gramStart"/>
      <w:r w:rsidRPr="00694219">
        <w:rPr>
          <w:sz w:val="16"/>
          <w:lang w:val="en-US"/>
        </w:rPr>
        <w:t>;27</w:t>
      </w:r>
      <w:proofErr w:type="gramEnd"/>
      <w:r w:rsidRPr="00694219">
        <w:rPr>
          <w:sz w:val="16"/>
          <w:lang w:val="en-US"/>
        </w:rPr>
        <w:t>(10):1150-6.</w:t>
      </w:r>
    </w:p>
    <w:p w:rsidR="003F1CD6" w:rsidRDefault="00694219">
      <w:pPr>
        <w:pStyle w:val="PargrafodaLista"/>
        <w:numPr>
          <w:ilvl w:val="0"/>
          <w:numId w:val="4"/>
        </w:numPr>
        <w:tabs>
          <w:tab w:val="left" w:pos="467"/>
        </w:tabs>
        <w:spacing w:line="183" w:lineRule="exact"/>
        <w:ind w:right="0" w:firstLine="0"/>
        <w:jc w:val="both"/>
        <w:rPr>
          <w:sz w:val="16"/>
        </w:rPr>
      </w:pPr>
      <w:proofErr w:type="spellStart"/>
      <w:r>
        <w:rPr>
          <w:sz w:val="16"/>
        </w:rPr>
        <w:t>Gunawardena</w:t>
      </w:r>
      <w:proofErr w:type="spellEnd"/>
      <w:r>
        <w:rPr>
          <w:sz w:val="16"/>
        </w:rPr>
        <w:t xml:space="preserve"> H, Z.E B, </w:t>
      </w:r>
      <w:proofErr w:type="spellStart"/>
      <w:r>
        <w:rPr>
          <w:sz w:val="16"/>
        </w:rPr>
        <w:t>McHugh</w:t>
      </w:r>
      <w:proofErr w:type="spellEnd"/>
      <w:r>
        <w:rPr>
          <w:sz w:val="16"/>
        </w:rPr>
        <w:t xml:space="preserve"> NJ.</w:t>
      </w:r>
      <w:r>
        <w:rPr>
          <w:spacing w:val="31"/>
          <w:sz w:val="16"/>
        </w:rPr>
        <w:t xml:space="preserve"> </w:t>
      </w:r>
      <w:proofErr w:type="spellStart"/>
      <w:r>
        <w:rPr>
          <w:sz w:val="16"/>
        </w:rPr>
        <w:t>Myositis-specific</w:t>
      </w:r>
      <w:proofErr w:type="spellEnd"/>
    </w:p>
    <w:p w:rsidR="003F1CD6" w:rsidRDefault="003F1CD6">
      <w:pPr>
        <w:spacing w:line="183" w:lineRule="exact"/>
        <w:jc w:val="both"/>
        <w:rPr>
          <w:sz w:val="16"/>
        </w:rPr>
        <w:sectPr w:rsidR="003F1CD6">
          <w:pgSz w:w="5110" w:h="16850"/>
          <w:pgMar w:top="480" w:right="0" w:bottom="280" w:left="460" w:header="720" w:footer="720" w:gutter="0"/>
          <w:cols w:space="720"/>
        </w:sectPr>
      </w:pPr>
    </w:p>
    <w:p w:rsidR="003F1CD6" w:rsidRDefault="00694219">
      <w:pPr>
        <w:pStyle w:val="Corpodetexto"/>
        <w:spacing w:before="80"/>
        <w:ind w:right="-15"/>
      </w:pPr>
      <w:proofErr w:type="gramStart"/>
      <w:r w:rsidRPr="00694219">
        <w:rPr>
          <w:lang w:val="en-US"/>
        </w:rPr>
        <w:lastRenderedPageBreak/>
        <w:t>autoantibodies</w:t>
      </w:r>
      <w:proofErr w:type="gramEnd"/>
      <w:r w:rsidRPr="00694219">
        <w:rPr>
          <w:lang w:val="en-US"/>
        </w:rPr>
        <w:t xml:space="preserve">: their clinical and pathogenic significance in disease expression. </w:t>
      </w:r>
      <w:proofErr w:type="spellStart"/>
      <w:r>
        <w:t>Rheumatology</w:t>
      </w:r>
      <w:proofErr w:type="spellEnd"/>
      <w:r>
        <w:t xml:space="preserve"> (Oxford). </w:t>
      </w:r>
      <w:proofErr w:type="gramStart"/>
      <w:r>
        <w:t>2009;</w:t>
      </w:r>
      <w:proofErr w:type="gramEnd"/>
      <w:r>
        <w:t>48(6):607-12.</w:t>
      </w:r>
    </w:p>
    <w:p w:rsidR="003F1CD6" w:rsidRDefault="00694219">
      <w:pPr>
        <w:pStyle w:val="PargrafodaLista"/>
        <w:numPr>
          <w:ilvl w:val="0"/>
          <w:numId w:val="4"/>
        </w:numPr>
        <w:tabs>
          <w:tab w:val="left" w:pos="467"/>
        </w:tabs>
        <w:spacing w:before="2"/>
        <w:ind w:firstLine="0"/>
        <w:jc w:val="both"/>
        <w:rPr>
          <w:sz w:val="16"/>
        </w:rPr>
      </w:pPr>
      <w:proofErr w:type="spellStart"/>
      <w:r w:rsidRPr="00694219">
        <w:rPr>
          <w:sz w:val="16"/>
          <w:lang w:val="en-US"/>
        </w:rPr>
        <w:t>Buchbinder</w:t>
      </w:r>
      <w:proofErr w:type="spellEnd"/>
      <w:r w:rsidRPr="00694219">
        <w:rPr>
          <w:sz w:val="16"/>
          <w:lang w:val="en-US"/>
        </w:rPr>
        <w:t xml:space="preserve"> R, Forbes A, Hall S, Dennett X, Gile</w:t>
      </w:r>
      <w:r w:rsidRPr="00694219">
        <w:rPr>
          <w:sz w:val="16"/>
          <w:lang w:val="en-US"/>
        </w:rPr>
        <w:t xml:space="preserve">s G. Incidence of malignant disease in biopsy-proven inflammatory myopathy. </w:t>
      </w:r>
      <w:r>
        <w:rPr>
          <w:sz w:val="16"/>
        </w:rPr>
        <w:t xml:space="preserve">A </w:t>
      </w:r>
      <w:proofErr w:type="spellStart"/>
      <w:r>
        <w:rPr>
          <w:sz w:val="16"/>
        </w:rPr>
        <w:t>population-based</w:t>
      </w:r>
      <w:proofErr w:type="spellEnd"/>
      <w:r>
        <w:rPr>
          <w:sz w:val="16"/>
        </w:rPr>
        <w:t xml:space="preserve"> </w:t>
      </w:r>
      <w:proofErr w:type="spellStart"/>
      <w:r>
        <w:rPr>
          <w:sz w:val="16"/>
        </w:rPr>
        <w:t>cohort</w:t>
      </w:r>
      <w:proofErr w:type="spellEnd"/>
      <w:r>
        <w:rPr>
          <w:sz w:val="16"/>
        </w:rPr>
        <w:t xml:space="preserve"> </w:t>
      </w:r>
      <w:proofErr w:type="spellStart"/>
      <w:r>
        <w:rPr>
          <w:sz w:val="16"/>
        </w:rPr>
        <w:t>study</w:t>
      </w:r>
      <w:proofErr w:type="spellEnd"/>
      <w:r>
        <w:rPr>
          <w:sz w:val="16"/>
        </w:rPr>
        <w:t xml:space="preserve">. Ann </w:t>
      </w:r>
      <w:proofErr w:type="spellStart"/>
      <w:r>
        <w:rPr>
          <w:sz w:val="16"/>
        </w:rPr>
        <w:t>Intern</w:t>
      </w:r>
      <w:proofErr w:type="spellEnd"/>
      <w:r>
        <w:rPr>
          <w:sz w:val="16"/>
        </w:rPr>
        <w:t xml:space="preserve"> Med. </w:t>
      </w:r>
      <w:proofErr w:type="gramStart"/>
      <w:r>
        <w:rPr>
          <w:sz w:val="16"/>
        </w:rPr>
        <w:t>2001;</w:t>
      </w:r>
      <w:proofErr w:type="gramEnd"/>
      <w:r>
        <w:rPr>
          <w:sz w:val="16"/>
        </w:rPr>
        <w:t>134(12):1087- 95.</w:t>
      </w:r>
    </w:p>
    <w:p w:rsidR="003F1CD6" w:rsidRPr="00694219" w:rsidRDefault="00694219">
      <w:pPr>
        <w:pStyle w:val="PargrafodaLista"/>
        <w:numPr>
          <w:ilvl w:val="0"/>
          <w:numId w:val="4"/>
        </w:numPr>
        <w:tabs>
          <w:tab w:val="left" w:pos="467"/>
        </w:tabs>
        <w:ind w:firstLine="0"/>
        <w:jc w:val="both"/>
        <w:rPr>
          <w:sz w:val="16"/>
          <w:lang w:val="en-US"/>
        </w:rPr>
      </w:pPr>
      <w:r w:rsidRPr="00694219">
        <w:rPr>
          <w:sz w:val="16"/>
          <w:lang w:val="en-US"/>
        </w:rPr>
        <w:t xml:space="preserve">Miller M, </w:t>
      </w:r>
      <w:proofErr w:type="spellStart"/>
      <w:r w:rsidRPr="00694219">
        <w:rPr>
          <w:sz w:val="16"/>
          <w:lang w:val="en-US"/>
        </w:rPr>
        <w:t>Rudnicki</w:t>
      </w:r>
      <w:proofErr w:type="spellEnd"/>
      <w:r w:rsidRPr="00694219">
        <w:rPr>
          <w:sz w:val="16"/>
          <w:lang w:val="en-US"/>
        </w:rPr>
        <w:t xml:space="preserve"> S. Initial treatment of </w:t>
      </w:r>
      <w:proofErr w:type="spellStart"/>
      <w:r w:rsidRPr="00694219">
        <w:rPr>
          <w:sz w:val="16"/>
          <w:lang w:val="en-US"/>
        </w:rPr>
        <w:t>dermatomyositis</w:t>
      </w:r>
      <w:proofErr w:type="spellEnd"/>
      <w:r w:rsidRPr="00694219">
        <w:rPr>
          <w:sz w:val="16"/>
          <w:lang w:val="en-US"/>
        </w:rPr>
        <w:t xml:space="preserve"> and </w:t>
      </w:r>
      <w:proofErr w:type="spellStart"/>
      <w:r w:rsidRPr="00694219">
        <w:rPr>
          <w:sz w:val="16"/>
          <w:lang w:val="en-US"/>
        </w:rPr>
        <w:t>polymyositis</w:t>
      </w:r>
      <w:proofErr w:type="spellEnd"/>
      <w:r w:rsidRPr="00694219">
        <w:rPr>
          <w:sz w:val="16"/>
          <w:lang w:val="en-US"/>
        </w:rPr>
        <w:t xml:space="preserve"> in adults [Internet]. </w:t>
      </w:r>
      <w:proofErr w:type="spellStart"/>
      <w:r w:rsidRPr="00694219">
        <w:rPr>
          <w:sz w:val="16"/>
          <w:lang w:val="en-US"/>
        </w:rPr>
        <w:t>UpToDate</w:t>
      </w:r>
      <w:proofErr w:type="spellEnd"/>
      <w:r w:rsidRPr="00694219">
        <w:rPr>
          <w:sz w:val="16"/>
          <w:lang w:val="en-US"/>
        </w:rPr>
        <w:t xml:space="preserve">; </w:t>
      </w:r>
      <w:r w:rsidRPr="00694219">
        <w:rPr>
          <w:sz w:val="16"/>
          <w:lang w:val="en-US"/>
        </w:rPr>
        <w:t>2015 [</w:t>
      </w:r>
      <w:proofErr w:type="spellStart"/>
      <w:r w:rsidRPr="00694219">
        <w:rPr>
          <w:sz w:val="16"/>
          <w:lang w:val="en-US"/>
        </w:rPr>
        <w:t>acesso</w:t>
      </w:r>
      <w:proofErr w:type="spellEnd"/>
      <w:r w:rsidRPr="00694219">
        <w:rPr>
          <w:sz w:val="16"/>
          <w:lang w:val="en-US"/>
        </w:rPr>
        <w:t xml:space="preserve"> </w:t>
      </w:r>
      <w:proofErr w:type="spellStart"/>
      <w:r w:rsidRPr="00694219">
        <w:rPr>
          <w:sz w:val="16"/>
          <w:lang w:val="en-US"/>
        </w:rPr>
        <w:t>em</w:t>
      </w:r>
      <w:proofErr w:type="spellEnd"/>
      <w:r w:rsidRPr="00694219">
        <w:rPr>
          <w:sz w:val="16"/>
          <w:lang w:val="en-US"/>
        </w:rPr>
        <w:t xml:space="preserve"> 21 set 15]. </w:t>
      </w:r>
      <w:proofErr w:type="spellStart"/>
      <w:r w:rsidRPr="00694219">
        <w:rPr>
          <w:sz w:val="16"/>
          <w:lang w:val="en-US"/>
        </w:rPr>
        <w:t>Disponível</w:t>
      </w:r>
      <w:proofErr w:type="spellEnd"/>
      <w:r w:rsidRPr="00694219">
        <w:rPr>
          <w:sz w:val="16"/>
          <w:lang w:val="en-US"/>
        </w:rPr>
        <w:t xml:space="preserve"> </w:t>
      </w:r>
      <w:proofErr w:type="spellStart"/>
      <w:r w:rsidRPr="00694219">
        <w:rPr>
          <w:sz w:val="16"/>
          <w:lang w:val="en-US"/>
        </w:rPr>
        <w:t>em</w:t>
      </w:r>
      <w:proofErr w:type="spellEnd"/>
      <w:r w:rsidRPr="00694219">
        <w:rPr>
          <w:sz w:val="16"/>
          <w:lang w:val="en-US"/>
        </w:rPr>
        <w:t xml:space="preserve"> </w:t>
      </w:r>
      <w:hyperlink r:id="rId8">
        <w:r w:rsidRPr="00694219">
          <w:rPr>
            <w:sz w:val="16"/>
            <w:u w:val="single"/>
            <w:lang w:val="en-US"/>
          </w:rPr>
          <w:t>http://www.uptodate.com/contents/initial-</w:t>
        </w:r>
      </w:hyperlink>
      <w:hyperlink r:id="rId9">
        <w:r w:rsidRPr="00694219">
          <w:rPr>
            <w:sz w:val="16"/>
            <w:u w:val="single"/>
            <w:lang w:val="en-US"/>
          </w:rPr>
          <w:t xml:space="preserve"> treatment-of-</w:t>
        </w:r>
        <w:proofErr w:type="spellStart"/>
        <w:r w:rsidRPr="00694219">
          <w:rPr>
            <w:sz w:val="16"/>
            <w:u w:val="single"/>
            <w:lang w:val="en-US"/>
          </w:rPr>
          <w:t>dermatomyositis</w:t>
        </w:r>
        <w:proofErr w:type="spellEnd"/>
        <w:r w:rsidRPr="00694219">
          <w:rPr>
            <w:sz w:val="16"/>
            <w:u w:val="single"/>
            <w:lang w:val="en-US"/>
          </w:rPr>
          <w:t>-and-</w:t>
        </w:r>
        <w:proofErr w:type="spellStart"/>
        <w:r w:rsidRPr="00694219">
          <w:rPr>
            <w:sz w:val="16"/>
            <w:u w:val="single"/>
            <w:lang w:val="en-US"/>
          </w:rPr>
          <w:t>polymyositis</w:t>
        </w:r>
        <w:proofErr w:type="spellEnd"/>
        <w:r w:rsidRPr="00694219">
          <w:rPr>
            <w:sz w:val="16"/>
            <w:u w:val="single"/>
            <w:lang w:val="en-US"/>
          </w:rPr>
          <w:t>-in-adults</w:t>
        </w:r>
        <w:r w:rsidRPr="00694219">
          <w:rPr>
            <w:sz w:val="16"/>
            <w:lang w:val="en-US"/>
          </w:rPr>
          <w:t>.</w:t>
        </w:r>
      </w:hyperlink>
    </w:p>
    <w:p w:rsidR="003F1CD6" w:rsidRDefault="00694219">
      <w:pPr>
        <w:pStyle w:val="PargrafodaLista"/>
        <w:numPr>
          <w:ilvl w:val="0"/>
          <w:numId w:val="4"/>
        </w:numPr>
        <w:tabs>
          <w:tab w:val="left" w:pos="467"/>
        </w:tabs>
        <w:ind w:firstLine="0"/>
        <w:jc w:val="both"/>
        <w:rPr>
          <w:sz w:val="16"/>
        </w:rPr>
      </w:pPr>
      <w:r w:rsidRPr="00694219">
        <w:rPr>
          <w:sz w:val="16"/>
          <w:lang w:val="en-US"/>
        </w:rPr>
        <w:t xml:space="preserve">Alexanderson H, </w:t>
      </w:r>
      <w:proofErr w:type="spellStart"/>
      <w:r w:rsidRPr="00694219">
        <w:rPr>
          <w:sz w:val="16"/>
          <w:lang w:val="en-US"/>
        </w:rPr>
        <w:t>Dastmalchi</w:t>
      </w:r>
      <w:proofErr w:type="spellEnd"/>
      <w:r w:rsidRPr="00694219">
        <w:rPr>
          <w:sz w:val="16"/>
          <w:lang w:val="en-US"/>
        </w:rPr>
        <w:t xml:space="preserve"> M, </w:t>
      </w:r>
      <w:proofErr w:type="spellStart"/>
      <w:r w:rsidRPr="00694219">
        <w:rPr>
          <w:sz w:val="16"/>
          <w:lang w:val="en-US"/>
        </w:rPr>
        <w:t>Esbjörnsson-Liljedahl</w:t>
      </w:r>
      <w:proofErr w:type="spellEnd"/>
      <w:r w:rsidRPr="00694219">
        <w:rPr>
          <w:sz w:val="16"/>
          <w:lang w:val="en-US"/>
        </w:rPr>
        <w:t xml:space="preserve"> M, </w:t>
      </w:r>
      <w:proofErr w:type="spellStart"/>
      <w:r w:rsidRPr="00694219">
        <w:rPr>
          <w:sz w:val="16"/>
          <w:lang w:val="en-US"/>
        </w:rPr>
        <w:t>Opava</w:t>
      </w:r>
      <w:proofErr w:type="spellEnd"/>
      <w:r w:rsidRPr="00694219">
        <w:rPr>
          <w:sz w:val="16"/>
          <w:lang w:val="en-US"/>
        </w:rPr>
        <w:t xml:space="preserve"> CH, Lundberg IE. Benefits of intensive resistance training in patients with ch</w:t>
      </w:r>
      <w:r w:rsidRPr="00694219">
        <w:rPr>
          <w:sz w:val="16"/>
          <w:lang w:val="en-US"/>
        </w:rPr>
        <w:t xml:space="preserve">ronic </w:t>
      </w:r>
      <w:proofErr w:type="spellStart"/>
      <w:r w:rsidRPr="00694219">
        <w:rPr>
          <w:sz w:val="16"/>
          <w:lang w:val="en-US"/>
        </w:rPr>
        <w:t>polymyositis</w:t>
      </w:r>
      <w:proofErr w:type="spellEnd"/>
      <w:r w:rsidRPr="00694219">
        <w:rPr>
          <w:sz w:val="16"/>
          <w:lang w:val="en-US"/>
        </w:rPr>
        <w:t xml:space="preserve"> or </w:t>
      </w:r>
      <w:proofErr w:type="spellStart"/>
      <w:r w:rsidRPr="00694219">
        <w:rPr>
          <w:sz w:val="16"/>
          <w:lang w:val="en-US"/>
        </w:rPr>
        <w:t>dermatomyositis</w:t>
      </w:r>
      <w:proofErr w:type="spellEnd"/>
      <w:r w:rsidRPr="00694219">
        <w:rPr>
          <w:sz w:val="16"/>
          <w:lang w:val="en-US"/>
        </w:rPr>
        <w:t xml:space="preserve">. </w:t>
      </w:r>
      <w:proofErr w:type="spellStart"/>
      <w:r>
        <w:rPr>
          <w:sz w:val="16"/>
        </w:rPr>
        <w:t>Arthritis</w:t>
      </w:r>
      <w:proofErr w:type="spellEnd"/>
      <w:r>
        <w:rPr>
          <w:sz w:val="16"/>
        </w:rPr>
        <w:t xml:space="preserve"> </w:t>
      </w:r>
      <w:proofErr w:type="spellStart"/>
      <w:r>
        <w:rPr>
          <w:sz w:val="16"/>
        </w:rPr>
        <w:t>Rheum</w:t>
      </w:r>
      <w:proofErr w:type="spellEnd"/>
      <w:r>
        <w:rPr>
          <w:sz w:val="16"/>
        </w:rPr>
        <w:t>.</w:t>
      </w:r>
      <w:r>
        <w:rPr>
          <w:spacing w:val="-3"/>
          <w:sz w:val="16"/>
        </w:rPr>
        <w:t xml:space="preserve"> </w:t>
      </w:r>
      <w:proofErr w:type="gramStart"/>
      <w:r>
        <w:rPr>
          <w:sz w:val="16"/>
        </w:rPr>
        <w:t>2007;</w:t>
      </w:r>
      <w:proofErr w:type="gramEnd"/>
      <w:r>
        <w:rPr>
          <w:sz w:val="16"/>
        </w:rPr>
        <w:t>57(5):768-77.</w:t>
      </w:r>
    </w:p>
    <w:p w:rsidR="003F1CD6" w:rsidRDefault="00694219">
      <w:pPr>
        <w:pStyle w:val="PargrafodaLista"/>
        <w:numPr>
          <w:ilvl w:val="0"/>
          <w:numId w:val="4"/>
        </w:numPr>
        <w:tabs>
          <w:tab w:val="left" w:pos="467"/>
        </w:tabs>
        <w:ind w:firstLine="0"/>
        <w:jc w:val="both"/>
        <w:rPr>
          <w:sz w:val="16"/>
        </w:rPr>
      </w:pPr>
      <w:r w:rsidRPr="00694219">
        <w:rPr>
          <w:sz w:val="16"/>
          <w:lang w:val="en-US"/>
        </w:rPr>
        <w:t xml:space="preserve">Alexanderson H, </w:t>
      </w:r>
      <w:proofErr w:type="spellStart"/>
      <w:r w:rsidRPr="00694219">
        <w:rPr>
          <w:sz w:val="16"/>
          <w:lang w:val="en-US"/>
        </w:rPr>
        <w:t>Stenstrom</w:t>
      </w:r>
      <w:proofErr w:type="spellEnd"/>
      <w:r w:rsidRPr="00694219">
        <w:rPr>
          <w:sz w:val="16"/>
          <w:lang w:val="en-US"/>
        </w:rPr>
        <w:t xml:space="preserve"> CH, Jenner G, Lundberg </w:t>
      </w:r>
      <w:r w:rsidRPr="00694219">
        <w:rPr>
          <w:spacing w:val="-3"/>
          <w:sz w:val="16"/>
          <w:lang w:val="en-US"/>
        </w:rPr>
        <w:t xml:space="preserve">I. </w:t>
      </w:r>
      <w:r w:rsidRPr="00694219">
        <w:rPr>
          <w:sz w:val="16"/>
          <w:lang w:val="en-US"/>
        </w:rPr>
        <w:t xml:space="preserve">The safety of a resistive home exercise program in patients with recent onset active </w:t>
      </w:r>
      <w:proofErr w:type="spellStart"/>
      <w:r w:rsidRPr="00694219">
        <w:rPr>
          <w:sz w:val="16"/>
          <w:lang w:val="en-US"/>
        </w:rPr>
        <w:t>polymyositis</w:t>
      </w:r>
      <w:proofErr w:type="spellEnd"/>
      <w:r w:rsidRPr="00694219">
        <w:rPr>
          <w:sz w:val="16"/>
          <w:lang w:val="en-US"/>
        </w:rPr>
        <w:t xml:space="preserve"> or </w:t>
      </w:r>
      <w:proofErr w:type="spellStart"/>
      <w:r w:rsidRPr="00694219">
        <w:rPr>
          <w:sz w:val="16"/>
          <w:lang w:val="en-US"/>
        </w:rPr>
        <w:t>dermatomyositis</w:t>
      </w:r>
      <w:proofErr w:type="spellEnd"/>
      <w:r w:rsidRPr="00694219">
        <w:rPr>
          <w:sz w:val="16"/>
          <w:lang w:val="en-US"/>
        </w:rPr>
        <w:t xml:space="preserve">. </w:t>
      </w:r>
      <w:proofErr w:type="spellStart"/>
      <w:r>
        <w:rPr>
          <w:sz w:val="16"/>
        </w:rPr>
        <w:t>Scand</w:t>
      </w:r>
      <w:proofErr w:type="spellEnd"/>
      <w:r>
        <w:rPr>
          <w:sz w:val="16"/>
        </w:rPr>
        <w:t xml:space="preserve"> J </w:t>
      </w:r>
      <w:proofErr w:type="spellStart"/>
      <w:r>
        <w:rPr>
          <w:sz w:val="16"/>
        </w:rPr>
        <w:t>Rhe</w:t>
      </w:r>
      <w:r>
        <w:rPr>
          <w:sz w:val="16"/>
        </w:rPr>
        <w:t>umatol</w:t>
      </w:r>
      <w:proofErr w:type="spellEnd"/>
      <w:r>
        <w:rPr>
          <w:sz w:val="16"/>
        </w:rPr>
        <w:t xml:space="preserve">. </w:t>
      </w:r>
      <w:proofErr w:type="gramStart"/>
      <w:r>
        <w:rPr>
          <w:sz w:val="16"/>
        </w:rPr>
        <w:t>2000;</w:t>
      </w:r>
      <w:proofErr w:type="gramEnd"/>
      <w:r>
        <w:rPr>
          <w:sz w:val="16"/>
        </w:rPr>
        <w:t>29(5):295-301.</w:t>
      </w:r>
    </w:p>
    <w:p w:rsidR="003F1CD6" w:rsidRDefault="00694219">
      <w:pPr>
        <w:pStyle w:val="PargrafodaLista"/>
        <w:numPr>
          <w:ilvl w:val="0"/>
          <w:numId w:val="4"/>
        </w:numPr>
        <w:tabs>
          <w:tab w:val="left" w:pos="467"/>
        </w:tabs>
        <w:ind w:right="1" w:firstLine="0"/>
        <w:jc w:val="both"/>
        <w:rPr>
          <w:sz w:val="16"/>
        </w:rPr>
      </w:pPr>
      <w:r w:rsidRPr="00694219">
        <w:rPr>
          <w:sz w:val="16"/>
          <w:lang w:val="en-US"/>
        </w:rPr>
        <w:t xml:space="preserve">Escalante A, Miller </w:t>
      </w:r>
      <w:r w:rsidRPr="00694219">
        <w:rPr>
          <w:spacing w:val="-3"/>
          <w:sz w:val="16"/>
          <w:lang w:val="en-US"/>
        </w:rPr>
        <w:t xml:space="preserve">L, </w:t>
      </w:r>
      <w:r w:rsidRPr="00694219">
        <w:rPr>
          <w:sz w:val="16"/>
          <w:lang w:val="en-US"/>
        </w:rPr>
        <w:t xml:space="preserve">Beardmore TD. Resistive exercise in the rehabilitation of </w:t>
      </w:r>
      <w:proofErr w:type="spellStart"/>
      <w:r w:rsidRPr="00694219">
        <w:rPr>
          <w:sz w:val="16"/>
          <w:lang w:val="en-US"/>
        </w:rPr>
        <w:t>polymyositis</w:t>
      </w:r>
      <w:proofErr w:type="spellEnd"/>
      <w:r w:rsidRPr="00694219">
        <w:rPr>
          <w:sz w:val="16"/>
          <w:lang w:val="en-US"/>
        </w:rPr>
        <w:t>/</w:t>
      </w:r>
      <w:proofErr w:type="spellStart"/>
      <w:r w:rsidRPr="00694219">
        <w:rPr>
          <w:sz w:val="16"/>
          <w:lang w:val="en-US"/>
        </w:rPr>
        <w:t>dermatomyositis</w:t>
      </w:r>
      <w:proofErr w:type="spellEnd"/>
      <w:r w:rsidRPr="00694219">
        <w:rPr>
          <w:sz w:val="16"/>
          <w:lang w:val="en-US"/>
        </w:rPr>
        <w:t xml:space="preserve">. </w:t>
      </w:r>
      <w:r>
        <w:rPr>
          <w:sz w:val="16"/>
        </w:rPr>
        <w:t xml:space="preserve">J </w:t>
      </w:r>
      <w:proofErr w:type="spellStart"/>
      <w:r>
        <w:rPr>
          <w:sz w:val="16"/>
        </w:rPr>
        <w:t>Rheumatol</w:t>
      </w:r>
      <w:proofErr w:type="spellEnd"/>
      <w:r>
        <w:rPr>
          <w:sz w:val="16"/>
        </w:rPr>
        <w:t xml:space="preserve">. </w:t>
      </w:r>
      <w:proofErr w:type="gramStart"/>
      <w:r>
        <w:rPr>
          <w:sz w:val="16"/>
        </w:rPr>
        <w:t>1993;</w:t>
      </w:r>
      <w:proofErr w:type="gramEnd"/>
      <w:r>
        <w:rPr>
          <w:sz w:val="16"/>
        </w:rPr>
        <w:t>20(8):1340-4.</w:t>
      </w:r>
    </w:p>
    <w:p w:rsidR="003F1CD6" w:rsidRDefault="00694219">
      <w:pPr>
        <w:pStyle w:val="PargrafodaLista"/>
        <w:numPr>
          <w:ilvl w:val="0"/>
          <w:numId w:val="4"/>
        </w:numPr>
        <w:tabs>
          <w:tab w:val="left" w:pos="467"/>
        </w:tabs>
        <w:ind w:right="1" w:firstLine="0"/>
        <w:jc w:val="both"/>
        <w:rPr>
          <w:sz w:val="16"/>
        </w:rPr>
      </w:pPr>
      <w:r w:rsidRPr="00694219">
        <w:rPr>
          <w:sz w:val="16"/>
          <w:lang w:val="en-US"/>
        </w:rPr>
        <w:t xml:space="preserve">Gordon PA, </w:t>
      </w:r>
      <w:proofErr w:type="spellStart"/>
      <w:r w:rsidRPr="00694219">
        <w:rPr>
          <w:sz w:val="16"/>
          <w:lang w:val="en-US"/>
        </w:rPr>
        <w:t>Winer</w:t>
      </w:r>
      <w:proofErr w:type="spellEnd"/>
      <w:r w:rsidRPr="00694219">
        <w:rPr>
          <w:sz w:val="16"/>
          <w:lang w:val="en-US"/>
        </w:rPr>
        <w:t xml:space="preserve"> JB, </w:t>
      </w:r>
      <w:proofErr w:type="spellStart"/>
      <w:r w:rsidRPr="00694219">
        <w:rPr>
          <w:sz w:val="16"/>
          <w:lang w:val="en-US"/>
        </w:rPr>
        <w:t>Hoogendijk</w:t>
      </w:r>
      <w:proofErr w:type="spellEnd"/>
      <w:r w:rsidRPr="00694219">
        <w:rPr>
          <w:sz w:val="16"/>
          <w:lang w:val="en-US"/>
        </w:rPr>
        <w:t xml:space="preserve"> JE, Choy EH. Immunosuppressant and </w:t>
      </w:r>
      <w:proofErr w:type="spellStart"/>
      <w:r w:rsidRPr="00694219">
        <w:rPr>
          <w:sz w:val="16"/>
          <w:lang w:val="en-US"/>
        </w:rPr>
        <w:t>immunomodulatory</w:t>
      </w:r>
      <w:proofErr w:type="spellEnd"/>
      <w:r w:rsidRPr="00694219">
        <w:rPr>
          <w:sz w:val="16"/>
          <w:lang w:val="en-US"/>
        </w:rPr>
        <w:t xml:space="preserve"> treatment for </w:t>
      </w:r>
      <w:proofErr w:type="spellStart"/>
      <w:r w:rsidRPr="00694219">
        <w:rPr>
          <w:sz w:val="16"/>
          <w:lang w:val="en-US"/>
        </w:rPr>
        <w:t>dermatomyositis</w:t>
      </w:r>
      <w:proofErr w:type="spellEnd"/>
      <w:r w:rsidRPr="00694219">
        <w:rPr>
          <w:sz w:val="16"/>
          <w:lang w:val="en-US"/>
        </w:rPr>
        <w:t xml:space="preserve"> and </w:t>
      </w:r>
      <w:proofErr w:type="spellStart"/>
      <w:r w:rsidRPr="00694219">
        <w:rPr>
          <w:sz w:val="16"/>
          <w:lang w:val="en-US"/>
        </w:rPr>
        <w:t>polymyositis</w:t>
      </w:r>
      <w:proofErr w:type="spellEnd"/>
      <w:r w:rsidRPr="00694219">
        <w:rPr>
          <w:sz w:val="16"/>
          <w:lang w:val="en-US"/>
        </w:rPr>
        <w:t xml:space="preserve">. </w:t>
      </w:r>
      <w:r>
        <w:rPr>
          <w:sz w:val="16"/>
        </w:rPr>
        <w:t xml:space="preserve">Cochrane </w:t>
      </w:r>
      <w:proofErr w:type="spellStart"/>
      <w:r>
        <w:rPr>
          <w:sz w:val="16"/>
        </w:rPr>
        <w:t>Database</w:t>
      </w:r>
      <w:proofErr w:type="spellEnd"/>
      <w:r>
        <w:rPr>
          <w:sz w:val="16"/>
        </w:rPr>
        <w:t xml:space="preserve"> </w:t>
      </w:r>
      <w:proofErr w:type="spellStart"/>
      <w:r>
        <w:rPr>
          <w:sz w:val="16"/>
        </w:rPr>
        <w:t>Syst</w:t>
      </w:r>
      <w:proofErr w:type="spellEnd"/>
      <w:r>
        <w:rPr>
          <w:sz w:val="16"/>
        </w:rPr>
        <w:t xml:space="preserve"> Rev. </w:t>
      </w:r>
      <w:proofErr w:type="gramStart"/>
      <w:r>
        <w:rPr>
          <w:sz w:val="16"/>
        </w:rPr>
        <w:t>2012;</w:t>
      </w:r>
      <w:proofErr w:type="gramEnd"/>
      <w:r>
        <w:rPr>
          <w:sz w:val="16"/>
        </w:rPr>
        <w:t>8:Cd003643.</w:t>
      </w:r>
    </w:p>
    <w:p w:rsidR="003F1CD6" w:rsidRPr="00694219" w:rsidRDefault="00694219">
      <w:pPr>
        <w:pStyle w:val="PargrafodaLista"/>
        <w:numPr>
          <w:ilvl w:val="0"/>
          <w:numId w:val="4"/>
        </w:numPr>
        <w:tabs>
          <w:tab w:val="left" w:pos="467"/>
        </w:tabs>
        <w:ind w:right="0" w:firstLine="0"/>
        <w:jc w:val="both"/>
        <w:rPr>
          <w:sz w:val="16"/>
          <w:lang w:val="en-US"/>
        </w:rPr>
      </w:pPr>
      <w:proofErr w:type="spellStart"/>
      <w:r w:rsidRPr="00694219">
        <w:rPr>
          <w:sz w:val="16"/>
          <w:lang w:val="en-US"/>
        </w:rPr>
        <w:t>Hengstman</w:t>
      </w:r>
      <w:proofErr w:type="spellEnd"/>
      <w:r w:rsidRPr="00694219">
        <w:rPr>
          <w:sz w:val="16"/>
          <w:lang w:val="en-US"/>
        </w:rPr>
        <w:t xml:space="preserve"> GJ, van den </w:t>
      </w:r>
      <w:proofErr w:type="spellStart"/>
      <w:r w:rsidRPr="00694219">
        <w:rPr>
          <w:sz w:val="16"/>
          <w:lang w:val="en-US"/>
        </w:rPr>
        <w:t>Hoogen</w:t>
      </w:r>
      <w:proofErr w:type="spellEnd"/>
      <w:r w:rsidRPr="00694219">
        <w:rPr>
          <w:sz w:val="16"/>
          <w:lang w:val="en-US"/>
        </w:rPr>
        <w:t xml:space="preserve"> FH, van </w:t>
      </w:r>
      <w:proofErr w:type="spellStart"/>
      <w:r w:rsidRPr="00694219">
        <w:rPr>
          <w:sz w:val="16"/>
          <w:lang w:val="en-US"/>
        </w:rPr>
        <w:t>Engelen</w:t>
      </w:r>
      <w:proofErr w:type="spellEnd"/>
      <w:r w:rsidRPr="00694219">
        <w:rPr>
          <w:sz w:val="16"/>
          <w:lang w:val="en-US"/>
        </w:rPr>
        <w:t xml:space="preserve"> BG. Treatment of the inflammatory </w:t>
      </w:r>
      <w:r w:rsidRPr="00694219">
        <w:rPr>
          <w:sz w:val="16"/>
          <w:lang w:val="en-US"/>
        </w:rPr>
        <w:t xml:space="preserve">myopathies: update and practical recommendations. Expert </w:t>
      </w:r>
      <w:proofErr w:type="spellStart"/>
      <w:r w:rsidRPr="00694219">
        <w:rPr>
          <w:sz w:val="16"/>
          <w:lang w:val="en-US"/>
        </w:rPr>
        <w:t>Opin</w:t>
      </w:r>
      <w:proofErr w:type="spellEnd"/>
      <w:r w:rsidRPr="00694219">
        <w:rPr>
          <w:sz w:val="16"/>
          <w:lang w:val="en-US"/>
        </w:rPr>
        <w:t xml:space="preserve"> </w:t>
      </w:r>
      <w:proofErr w:type="spellStart"/>
      <w:r w:rsidRPr="00694219">
        <w:rPr>
          <w:sz w:val="16"/>
          <w:lang w:val="en-US"/>
        </w:rPr>
        <w:t>Pharmacother</w:t>
      </w:r>
      <w:proofErr w:type="spellEnd"/>
      <w:r w:rsidRPr="00694219">
        <w:rPr>
          <w:sz w:val="16"/>
          <w:lang w:val="en-US"/>
        </w:rPr>
        <w:t>.</w:t>
      </w:r>
      <w:r w:rsidRPr="00694219">
        <w:rPr>
          <w:spacing w:val="-13"/>
          <w:sz w:val="16"/>
          <w:lang w:val="en-US"/>
        </w:rPr>
        <w:t xml:space="preserve"> </w:t>
      </w:r>
      <w:r w:rsidRPr="00694219">
        <w:rPr>
          <w:sz w:val="16"/>
          <w:lang w:val="en-US"/>
        </w:rPr>
        <w:t>2009</w:t>
      </w:r>
      <w:proofErr w:type="gramStart"/>
      <w:r w:rsidRPr="00694219">
        <w:rPr>
          <w:sz w:val="16"/>
          <w:lang w:val="en-US"/>
        </w:rPr>
        <w:t>;10</w:t>
      </w:r>
      <w:proofErr w:type="gramEnd"/>
      <w:r w:rsidRPr="00694219">
        <w:rPr>
          <w:sz w:val="16"/>
          <w:lang w:val="en-US"/>
        </w:rPr>
        <w:t>(7):1183-90.</w:t>
      </w:r>
    </w:p>
    <w:p w:rsidR="003F1CD6" w:rsidRPr="00694219" w:rsidRDefault="00694219">
      <w:pPr>
        <w:pStyle w:val="PargrafodaLista"/>
        <w:numPr>
          <w:ilvl w:val="0"/>
          <w:numId w:val="4"/>
        </w:numPr>
        <w:tabs>
          <w:tab w:val="left" w:pos="467"/>
        </w:tabs>
        <w:ind w:right="1" w:firstLine="0"/>
        <w:jc w:val="both"/>
        <w:rPr>
          <w:sz w:val="16"/>
          <w:lang w:val="en-US"/>
        </w:rPr>
      </w:pPr>
      <w:proofErr w:type="spellStart"/>
      <w:r w:rsidRPr="00694219">
        <w:rPr>
          <w:sz w:val="16"/>
          <w:lang w:val="en-US"/>
        </w:rPr>
        <w:t>Joffe</w:t>
      </w:r>
      <w:proofErr w:type="spellEnd"/>
      <w:r w:rsidRPr="00694219">
        <w:rPr>
          <w:sz w:val="16"/>
          <w:lang w:val="en-US"/>
        </w:rPr>
        <w:t xml:space="preserve"> MM, Love LA, </w:t>
      </w:r>
      <w:proofErr w:type="spellStart"/>
      <w:r w:rsidRPr="00694219">
        <w:rPr>
          <w:sz w:val="16"/>
          <w:lang w:val="en-US"/>
        </w:rPr>
        <w:t>Leff</w:t>
      </w:r>
      <w:proofErr w:type="spellEnd"/>
      <w:r w:rsidRPr="00694219">
        <w:rPr>
          <w:sz w:val="16"/>
          <w:lang w:val="en-US"/>
        </w:rPr>
        <w:t xml:space="preserve"> RL, Fraser DD, </w:t>
      </w:r>
      <w:proofErr w:type="spellStart"/>
      <w:r w:rsidRPr="00694219">
        <w:rPr>
          <w:sz w:val="16"/>
          <w:lang w:val="en-US"/>
        </w:rPr>
        <w:t>Targoff</w:t>
      </w:r>
      <w:proofErr w:type="spellEnd"/>
      <w:r w:rsidRPr="00694219">
        <w:rPr>
          <w:sz w:val="16"/>
          <w:lang w:val="en-US"/>
        </w:rPr>
        <w:t xml:space="preserve"> IN, Hicks JE, et al. Drug therapy of the idiopathic inflammatory myopathies: predictors of response to prednisone</w:t>
      </w:r>
      <w:r w:rsidRPr="00694219">
        <w:rPr>
          <w:sz w:val="16"/>
          <w:lang w:val="en-US"/>
        </w:rPr>
        <w:t>, azathioprine, and methotrexate and a comparison of their efficacy. Am J Med.</w:t>
      </w:r>
      <w:r w:rsidRPr="00694219">
        <w:rPr>
          <w:spacing w:val="-19"/>
          <w:sz w:val="16"/>
          <w:lang w:val="en-US"/>
        </w:rPr>
        <w:t xml:space="preserve"> </w:t>
      </w:r>
      <w:r w:rsidRPr="00694219">
        <w:rPr>
          <w:sz w:val="16"/>
          <w:lang w:val="en-US"/>
        </w:rPr>
        <w:t>1993</w:t>
      </w:r>
      <w:proofErr w:type="gramStart"/>
      <w:r w:rsidRPr="00694219">
        <w:rPr>
          <w:sz w:val="16"/>
          <w:lang w:val="en-US"/>
        </w:rPr>
        <w:t>;94</w:t>
      </w:r>
      <w:proofErr w:type="gramEnd"/>
      <w:r w:rsidRPr="00694219">
        <w:rPr>
          <w:sz w:val="16"/>
          <w:lang w:val="en-US"/>
        </w:rPr>
        <w:t>(4):379-87.</w:t>
      </w:r>
    </w:p>
    <w:p w:rsidR="003F1CD6" w:rsidRDefault="00694219">
      <w:pPr>
        <w:pStyle w:val="PargrafodaLista"/>
        <w:numPr>
          <w:ilvl w:val="0"/>
          <w:numId w:val="4"/>
        </w:numPr>
        <w:tabs>
          <w:tab w:val="left" w:pos="467"/>
        </w:tabs>
        <w:ind w:firstLine="0"/>
        <w:jc w:val="both"/>
        <w:rPr>
          <w:sz w:val="16"/>
        </w:rPr>
      </w:pPr>
      <w:r w:rsidRPr="00694219">
        <w:rPr>
          <w:sz w:val="16"/>
          <w:lang w:val="en-US"/>
        </w:rPr>
        <w:t xml:space="preserve">Choy EH, </w:t>
      </w:r>
      <w:proofErr w:type="spellStart"/>
      <w:r w:rsidRPr="00694219">
        <w:rPr>
          <w:sz w:val="16"/>
          <w:lang w:val="en-US"/>
        </w:rPr>
        <w:t>Hoogendijk</w:t>
      </w:r>
      <w:proofErr w:type="spellEnd"/>
      <w:r w:rsidRPr="00694219">
        <w:rPr>
          <w:sz w:val="16"/>
          <w:lang w:val="en-US"/>
        </w:rPr>
        <w:t xml:space="preserve"> JE, Lecky B, </w:t>
      </w:r>
      <w:proofErr w:type="spellStart"/>
      <w:r w:rsidRPr="00694219">
        <w:rPr>
          <w:sz w:val="16"/>
          <w:lang w:val="en-US"/>
        </w:rPr>
        <w:t>Winer</w:t>
      </w:r>
      <w:proofErr w:type="spellEnd"/>
      <w:r w:rsidRPr="00694219">
        <w:rPr>
          <w:sz w:val="16"/>
          <w:lang w:val="en-US"/>
        </w:rPr>
        <w:t xml:space="preserve"> JB, Gordon P. WITHDRAWN: Immunosuppressant and </w:t>
      </w:r>
      <w:proofErr w:type="spellStart"/>
      <w:r w:rsidRPr="00694219">
        <w:rPr>
          <w:sz w:val="16"/>
          <w:lang w:val="en-US"/>
        </w:rPr>
        <w:t>immunomodulatory</w:t>
      </w:r>
      <w:proofErr w:type="spellEnd"/>
      <w:r w:rsidRPr="00694219">
        <w:rPr>
          <w:sz w:val="16"/>
          <w:lang w:val="en-US"/>
        </w:rPr>
        <w:t xml:space="preserve"> treatment for </w:t>
      </w:r>
      <w:proofErr w:type="spellStart"/>
      <w:r w:rsidRPr="00694219">
        <w:rPr>
          <w:sz w:val="16"/>
          <w:lang w:val="en-US"/>
        </w:rPr>
        <w:t>dermatomyositis</w:t>
      </w:r>
      <w:proofErr w:type="spellEnd"/>
      <w:r w:rsidRPr="00694219">
        <w:rPr>
          <w:sz w:val="16"/>
          <w:lang w:val="en-US"/>
        </w:rPr>
        <w:t xml:space="preserve"> and </w:t>
      </w:r>
      <w:proofErr w:type="spellStart"/>
      <w:r w:rsidRPr="00694219">
        <w:rPr>
          <w:sz w:val="16"/>
          <w:lang w:val="en-US"/>
        </w:rPr>
        <w:t>polymyositis</w:t>
      </w:r>
      <w:proofErr w:type="spellEnd"/>
      <w:r w:rsidRPr="00694219">
        <w:rPr>
          <w:sz w:val="16"/>
          <w:lang w:val="en-US"/>
        </w:rPr>
        <w:t xml:space="preserve">. </w:t>
      </w:r>
      <w:r>
        <w:rPr>
          <w:sz w:val="16"/>
        </w:rPr>
        <w:t>Cochran</w:t>
      </w:r>
      <w:r>
        <w:rPr>
          <w:sz w:val="16"/>
        </w:rPr>
        <w:t xml:space="preserve">e </w:t>
      </w:r>
      <w:proofErr w:type="spellStart"/>
      <w:r>
        <w:rPr>
          <w:sz w:val="16"/>
        </w:rPr>
        <w:t>Database</w:t>
      </w:r>
      <w:proofErr w:type="spellEnd"/>
      <w:r>
        <w:rPr>
          <w:sz w:val="16"/>
        </w:rPr>
        <w:t xml:space="preserve"> </w:t>
      </w:r>
      <w:proofErr w:type="spellStart"/>
      <w:r>
        <w:rPr>
          <w:sz w:val="16"/>
        </w:rPr>
        <w:t>Syst</w:t>
      </w:r>
      <w:proofErr w:type="spellEnd"/>
      <w:r>
        <w:rPr>
          <w:sz w:val="16"/>
        </w:rPr>
        <w:t xml:space="preserve"> Rev.</w:t>
      </w:r>
      <w:r>
        <w:rPr>
          <w:spacing w:val="1"/>
          <w:sz w:val="16"/>
        </w:rPr>
        <w:t xml:space="preserve"> </w:t>
      </w:r>
      <w:proofErr w:type="gramStart"/>
      <w:r>
        <w:rPr>
          <w:sz w:val="16"/>
        </w:rPr>
        <w:t>2009(4):</w:t>
      </w:r>
      <w:proofErr w:type="gramEnd"/>
      <w:r>
        <w:rPr>
          <w:sz w:val="16"/>
        </w:rPr>
        <w:t>CD003643.</w:t>
      </w:r>
    </w:p>
    <w:p w:rsidR="003F1CD6" w:rsidRDefault="00694219">
      <w:pPr>
        <w:pStyle w:val="PargrafodaLista"/>
        <w:numPr>
          <w:ilvl w:val="0"/>
          <w:numId w:val="4"/>
        </w:numPr>
        <w:tabs>
          <w:tab w:val="left" w:pos="467"/>
        </w:tabs>
        <w:ind w:right="1" w:firstLine="0"/>
        <w:jc w:val="both"/>
        <w:rPr>
          <w:sz w:val="16"/>
        </w:rPr>
      </w:pPr>
      <w:r w:rsidRPr="00694219">
        <w:rPr>
          <w:sz w:val="16"/>
          <w:lang w:val="en-US"/>
        </w:rPr>
        <w:t xml:space="preserve">Bunch </w:t>
      </w:r>
      <w:r w:rsidRPr="00694219">
        <w:rPr>
          <w:spacing w:val="-3"/>
          <w:sz w:val="16"/>
          <w:lang w:val="en-US"/>
        </w:rPr>
        <w:t xml:space="preserve">TW, </w:t>
      </w:r>
      <w:r w:rsidRPr="00694219">
        <w:rPr>
          <w:sz w:val="16"/>
          <w:lang w:val="en-US"/>
        </w:rPr>
        <w:t xml:space="preserve">Worthington JW, Combs JJ, </w:t>
      </w:r>
      <w:proofErr w:type="spellStart"/>
      <w:r w:rsidRPr="00694219">
        <w:rPr>
          <w:sz w:val="16"/>
          <w:lang w:val="en-US"/>
        </w:rPr>
        <w:t>Ilstrup</w:t>
      </w:r>
      <w:proofErr w:type="spellEnd"/>
      <w:r w:rsidRPr="00694219">
        <w:rPr>
          <w:sz w:val="16"/>
          <w:lang w:val="en-US"/>
        </w:rPr>
        <w:t xml:space="preserve"> DM, Engel AG. Azathioprine with prednisone for </w:t>
      </w:r>
      <w:proofErr w:type="spellStart"/>
      <w:r w:rsidRPr="00694219">
        <w:rPr>
          <w:sz w:val="16"/>
          <w:lang w:val="en-US"/>
        </w:rPr>
        <w:t>polymyositis</w:t>
      </w:r>
      <w:proofErr w:type="spellEnd"/>
      <w:r w:rsidRPr="00694219">
        <w:rPr>
          <w:sz w:val="16"/>
          <w:lang w:val="en-US"/>
        </w:rPr>
        <w:t xml:space="preserve">. </w:t>
      </w:r>
      <w:r>
        <w:rPr>
          <w:sz w:val="16"/>
        </w:rPr>
        <w:t xml:space="preserve">A </w:t>
      </w:r>
      <w:proofErr w:type="spellStart"/>
      <w:r>
        <w:rPr>
          <w:sz w:val="16"/>
        </w:rPr>
        <w:t>controlled</w:t>
      </w:r>
      <w:proofErr w:type="spellEnd"/>
      <w:r>
        <w:rPr>
          <w:sz w:val="16"/>
        </w:rPr>
        <w:t xml:space="preserve">, </w:t>
      </w:r>
      <w:proofErr w:type="spellStart"/>
      <w:r>
        <w:rPr>
          <w:sz w:val="16"/>
        </w:rPr>
        <w:t>clinical</w:t>
      </w:r>
      <w:proofErr w:type="spellEnd"/>
      <w:r>
        <w:rPr>
          <w:sz w:val="16"/>
        </w:rPr>
        <w:t xml:space="preserve"> </w:t>
      </w:r>
      <w:proofErr w:type="spellStart"/>
      <w:proofErr w:type="gramStart"/>
      <w:r>
        <w:rPr>
          <w:sz w:val="16"/>
        </w:rPr>
        <w:t>trial</w:t>
      </w:r>
      <w:proofErr w:type="spellEnd"/>
      <w:proofErr w:type="gramEnd"/>
      <w:r>
        <w:rPr>
          <w:sz w:val="16"/>
        </w:rPr>
        <w:t xml:space="preserve">. Ann </w:t>
      </w:r>
      <w:proofErr w:type="spellStart"/>
      <w:r>
        <w:rPr>
          <w:sz w:val="16"/>
        </w:rPr>
        <w:t>Intern</w:t>
      </w:r>
      <w:proofErr w:type="spellEnd"/>
      <w:r>
        <w:rPr>
          <w:sz w:val="16"/>
        </w:rPr>
        <w:t xml:space="preserve"> Med.</w:t>
      </w:r>
      <w:r>
        <w:rPr>
          <w:spacing w:val="-3"/>
          <w:sz w:val="16"/>
        </w:rPr>
        <w:t xml:space="preserve"> </w:t>
      </w:r>
      <w:proofErr w:type="gramStart"/>
      <w:r>
        <w:rPr>
          <w:sz w:val="16"/>
        </w:rPr>
        <w:t>1980;</w:t>
      </w:r>
      <w:proofErr w:type="gramEnd"/>
      <w:r>
        <w:rPr>
          <w:sz w:val="16"/>
        </w:rPr>
        <w:t>92(3):365-9.</w:t>
      </w:r>
    </w:p>
    <w:p w:rsidR="003F1CD6" w:rsidRDefault="00694219">
      <w:pPr>
        <w:pStyle w:val="PargrafodaLista"/>
        <w:numPr>
          <w:ilvl w:val="0"/>
          <w:numId w:val="4"/>
        </w:numPr>
        <w:tabs>
          <w:tab w:val="left" w:pos="467"/>
        </w:tabs>
        <w:ind w:firstLine="0"/>
        <w:jc w:val="both"/>
        <w:rPr>
          <w:sz w:val="16"/>
        </w:rPr>
      </w:pPr>
      <w:r w:rsidRPr="00694219">
        <w:rPr>
          <w:sz w:val="16"/>
          <w:lang w:val="en-US"/>
        </w:rPr>
        <w:t xml:space="preserve">Bunch </w:t>
      </w:r>
      <w:r w:rsidRPr="00694219">
        <w:rPr>
          <w:spacing w:val="-3"/>
          <w:sz w:val="16"/>
          <w:lang w:val="en-US"/>
        </w:rPr>
        <w:t xml:space="preserve">TW. </w:t>
      </w:r>
      <w:r w:rsidRPr="00694219">
        <w:rPr>
          <w:sz w:val="16"/>
          <w:lang w:val="en-US"/>
        </w:rPr>
        <w:t xml:space="preserve">Prednisone and azathioprine for </w:t>
      </w:r>
      <w:proofErr w:type="spellStart"/>
      <w:r w:rsidRPr="00694219">
        <w:rPr>
          <w:sz w:val="16"/>
          <w:lang w:val="en-US"/>
        </w:rPr>
        <w:t>polymyositis</w:t>
      </w:r>
      <w:proofErr w:type="spellEnd"/>
      <w:r w:rsidRPr="00694219">
        <w:rPr>
          <w:sz w:val="16"/>
          <w:lang w:val="en-US"/>
        </w:rPr>
        <w:t xml:space="preserve">: long- term </w:t>
      </w:r>
      <w:proofErr w:type="spellStart"/>
      <w:r w:rsidRPr="00694219">
        <w:rPr>
          <w:sz w:val="16"/>
          <w:lang w:val="en-US"/>
        </w:rPr>
        <w:t>followup</w:t>
      </w:r>
      <w:proofErr w:type="spellEnd"/>
      <w:r w:rsidRPr="00694219">
        <w:rPr>
          <w:sz w:val="16"/>
          <w:lang w:val="en-US"/>
        </w:rPr>
        <w:t xml:space="preserve">. </w:t>
      </w:r>
      <w:proofErr w:type="spellStart"/>
      <w:r>
        <w:rPr>
          <w:sz w:val="16"/>
        </w:rPr>
        <w:t>Arthritis</w:t>
      </w:r>
      <w:proofErr w:type="spellEnd"/>
      <w:r>
        <w:rPr>
          <w:sz w:val="16"/>
        </w:rPr>
        <w:t xml:space="preserve"> </w:t>
      </w:r>
      <w:proofErr w:type="spellStart"/>
      <w:r>
        <w:rPr>
          <w:sz w:val="16"/>
        </w:rPr>
        <w:t>Rheum</w:t>
      </w:r>
      <w:proofErr w:type="spellEnd"/>
      <w:r>
        <w:rPr>
          <w:sz w:val="16"/>
        </w:rPr>
        <w:t>.</w:t>
      </w:r>
      <w:r>
        <w:rPr>
          <w:spacing w:val="-6"/>
          <w:sz w:val="16"/>
        </w:rPr>
        <w:t xml:space="preserve"> </w:t>
      </w:r>
      <w:proofErr w:type="gramStart"/>
      <w:r>
        <w:rPr>
          <w:sz w:val="16"/>
        </w:rPr>
        <w:t>1981;</w:t>
      </w:r>
      <w:proofErr w:type="gramEnd"/>
      <w:r>
        <w:rPr>
          <w:sz w:val="16"/>
        </w:rPr>
        <w:t>24(1):45-8.</w:t>
      </w:r>
    </w:p>
    <w:p w:rsidR="003F1CD6" w:rsidRPr="00694219" w:rsidRDefault="00694219">
      <w:pPr>
        <w:pStyle w:val="PargrafodaLista"/>
        <w:numPr>
          <w:ilvl w:val="0"/>
          <w:numId w:val="4"/>
        </w:numPr>
        <w:tabs>
          <w:tab w:val="left" w:pos="467"/>
        </w:tabs>
        <w:ind w:firstLine="0"/>
        <w:jc w:val="both"/>
        <w:rPr>
          <w:sz w:val="16"/>
          <w:lang w:val="en-US"/>
        </w:rPr>
      </w:pPr>
      <w:proofErr w:type="spellStart"/>
      <w:r>
        <w:rPr>
          <w:sz w:val="16"/>
        </w:rPr>
        <w:t>Vencovský</w:t>
      </w:r>
      <w:proofErr w:type="spellEnd"/>
      <w:r>
        <w:rPr>
          <w:sz w:val="16"/>
        </w:rPr>
        <w:t xml:space="preserve"> J1, </w:t>
      </w:r>
      <w:proofErr w:type="spellStart"/>
      <w:r>
        <w:rPr>
          <w:sz w:val="16"/>
        </w:rPr>
        <w:t>Jarosová</w:t>
      </w:r>
      <w:proofErr w:type="spellEnd"/>
      <w:r>
        <w:rPr>
          <w:sz w:val="16"/>
        </w:rPr>
        <w:t xml:space="preserve"> K, </w:t>
      </w:r>
      <w:proofErr w:type="spellStart"/>
      <w:r>
        <w:rPr>
          <w:sz w:val="16"/>
        </w:rPr>
        <w:t>Machácek</w:t>
      </w:r>
      <w:proofErr w:type="spellEnd"/>
      <w:r>
        <w:rPr>
          <w:sz w:val="16"/>
        </w:rPr>
        <w:t xml:space="preserve"> S, </w:t>
      </w:r>
      <w:proofErr w:type="spellStart"/>
      <w:r>
        <w:rPr>
          <w:sz w:val="16"/>
        </w:rPr>
        <w:t>Studýnková</w:t>
      </w:r>
      <w:proofErr w:type="spellEnd"/>
      <w:r>
        <w:rPr>
          <w:sz w:val="16"/>
        </w:rPr>
        <w:t xml:space="preserve"> J, </w:t>
      </w:r>
      <w:proofErr w:type="spellStart"/>
      <w:r>
        <w:rPr>
          <w:sz w:val="16"/>
        </w:rPr>
        <w:t>Kafková</w:t>
      </w:r>
      <w:proofErr w:type="spellEnd"/>
      <w:r>
        <w:rPr>
          <w:sz w:val="16"/>
        </w:rPr>
        <w:t xml:space="preserve"> J, </w:t>
      </w:r>
      <w:proofErr w:type="spellStart"/>
      <w:r>
        <w:rPr>
          <w:sz w:val="16"/>
        </w:rPr>
        <w:t>Bartůnková</w:t>
      </w:r>
      <w:proofErr w:type="spellEnd"/>
      <w:r>
        <w:rPr>
          <w:sz w:val="16"/>
        </w:rPr>
        <w:t xml:space="preserve"> J, </w:t>
      </w:r>
      <w:proofErr w:type="gramStart"/>
      <w:r>
        <w:rPr>
          <w:sz w:val="16"/>
        </w:rPr>
        <w:t>et</w:t>
      </w:r>
      <w:proofErr w:type="gramEnd"/>
      <w:r>
        <w:rPr>
          <w:sz w:val="16"/>
        </w:rPr>
        <w:t xml:space="preserve"> al. </w:t>
      </w:r>
      <w:r w:rsidRPr="00694219">
        <w:rPr>
          <w:sz w:val="16"/>
          <w:lang w:val="en-US"/>
        </w:rPr>
        <w:t xml:space="preserve">Cyclosporine A versus methotrexate in the treatment of </w:t>
      </w:r>
      <w:proofErr w:type="spellStart"/>
      <w:r w:rsidRPr="00694219">
        <w:rPr>
          <w:sz w:val="16"/>
          <w:lang w:val="en-US"/>
        </w:rPr>
        <w:t>polymyositis</w:t>
      </w:r>
      <w:proofErr w:type="spellEnd"/>
      <w:r w:rsidRPr="00694219">
        <w:rPr>
          <w:sz w:val="16"/>
          <w:lang w:val="en-US"/>
        </w:rPr>
        <w:t xml:space="preserve"> and</w:t>
      </w:r>
      <w:r w:rsidRPr="00694219">
        <w:rPr>
          <w:sz w:val="16"/>
          <w:lang w:val="en-US"/>
        </w:rPr>
        <w:t xml:space="preserve"> </w:t>
      </w:r>
      <w:proofErr w:type="spellStart"/>
      <w:r w:rsidRPr="00694219">
        <w:rPr>
          <w:sz w:val="16"/>
          <w:lang w:val="en-US"/>
        </w:rPr>
        <w:t>dermatomyositis</w:t>
      </w:r>
      <w:proofErr w:type="spellEnd"/>
      <w:r w:rsidRPr="00694219">
        <w:rPr>
          <w:sz w:val="16"/>
          <w:lang w:val="en-US"/>
        </w:rPr>
        <w:t xml:space="preserve">. </w:t>
      </w:r>
      <w:proofErr w:type="spellStart"/>
      <w:r w:rsidRPr="00694219">
        <w:rPr>
          <w:sz w:val="16"/>
          <w:lang w:val="en-US"/>
        </w:rPr>
        <w:t>Scand</w:t>
      </w:r>
      <w:proofErr w:type="spellEnd"/>
      <w:r w:rsidRPr="00694219">
        <w:rPr>
          <w:sz w:val="16"/>
          <w:lang w:val="en-US"/>
        </w:rPr>
        <w:t xml:space="preserve"> J </w:t>
      </w:r>
      <w:proofErr w:type="spellStart"/>
      <w:r w:rsidRPr="00694219">
        <w:rPr>
          <w:sz w:val="16"/>
          <w:lang w:val="en-US"/>
        </w:rPr>
        <w:t>Rheumatol</w:t>
      </w:r>
      <w:proofErr w:type="spellEnd"/>
      <w:r w:rsidRPr="00694219">
        <w:rPr>
          <w:sz w:val="16"/>
          <w:lang w:val="en-US"/>
        </w:rPr>
        <w:t>. 2000</w:t>
      </w:r>
      <w:proofErr w:type="gramStart"/>
      <w:r w:rsidRPr="00694219">
        <w:rPr>
          <w:sz w:val="16"/>
          <w:lang w:val="en-US"/>
        </w:rPr>
        <w:t>;29</w:t>
      </w:r>
      <w:proofErr w:type="gramEnd"/>
      <w:r w:rsidRPr="00694219">
        <w:rPr>
          <w:sz w:val="16"/>
          <w:lang w:val="en-US"/>
        </w:rPr>
        <w:t>(2):95-102.</w:t>
      </w:r>
    </w:p>
    <w:p w:rsidR="003F1CD6" w:rsidRPr="00694219" w:rsidRDefault="00694219">
      <w:pPr>
        <w:pStyle w:val="PargrafodaLista"/>
        <w:numPr>
          <w:ilvl w:val="0"/>
          <w:numId w:val="4"/>
        </w:numPr>
        <w:tabs>
          <w:tab w:val="left" w:pos="467"/>
        </w:tabs>
        <w:ind w:right="0" w:firstLine="0"/>
        <w:jc w:val="both"/>
        <w:rPr>
          <w:sz w:val="16"/>
          <w:lang w:val="en-US"/>
        </w:rPr>
      </w:pPr>
      <w:proofErr w:type="spellStart"/>
      <w:r w:rsidRPr="00694219">
        <w:rPr>
          <w:sz w:val="16"/>
          <w:lang w:val="en-US"/>
        </w:rPr>
        <w:t>Villalba</w:t>
      </w:r>
      <w:proofErr w:type="spellEnd"/>
      <w:r w:rsidRPr="00694219">
        <w:rPr>
          <w:sz w:val="16"/>
          <w:lang w:val="en-US"/>
        </w:rPr>
        <w:t xml:space="preserve"> </w:t>
      </w:r>
      <w:r w:rsidRPr="00694219">
        <w:rPr>
          <w:spacing w:val="-3"/>
          <w:sz w:val="16"/>
          <w:lang w:val="en-US"/>
        </w:rPr>
        <w:t xml:space="preserve">L, </w:t>
      </w:r>
      <w:r w:rsidRPr="00694219">
        <w:rPr>
          <w:sz w:val="16"/>
          <w:lang w:val="en-US"/>
        </w:rPr>
        <w:t xml:space="preserve">Hicks JE, Adams EM, Sherman JB, </w:t>
      </w:r>
      <w:proofErr w:type="spellStart"/>
      <w:r w:rsidRPr="00694219">
        <w:rPr>
          <w:sz w:val="16"/>
          <w:lang w:val="en-US"/>
        </w:rPr>
        <w:t>Gourley</w:t>
      </w:r>
      <w:proofErr w:type="spellEnd"/>
      <w:r w:rsidRPr="00694219">
        <w:rPr>
          <w:sz w:val="16"/>
          <w:lang w:val="en-US"/>
        </w:rPr>
        <w:t xml:space="preserve"> MF, </w:t>
      </w:r>
      <w:proofErr w:type="spellStart"/>
      <w:r w:rsidRPr="00694219">
        <w:rPr>
          <w:sz w:val="16"/>
          <w:lang w:val="en-US"/>
        </w:rPr>
        <w:t>Leff</w:t>
      </w:r>
      <w:proofErr w:type="spellEnd"/>
      <w:r w:rsidRPr="00694219">
        <w:rPr>
          <w:sz w:val="16"/>
          <w:lang w:val="en-US"/>
        </w:rPr>
        <w:t xml:space="preserve"> RL, et al. Treatment of refractory myositis: a randomized crossover study of two new cytotoxic regimens. Arthritis Rheum. 1998</w:t>
      </w:r>
      <w:proofErr w:type="gramStart"/>
      <w:r w:rsidRPr="00694219">
        <w:rPr>
          <w:sz w:val="16"/>
          <w:lang w:val="en-US"/>
        </w:rPr>
        <w:t>;41</w:t>
      </w:r>
      <w:proofErr w:type="gramEnd"/>
      <w:r w:rsidRPr="00694219">
        <w:rPr>
          <w:sz w:val="16"/>
          <w:lang w:val="en-US"/>
        </w:rPr>
        <w:t>(3):392-9.</w:t>
      </w:r>
    </w:p>
    <w:p w:rsidR="003F1CD6" w:rsidRPr="00694219" w:rsidRDefault="00694219">
      <w:pPr>
        <w:pStyle w:val="PargrafodaLista"/>
        <w:numPr>
          <w:ilvl w:val="0"/>
          <w:numId w:val="4"/>
        </w:numPr>
        <w:tabs>
          <w:tab w:val="left" w:pos="467"/>
        </w:tabs>
        <w:spacing w:before="1"/>
        <w:ind w:firstLine="0"/>
        <w:jc w:val="both"/>
        <w:rPr>
          <w:sz w:val="16"/>
          <w:lang w:val="en-US"/>
        </w:rPr>
      </w:pPr>
      <w:r>
        <w:rPr>
          <w:sz w:val="16"/>
        </w:rPr>
        <w:t xml:space="preserve">Saito E, </w:t>
      </w:r>
      <w:proofErr w:type="spellStart"/>
      <w:r>
        <w:rPr>
          <w:sz w:val="16"/>
        </w:rPr>
        <w:t>Koike</w:t>
      </w:r>
      <w:proofErr w:type="spellEnd"/>
      <w:r>
        <w:rPr>
          <w:sz w:val="16"/>
        </w:rPr>
        <w:t xml:space="preserve"> T, Hashimoto H, </w:t>
      </w:r>
      <w:proofErr w:type="spellStart"/>
      <w:r>
        <w:rPr>
          <w:sz w:val="16"/>
        </w:rPr>
        <w:t>Miyasaka</w:t>
      </w:r>
      <w:proofErr w:type="spellEnd"/>
      <w:r>
        <w:rPr>
          <w:sz w:val="16"/>
        </w:rPr>
        <w:t xml:space="preserve"> N, Ikeda Y, </w:t>
      </w:r>
      <w:proofErr w:type="spellStart"/>
      <w:r>
        <w:rPr>
          <w:sz w:val="16"/>
        </w:rPr>
        <w:t>Hara</w:t>
      </w:r>
      <w:proofErr w:type="spellEnd"/>
      <w:r>
        <w:rPr>
          <w:sz w:val="16"/>
        </w:rPr>
        <w:t xml:space="preserve"> M, </w:t>
      </w:r>
      <w:proofErr w:type="gramStart"/>
      <w:r>
        <w:rPr>
          <w:sz w:val="16"/>
        </w:rPr>
        <w:t>et</w:t>
      </w:r>
      <w:proofErr w:type="gramEnd"/>
      <w:r>
        <w:rPr>
          <w:sz w:val="16"/>
        </w:rPr>
        <w:t xml:space="preserve"> al. </w:t>
      </w:r>
      <w:r w:rsidRPr="00694219">
        <w:rPr>
          <w:sz w:val="16"/>
          <w:lang w:val="en-US"/>
        </w:rPr>
        <w:t xml:space="preserve">Efficacy of high-dose intravenous immunoglobulin therapy in Japanese patients with steroid-resistant </w:t>
      </w:r>
      <w:proofErr w:type="spellStart"/>
      <w:r w:rsidRPr="00694219">
        <w:rPr>
          <w:sz w:val="16"/>
          <w:lang w:val="en-US"/>
        </w:rPr>
        <w:t>polymyositis</w:t>
      </w:r>
      <w:proofErr w:type="spellEnd"/>
      <w:r w:rsidRPr="00694219">
        <w:rPr>
          <w:sz w:val="16"/>
          <w:lang w:val="en-US"/>
        </w:rPr>
        <w:t xml:space="preserve"> and </w:t>
      </w:r>
      <w:proofErr w:type="spellStart"/>
      <w:r w:rsidRPr="00694219">
        <w:rPr>
          <w:sz w:val="16"/>
          <w:lang w:val="en-US"/>
        </w:rPr>
        <w:t>dermatomyositis</w:t>
      </w:r>
      <w:proofErr w:type="spellEnd"/>
      <w:r w:rsidRPr="00694219">
        <w:rPr>
          <w:sz w:val="16"/>
          <w:lang w:val="en-US"/>
        </w:rPr>
        <w:t xml:space="preserve">. Mod </w:t>
      </w:r>
      <w:proofErr w:type="spellStart"/>
      <w:r w:rsidRPr="00694219">
        <w:rPr>
          <w:sz w:val="16"/>
          <w:lang w:val="en-US"/>
        </w:rPr>
        <w:t>Rheumatol</w:t>
      </w:r>
      <w:proofErr w:type="spellEnd"/>
      <w:r w:rsidRPr="00694219">
        <w:rPr>
          <w:sz w:val="16"/>
          <w:lang w:val="en-US"/>
        </w:rPr>
        <w:t>.</w:t>
      </w:r>
      <w:r w:rsidRPr="00694219">
        <w:rPr>
          <w:spacing w:val="-5"/>
          <w:sz w:val="16"/>
          <w:lang w:val="en-US"/>
        </w:rPr>
        <w:t xml:space="preserve"> </w:t>
      </w:r>
      <w:r w:rsidRPr="00694219">
        <w:rPr>
          <w:sz w:val="16"/>
          <w:lang w:val="en-US"/>
        </w:rPr>
        <w:t>2008</w:t>
      </w:r>
      <w:proofErr w:type="gramStart"/>
      <w:r w:rsidRPr="00694219">
        <w:rPr>
          <w:sz w:val="16"/>
          <w:lang w:val="en-US"/>
        </w:rPr>
        <w:t>;18</w:t>
      </w:r>
      <w:proofErr w:type="gramEnd"/>
      <w:r w:rsidRPr="00694219">
        <w:rPr>
          <w:sz w:val="16"/>
          <w:lang w:val="en-US"/>
        </w:rPr>
        <w:t>(1):34-44.</w:t>
      </w:r>
    </w:p>
    <w:p w:rsidR="003F1CD6" w:rsidRPr="00694219" w:rsidRDefault="00694219">
      <w:pPr>
        <w:pStyle w:val="PargrafodaLista"/>
        <w:numPr>
          <w:ilvl w:val="0"/>
          <w:numId w:val="4"/>
        </w:numPr>
        <w:tabs>
          <w:tab w:val="left" w:pos="467"/>
        </w:tabs>
        <w:ind w:firstLine="0"/>
        <w:jc w:val="both"/>
        <w:rPr>
          <w:sz w:val="16"/>
          <w:lang w:val="en-US"/>
        </w:rPr>
      </w:pPr>
      <w:proofErr w:type="spellStart"/>
      <w:r w:rsidRPr="00694219">
        <w:rPr>
          <w:sz w:val="16"/>
          <w:lang w:val="en-US"/>
        </w:rPr>
        <w:t>Dalakas</w:t>
      </w:r>
      <w:proofErr w:type="spellEnd"/>
      <w:r w:rsidRPr="00694219">
        <w:rPr>
          <w:sz w:val="16"/>
          <w:lang w:val="en-US"/>
        </w:rPr>
        <w:t xml:space="preserve"> MC, </w:t>
      </w:r>
      <w:proofErr w:type="spellStart"/>
      <w:r w:rsidRPr="00694219">
        <w:rPr>
          <w:sz w:val="16"/>
          <w:lang w:val="en-US"/>
        </w:rPr>
        <w:t>Illa</w:t>
      </w:r>
      <w:proofErr w:type="spellEnd"/>
      <w:r w:rsidRPr="00694219">
        <w:rPr>
          <w:sz w:val="16"/>
          <w:lang w:val="en-US"/>
        </w:rPr>
        <w:t xml:space="preserve"> </w:t>
      </w:r>
      <w:r w:rsidRPr="00694219">
        <w:rPr>
          <w:spacing w:val="-3"/>
          <w:sz w:val="16"/>
          <w:lang w:val="en-US"/>
        </w:rPr>
        <w:t xml:space="preserve">I, </w:t>
      </w:r>
      <w:proofErr w:type="spellStart"/>
      <w:r w:rsidRPr="00694219">
        <w:rPr>
          <w:sz w:val="16"/>
          <w:lang w:val="en-US"/>
        </w:rPr>
        <w:t>Dambrosia</w:t>
      </w:r>
      <w:proofErr w:type="spellEnd"/>
      <w:r w:rsidRPr="00694219">
        <w:rPr>
          <w:sz w:val="16"/>
          <w:lang w:val="en-US"/>
        </w:rPr>
        <w:t xml:space="preserve"> JM, </w:t>
      </w:r>
      <w:proofErr w:type="spellStart"/>
      <w:r w:rsidRPr="00694219">
        <w:rPr>
          <w:sz w:val="16"/>
          <w:lang w:val="en-US"/>
        </w:rPr>
        <w:t>Soueidan</w:t>
      </w:r>
      <w:proofErr w:type="spellEnd"/>
      <w:r w:rsidRPr="00694219">
        <w:rPr>
          <w:sz w:val="16"/>
          <w:lang w:val="en-US"/>
        </w:rPr>
        <w:t xml:space="preserve"> SA, Stein DP, Otero C, et al. A controlled trial of high-dose intravenous immune globulin infusions as treatment for </w:t>
      </w:r>
      <w:proofErr w:type="spellStart"/>
      <w:r w:rsidRPr="00694219">
        <w:rPr>
          <w:sz w:val="16"/>
          <w:lang w:val="en-US"/>
        </w:rPr>
        <w:t>dermatomyositis</w:t>
      </w:r>
      <w:proofErr w:type="spellEnd"/>
      <w:r w:rsidRPr="00694219">
        <w:rPr>
          <w:sz w:val="16"/>
          <w:lang w:val="en-US"/>
        </w:rPr>
        <w:t xml:space="preserve">. N </w:t>
      </w:r>
      <w:proofErr w:type="spellStart"/>
      <w:r w:rsidRPr="00694219">
        <w:rPr>
          <w:sz w:val="16"/>
          <w:lang w:val="en-US"/>
        </w:rPr>
        <w:t>Engl</w:t>
      </w:r>
      <w:proofErr w:type="spellEnd"/>
      <w:r w:rsidRPr="00694219">
        <w:rPr>
          <w:sz w:val="16"/>
          <w:lang w:val="en-US"/>
        </w:rPr>
        <w:t xml:space="preserve"> J Med. 1993</w:t>
      </w:r>
      <w:proofErr w:type="gramStart"/>
      <w:r w:rsidRPr="00694219">
        <w:rPr>
          <w:sz w:val="16"/>
          <w:lang w:val="en-US"/>
        </w:rPr>
        <w:t>;329</w:t>
      </w:r>
      <w:proofErr w:type="gramEnd"/>
      <w:r w:rsidRPr="00694219">
        <w:rPr>
          <w:sz w:val="16"/>
          <w:lang w:val="en-US"/>
        </w:rPr>
        <w:t>(27):1993-2000.</w:t>
      </w:r>
    </w:p>
    <w:p w:rsidR="003F1CD6" w:rsidRPr="00694219" w:rsidRDefault="00694219">
      <w:pPr>
        <w:pStyle w:val="PargrafodaLista"/>
        <w:numPr>
          <w:ilvl w:val="0"/>
          <w:numId w:val="4"/>
        </w:numPr>
        <w:tabs>
          <w:tab w:val="left" w:pos="467"/>
        </w:tabs>
        <w:ind w:firstLine="0"/>
        <w:jc w:val="both"/>
        <w:rPr>
          <w:sz w:val="16"/>
          <w:lang w:val="en-US"/>
        </w:rPr>
      </w:pPr>
      <w:proofErr w:type="spellStart"/>
      <w:r w:rsidRPr="00694219">
        <w:rPr>
          <w:sz w:val="16"/>
          <w:lang w:val="en-US"/>
        </w:rPr>
        <w:t>Cherin</w:t>
      </w:r>
      <w:proofErr w:type="spellEnd"/>
      <w:r w:rsidRPr="00694219">
        <w:rPr>
          <w:sz w:val="16"/>
          <w:lang w:val="en-US"/>
        </w:rPr>
        <w:t xml:space="preserve"> P, Pelletier S, Teixeira A, </w:t>
      </w:r>
      <w:proofErr w:type="spellStart"/>
      <w:r w:rsidRPr="00694219">
        <w:rPr>
          <w:sz w:val="16"/>
          <w:lang w:val="en-US"/>
        </w:rPr>
        <w:t>Laforet</w:t>
      </w:r>
      <w:proofErr w:type="spellEnd"/>
      <w:r w:rsidRPr="00694219">
        <w:rPr>
          <w:sz w:val="16"/>
          <w:lang w:val="en-US"/>
        </w:rPr>
        <w:t xml:space="preserve"> P, </w:t>
      </w:r>
      <w:proofErr w:type="spellStart"/>
      <w:r w:rsidRPr="00694219">
        <w:rPr>
          <w:sz w:val="16"/>
          <w:lang w:val="en-US"/>
        </w:rPr>
        <w:t>Genereau</w:t>
      </w:r>
      <w:proofErr w:type="spellEnd"/>
      <w:r w:rsidRPr="00694219">
        <w:rPr>
          <w:sz w:val="16"/>
          <w:lang w:val="en-US"/>
        </w:rPr>
        <w:t xml:space="preserve"> T, Sim</w:t>
      </w:r>
      <w:r w:rsidRPr="00694219">
        <w:rPr>
          <w:sz w:val="16"/>
          <w:lang w:val="en-US"/>
        </w:rPr>
        <w:t xml:space="preserve">on A, et al. Results and long-term </w:t>
      </w:r>
      <w:proofErr w:type="spellStart"/>
      <w:r w:rsidRPr="00694219">
        <w:rPr>
          <w:sz w:val="16"/>
          <w:lang w:val="en-US"/>
        </w:rPr>
        <w:t>followup</w:t>
      </w:r>
      <w:proofErr w:type="spellEnd"/>
      <w:r w:rsidRPr="00694219">
        <w:rPr>
          <w:sz w:val="16"/>
          <w:lang w:val="en-US"/>
        </w:rPr>
        <w:t xml:space="preserve"> of intravenous immunoglobulin infusions in chronic, refractory </w:t>
      </w:r>
      <w:proofErr w:type="spellStart"/>
      <w:r w:rsidRPr="00694219">
        <w:rPr>
          <w:sz w:val="16"/>
          <w:lang w:val="en-US"/>
        </w:rPr>
        <w:t>polymyositis</w:t>
      </w:r>
      <w:proofErr w:type="spellEnd"/>
      <w:r w:rsidRPr="00694219">
        <w:rPr>
          <w:sz w:val="16"/>
          <w:lang w:val="en-US"/>
        </w:rPr>
        <w:t>: an  open study with thirty-five adult patients. Arthritis Rheum. 2002</w:t>
      </w:r>
      <w:proofErr w:type="gramStart"/>
      <w:r w:rsidRPr="00694219">
        <w:rPr>
          <w:sz w:val="16"/>
          <w:lang w:val="en-US"/>
        </w:rPr>
        <w:t>;46</w:t>
      </w:r>
      <w:proofErr w:type="gramEnd"/>
      <w:r w:rsidRPr="00694219">
        <w:rPr>
          <w:sz w:val="16"/>
          <w:lang w:val="en-US"/>
        </w:rPr>
        <w:t>(2):467-74.</w:t>
      </w:r>
    </w:p>
    <w:p w:rsidR="003F1CD6" w:rsidRDefault="00694219">
      <w:pPr>
        <w:pStyle w:val="PargrafodaLista"/>
        <w:numPr>
          <w:ilvl w:val="0"/>
          <w:numId w:val="4"/>
        </w:numPr>
        <w:tabs>
          <w:tab w:val="left" w:pos="467"/>
        </w:tabs>
        <w:ind w:firstLine="0"/>
        <w:jc w:val="both"/>
        <w:rPr>
          <w:sz w:val="16"/>
        </w:rPr>
      </w:pPr>
      <w:proofErr w:type="spellStart"/>
      <w:r>
        <w:rPr>
          <w:sz w:val="16"/>
        </w:rPr>
        <w:t>Yu</w:t>
      </w:r>
      <w:proofErr w:type="spellEnd"/>
      <w:r>
        <w:rPr>
          <w:sz w:val="16"/>
        </w:rPr>
        <w:t xml:space="preserve"> </w:t>
      </w:r>
      <w:r>
        <w:rPr>
          <w:spacing w:val="-3"/>
          <w:sz w:val="16"/>
        </w:rPr>
        <w:t xml:space="preserve">L, </w:t>
      </w:r>
      <w:r>
        <w:rPr>
          <w:sz w:val="16"/>
        </w:rPr>
        <w:t xml:space="preserve">dos Santos BF, </w:t>
      </w:r>
      <w:proofErr w:type="spellStart"/>
      <w:r>
        <w:rPr>
          <w:sz w:val="16"/>
        </w:rPr>
        <w:t>Burdmann</w:t>
      </w:r>
      <w:proofErr w:type="spellEnd"/>
      <w:r>
        <w:rPr>
          <w:sz w:val="16"/>
        </w:rPr>
        <w:t xml:space="preserve"> EA, Suassuna JH, Bati</w:t>
      </w:r>
      <w:r>
        <w:rPr>
          <w:sz w:val="16"/>
        </w:rPr>
        <w:t xml:space="preserve">sta BP. Diretrizes da AMB e Sociedade Brasileira de Nefrologia para insuficiência renal aguda [Internet]. São Paulo: Sociedade Brasileira de Nefrologia (SBN); 2007 [acesso em </w:t>
      </w:r>
      <w:proofErr w:type="gramStart"/>
      <w:r>
        <w:rPr>
          <w:sz w:val="16"/>
        </w:rPr>
        <w:t xml:space="preserve">04 </w:t>
      </w:r>
      <w:proofErr w:type="spellStart"/>
      <w:r>
        <w:rPr>
          <w:sz w:val="16"/>
        </w:rPr>
        <w:t>fev</w:t>
      </w:r>
      <w:proofErr w:type="spellEnd"/>
      <w:proofErr w:type="gramEnd"/>
      <w:r>
        <w:rPr>
          <w:sz w:val="16"/>
        </w:rPr>
        <w:t xml:space="preserve"> 2015]. Disponível </w:t>
      </w:r>
      <w:proofErr w:type="gramStart"/>
      <w:r>
        <w:rPr>
          <w:sz w:val="16"/>
        </w:rPr>
        <w:t>em:</w:t>
      </w:r>
      <w:proofErr w:type="gramEnd"/>
      <w:r>
        <w:fldChar w:fldCharType="begin"/>
      </w:r>
      <w:r>
        <w:instrText xml:space="preserve"> HYPERLINK "http://sbn.org.br/app/uploads/Diretrize</w:instrText>
      </w:r>
      <w:r>
        <w:instrText xml:space="preserve">s_Insuficiencia_Renal_Aguda.p" \h </w:instrText>
      </w:r>
      <w:r>
        <w:fldChar w:fldCharType="separate"/>
      </w:r>
      <w:r>
        <w:rPr>
          <w:sz w:val="16"/>
        </w:rPr>
        <w:t xml:space="preserve"> </w:t>
      </w:r>
      <w:r>
        <w:rPr>
          <w:spacing w:val="-1"/>
          <w:sz w:val="16"/>
        </w:rPr>
        <w:t>http://sbn.org.br/app/uploads/Diretrizes_Insuficiencia_Renal_Aguda.p</w:t>
      </w:r>
      <w:r>
        <w:rPr>
          <w:spacing w:val="-1"/>
          <w:sz w:val="16"/>
        </w:rPr>
        <w:fldChar w:fldCharType="end"/>
      </w:r>
      <w:r>
        <w:rPr>
          <w:spacing w:val="-1"/>
          <w:sz w:val="16"/>
        </w:rPr>
        <w:t xml:space="preserve"> </w:t>
      </w:r>
      <w:proofErr w:type="spellStart"/>
      <w:r>
        <w:rPr>
          <w:sz w:val="16"/>
        </w:rPr>
        <w:t>df</w:t>
      </w:r>
      <w:proofErr w:type="spellEnd"/>
    </w:p>
    <w:p w:rsidR="003F1CD6" w:rsidRDefault="00694219">
      <w:pPr>
        <w:pStyle w:val="PargrafodaLista"/>
        <w:numPr>
          <w:ilvl w:val="0"/>
          <w:numId w:val="4"/>
        </w:numPr>
        <w:tabs>
          <w:tab w:val="left" w:pos="467"/>
          <w:tab w:val="left" w:pos="2587"/>
          <w:tab w:val="left" w:pos="4032"/>
        </w:tabs>
        <w:ind w:firstLine="0"/>
        <w:jc w:val="both"/>
        <w:rPr>
          <w:sz w:val="16"/>
        </w:rPr>
      </w:pPr>
      <w:proofErr w:type="spellStart"/>
      <w:r>
        <w:rPr>
          <w:sz w:val="16"/>
        </w:rPr>
        <w:t>Yamasaki</w:t>
      </w:r>
      <w:proofErr w:type="spellEnd"/>
      <w:r>
        <w:rPr>
          <w:sz w:val="16"/>
        </w:rPr>
        <w:t xml:space="preserve"> Y, Yamada H, </w:t>
      </w:r>
      <w:proofErr w:type="spellStart"/>
      <w:r>
        <w:rPr>
          <w:sz w:val="16"/>
        </w:rPr>
        <w:t>Yamasaki</w:t>
      </w:r>
      <w:proofErr w:type="spellEnd"/>
      <w:r>
        <w:rPr>
          <w:sz w:val="16"/>
        </w:rPr>
        <w:t xml:space="preserve"> M, </w:t>
      </w:r>
      <w:proofErr w:type="spellStart"/>
      <w:r>
        <w:rPr>
          <w:sz w:val="16"/>
        </w:rPr>
        <w:t>Ohkubo</w:t>
      </w:r>
      <w:proofErr w:type="spellEnd"/>
      <w:r>
        <w:rPr>
          <w:sz w:val="16"/>
        </w:rPr>
        <w:t xml:space="preserve"> M, </w:t>
      </w:r>
      <w:proofErr w:type="spellStart"/>
      <w:r>
        <w:rPr>
          <w:sz w:val="16"/>
        </w:rPr>
        <w:t>Azuma</w:t>
      </w:r>
      <w:proofErr w:type="spellEnd"/>
      <w:r>
        <w:rPr>
          <w:sz w:val="16"/>
        </w:rPr>
        <w:t xml:space="preserve"> K, Matsuoka S, </w:t>
      </w:r>
      <w:proofErr w:type="gramStart"/>
      <w:r>
        <w:rPr>
          <w:sz w:val="16"/>
        </w:rPr>
        <w:t>et</w:t>
      </w:r>
      <w:proofErr w:type="gramEnd"/>
      <w:r>
        <w:rPr>
          <w:sz w:val="16"/>
        </w:rPr>
        <w:t xml:space="preserve"> al. </w:t>
      </w:r>
      <w:r w:rsidRPr="00694219">
        <w:rPr>
          <w:sz w:val="16"/>
          <w:lang w:val="en-US"/>
        </w:rPr>
        <w:t xml:space="preserve">Intravenous cyclophosphamide therapy for progressive interstitial pneumonia </w:t>
      </w:r>
      <w:r w:rsidRPr="00694219">
        <w:rPr>
          <w:sz w:val="16"/>
          <w:lang w:val="en-US"/>
        </w:rPr>
        <w:t xml:space="preserve">in patients with </w:t>
      </w:r>
      <w:proofErr w:type="spellStart"/>
      <w:r w:rsidRPr="00694219">
        <w:rPr>
          <w:sz w:val="16"/>
          <w:lang w:val="en-US"/>
        </w:rPr>
        <w:t>polymyositis</w:t>
      </w:r>
      <w:proofErr w:type="spellEnd"/>
      <w:r w:rsidRPr="00694219">
        <w:rPr>
          <w:sz w:val="16"/>
          <w:lang w:val="en-US"/>
        </w:rPr>
        <w:t>/</w:t>
      </w:r>
      <w:proofErr w:type="spellStart"/>
      <w:r w:rsidRPr="00694219">
        <w:rPr>
          <w:sz w:val="16"/>
          <w:lang w:val="en-US"/>
        </w:rPr>
        <w:t>dermatomyositis</w:t>
      </w:r>
      <w:proofErr w:type="spellEnd"/>
      <w:r w:rsidRPr="00694219">
        <w:rPr>
          <w:sz w:val="16"/>
          <w:lang w:val="en-US"/>
        </w:rPr>
        <w:t>.</w:t>
      </w:r>
      <w:r w:rsidRPr="00694219">
        <w:rPr>
          <w:sz w:val="16"/>
          <w:lang w:val="en-US"/>
        </w:rPr>
        <w:tab/>
      </w:r>
      <w:proofErr w:type="spellStart"/>
      <w:r>
        <w:rPr>
          <w:sz w:val="16"/>
        </w:rPr>
        <w:t>Rheumatology</w:t>
      </w:r>
      <w:proofErr w:type="spellEnd"/>
      <w:r>
        <w:rPr>
          <w:sz w:val="16"/>
        </w:rPr>
        <w:tab/>
        <w:t xml:space="preserve">(Oxford). </w:t>
      </w:r>
      <w:proofErr w:type="gramStart"/>
      <w:r>
        <w:rPr>
          <w:sz w:val="16"/>
        </w:rPr>
        <w:t>2007;</w:t>
      </w:r>
      <w:proofErr w:type="gramEnd"/>
      <w:r>
        <w:rPr>
          <w:sz w:val="16"/>
        </w:rPr>
        <w:t>46(1):124-30.</w:t>
      </w:r>
    </w:p>
    <w:p w:rsidR="003F1CD6" w:rsidRDefault="00694219">
      <w:pPr>
        <w:pStyle w:val="PargrafodaLista"/>
        <w:numPr>
          <w:ilvl w:val="0"/>
          <w:numId w:val="4"/>
        </w:numPr>
        <w:tabs>
          <w:tab w:val="left" w:pos="467"/>
        </w:tabs>
        <w:ind w:firstLine="0"/>
        <w:jc w:val="both"/>
        <w:rPr>
          <w:sz w:val="16"/>
        </w:rPr>
      </w:pPr>
      <w:proofErr w:type="spellStart"/>
      <w:r w:rsidRPr="00694219">
        <w:rPr>
          <w:sz w:val="16"/>
          <w:lang w:val="en-US"/>
        </w:rPr>
        <w:t>Ang</w:t>
      </w:r>
      <w:proofErr w:type="spellEnd"/>
      <w:r w:rsidRPr="00694219">
        <w:rPr>
          <w:sz w:val="16"/>
          <w:lang w:val="en-US"/>
        </w:rPr>
        <w:t xml:space="preserve"> GC, </w:t>
      </w:r>
      <w:proofErr w:type="spellStart"/>
      <w:r w:rsidRPr="00694219">
        <w:rPr>
          <w:sz w:val="16"/>
          <w:lang w:val="en-US"/>
        </w:rPr>
        <w:t>Werth</w:t>
      </w:r>
      <w:proofErr w:type="spellEnd"/>
      <w:r w:rsidRPr="00694219">
        <w:rPr>
          <w:sz w:val="16"/>
          <w:lang w:val="en-US"/>
        </w:rPr>
        <w:t xml:space="preserve"> VP. Combination </w:t>
      </w:r>
      <w:proofErr w:type="spellStart"/>
      <w:r w:rsidRPr="00694219">
        <w:rPr>
          <w:sz w:val="16"/>
          <w:lang w:val="en-US"/>
        </w:rPr>
        <w:t>antimalarials</w:t>
      </w:r>
      <w:proofErr w:type="spellEnd"/>
      <w:r w:rsidRPr="00694219">
        <w:rPr>
          <w:sz w:val="16"/>
          <w:lang w:val="en-US"/>
        </w:rPr>
        <w:t xml:space="preserve"> in the treatment of cutaneous </w:t>
      </w:r>
      <w:proofErr w:type="spellStart"/>
      <w:r w:rsidRPr="00694219">
        <w:rPr>
          <w:sz w:val="16"/>
          <w:lang w:val="en-US"/>
        </w:rPr>
        <w:t>dermatomyositis</w:t>
      </w:r>
      <w:proofErr w:type="spellEnd"/>
      <w:r w:rsidRPr="00694219">
        <w:rPr>
          <w:sz w:val="16"/>
          <w:lang w:val="en-US"/>
        </w:rPr>
        <w:t xml:space="preserve">: a retrospective study. </w:t>
      </w:r>
      <w:proofErr w:type="spellStart"/>
      <w:r>
        <w:rPr>
          <w:sz w:val="16"/>
        </w:rPr>
        <w:t>Arch</w:t>
      </w:r>
      <w:proofErr w:type="spellEnd"/>
      <w:r>
        <w:rPr>
          <w:sz w:val="16"/>
        </w:rPr>
        <w:t xml:space="preserve"> </w:t>
      </w:r>
      <w:proofErr w:type="spellStart"/>
      <w:r>
        <w:rPr>
          <w:sz w:val="16"/>
        </w:rPr>
        <w:t>Dermatol</w:t>
      </w:r>
      <w:proofErr w:type="spellEnd"/>
      <w:r>
        <w:rPr>
          <w:sz w:val="16"/>
        </w:rPr>
        <w:t xml:space="preserve">. </w:t>
      </w:r>
      <w:proofErr w:type="gramStart"/>
      <w:r>
        <w:rPr>
          <w:sz w:val="16"/>
        </w:rPr>
        <w:t>2005;</w:t>
      </w:r>
      <w:proofErr w:type="gramEnd"/>
      <w:r>
        <w:rPr>
          <w:sz w:val="16"/>
        </w:rPr>
        <w:t>141(7):855-9.</w:t>
      </w:r>
    </w:p>
    <w:p w:rsidR="003F1CD6" w:rsidRDefault="00694219">
      <w:pPr>
        <w:pStyle w:val="PargrafodaLista"/>
        <w:numPr>
          <w:ilvl w:val="0"/>
          <w:numId w:val="4"/>
        </w:numPr>
        <w:tabs>
          <w:tab w:val="left" w:pos="467"/>
        </w:tabs>
        <w:ind w:right="0" w:firstLine="0"/>
        <w:jc w:val="both"/>
        <w:rPr>
          <w:sz w:val="16"/>
        </w:rPr>
      </w:pPr>
      <w:r w:rsidRPr="00694219">
        <w:rPr>
          <w:sz w:val="16"/>
          <w:lang w:val="en-US"/>
        </w:rPr>
        <w:t xml:space="preserve">Woo TY, </w:t>
      </w:r>
      <w:proofErr w:type="spellStart"/>
      <w:r w:rsidRPr="00694219">
        <w:rPr>
          <w:sz w:val="16"/>
          <w:lang w:val="en-US"/>
        </w:rPr>
        <w:t>Callen</w:t>
      </w:r>
      <w:proofErr w:type="spellEnd"/>
      <w:r w:rsidRPr="00694219">
        <w:rPr>
          <w:sz w:val="16"/>
          <w:lang w:val="en-US"/>
        </w:rPr>
        <w:t xml:space="preserve"> JP, </w:t>
      </w:r>
      <w:r w:rsidRPr="00694219">
        <w:rPr>
          <w:sz w:val="16"/>
          <w:lang w:val="en-US"/>
        </w:rPr>
        <w:t xml:space="preserve">Voorhees JJ, Bickers DR, Hanno R, </w:t>
      </w:r>
      <w:proofErr w:type="gramStart"/>
      <w:r w:rsidRPr="00694219">
        <w:rPr>
          <w:sz w:val="16"/>
          <w:lang w:val="en-US"/>
        </w:rPr>
        <w:t>Hawkins</w:t>
      </w:r>
      <w:proofErr w:type="gramEnd"/>
      <w:r w:rsidRPr="00694219">
        <w:rPr>
          <w:sz w:val="16"/>
          <w:lang w:val="en-US"/>
        </w:rPr>
        <w:t xml:space="preserve"> C. Cutaneous lesions of </w:t>
      </w:r>
      <w:proofErr w:type="spellStart"/>
      <w:r w:rsidRPr="00694219">
        <w:rPr>
          <w:sz w:val="16"/>
          <w:lang w:val="en-US"/>
        </w:rPr>
        <w:t>dermatomyositis</w:t>
      </w:r>
      <w:proofErr w:type="spellEnd"/>
      <w:r w:rsidRPr="00694219">
        <w:rPr>
          <w:sz w:val="16"/>
          <w:lang w:val="en-US"/>
        </w:rPr>
        <w:t xml:space="preserve"> are improved by </w:t>
      </w:r>
      <w:proofErr w:type="spellStart"/>
      <w:r w:rsidRPr="00694219">
        <w:rPr>
          <w:sz w:val="16"/>
          <w:lang w:val="en-US"/>
        </w:rPr>
        <w:t>hydroxychloroquine</w:t>
      </w:r>
      <w:proofErr w:type="spellEnd"/>
      <w:r w:rsidRPr="00694219">
        <w:rPr>
          <w:sz w:val="16"/>
          <w:lang w:val="en-US"/>
        </w:rPr>
        <w:t xml:space="preserve">. </w:t>
      </w:r>
      <w:r>
        <w:rPr>
          <w:sz w:val="16"/>
        </w:rPr>
        <w:t xml:space="preserve">J </w:t>
      </w:r>
      <w:proofErr w:type="spellStart"/>
      <w:proofErr w:type="gramStart"/>
      <w:r>
        <w:rPr>
          <w:sz w:val="16"/>
        </w:rPr>
        <w:t>Am</w:t>
      </w:r>
      <w:proofErr w:type="spellEnd"/>
      <w:proofErr w:type="gramEnd"/>
      <w:r>
        <w:rPr>
          <w:sz w:val="16"/>
        </w:rPr>
        <w:t xml:space="preserve"> </w:t>
      </w:r>
      <w:proofErr w:type="spellStart"/>
      <w:r>
        <w:rPr>
          <w:sz w:val="16"/>
        </w:rPr>
        <w:t>Acad</w:t>
      </w:r>
      <w:proofErr w:type="spellEnd"/>
      <w:r>
        <w:rPr>
          <w:sz w:val="16"/>
        </w:rPr>
        <w:t xml:space="preserve"> </w:t>
      </w:r>
      <w:proofErr w:type="spellStart"/>
      <w:r>
        <w:rPr>
          <w:sz w:val="16"/>
        </w:rPr>
        <w:t>Dermatol</w:t>
      </w:r>
      <w:proofErr w:type="spellEnd"/>
      <w:r>
        <w:rPr>
          <w:sz w:val="16"/>
        </w:rPr>
        <w:t>.</w:t>
      </w:r>
      <w:r>
        <w:rPr>
          <w:spacing w:val="-6"/>
          <w:sz w:val="16"/>
        </w:rPr>
        <w:t xml:space="preserve"> </w:t>
      </w:r>
      <w:proofErr w:type="gramStart"/>
      <w:r>
        <w:rPr>
          <w:sz w:val="16"/>
        </w:rPr>
        <w:t>1984;</w:t>
      </w:r>
      <w:proofErr w:type="gramEnd"/>
      <w:r>
        <w:rPr>
          <w:sz w:val="16"/>
        </w:rPr>
        <w:t>10(4):592-600.</w:t>
      </w:r>
    </w:p>
    <w:p w:rsidR="003F1CD6" w:rsidRDefault="003F1CD6">
      <w:pPr>
        <w:jc w:val="both"/>
        <w:rPr>
          <w:sz w:val="16"/>
        </w:rPr>
        <w:sectPr w:rsidR="003F1CD6">
          <w:pgSz w:w="5110" w:h="16850"/>
          <w:pgMar w:top="480" w:right="0" w:bottom="280" w:left="460" w:header="720" w:footer="720" w:gutter="0"/>
          <w:cols w:space="720"/>
        </w:sectPr>
      </w:pPr>
    </w:p>
    <w:p w:rsidR="003F1CD6" w:rsidRDefault="00694219">
      <w:pPr>
        <w:pStyle w:val="Corpodetexto"/>
        <w:spacing w:before="80"/>
        <w:ind w:left="270" w:right="162" w:hanging="1"/>
        <w:jc w:val="center"/>
      </w:pPr>
      <w:r>
        <w:lastRenderedPageBreak/>
        <w:t>TERMO DE ESCLARECIMENTO E RESPONSABILIDADE AZATIOPRINA, METOTREXATO, HIDROXICLOROQUINA, CICLOSPORINA E IMUNOGLOBULINA HUMANA.</w:t>
      </w:r>
    </w:p>
    <w:p w:rsidR="003F1CD6" w:rsidRDefault="003F1CD6">
      <w:pPr>
        <w:pStyle w:val="Corpodetexto"/>
        <w:spacing w:before="1"/>
        <w:ind w:left="0"/>
        <w:jc w:val="left"/>
      </w:pPr>
    </w:p>
    <w:p w:rsidR="003F1CD6" w:rsidRDefault="00694219">
      <w:pPr>
        <w:pStyle w:val="Corpodetexto"/>
        <w:tabs>
          <w:tab w:val="left" w:pos="4668"/>
        </w:tabs>
        <w:ind w:left="814" w:right="-29"/>
        <w:jc w:val="left"/>
      </w:pPr>
      <w:r>
        <w:t>Eu,</w:t>
      </w:r>
      <w:r>
        <w:rPr>
          <w:u w:val="single"/>
        </w:rPr>
        <w:t xml:space="preserve"> </w:t>
      </w:r>
      <w:r>
        <w:rPr>
          <w:u w:val="single"/>
        </w:rPr>
        <w:tab/>
      </w:r>
    </w:p>
    <w:p w:rsidR="003F1CD6" w:rsidRDefault="00694219">
      <w:pPr>
        <w:pStyle w:val="Corpodetexto"/>
        <w:tabs>
          <w:tab w:val="left" w:pos="1229"/>
        </w:tabs>
        <w:spacing w:before="1"/>
        <w:ind w:right="-15"/>
        <w:jc w:val="right"/>
      </w:pPr>
      <w:r>
        <w:rPr>
          <w:u w:val="single"/>
        </w:rPr>
        <w:t xml:space="preserve"> </w:t>
      </w:r>
      <w:r>
        <w:rPr>
          <w:u w:val="single"/>
        </w:rPr>
        <w:tab/>
      </w:r>
      <w:r>
        <w:t xml:space="preserve">(nome </w:t>
      </w:r>
      <w:proofErr w:type="gramStart"/>
      <w:r>
        <w:t>do(</w:t>
      </w:r>
      <w:proofErr w:type="gramEnd"/>
      <w:r>
        <w:t>a) paciente), declaro ter</w:t>
      </w:r>
      <w:r>
        <w:rPr>
          <w:spacing w:val="21"/>
        </w:rPr>
        <w:t xml:space="preserve"> </w:t>
      </w:r>
      <w:r>
        <w:t>sido</w:t>
      </w:r>
      <w:r>
        <w:rPr>
          <w:spacing w:val="4"/>
        </w:rPr>
        <w:t xml:space="preserve"> </w:t>
      </w:r>
      <w:r>
        <w:t>informado(a)</w:t>
      </w:r>
      <w:r>
        <w:t xml:space="preserve"> </w:t>
      </w:r>
      <w:r>
        <w:t>claramente sobre os benefícios, riscos, contraindicações</w:t>
      </w:r>
      <w:r>
        <w:rPr>
          <w:spacing w:val="2"/>
        </w:rPr>
        <w:t xml:space="preserve"> </w:t>
      </w:r>
      <w:r>
        <w:t>e</w:t>
      </w:r>
      <w:r>
        <w:rPr>
          <w:spacing w:val="19"/>
        </w:rPr>
        <w:t xml:space="preserve"> </w:t>
      </w:r>
      <w:r>
        <w:t>principai</w:t>
      </w:r>
      <w:r>
        <w:t>s</w:t>
      </w:r>
      <w:r>
        <w:t xml:space="preserve"> </w:t>
      </w:r>
      <w:r>
        <w:t>efeitos</w:t>
      </w:r>
      <w:r>
        <w:rPr>
          <w:spacing w:val="22"/>
        </w:rPr>
        <w:t xml:space="preserve"> </w:t>
      </w:r>
      <w:r>
        <w:t>adversos</w:t>
      </w:r>
      <w:r>
        <w:rPr>
          <w:spacing w:val="22"/>
        </w:rPr>
        <w:t xml:space="preserve"> </w:t>
      </w:r>
      <w:r>
        <w:t>relacionados</w:t>
      </w:r>
      <w:r>
        <w:rPr>
          <w:spacing w:val="23"/>
        </w:rPr>
        <w:t xml:space="preserve"> </w:t>
      </w:r>
      <w:r>
        <w:t>ao</w:t>
      </w:r>
      <w:r>
        <w:rPr>
          <w:spacing w:val="19"/>
        </w:rPr>
        <w:t xml:space="preserve"> </w:t>
      </w:r>
      <w:r>
        <w:t>uso</w:t>
      </w:r>
      <w:r>
        <w:rPr>
          <w:spacing w:val="22"/>
        </w:rPr>
        <w:t xml:space="preserve"> </w:t>
      </w:r>
      <w:r>
        <w:t>dos</w:t>
      </w:r>
      <w:r>
        <w:rPr>
          <w:spacing w:val="22"/>
        </w:rPr>
        <w:t xml:space="preserve"> </w:t>
      </w:r>
      <w:r>
        <w:t>medicamentos</w:t>
      </w:r>
      <w:r>
        <w:rPr>
          <w:spacing w:val="28"/>
        </w:rPr>
        <w:t xml:space="preserve"> </w:t>
      </w:r>
      <w:proofErr w:type="spellStart"/>
      <w:r>
        <w:t>azatioprina</w:t>
      </w:r>
      <w:proofErr w:type="spellEnd"/>
      <w:r>
        <w:t>,</w:t>
      </w:r>
      <w:r>
        <w:t xml:space="preserve"> </w:t>
      </w:r>
      <w:proofErr w:type="spellStart"/>
      <w:r>
        <w:t>metotrexato</w:t>
      </w:r>
      <w:proofErr w:type="spellEnd"/>
      <w:r>
        <w:t xml:space="preserve">, </w:t>
      </w:r>
      <w:proofErr w:type="spellStart"/>
      <w:r>
        <w:t>hidroxicloroquina</w:t>
      </w:r>
      <w:proofErr w:type="spellEnd"/>
      <w:r>
        <w:t>, ciclosporina</w:t>
      </w:r>
      <w:r>
        <w:rPr>
          <w:spacing w:val="1"/>
        </w:rPr>
        <w:t xml:space="preserve"> </w:t>
      </w:r>
      <w:r>
        <w:t>e</w:t>
      </w:r>
      <w:r>
        <w:rPr>
          <w:spacing w:val="39"/>
        </w:rPr>
        <w:t xml:space="preserve"> </w:t>
      </w:r>
      <w:r>
        <w:t>imunoglobulina</w:t>
      </w:r>
      <w:r>
        <w:t xml:space="preserve"> </w:t>
      </w:r>
      <w:r>
        <w:t>humana,</w:t>
      </w:r>
      <w:r>
        <w:rPr>
          <w:spacing w:val="-5"/>
        </w:rPr>
        <w:t xml:space="preserve"> </w:t>
      </w:r>
      <w:r>
        <w:t>indicados</w:t>
      </w:r>
      <w:r>
        <w:rPr>
          <w:spacing w:val="-5"/>
        </w:rPr>
        <w:t xml:space="preserve"> </w:t>
      </w:r>
      <w:r>
        <w:t>para</w:t>
      </w:r>
      <w:r>
        <w:rPr>
          <w:spacing w:val="-1"/>
        </w:rPr>
        <w:t xml:space="preserve"> </w:t>
      </w:r>
      <w:r>
        <w:t>o</w:t>
      </w:r>
      <w:r>
        <w:rPr>
          <w:spacing w:val="-6"/>
        </w:rPr>
        <w:t xml:space="preserve"> </w:t>
      </w:r>
      <w:r>
        <w:t>tratamento</w:t>
      </w:r>
      <w:r>
        <w:rPr>
          <w:spacing w:val="-6"/>
        </w:rPr>
        <w:t xml:space="preserve"> </w:t>
      </w:r>
      <w:r>
        <w:t>da</w:t>
      </w:r>
      <w:r>
        <w:rPr>
          <w:spacing w:val="-1"/>
        </w:rPr>
        <w:t xml:space="preserve"> </w:t>
      </w:r>
      <w:proofErr w:type="spellStart"/>
      <w:r>
        <w:t>dermatomiosite</w:t>
      </w:r>
      <w:proofErr w:type="spellEnd"/>
      <w:r>
        <w:rPr>
          <w:spacing w:val="-5"/>
        </w:rPr>
        <w:t xml:space="preserve"> </w:t>
      </w:r>
      <w:r>
        <w:t>e</w:t>
      </w:r>
      <w:r>
        <w:rPr>
          <w:spacing w:val="-3"/>
        </w:rPr>
        <w:t xml:space="preserve"> </w:t>
      </w:r>
      <w:proofErr w:type="spellStart"/>
      <w:r>
        <w:t>polimiosite</w:t>
      </w:r>
      <w:proofErr w:type="spellEnd"/>
      <w:r>
        <w:t>.</w:t>
      </w:r>
    </w:p>
    <w:p w:rsidR="003F1CD6" w:rsidRDefault="00694219">
      <w:pPr>
        <w:pStyle w:val="Corpodetexto"/>
        <w:tabs>
          <w:tab w:val="left" w:pos="1172"/>
          <w:tab w:val="left" w:pos="2120"/>
          <w:tab w:val="left" w:pos="3332"/>
          <w:tab w:val="left" w:pos="4172"/>
        </w:tabs>
        <w:ind w:right="-15" w:firstLine="566"/>
        <w:jc w:val="right"/>
      </w:pPr>
      <w:r>
        <w:t>Os</w:t>
      </w:r>
      <w:r>
        <w:rPr>
          <w:spacing w:val="20"/>
        </w:rPr>
        <w:t xml:space="preserve"> </w:t>
      </w:r>
      <w:r>
        <w:t>termos</w:t>
      </w:r>
      <w:r>
        <w:rPr>
          <w:spacing w:val="20"/>
        </w:rPr>
        <w:t xml:space="preserve"> </w:t>
      </w:r>
      <w:r>
        <w:t>médicos</w:t>
      </w:r>
      <w:r>
        <w:rPr>
          <w:spacing w:val="20"/>
        </w:rPr>
        <w:t xml:space="preserve"> </w:t>
      </w:r>
      <w:r>
        <w:t>me</w:t>
      </w:r>
      <w:r>
        <w:rPr>
          <w:spacing w:val="18"/>
        </w:rPr>
        <w:t xml:space="preserve"> </w:t>
      </w:r>
      <w:r>
        <w:t>foram</w:t>
      </w:r>
      <w:r>
        <w:rPr>
          <w:spacing w:val="19"/>
        </w:rPr>
        <w:t xml:space="preserve"> </w:t>
      </w:r>
      <w:r>
        <w:t>explicados</w:t>
      </w:r>
      <w:r>
        <w:rPr>
          <w:spacing w:val="21"/>
        </w:rPr>
        <w:t xml:space="preserve"> </w:t>
      </w:r>
      <w:r>
        <w:t>e</w:t>
      </w:r>
      <w:r>
        <w:rPr>
          <w:spacing w:val="18"/>
        </w:rPr>
        <w:t xml:space="preserve"> </w:t>
      </w:r>
      <w:r>
        <w:t>todas</w:t>
      </w:r>
      <w:r>
        <w:rPr>
          <w:spacing w:val="17"/>
        </w:rPr>
        <w:t xml:space="preserve"> </w:t>
      </w:r>
      <w:r>
        <w:t>as</w:t>
      </w:r>
      <w:r>
        <w:rPr>
          <w:spacing w:val="20"/>
        </w:rPr>
        <w:t xml:space="preserve"> </w:t>
      </w:r>
      <w:r>
        <w:t>minhas</w:t>
      </w:r>
      <w:r>
        <w:t xml:space="preserve"> </w:t>
      </w:r>
      <w:r>
        <w:t>dúvidas</w:t>
      </w:r>
      <w:r>
        <w:tab/>
        <w:t>foram</w:t>
      </w:r>
      <w:r>
        <w:tab/>
        <w:t>resolvidas</w:t>
      </w:r>
      <w:r>
        <w:tab/>
        <w:t>pelo</w:t>
      </w:r>
      <w:r>
        <w:tab/>
      </w:r>
      <w:r>
        <w:rPr>
          <w:spacing w:val="-1"/>
        </w:rPr>
        <w:t>médico</w:t>
      </w:r>
    </w:p>
    <w:p w:rsidR="003F1CD6" w:rsidRDefault="00694219">
      <w:pPr>
        <w:pStyle w:val="Corpodetexto"/>
        <w:spacing w:before="10"/>
        <w:ind w:left="0"/>
        <w:jc w:val="left"/>
        <w:rPr>
          <w:sz w:val="11"/>
        </w:rPr>
      </w:pPr>
      <w:r>
        <w:pict>
          <v:line id="_x0000_s1030" style="position:absolute;z-index:-251659776;mso-wrap-distance-left:0;mso-wrap-distance-right:0;mso-position-horizontal-relative:page" from="28.35pt,9pt" to="236.3pt,9pt" strokeweight=".1134mm">
            <w10:wrap type="topAndBottom" anchorx="page"/>
          </v:line>
        </w:pict>
      </w:r>
    </w:p>
    <w:p w:rsidR="003F1CD6" w:rsidRDefault="00694219">
      <w:pPr>
        <w:pStyle w:val="Corpodetexto"/>
        <w:spacing w:line="153" w:lineRule="exact"/>
        <w:jc w:val="left"/>
      </w:pPr>
      <w:r>
        <w:t>(nome do médico que prescreve).</w:t>
      </w:r>
    </w:p>
    <w:p w:rsidR="003F1CD6" w:rsidRDefault="00694219">
      <w:pPr>
        <w:pStyle w:val="Corpodetexto"/>
        <w:ind w:right="-15" w:firstLine="566"/>
      </w:pPr>
      <w:r>
        <w:t xml:space="preserve">Assim, declaro que fui claramente </w:t>
      </w:r>
      <w:proofErr w:type="gramStart"/>
      <w:r>
        <w:t>informado(</w:t>
      </w:r>
      <w:proofErr w:type="gramEnd"/>
      <w:r>
        <w:t>a) de que o(s) medicamento(s) que passo a receber pode trazer os seguintes benefícios:</w:t>
      </w:r>
    </w:p>
    <w:p w:rsidR="003F1CD6" w:rsidRDefault="00694219">
      <w:pPr>
        <w:pStyle w:val="PargrafodaLista"/>
        <w:numPr>
          <w:ilvl w:val="0"/>
          <w:numId w:val="3"/>
        </w:numPr>
        <w:tabs>
          <w:tab w:val="left" w:pos="767"/>
        </w:tabs>
        <w:ind w:right="0" w:firstLine="567"/>
        <w:jc w:val="left"/>
        <w:rPr>
          <w:sz w:val="16"/>
        </w:rPr>
      </w:pPr>
      <w:proofErr w:type="gramStart"/>
      <w:r>
        <w:rPr>
          <w:sz w:val="16"/>
        </w:rPr>
        <w:t>melhora</w:t>
      </w:r>
      <w:proofErr w:type="gramEnd"/>
      <w:r>
        <w:rPr>
          <w:sz w:val="16"/>
        </w:rPr>
        <w:t xml:space="preserve"> da força</w:t>
      </w:r>
      <w:r>
        <w:rPr>
          <w:spacing w:val="-1"/>
          <w:sz w:val="16"/>
        </w:rPr>
        <w:t xml:space="preserve"> </w:t>
      </w:r>
      <w:r>
        <w:rPr>
          <w:sz w:val="16"/>
        </w:rPr>
        <w:t>muscular;</w:t>
      </w:r>
    </w:p>
    <w:p w:rsidR="003F1CD6" w:rsidRDefault="00694219">
      <w:pPr>
        <w:pStyle w:val="PargrafodaLista"/>
        <w:numPr>
          <w:ilvl w:val="0"/>
          <w:numId w:val="3"/>
        </w:numPr>
        <w:tabs>
          <w:tab w:val="left" w:pos="923"/>
        </w:tabs>
        <w:ind w:right="1" w:firstLine="567"/>
        <w:rPr>
          <w:sz w:val="16"/>
        </w:rPr>
      </w:pPr>
      <w:proofErr w:type="gramStart"/>
      <w:r>
        <w:rPr>
          <w:sz w:val="16"/>
        </w:rPr>
        <w:t>prevenção</w:t>
      </w:r>
      <w:proofErr w:type="gramEnd"/>
      <w:r>
        <w:rPr>
          <w:sz w:val="16"/>
        </w:rPr>
        <w:t xml:space="preserve"> do desenvolviment</w:t>
      </w:r>
      <w:r>
        <w:rPr>
          <w:sz w:val="16"/>
        </w:rPr>
        <w:t xml:space="preserve">o de complicações </w:t>
      </w:r>
      <w:proofErr w:type="spellStart"/>
      <w:r>
        <w:rPr>
          <w:sz w:val="16"/>
        </w:rPr>
        <w:t>extramusculares</w:t>
      </w:r>
      <w:proofErr w:type="spellEnd"/>
      <w:r>
        <w:rPr>
          <w:sz w:val="16"/>
        </w:rPr>
        <w:t>;</w:t>
      </w:r>
    </w:p>
    <w:p w:rsidR="003F1CD6" w:rsidRDefault="00694219">
      <w:pPr>
        <w:pStyle w:val="PargrafodaLista"/>
        <w:numPr>
          <w:ilvl w:val="0"/>
          <w:numId w:val="3"/>
        </w:numPr>
        <w:tabs>
          <w:tab w:val="left" w:pos="767"/>
        </w:tabs>
        <w:spacing w:line="183" w:lineRule="exact"/>
        <w:ind w:right="0" w:firstLine="567"/>
        <w:jc w:val="left"/>
        <w:rPr>
          <w:sz w:val="16"/>
        </w:rPr>
      </w:pPr>
      <w:proofErr w:type="gramStart"/>
      <w:r>
        <w:rPr>
          <w:sz w:val="16"/>
        </w:rPr>
        <w:t>controle</w:t>
      </w:r>
      <w:proofErr w:type="gramEnd"/>
      <w:r>
        <w:rPr>
          <w:sz w:val="16"/>
        </w:rPr>
        <w:t xml:space="preserve"> das manifestações da pele na</w:t>
      </w:r>
      <w:r>
        <w:rPr>
          <w:spacing w:val="-15"/>
          <w:sz w:val="16"/>
        </w:rPr>
        <w:t xml:space="preserve"> </w:t>
      </w:r>
      <w:proofErr w:type="spellStart"/>
      <w:r>
        <w:rPr>
          <w:sz w:val="16"/>
        </w:rPr>
        <w:t>dermatomiosite</w:t>
      </w:r>
      <w:proofErr w:type="spellEnd"/>
      <w:r>
        <w:rPr>
          <w:sz w:val="16"/>
        </w:rPr>
        <w:t>.</w:t>
      </w:r>
    </w:p>
    <w:p w:rsidR="003F1CD6" w:rsidRDefault="00694219">
      <w:pPr>
        <w:pStyle w:val="Corpodetexto"/>
        <w:spacing w:before="1"/>
        <w:ind w:right="-15" w:firstLine="566"/>
      </w:pPr>
      <w:r>
        <w:t xml:space="preserve">Fui também claramente </w:t>
      </w:r>
      <w:proofErr w:type="gramStart"/>
      <w:r>
        <w:t>informado(</w:t>
      </w:r>
      <w:proofErr w:type="gramEnd"/>
      <w:r>
        <w:t>a) a respeito das seguintes contraindicações, potenciais efeitos adversos e riscos do uso desses medicamentos:</w:t>
      </w:r>
    </w:p>
    <w:p w:rsidR="003F1CD6" w:rsidRDefault="00694219">
      <w:pPr>
        <w:pStyle w:val="PargrafodaLista"/>
        <w:numPr>
          <w:ilvl w:val="0"/>
          <w:numId w:val="3"/>
        </w:numPr>
        <w:tabs>
          <w:tab w:val="left" w:pos="794"/>
        </w:tabs>
        <w:ind w:right="1" w:firstLine="567"/>
        <w:rPr>
          <w:sz w:val="16"/>
        </w:rPr>
      </w:pPr>
      <w:proofErr w:type="gramStart"/>
      <w:r>
        <w:rPr>
          <w:sz w:val="16"/>
        </w:rPr>
        <w:t>não</w:t>
      </w:r>
      <w:proofErr w:type="gramEnd"/>
      <w:r>
        <w:rPr>
          <w:sz w:val="16"/>
        </w:rPr>
        <w:t xml:space="preserve"> se sabe ao certo os riscos do uso dos medicamentos ciclosporina e imunoglobulina na gravidez; portanto, caso engravide, devo avisar imediatamente ao meu</w:t>
      </w:r>
      <w:r>
        <w:rPr>
          <w:spacing w:val="-7"/>
          <w:sz w:val="16"/>
        </w:rPr>
        <w:t xml:space="preserve"> </w:t>
      </w:r>
      <w:r>
        <w:rPr>
          <w:sz w:val="16"/>
        </w:rPr>
        <w:t>médico;</w:t>
      </w:r>
    </w:p>
    <w:p w:rsidR="003F1CD6" w:rsidRDefault="00694219">
      <w:pPr>
        <w:pStyle w:val="PargrafodaLista"/>
        <w:numPr>
          <w:ilvl w:val="0"/>
          <w:numId w:val="3"/>
        </w:numPr>
        <w:tabs>
          <w:tab w:val="left" w:pos="801"/>
        </w:tabs>
        <w:ind w:right="2" w:firstLine="567"/>
        <w:rPr>
          <w:sz w:val="16"/>
        </w:rPr>
      </w:pPr>
      <w:proofErr w:type="gramStart"/>
      <w:r>
        <w:rPr>
          <w:sz w:val="16"/>
        </w:rPr>
        <w:t>a</w:t>
      </w:r>
      <w:proofErr w:type="gramEnd"/>
      <w:r>
        <w:rPr>
          <w:sz w:val="16"/>
        </w:rPr>
        <w:t xml:space="preserve"> ciclofosfamida não deve ser usada durante a gestação, devido ao risco de má formação do</w:t>
      </w:r>
      <w:r>
        <w:rPr>
          <w:spacing w:val="-12"/>
          <w:sz w:val="16"/>
        </w:rPr>
        <w:t xml:space="preserve"> </w:t>
      </w:r>
      <w:r>
        <w:rPr>
          <w:sz w:val="16"/>
        </w:rPr>
        <w:t>f</w:t>
      </w:r>
      <w:r>
        <w:rPr>
          <w:sz w:val="16"/>
        </w:rPr>
        <w:t>eto;</w:t>
      </w:r>
    </w:p>
    <w:p w:rsidR="003F1CD6" w:rsidRDefault="00694219">
      <w:pPr>
        <w:pStyle w:val="PargrafodaLista"/>
        <w:numPr>
          <w:ilvl w:val="0"/>
          <w:numId w:val="3"/>
        </w:numPr>
        <w:tabs>
          <w:tab w:val="left" w:pos="808"/>
        </w:tabs>
        <w:ind w:right="1" w:firstLine="567"/>
        <w:rPr>
          <w:sz w:val="16"/>
        </w:rPr>
      </w:pPr>
      <w:proofErr w:type="gramStart"/>
      <w:r>
        <w:rPr>
          <w:sz w:val="16"/>
        </w:rPr>
        <w:t>há</w:t>
      </w:r>
      <w:proofErr w:type="gramEnd"/>
      <w:r>
        <w:rPr>
          <w:sz w:val="16"/>
        </w:rPr>
        <w:t xml:space="preserve"> riscos para o uso da </w:t>
      </w:r>
      <w:proofErr w:type="spellStart"/>
      <w:r>
        <w:rPr>
          <w:sz w:val="16"/>
        </w:rPr>
        <w:t>azatioprina</w:t>
      </w:r>
      <w:proofErr w:type="spellEnd"/>
      <w:r>
        <w:rPr>
          <w:sz w:val="16"/>
        </w:rPr>
        <w:t xml:space="preserve"> durante a gravidez, porém o benefício pode ser maior que os riscos, e isso deve ser discutido com o meu</w:t>
      </w:r>
      <w:r>
        <w:rPr>
          <w:spacing w:val="-2"/>
          <w:sz w:val="16"/>
        </w:rPr>
        <w:t xml:space="preserve"> </w:t>
      </w:r>
      <w:r>
        <w:rPr>
          <w:sz w:val="16"/>
        </w:rPr>
        <w:t>médico;</w:t>
      </w:r>
    </w:p>
    <w:p w:rsidR="003F1CD6" w:rsidRDefault="00694219">
      <w:pPr>
        <w:pStyle w:val="PargrafodaLista"/>
        <w:numPr>
          <w:ilvl w:val="0"/>
          <w:numId w:val="3"/>
        </w:numPr>
        <w:tabs>
          <w:tab w:val="left" w:pos="820"/>
        </w:tabs>
        <w:ind w:right="0" w:firstLine="567"/>
        <w:rPr>
          <w:sz w:val="16"/>
        </w:rPr>
      </w:pPr>
      <w:proofErr w:type="gramStart"/>
      <w:r>
        <w:rPr>
          <w:sz w:val="16"/>
        </w:rPr>
        <w:t>os</w:t>
      </w:r>
      <w:proofErr w:type="gramEnd"/>
      <w:r>
        <w:rPr>
          <w:sz w:val="16"/>
        </w:rPr>
        <w:t xml:space="preserve"> efeitos adversos mais comumente relatados para os medicamentos</w:t>
      </w:r>
      <w:r>
        <w:rPr>
          <w:spacing w:val="-1"/>
          <w:sz w:val="16"/>
        </w:rPr>
        <w:t xml:space="preserve"> </w:t>
      </w:r>
      <w:r>
        <w:rPr>
          <w:sz w:val="16"/>
        </w:rPr>
        <w:t>são:</w:t>
      </w:r>
    </w:p>
    <w:p w:rsidR="003F1CD6" w:rsidRDefault="00694219">
      <w:pPr>
        <w:pStyle w:val="PargrafodaLista"/>
        <w:numPr>
          <w:ilvl w:val="0"/>
          <w:numId w:val="3"/>
        </w:numPr>
        <w:tabs>
          <w:tab w:val="left" w:pos="856"/>
        </w:tabs>
        <w:spacing w:before="1"/>
        <w:ind w:firstLine="567"/>
        <w:rPr>
          <w:sz w:val="16"/>
        </w:rPr>
      </w:pPr>
      <w:proofErr w:type="gramStart"/>
      <w:r>
        <w:rPr>
          <w:sz w:val="16"/>
        </w:rPr>
        <w:t>para</w:t>
      </w:r>
      <w:proofErr w:type="gramEnd"/>
      <w:r>
        <w:rPr>
          <w:sz w:val="16"/>
        </w:rPr>
        <w:t xml:space="preserve"> a </w:t>
      </w:r>
      <w:proofErr w:type="spellStart"/>
      <w:r>
        <w:rPr>
          <w:sz w:val="16"/>
        </w:rPr>
        <w:t>azatioprina</w:t>
      </w:r>
      <w:proofErr w:type="spellEnd"/>
      <w:r>
        <w:rPr>
          <w:sz w:val="16"/>
        </w:rPr>
        <w:t>: diminuição d</w:t>
      </w:r>
      <w:r>
        <w:rPr>
          <w:sz w:val="16"/>
        </w:rPr>
        <w:t>as células brancas, vermelhas e plaquetas do sangue, náusea, vômitos, diarreia, dor abdominal, fezes com sangue, problemas no fígado, febre, calafrios, diminuição de apetite, vermelhidão de pele, perda de cabelo, aftas, dores nas juntas, problemas nos olho</w:t>
      </w:r>
      <w:r>
        <w:rPr>
          <w:sz w:val="16"/>
        </w:rPr>
        <w:t>s (retinopatia), falta de ar e pressão</w:t>
      </w:r>
      <w:r>
        <w:rPr>
          <w:spacing w:val="-2"/>
          <w:sz w:val="16"/>
        </w:rPr>
        <w:t xml:space="preserve"> </w:t>
      </w:r>
      <w:r>
        <w:rPr>
          <w:sz w:val="16"/>
        </w:rPr>
        <w:t>baixa;</w:t>
      </w:r>
    </w:p>
    <w:p w:rsidR="003F1CD6" w:rsidRDefault="00694219">
      <w:pPr>
        <w:pStyle w:val="PargrafodaLista"/>
        <w:numPr>
          <w:ilvl w:val="0"/>
          <w:numId w:val="3"/>
        </w:numPr>
        <w:tabs>
          <w:tab w:val="left" w:pos="808"/>
        </w:tabs>
        <w:spacing w:before="1"/>
        <w:ind w:firstLine="567"/>
        <w:rPr>
          <w:sz w:val="16"/>
        </w:rPr>
      </w:pPr>
      <w:proofErr w:type="gramStart"/>
      <w:r>
        <w:rPr>
          <w:sz w:val="16"/>
        </w:rPr>
        <w:t>para</w:t>
      </w:r>
      <w:proofErr w:type="gramEnd"/>
      <w:r>
        <w:rPr>
          <w:sz w:val="16"/>
        </w:rPr>
        <w:t xml:space="preserve"> o </w:t>
      </w:r>
      <w:proofErr w:type="spellStart"/>
      <w:r>
        <w:rPr>
          <w:sz w:val="16"/>
        </w:rPr>
        <w:t>metotrexato</w:t>
      </w:r>
      <w:proofErr w:type="spellEnd"/>
      <w:r>
        <w:rPr>
          <w:sz w:val="16"/>
        </w:rPr>
        <w:t>: convulsões, confusão mental, febre, calafrios, sonolência, queda de cabelo, espinhas e furúnculos, alergias de pele, sensibilidade à luz, alterações da pigmentação da pele, formação de bolha</w:t>
      </w:r>
      <w:r>
        <w:rPr>
          <w:sz w:val="16"/>
        </w:rPr>
        <w:t xml:space="preserve">s e perda de regiões da pele e de mucosas (síndrome de Stevens-Johnson e </w:t>
      </w:r>
      <w:proofErr w:type="spellStart"/>
      <w:r>
        <w:rPr>
          <w:sz w:val="16"/>
        </w:rPr>
        <w:t>necrólise</w:t>
      </w:r>
      <w:proofErr w:type="spellEnd"/>
      <w:r>
        <w:rPr>
          <w:sz w:val="16"/>
        </w:rPr>
        <w:t xml:space="preserve"> epidérmica tóxica), náusea, vômitos, perda de apetite, inflamação na boca, úlceras de trato gastrointestinal, problemas no fígado, diminuição das células brancas do sangue e</w:t>
      </w:r>
      <w:r>
        <w:rPr>
          <w:sz w:val="16"/>
        </w:rPr>
        <w:t xml:space="preserve"> das plaquetas, problemas nos rins, problemas nos pulmões, diminuição  das defesas imunológicas do organismo com ocorrência de</w:t>
      </w:r>
      <w:r>
        <w:rPr>
          <w:spacing w:val="-25"/>
          <w:sz w:val="16"/>
        </w:rPr>
        <w:t xml:space="preserve"> </w:t>
      </w:r>
      <w:r>
        <w:rPr>
          <w:sz w:val="16"/>
        </w:rPr>
        <w:t>infecções;</w:t>
      </w:r>
    </w:p>
    <w:p w:rsidR="003F1CD6" w:rsidRDefault="00694219">
      <w:pPr>
        <w:pStyle w:val="PargrafodaLista"/>
        <w:numPr>
          <w:ilvl w:val="0"/>
          <w:numId w:val="3"/>
        </w:numPr>
        <w:tabs>
          <w:tab w:val="left" w:pos="770"/>
        </w:tabs>
        <w:ind w:firstLine="567"/>
        <w:rPr>
          <w:sz w:val="16"/>
        </w:rPr>
      </w:pPr>
      <w:proofErr w:type="gramStart"/>
      <w:r>
        <w:rPr>
          <w:sz w:val="16"/>
        </w:rPr>
        <w:t>para</w:t>
      </w:r>
      <w:proofErr w:type="gramEnd"/>
      <w:r>
        <w:rPr>
          <w:sz w:val="16"/>
        </w:rPr>
        <w:t xml:space="preserve"> a </w:t>
      </w:r>
      <w:proofErr w:type="spellStart"/>
      <w:r>
        <w:rPr>
          <w:sz w:val="16"/>
        </w:rPr>
        <w:t>hidroxicloroquina</w:t>
      </w:r>
      <w:proofErr w:type="spellEnd"/>
      <w:r>
        <w:rPr>
          <w:sz w:val="16"/>
        </w:rPr>
        <w:t>: diminuição das células brancas do sangue, dores de cabeça, náusea, vômitos, diarreia, cólica</w:t>
      </w:r>
      <w:r>
        <w:rPr>
          <w:sz w:val="16"/>
        </w:rPr>
        <w:t>s, problemas na pele, coceiras, irritabilidade, nervosismo, psicose, convulsões, fraqueza, perda de peso, perda de apetite, problemas visuais, perda e descoloração dos cabelos, pigmentação de mucosas, diminuição da audição, sensibilidade à</w:t>
      </w:r>
      <w:r>
        <w:rPr>
          <w:spacing w:val="-1"/>
          <w:sz w:val="16"/>
        </w:rPr>
        <w:t xml:space="preserve"> </w:t>
      </w:r>
      <w:r>
        <w:rPr>
          <w:sz w:val="16"/>
        </w:rPr>
        <w:t>luz;</w:t>
      </w:r>
    </w:p>
    <w:p w:rsidR="003F1CD6" w:rsidRDefault="00694219">
      <w:pPr>
        <w:pStyle w:val="PargrafodaLista"/>
        <w:numPr>
          <w:ilvl w:val="0"/>
          <w:numId w:val="3"/>
        </w:numPr>
        <w:tabs>
          <w:tab w:val="left" w:pos="782"/>
        </w:tabs>
        <w:spacing w:before="1"/>
        <w:ind w:firstLine="567"/>
        <w:rPr>
          <w:sz w:val="16"/>
        </w:rPr>
      </w:pPr>
      <w:proofErr w:type="gramStart"/>
      <w:r>
        <w:rPr>
          <w:sz w:val="16"/>
        </w:rPr>
        <w:t>para</w:t>
      </w:r>
      <w:proofErr w:type="gramEnd"/>
      <w:r>
        <w:rPr>
          <w:sz w:val="16"/>
        </w:rPr>
        <w:t xml:space="preserve"> a cicl</w:t>
      </w:r>
      <w:r>
        <w:rPr>
          <w:sz w:val="16"/>
        </w:rPr>
        <w:t>osporina: problemas nos rins e fígado, tremores, aumento da quantidade de pelos no corpo, pressão alta, aumento do crescimento da gengiva, aumento do colesterol e triglicerídeos, formigamentos, dor no peito, batimentos rápidos do coração, convulsões, confu</w:t>
      </w:r>
      <w:r>
        <w:rPr>
          <w:sz w:val="16"/>
        </w:rPr>
        <w:t>são, ansiedade, depressão, fraqueza, dores  de cabeça, unhas e cabelos quebradiços, coceira, espinhas, náusea, vômitos, perda de apetite, soluços, inflamação na boca, dificuldade para engolir, sangramentos, inflamação do pâncreas, prisão-de-ventre, desconf</w:t>
      </w:r>
      <w:r>
        <w:rPr>
          <w:sz w:val="16"/>
        </w:rPr>
        <w:t>orto abdominal, diminuição das células brancas do sangue, linfoma, calorões, aumento da quantidade de cálcio, magnésio e ácido úrico no sangue, toxicidade para os músculos, problemas respiratórios, sensibilidade aumentada a temperatura e aumento das</w:t>
      </w:r>
      <w:r>
        <w:rPr>
          <w:spacing w:val="-19"/>
          <w:sz w:val="16"/>
        </w:rPr>
        <w:t xml:space="preserve"> </w:t>
      </w:r>
      <w:r>
        <w:rPr>
          <w:sz w:val="16"/>
        </w:rPr>
        <w:t>mamas;</w:t>
      </w:r>
    </w:p>
    <w:p w:rsidR="003F1CD6" w:rsidRDefault="00694219">
      <w:pPr>
        <w:pStyle w:val="PargrafodaLista"/>
        <w:numPr>
          <w:ilvl w:val="0"/>
          <w:numId w:val="3"/>
        </w:numPr>
        <w:tabs>
          <w:tab w:val="left" w:pos="799"/>
        </w:tabs>
        <w:ind w:firstLine="567"/>
        <w:rPr>
          <w:sz w:val="16"/>
        </w:rPr>
      </w:pPr>
      <w:proofErr w:type="gramStart"/>
      <w:r>
        <w:rPr>
          <w:sz w:val="16"/>
        </w:rPr>
        <w:t>para</w:t>
      </w:r>
      <w:proofErr w:type="gramEnd"/>
      <w:r>
        <w:rPr>
          <w:sz w:val="16"/>
        </w:rPr>
        <w:t xml:space="preserve"> a imunoglobulina humana: dor de cabeça, calafrios, febre, e reações no local de aplicação da injeção, incluindo dor,  coceira e vermelhidão, e problemas renais que incluem aumento de creatinina e ureia no sangue, insuficiência renal aguda, necrose tub</w:t>
      </w:r>
      <w:r>
        <w:rPr>
          <w:sz w:val="16"/>
        </w:rPr>
        <w:t xml:space="preserve">ular aguda, </w:t>
      </w:r>
      <w:proofErr w:type="spellStart"/>
      <w:r>
        <w:rPr>
          <w:sz w:val="16"/>
        </w:rPr>
        <w:t>nefropatia</w:t>
      </w:r>
      <w:proofErr w:type="spellEnd"/>
      <w:r>
        <w:rPr>
          <w:sz w:val="16"/>
        </w:rPr>
        <w:t xml:space="preserve"> tubular proximal, nefrose</w:t>
      </w:r>
      <w:r>
        <w:rPr>
          <w:spacing w:val="-14"/>
          <w:sz w:val="16"/>
        </w:rPr>
        <w:t xml:space="preserve"> </w:t>
      </w:r>
      <w:r>
        <w:rPr>
          <w:sz w:val="16"/>
        </w:rPr>
        <w:t>osmótica.</w:t>
      </w:r>
    </w:p>
    <w:p w:rsidR="003F1CD6" w:rsidRDefault="00694219">
      <w:pPr>
        <w:pStyle w:val="Corpodetexto"/>
        <w:ind w:right="-15" w:firstLine="566"/>
      </w:pPr>
      <w:r>
        <w:t>Estou ciente de que este(s) medicamento(s) somente pode(m) ser utilizado(s) por mim, comprometendo-me a devolvê-lo(s) caso não queira ou não possa utilizá-lo(s) ou se o tratamento for interrompido.</w:t>
      </w:r>
      <w:r>
        <w:t xml:space="preserve"> Sei também que continuarei a ser </w:t>
      </w:r>
      <w:proofErr w:type="gramStart"/>
      <w:r>
        <w:t>assistido(</w:t>
      </w:r>
      <w:proofErr w:type="gramEnd"/>
      <w:r>
        <w:t>a), inclusive se desistir de usar o(s) medicamento(s).</w:t>
      </w:r>
    </w:p>
    <w:p w:rsidR="003F1CD6" w:rsidRDefault="00694219">
      <w:pPr>
        <w:pStyle w:val="Corpodetexto"/>
        <w:ind w:right="-15" w:firstLine="566"/>
      </w:pPr>
      <w:r>
        <w:t xml:space="preserve">Autorizo o Ministério da Saúde e as Secretarias de Saúde a fazer uso de informações relativas ao meu tratamento, desde que assegurado o anonimato. </w:t>
      </w:r>
      <w:proofErr w:type="gramStart"/>
      <w:r>
        <w:t xml:space="preserve">( </w:t>
      </w:r>
      <w:proofErr w:type="gramEnd"/>
      <w:r>
        <w:t xml:space="preserve">) Sim ( </w:t>
      </w:r>
      <w:r>
        <w:t>) Não</w:t>
      </w:r>
    </w:p>
    <w:p w:rsidR="003F1CD6" w:rsidRDefault="00694219">
      <w:pPr>
        <w:pStyle w:val="Corpodetexto"/>
        <w:ind w:left="673" w:right="2"/>
        <w:jc w:val="left"/>
      </w:pPr>
      <w:r>
        <w:t xml:space="preserve">O meu tratamento constará do(s) seguinte(s) medicamento(s): </w:t>
      </w:r>
      <w:proofErr w:type="gramStart"/>
      <w:r>
        <w:t xml:space="preserve">( </w:t>
      </w:r>
      <w:proofErr w:type="gramEnd"/>
      <w:r>
        <w:t xml:space="preserve">) </w:t>
      </w:r>
      <w:proofErr w:type="spellStart"/>
      <w:r>
        <w:t>azatioprina</w:t>
      </w:r>
      <w:proofErr w:type="spellEnd"/>
    </w:p>
    <w:p w:rsidR="003F1CD6" w:rsidRDefault="00694219">
      <w:pPr>
        <w:pStyle w:val="Corpodetexto"/>
        <w:spacing w:line="183" w:lineRule="exact"/>
        <w:ind w:left="673"/>
        <w:jc w:val="left"/>
      </w:pPr>
      <w:proofErr w:type="gramStart"/>
      <w:r>
        <w:t xml:space="preserve">(  </w:t>
      </w:r>
      <w:proofErr w:type="gramEnd"/>
      <w:r>
        <w:t>)</w:t>
      </w:r>
      <w:r>
        <w:rPr>
          <w:spacing w:val="-7"/>
        </w:rPr>
        <w:t xml:space="preserve"> </w:t>
      </w:r>
      <w:proofErr w:type="spellStart"/>
      <w:r>
        <w:t>metotrexato</w:t>
      </w:r>
      <w:proofErr w:type="spellEnd"/>
    </w:p>
    <w:p w:rsidR="003F1CD6" w:rsidRDefault="00694219">
      <w:pPr>
        <w:pStyle w:val="Corpodetexto"/>
        <w:ind w:left="673" w:right="2593"/>
        <w:jc w:val="left"/>
      </w:pPr>
      <w:proofErr w:type="gramStart"/>
      <w:r>
        <w:t xml:space="preserve">( </w:t>
      </w:r>
      <w:proofErr w:type="gramEnd"/>
      <w:r>
        <w:t xml:space="preserve">) </w:t>
      </w:r>
      <w:proofErr w:type="spellStart"/>
      <w:r>
        <w:t>hidroxicloroquina</w:t>
      </w:r>
      <w:proofErr w:type="spellEnd"/>
      <w:r>
        <w:t xml:space="preserve"> ( )</w:t>
      </w:r>
      <w:r>
        <w:rPr>
          <w:spacing w:val="-3"/>
        </w:rPr>
        <w:t xml:space="preserve"> </w:t>
      </w:r>
      <w:r>
        <w:t>ciclosporina</w:t>
      </w:r>
    </w:p>
    <w:p w:rsidR="003F1CD6" w:rsidRDefault="00694219">
      <w:pPr>
        <w:pStyle w:val="Corpodetexto"/>
        <w:spacing w:line="183" w:lineRule="exact"/>
        <w:ind w:left="673"/>
        <w:jc w:val="left"/>
      </w:pPr>
      <w:proofErr w:type="gramStart"/>
      <w:r>
        <w:t xml:space="preserve">( </w:t>
      </w:r>
      <w:proofErr w:type="gramEnd"/>
      <w:r>
        <w:t>) imunoglobulina humana</w:t>
      </w:r>
    </w:p>
    <w:p w:rsidR="003F1CD6" w:rsidRDefault="003F1CD6">
      <w:pPr>
        <w:spacing w:line="183" w:lineRule="exact"/>
        <w:sectPr w:rsidR="003F1CD6">
          <w:pgSz w:w="5110" w:h="16850"/>
          <w:pgMar w:top="480" w:right="0" w:bottom="280" w:left="460" w:header="720" w:footer="720"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4"/>
        <w:gridCol w:w="568"/>
        <w:gridCol w:w="490"/>
      </w:tblGrid>
      <w:tr w:rsidR="003F1CD6">
        <w:trPr>
          <w:trHeight w:val="184"/>
        </w:trPr>
        <w:tc>
          <w:tcPr>
            <w:tcW w:w="4532" w:type="dxa"/>
            <w:gridSpan w:val="3"/>
            <w:tcBorders>
              <w:right w:val="single" w:sz="2" w:space="0" w:color="000000"/>
            </w:tcBorders>
          </w:tcPr>
          <w:p w:rsidR="003F1CD6" w:rsidRDefault="00694219">
            <w:pPr>
              <w:pStyle w:val="TableParagraph"/>
              <w:ind w:left="69"/>
              <w:rPr>
                <w:sz w:val="16"/>
              </w:rPr>
            </w:pPr>
            <w:r>
              <w:rPr>
                <w:sz w:val="16"/>
              </w:rPr>
              <w:lastRenderedPageBreak/>
              <w:t>Local: Data:</w:t>
            </w:r>
          </w:p>
        </w:tc>
      </w:tr>
      <w:tr w:rsidR="003F1CD6">
        <w:trPr>
          <w:trHeight w:val="184"/>
        </w:trPr>
        <w:tc>
          <w:tcPr>
            <w:tcW w:w="4532" w:type="dxa"/>
            <w:gridSpan w:val="3"/>
            <w:tcBorders>
              <w:right w:val="single" w:sz="2" w:space="0" w:color="000000"/>
            </w:tcBorders>
          </w:tcPr>
          <w:p w:rsidR="003F1CD6" w:rsidRDefault="00694219">
            <w:pPr>
              <w:pStyle w:val="TableParagraph"/>
              <w:ind w:left="69"/>
              <w:rPr>
                <w:sz w:val="16"/>
              </w:rPr>
            </w:pPr>
            <w:r>
              <w:rPr>
                <w:sz w:val="16"/>
              </w:rPr>
              <w:t>Nome do paciente:</w:t>
            </w:r>
          </w:p>
        </w:tc>
      </w:tr>
      <w:tr w:rsidR="003F1CD6">
        <w:trPr>
          <w:trHeight w:val="181"/>
        </w:trPr>
        <w:tc>
          <w:tcPr>
            <w:tcW w:w="4532" w:type="dxa"/>
            <w:gridSpan w:val="3"/>
            <w:tcBorders>
              <w:right w:val="single" w:sz="2" w:space="0" w:color="000000"/>
            </w:tcBorders>
          </w:tcPr>
          <w:p w:rsidR="003F1CD6" w:rsidRDefault="00694219">
            <w:pPr>
              <w:pStyle w:val="TableParagraph"/>
              <w:spacing w:line="162" w:lineRule="exact"/>
              <w:ind w:left="69"/>
              <w:rPr>
                <w:sz w:val="16"/>
              </w:rPr>
            </w:pPr>
            <w:r>
              <w:rPr>
                <w:sz w:val="16"/>
              </w:rPr>
              <w:t>Cartão Nacional de Saúde:</w:t>
            </w:r>
          </w:p>
        </w:tc>
      </w:tr>
      <w:tr w:rsidR="003F1CD6">
        <w:trPr>
          <w:trHeight w:val="184"/>
        </w:trPr>
        <w:tc>
          <w:tcPr>
            <w:tcW w:w="4532" w:type="dxa"/>
            <w:gridSpan w:val="3"/>
            <w:tcBorders>
              <w:right w:val="single" w:sz="2" w:space="0" w:color="000000"/>
            </w:tcBorders>
          </w:tcPr>
          <w:p w:rsidR="003F1CD6" w:rsidRDefault="00694219">
            <w:pPr>
              <w:pStyle w:val="TableParagraph"/>
              <w:spacing w:line="165" w:lineRule="exact"/>
              <w:ind w:left="69"/>
              <w:rPr>
                <w:sz w:val="16"/>
              </w:rPr>
            </w:pPr>
            <w:r>
              <w:rPr>
                <w:sz w:val="16"/>
              </w:rPr>
              <w:t>Nome do responsável legal:</w:t>
            </w:r>
          </w:p>
        </w:tc>
      </w:tr>
      <w:tr w:rsidR="003F1CD6">
        <w:trPr>
          <w:trHeight w:val="184"/>
        </w:trPr>
        <w:tc>
          <w:tcPr>
            <w:tcW w:w="4532" w:type="dxa"/>
            <w:gridSpan w:val="3"/>
            <w:tcBorders>
              <w:right w:val="single" w:sz="2" w:space="0" w:color="000000"/>
            </w:tcBorders>
          </w:tcPr>
          <w:p w:rsidR="003F1CD6" w:rsidRDefault="00694219">
            <w:pPr>
              <w:pStyle w:val="TableParagraph"/>
              <w:ind w:left="69"/>
              <w:rPr>
                <w:sz w:val="16"/>
              </w:rPr>
            </w:pPr>
            <w:r>
              <w:rPr>
                <w:sz w:val="16"/>
              </w:rPr>
              <w:t>Documento de identificação do responsável legal:</w:t>
            </w:r>
          </w:p>
        </w:tc>
      </w:tr>
      <w:tr w:rsidR="003F1CD6">
        <w:trPr>
          <w:trHeight w:val="551"/>
        </w:trPr>
        <w:tc>
          <w:tcPr>
            <w:tcW w:w="4532" w:type="dxa"/>
            <w:gridSpan w:val="3"/>
            <w:tcBorders>
              <w:right w:val="single" w:sz="2" w:space="0" w:color="000000"/>
            </w:tcBorders>
          </w:tcPr>
          <w:p w:rsidR="003F1CD6" w:rsidRDefault="003F1CD6">
            <w:pPr>
              <w:pStyle w:val="TableParagraph"/>
              <w:spacing w:line="240" w:lineRule="auto"/>
              <w:ind w:left="0"/>
              <w:rPr>
                <w:sz w:val="20"/>
              </w:rPr>
            </w:pPr>
          </w:p>
          <w:p w:rsidR="003F1CD6" w:rsidRDefault="003F1CD6">
            <w:pPr>
              <w:pStyle w:val="TableParagraph"/>
              <w:spacing w:before="1" w:line="240" w:lineRule="auto"/>
              <w:ind w:left="0"/>
              <w:rPr>
                <w:sz w:val="10"/>
              </w:rPr>
            </w:pPr>
          </w:p>
          <w:p w:rsidR="003F1CD6" w:rsidRDefault="00694219">
            <w:pPr>
              <w:pStyle w:val="TableParagraph"/>
              <w:spacing w:line="20" w:lineRule="exact"/>
              <w:ind w:left="783"/>
              <w:rPr>
                <w:sz w:val="2"/>
              </w:rPr>
            </w:pPr>
            <w:r>
              <w:rPr>
                <w:sz w:val="2"/>
              </w:rPr>
            </w:r>
            <w:r>
              <w:rPr>
                <w:sz w:val="2"/>
              </w:rPr>
              <w:pict>
                <v:group id="_x0000_s1028" style="width:148pt;height:.35pt;mso-position-horizontal-relative:char;mso-position-vertical-relative:line" coordsize="2960,7">
                  <v:line id="_x0000_s1029" style="position:absolute" from="0,3" to="2959,3" strokeweight=".1134mm"/>
                  <w10:wrap type="none"/>
                  <w10:anchorlock/>
                </v:group>
              </w:pict>
            </w:r>
          </w:p>
          <w:p w:rsidR="003F1CD6" w:rsidRDefault="00694219">
            <w:pPr>
              <w:pStyle w:val="TableParagraph"/>
              <w:ind w:left="765"/>
              <w:rPr>
                <w:sz w:val="16"/>
              </w:rPr>
            </w:pPr>
            <w:r>
              <w:rPr>
                <w:sz w:val="16"/>
              </w:rPr>
              <w:t>Assinatura do paciente ou do responsável legal</w:t>
            </w:r>
          </w:p>
        </w:tc>
      </w:tr>
      <w:tr w:rsidR="003F1CD6">
        <w:trPr>
          <w:trHeight w:val="184"/>
        </w:trPr>
        <w:tc>
          <w:tcPr>
            <w:tcW w:w="3474" w:type="dxa"/>
          </w:tcPr>
          <w:p w:rsidR="003F1CD6" w:rsidRDefault="00694219">
            <w:pPr>
              <w:pStyle w:val="TableParagraph"/>
              <w:ind w:left="69"/>
              <w:rPr>
                <w:sz w:val="16"/>
              </w:rPr>
            </w:pPr>
            <w:r>
              <w:rPr>
                <w:sz w:val="16"/>
              </w:rPr>
              <w:t>Médico Responsável:</w:t>
            </w:r>
          </w:p>
        </w:tc>
        <w:tc>
          <w:tcPr>
            <w:tcW w:w="568" w:type="dxa"/>
          </w:tcPr>
          <w:p w:rsidR="003F1CD6" w:rsidRDefault="00694219">
            <w:pPr>
              <w:pStyle w:val="TableParagraph"/>
              <w:ind w:left="69"/>
              <w:rPr>
                <w:sz w:val="16"/>
              </w:rPr>
            </w:pPr>
            <w:r>
              <w:rPr>
                <w:sz w:val="16"/>
              </w:rPr>
              <w:t>CRM:</w:t>
            </w:r>
          </w:p>
        </w:tc>
        <w:tc>
          <w:tcPr>
            <w:tcW w:w="490" w:type="dxa"/>
            <w:tcBorders>
              <w:right w:val="single" w:sz="2" w:space="0" w:color="000000"/>
            </w:tcBorders>
          </w:tcPr>
          <w:p w:rsidR="003F1CD6" w:rsidRDefault="00694219">
            <w:pPr>
              <w:pStyle w:val="TableParagraph"/>
              <w:ind w:left="72"/>
              <w:rPr>
                <w:sz w:val="16"/>
              </w:rPr>
            </w:pPr>
            <w:r>
              <w:rPr>
                <w:sz w:val="16"/>
              </w:rPr>
              <w:t>UF:</w:t>
            </w:r>
          </w:p>
        </w:tc>
      </w:tr>
      <w:tr w:rsidR="003F1CD6">
        <w:trPr>
          <w:trHeight w:val="736"/>
        </w:trPr>
        <w:tc>
          <w:tcPr>
            <w:tcW w:w="4532" w:type="dxa"/>
            <w:gridSpan w:val="3"/>
            <w:tcBorders>
              <w:right w:val="single" w:sz="2" w:space="0" w:color="000000"/>
            </w:tcBorders>
          </w:tcPr>
          <w:p w:rsidR="003F1CD6" w:rsidRDefault="003F1CD6">
            <w:pPr>
              <w:pStyle w:val="TableParagraph"/>
              <w:spacing w:line="240" w:lineRule="auto"/>
              <w:ind w:left="0"/>
              <w:rPr>
                <w:sz w:val="20"/>
              </w:rPr>
            </w:pPr>
          </w:p>
          <w:p w:rsidR="003F1CD6" w:rsidRDefault="003F1CD6">
            <w:pPr>
              <w:pStyle w:val="TableParagraph"/>
              <w:spacing w:before="1" w:line="240" w:lineRule="auto"/>
              <w:ind w:left="0"/>
              <w:rPr>
                <w:sz w:val="10"/>
              </w:rPr>
            </w:pPr>
          </w:p>
          <w:p w:rsidR="003F1CD6" w:rsidRDefault="00694219">
            <w:pPr>
              <w:pStyle w:val="TableParagraph"/>
              <w:spacing w:line="20" w:lineRule="exact"/>
              <w:ind w:left="1184"/>
              <w:rPr>
                <w:sz w:val="2"/>
              </w:rPr>
            </w:pPr>
            <w:r>
              <w:rPr>
                <w:sz w:val="2"/>
              </w:rPr>
            </w:r>
            <w:r>
              <w:rPr>
                <w:sz w:val="2"/>
              </w:rPr>
              <w:pict>
                <v:group id="_x0000_s1026" style="width:108.05pt;height:.35pt;mso-position-horizontal-relative:char;mso-position-vertical-relative:line" coordsize="2161,7">
                  <v:line id="_x0000_s1027" style="position:absolute" from="0,3" to="2160,3" strokeweight=".1134mm"/>
                  <w10:wrap type="none"/>
                  <w10:anchorlock/>
                </v:group>
              </w:pict>
            </w:r>
          </w:p>
          <w:p w:rsidR="003F1CD6" w:rsidRDefault="00694219">
            <w:pPr>
              <w:pStyle w:val="TableParagraph"/>
              <w:tabs>
                <w:tab w:val="left" w:pos="3275"/>
              </w:tabs>
              <w:spacing w:line="240" w:lineRule="auto"/>
              <w:ind w:left="1293" w:right="1220" w:hanging="63"/>
              <w:rPr>
                <w:sz w:val="16"/>
              </w:rPr>
            </w:pPr>
            <w:r>
              <w:rPr>
                <w:sz w:val="16"/>
              </w:rPr>
              <w:t>Assinatura e carimbo do médico Data:</w:t>
            </w:r>
            <w:r>
              <w:rPr>
                <w:sz w:val="16"/>
                <w:u w:val="single"/>
              </w:rPr>
              <w:t xml:space="preserve"> </w:t>
            </w:r>
            <w:r>
              <w:rPr>
                <w:sz w:val="16"/>
                <w:u w:val="single"/>
              </w:rPr>
              <w:tab/>
            </w:r>
          </w:p>
        </w:tc>
      </w:tr>
    </w:tbl>
    <w:p w:rsidR="003F1CD6" w:rsidRDefault="00694219">
      <w:pPr>
        <w:pStyle w:val="Corpodetexto"/>
        <w:spacing w:line="169" w:lineRule="exact"/>
        <w:ind w:left="147"/>
        <w:jc w:val="left"/>
      </w:pPr>
      <w:r>
        <w:t>Nota:</w:t>
      </w:r>
      <w:proofErr w:type="gramStart"/>
      <w:r>
        <w:t xml:space="preserve">   </w:t>
      </w:r>
      <w:proofErr w:type="gramEnd"/>
      <w:r>
        <w:t xml:space="preserve">A   administração   endovenosa   de   </w:t>
      </w:r>
      <w:proofErr w:type="spellStart"/>
      <w:r>
        <w:t>metilprednisolona</w:t>
      </w:r>
      <w:proofErr w:type="spellEnd"/>
      <w:r>
        <w:t xml:space="preserve">   e </w:t>
      </w:r>
      <w:r>
        <w:rPr>
          <w:spacing w:val="11"/>
        </w:rPr>
        <w:t xml:space="preserve"> </w:t>
      </w:r>
      <w:r>
        <w:t>de</w:t>
      </w:r>
    </w:p>
    <w:p w:rsidR="003F1CD6" w:rsidRDefault="00694219">
      <w:pPr>
        <w:pStyle w:val="Corpodetexto"/>
        <w:spacing w:before="1"/>
        <w:jc w:val="left"/>
      </w:pPr>
      <w:proofErr w:type="gramStart"/>
      <w:r>
        <w:t>ciclofosfamida</w:t>
      </w:r>
      <w:proofErr w:type="gramEnd"/>
      <w:r>
        <w:t xml:space="preserve"> é compatível, respectivamente, com os procedimentos 03.03.02.001-6    -    PULSOTERAPIA    I    (POR    APLICAÇÃO)</w:t>
      </w:r>
      <w:r>
        <w:rPr>
          <w:spacing w:val="5"/>
        </w:rPr>
        <w:t xml:space="preserve"> </w:t>
      </w:r>
      <w:r>
        <w:t>e</w:t>
      </w:r>
    </w:p>
    <w:p w:rsidR="003F1CD6" w:rsidRDefault="00694219">
      <w:pPr>
        <w:pStyle w:val="Corpodetexto"/>
        <w:spacing w:line="183" w:lineRule="exact"/>
        <w:jc w:val="left"/>
      </w:pPr>
      <w:r>
        <w:t>03.03.02.002-4</w:t>
      </w:r>
      <w:proofErr w:type="gramStart"/>
      <w:r>
        <w:t xml:space="preserve">   </w:t>
      </w:r>
      <w:proofErr w:type="gramEnd"/>
      <w:r>
        <w:t>-   PULSOTERAPIA   II   (POR   APLICAÇÃO),</w:t>
      </w:r>
      <w:r>
        <w:rPr>
          <w:spacing w:val="31"/>
        </w:rPr>
        <w:t xml:space="preserve"> </w:t>
      </w:r>
      <w:r>
        <w:t>da</w:t>
      </w:r>
    </w:p>
    <w:p w:rsidR="003F1CD6" w:rsidRDefault="00694219">
      <w:pPr>
        <w:pStyle w:val="Corpodetexto"/>
        <w:ind w:right="16"/>
        <w:jc w:val="left"/>
      </w:pPr>
      <w:r>
        <w:t>Tabela de Procedimentos, Medicamentos, Órteses, Próteses e Ma</w:t>
      </w:r>
      <w:r>
        <w:t>teriais do</w:t>
      </w:r>
      <w:r>
        <w:rPr>
          <w:spacing w:val="-4"/>
        </w:rPr>
        <w:t xml:space="preserve"> </w:t>
      </w:r>
      <w:r>
        <w:t>SUS.</w:t>
      </w:r>
    </w:p>
    <w:sectPr w:rsidR="003F1CD6">
      <w:pgSz w:w="5110" w:h="16850"/>
      <w:pgMar w:top="760" w:right="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692F"/>
    <w:multiLevelType w:val="multilevel"/>
    <w:tmpl w:val="E39EE60A"/>
    <w:lvl w:ilvl="0">
      <w:start w:val="1"/>
      <w:numFmt w:val="decimal"/>
      <w:lvlText w:val="%1."/>
      <w:lvlJc w:val="left"/>
      <w:pPr>
        <w:ind w:left="106" w:hanging="228"/>
        <w:jc w:val="right"/>
      </w:pPr>
      <w:rPr>
        <w:rFonts w:ascii="Times New Roman" w:eastAsia="Times New Roman" w:hAnsi="Times New Roman" w:cs="Times New Roman" w:hint="default"/>
        <w:w w:val="100"/>
        <w:sz w:val="16"/>
        <w:szCs w:val="16"/>
        <w:lang w:val="pt-BR" w:eastAsia="pt-BR" w:bidi="pt-BR"/>
      </w:rPr>
    </w:lvl>
    <w:lvl w:ilvl="1">
      <w:start w:val="1"/>
      <w:numFmt w:val="decimal"/>
      <w:lvlText w:val="%1.%2"/>
      <w:lvlJc w:val="left"/>
      <w:pPr>
        <w:ind w:left="106" w:hanging="242"/>
        <w:jc w:val="right"/>
      </w:pPr>
      <w:rPr>
        <w:rFonts w:ascii="Times New Roman" w:eastAsia="Times New Roman" w:hAnsi="Times New Roman" w:cs="Times New Roman" w:hint="default"/>
        <w:spacing w:val="-2"/>
        <w:w w:val="100"/>
        <w:sz w:val="16"/>
        <w:szCs w:val="16"/>
        <w:lang w:val="pt-BR" w:eastAsia="pt-BR" w:bidi="pt-BR"/>
      </w:rPr>
    </w:lvl>
    <w:lvl w:ilvl="2">
      <w:numFmt w:val="bullet"/>
      <w:lvlText w:val="•"/>
      <w:lvlJc w:val="left"/>
      <w:pPr>
        <w:ind w:left="1008" w:hanging="242"/>
      </w:pPr>
      <w:rPr>
        <w:rFonts w:hint="default"/>
        <w:lang w:val="pt-BR" w:eastAsia="pt-BR" w:bidi="pt-BR"/>
      </w:rPr>
    </w:lvl>
    <w:lvl w:ilvl="3">
      <w:numFmt w:val="bullet"/>
      <w:lvlText w:val="•"/>
      <w:lvlJc w:val="left"/>
      <w:pPr>
        <w:ind w:left="1462" w:hanging="242"/>
      </w:pPr>
      <w:rPr>
        <w:rFonts w:hint="default"/>
        <w:lang w:val="pt-BR" w:eastAsia="pt-BR" w:bidi="pt-BR"/>
      </w:rPr>
    </w:lvl>
    <w:lvl w:ilvl="4">
      <w:numFmt w:val="bullet"/>
      <w:lvlText w:val="•"/>
      <w:lvlJc w:val="left"/>
      <w:pPr>
        <w:ind w:left="1916" w:hanging="242"/>
      </w:pPr>
      <w:rPr>
        <w:rFonts w:hint="default"/>
        <w:lang w:val="pt-BR" w:eastAsia="pt-BR" w:bidi="pt-BR"/>
      </w:rPr>
    </w:lvl>
    <w:lvl w:ilvl="5">
      <w:numFmt w:val="bullet"/>
      <w:lvlText w:val="•"/>
      <w:lvlJc w:val="left"/>
      <w:pPr>
        <w:ind w:left="2371" w:hanging="242"/>
      </w:pPr>
      <w:rPr>
        <w:rFonts w:hint="default"/>
        <w:lang w:val="pt-BR" w:eastAsia="pt-BR" w:bidi="pt-BR"/>
      </w:rPr>
    </w:lvl>
    <w:lvl w:ilvl="6">
      <w:numFmt w:val="bullet"/>
      <w:lvlText w:val="•"/>
      <w:lvlJc w:val="left"/>
      <w:pPr>
        <w:ind w:left="2825" w:hanging="242"/>
      </w:pPr>
      <w:rPr>
        <w:rFonts w:hint="default"/>
        <w:lang w:val="pt-BR" w:eastAsia="pt-BR" w:bidi="pt-BR"/>
      </w:rPr>
    </w:lvl>
    <w:lvl w:ilvl="7">
      <w:numFmt w:val="bullet"/>
      <w:lvlText w:val="•"/>
      <w:lvlJc w:val="left"/>
      <w:pPr>
        <w:ind w:left="3279" w:hanging="242"/>
      </w:pPr>
      <w:rPr>
        <w:rFonts w:hint="default"/>
        <w:lang w:val="pt-BR" w:eastAsia="pt-BR" w:bidi="pt-BR"/>
      </w:rPr>
    </w:lvl>
    <w:lvl w:ilvl="8">
      <w:numFmt w:val="bullet"/>
      <w:lvlText w:val="•"/>
      <w:lvlJc w:val="left"/>
      <w:pPr>
        <w:ind w:left="3733" w:hanging="242"/>
      </w:pPr>
      <w:rPr>
        <w:rFonts w:hint="default"/>
        <w:lang w:val="pt-BR" w:eastAsia="pt-BR" w:bidi="pt-BR"/>
      </w:rPr>
    </w:lvl>
  </w:abstractNum>
  <w:abstractNum w:abstractNumId="1">
    <w:nsid w:val="25195D83"/>
    <w:multiLevelType w:val="hybridMultilevel"/>
    <w:tmpl w:val="5A2A8BFC"/>
    <w:lvl w:ilvl="0" w:tplc="EB4A096E">
      <w:numFmt w:val="bullet"/>
      <w:lvlText w:val="-"/>
      <w:lvlJc w:val="left"/>
      <w:pPr>
        <w:ind w:left="106" w:hanging="106"/>
      </w:pPr>
      <w:rPr>
        <w:rFonts w:ascii="Times New Roman" w:eastAsia="Times New Roman" w:hAnsi="Times New Roman" w:cs="Times New Roman" w:hint="default"/>
        <w:w w:val="100"/>
        <w:sz w:val="16"/>
        <w:szCs w:val="16"/>
        <w:lang w:val="pt-BR" w:eastAsia="pt-BR" w:bidi="pt-BR"/>
      </w:rPr>
    </w:lvl>
    <w:lvl w:ilvl="1" w:tplc="0AAA5EAA">
      <w:numFmt w:val="bullet"/>
      <w:lvlText w:val="-"/>
      <w:lvlJc w:val="left"/>
      <w:pPr>
        <w:ind w:left="106" w:hanging="104"/>
      </w:pPr>
      <w:rPr>
        <w:rFonts w:ascii="Times New Roman" w:eastAsia="Times New Roman" w:hAnsi="Times New Roman" w:cs="Times New Roman" w:hint="default"/>
        <w:w w:val="100"/>
        <w:sz w:val="16"/>
        <w:szCs w:val="16"/>
        <w:lang w:val="pt-BR" w:eastAsia="pt-BR" w:bidi="pt-BR"/>
      </w:rPr>
    </w:lvl>
    <w:lvl w:ilvl="2" w:tplc="0040D728">
      <w:numFmt w:val="bullet"/>
      <w:lvlText w:val="•"/>
      <w:lvlJc w:val="left"/>
      <w:pPr>
        <w:ind w:left="1008" w:hanging="104"/>
      </w:pPr>
      <w:rPr>
        <w:rFonts w:hint="default"/>
        <w:lang w:val="pt-BR" w:eastAsia="pt-BR" w:bidi="pt-BR"/>
      </w:rPr>
    </w:lvl>
    <w:lvl w:ilvl="3" w:tplc="CD90CC06">
      <w:numFmt w:val="bullet"/>
      <w:lvlText w:val="•"/>
      <w:lvlJc w:val="left"/>
      <w:pPr>
        <w:ind w:left="1462" w:hanging="104"/>
      </w:pPr>
      <w:rPr>
        <w:rFonts w:hint="default"/>
        <w:lang w:val="pt-BR" w:eastAsia="pt-BR" w:bidi="pt-BR"/>
      </w:rPr>
    </w:lvl>
    <w:lvl w:ilvl="4" w:tplc="AD6EE8E8">
      <w:numFmt w:val="bullet"/>
      <w:lvlText w:val="•"/>
      <w:lvlJc w:val="left"/>
      <w:pPr>
        <w:ind w:left="1916" w:hanging="104"/>
      </w:pPr>
      <w:rPr>
        <w:rFonts w:hint="default"/>
        <w:lang w:val="pt-BR" w:eastAsia="pt-BR" w:bidi="pt-BR"/>
      </w:rPr>
    </w:lvl>
    <w:lvl w:ilvl="5" w:tplc="CE88E4BE">
      <w:numFmt w:val="bullet"/>
      <w:lvlText w:val="•"/>
      <w:lvlJc w:val="left"/>
      <w:pPr>
        <w:ind w:left="2371" w:hanging="104"/>
      </w:pPr>
      <w:rPr>
        <w:rFonts w:hint="default"/>
        <w:lang w:val="pt-BR" w:eastAsia="pt-BR" w:bidi="pt-BR"/>
      </w:rPr>
    </w:lvl>
    <w:lvl w:ilvl="6" w:tplc="03AC19C4">
      <w:numFmt w:val="bullet"/>
      <w:lvlText w:val="•"/>
      <w:lvlJc w:val="left"/>
      <w:pPr>
        <w:ind w:left="2825" w:hanging="104"/>
      </w:pPr>
      <w:rPr>
        <w:rFonts w:hint="default"/>
        <w:lang w:val="pt-BR" w:eastAsia="pt-BR" w:bidi="pt-BR"/>
      </w:rPr>
    </w:lvl>
    <w:lvl w:ilvl="7" w:tplc="FC865D1A">
      <w:numFmt w:val="bullet"/>
      <w:lvlText w:val="•"/>
      <w:lvlJc w:val="left"/>
      <w:pPr>
        <w:ind w:left="3279" w:hanging="104"/>
      </w:pPr>
      <w:rPr>
        <w:rFonts w:hint="default"/>
        <w:lang w:val="pt-BR" w:eastAsia="pt-BR" w:bidi="pt-BR"/>
      </w:rPr>
    </w:lvl>
    <w:lvl w:ilvl="8" w:tplc="3F2CEEA0">
      <w:numFmt w:val="bullet"/>
      <w:lvlText w:val="•"/>
      <w:lvlJc w:val="left"/>
      <w:pPr>
        <w:ind w:left="3733" w:hanging="104"/>
      </w:pPr>
      <w:rPr>
        <w:rFonts w:hint="default"/>
        <w:lang w:val="pt-BR" w:eastAsia="pt-BR" w:bidi="pt-BR"/>
      </w:rPr>
    </w:lvl>
  </w:abstractNum>
  <w:abstractNum w:abstractNumId="2">
    <w:nsid w:val="5AC45BCD"/>
    <w:multiLevelType w:val="hybridMultilevel"/>
    <w:tmpl w:val="FC3E673C"/>
    <w:lvl w:ilvl="0" w:tplc="F8768D24">
      <w:start w:val="1"/>
      <w:numFmt w:val="decimal"/>
      <w:lvlText w:val="%1."/>
      <w:lvlJc w:val="left"/>
      <w:pPr>
        <w:ind w:left="106" w:hanging="360"/>
        <w:jc w:val="left"/>
      </w:pPr>
      <w:rPr>
        <w:rFonts w:ascii="Times New Roman" w:eastAsia="Times New Roman" w:hAnsi="Times New Roman" w:cs="Times New Roman" w:hint="default"/>
        <w:spacing w:val="0"/>
        <w:w w:val="100"/>
        <w:sz w:val="16"/>
        <w:szCs w:val="16"/>
        <w:lang w:val="pt-BR" w:eastAsia="pt-BR" w:bidi="pt-BR"/>
      </w:rPr>
    </w:lvl>
    <w:lvl w:ilvl="1" w:tplc="2572DA98">
      <w:numFmt w:val="bullet"/>
      <w:lvlText w:val="•"/>
      <w:lvlJc w:val="left"/>
      <w:pPr>
        <w:ind w:left="554" w:hanging="360"/>
      </w:pPr>
      <w:rPr>
        <w:rFonts w:hint="default"/>
        <w:lang w:val="pt-BR" w:eastAsia="pt-BR" w:bidi="pt-BR"/>
      </w:rPr>
    </w:lvl>
    <w:lvl w:ilvl="2" w:tplc="9968AF14">
      <w:numFmt w:val="bullet"/>
      <w:lvlText w:val="•"/>
      <w:lvlJc w:val="left"/>
      <w:pPr>
        <w:ind w:left="1008" w:hanging="360"/>
      </w:pPr>
      <w:rPr>
        <w:rFonts w:hint="default"/>
        <w:lang w:val="pt-BR" w:eastAsia="pt-BR" w:bidi="pt-BR"/>
      </w:rPr>
    </w:lvl>
    <w:lvl w:ilvl="3" w:tplc="40520708">
      <w:numFmt w:val="bullet"/>
      <w:lvlText w:val="•"/>
      <w:lvlJc w:val="left"/>
      <w:pPr>
        <w:ind w:left="1462" w:hanging="360"/>
      </w:pPr>
      <w:rPr>
        <w:rFonts w:hint="default"/>
        <w:lang w:val="pt-BR" w:eastAsia="pt-BR" w:bidi="pt-BR"/>
      </w:rPr>
    </w:lvl>
    <w:lvl w:ilvl="4" w:tplc="03C4D9F2">
      <w:numFmt w:val="bullet"/>
      <w:lvlText w:val="•"/>
      <w:lvlJc w:val="left"/>
      <w:pPr>
        <w:ind w:left="1916" w:hanging="360"/>
      </w:pPr>
      <w:rPr>
        <w:rFonts w:hint="default"/>
        <w:lang w:val="pt-BR" w:eastAsia="pt-BR" w:bidi="pt-BR"/>
      </w:rPr>
    </w:lvl>
    <w:lvl w:ilvl="5" w:tplc="A5960D0E">
      <w:numFmt w:val="bullet"/>
      <w:lvlText w:val="•"/>
      <w:lvlJc w:val="left"/>
      <w:pPr>
        <w:ind w:left="2371" w:hanging="360"/>
      </w:pPr>
      <w:rPr>
        <w:rFonts w:hint="default"/>
        <w:lang w:val="pt-BR" w:eastAsia="pt-BR" w:bidi="pt-BR"/>
      </w:rPr>
    </w:lvl>
    <w:lvl w:ilvl="6" w:tplc="1426679A">
      <w:numFmt w:val="bullet"/>
      <w:lvlText w:val="•"/>
      <w:lvlJc w:val="left"/>
      <w:pPr>
        <w:ind w:left="2825" w:hanging="360"/>
      </w:pPr>
      <w:rPr>
        <w:rFonts w:hint="default"/>
        <w:lang w:val="pt-BR" w:eastAsia="pt-BR" w:bidi="pt-BR"/>
      </w:rPr>
    </w:lvl>
    <w:lvl w:ilvl="7" w:tplc="F9CA3C24">
      <w:numFmt w:val="bullet"/>
      <w:lvlText w:val="•"/>
      <w:lvlJc w:val="left"/>
      <w:pPr>
        <w:ind w:left="3279" w:hanging="360"/>
      </w:pPr>
      <w:rPr>
        <w:rFonts w:hint="default"/>
        <w:lang w:val="pt-BR" w:eastAsia="pt-BR" w:bidi="pt-BR"/>
      </w:rPr>
    </w:lvl>
    <w:lvl w:ilvl="8" w:tplc="A0F4222E">
      <w:numFmt w:val="bullet"/>
      <w:lvlText w:val="•"/>
      <w:lvlJc w:val="left"/>
      <w:pPr>
        <w:ind w:left="3733" w:hanging="360"/>
      </w:pPr>
      <w:rPr>
        <w:rFonts w:hint="default"/>
        <w:lang w:val="pt-BR" w:eastAsia="pt-BR" w:bidi="pt-BR"/>
      </w:rPr>
    </w:lvl>
  </w:abstractNum>
  <w:abstractNum w:abstractNumId="3">
    <w:nsid w:val="624F47FA"/>
    <w:multiLevelType w:val="hybridMultilevel"/>
    <w:tmpl w:val="0EFAD050"/>
    <w:lvl w:ilvl="0" w:tplc="45C88824">
      <w:numFmt w:val="bullet"/>
      <w:lvlText w:val="-"/>
      <w:lvlJc w:val="left"/>
      <w:pPr>
        <w:ind w:left="106" w:hanging="149"/>
      </w:pPr>
      <w:rPr>
        <w:rFonts w:ascii="Times New Roman" w:eastAsia="Times New Roman" w:hAnsi="Times New Roman" w:cs="Times New Roman" w:hint="default"/>
        <w:w w:val="100"/>
        <w:sz w:val="16"/>
        <w:szCs w:val="16"/>
        <w:lang w:val="pt-BR" w:eastAsia="pt-BR" w:bidi="pt-BR"/>
      </w:rPr>
    </w:lvl>
    <w:lvl w:ilvl="1" w:tplc="41FE4198">
      <w:numFmt w:val="bullet"/>
      <w:lvlText w:val="•"/>
      <w:lvlJc w:val="left"/>
      <w:pPr>
        <w:ind w:left="554" w:hanging="149"/>
      </w:pPr>
      <w:rPr>
        <w:rFonts w:hint="default"/>
        <w:lang w:val="pt-BR" w:eastAsia="pt-BR" w:bidi="pt-BR"/>
      </w:rPr>
    </w:lvl>
    <w:lvl w:ilvl="2" w:tplc="E6561C48">
      <w:numFmt w:val="bullet"/>
      <w:lvlText w:val="•"/>
      <w:lvlJc w:val="left"/>
      <w:pPr>
        <w:ind w:left="1008" w:hanging="149"/>
      </w:pPr>
      <w:rPr>
        <w:rFonts w:hint="default"/>
        <w:lang w:val="pt-BR" w:eastAsia="pt-BR" w:bidi="pt-BR"/>
      </w:rPr>
    </w:lvl>
    <w:lvl w:ilvl="3" w:tplc="431CD46E">
      <w:numFmt w:val="bullet"/>
      <w:lvlText w:val="•"/>
      <w:lvlJc w:val="left"/>
      <w:pPr>
        <w:ind w:left="1462" w:hanging="149"/>
      </w:pPr>
      <w:rPr>
        <w:rFonts w:hint="default"/>
        <w:lang w:val="pt-BR" w:eastAsia="pt-BR" w:bidi="pt-BR"/>
      </w:rPr>
    </w:lvl>
    <w:lvl w:ilvl="4" w:tplc="30DA7624">
      <w:numFmt w:val="bullet"/>
      <w:lvlText w:val="•"/>
      <w:lvlJc w:val="left"/>
      <w:pPr>
        <w:ind w:left="1916" w:hanging="149"/>
      </w:pPr>
      <w:rPr>
        <w:rFonts w:hint="default"/>
        <w:lang w:val="pt-BR" w:eastAsia="pt-BR" w:bidi="pt-BR"/>
      </w:rPr>
    </w:lvl>
    <w:lvl w:ilvl="5" w:tplc="CAEC5DCA">
      <w:numFmt w:val="bullet"/>
      <w:lvlText w:val="•"/>
      <w:lvlJc w:val="left"/>
      <w:pPr>
        <w:ind w:left="2371" w:hanging="149"/>
      </w:pPr>
      <w:rPr>
        <w:rFonts w:hint="default"/>
        <w:lang w:val="pt-BR" w:eastAsia="pt-BR" w:bidi="pt-BR"/>
      </w:rPr>
    </w:lvl>
    <w:lvl w:ilvl="6" w:tplc="790EB44E">
      <w:numFmt w:val="bullet"/>
      <w:lvlText w:val="•"/>
      <w:lvlJc w:val="left"/>
      <w:pPr>
        <w:ind w:left="2825" w:hanging="149"/>
      </w:pPr>
      <w:rPr>
        <w:rFonts w:hint="default"/>
        <w:lang w:val="pt-BR" w:eastAsia="pt-BR" w:bidi="pt-BR"/>
      </w:rPr>
    </w:lvl>
    <w:lvl w:ilvl="7" w:tplc="A038F7C2">
      <w:numFmt w:val="bullet"/>
      <w:lvlText w:val="•"/>
      <w:lvlJc w:val="left"/>
      <w:pPr>
        <w:ind w:left="3279" w:hanging="149"/>
      </w:pPr>
      <w:rPr>
        <w:rFonts w:hint="default"/>
        <w:lang w:val="pt-BR" w:eastAsia="pt-BR" w:bidi="pt-BR"/>
      </w:rPr>
    </w:lvl>
    <w:lvl w:ilvl="8" w:tplc="8E0ABFB6">
      <w:numFmt w:val="bullet"/>
      <w:lvlText w:val="•"/>
      <w:lvlJc w:val="left"/>
      <w:pPr>
        <w:ind w:left="3733" w:hanging="149"/>
      </w:pPr>
      <w:rPr>
        <w:rFonts w:hint="default"/>
        <w:lang w:val="pt-BR" w:eastAsia="pt-BR" w:bidi="pt-BR"/>
      </w:rPr>
    </w:lvl>
  </w:abstractNum>
  <w:abstractNum w:abstractNumId="4">
    <w:nsid w:val="67E04A21"/>
    <w:multiLevelType w:val="hybridMultilevel"/>
    <w:tmpl w:val="1A20B462"/>
    <w:lvl w:ilvl="0" w:tplc="85CC4CE6">
      <w:numFmt w:val="bullet"/>
      <w:lvlText w:val="-"/>
      <w:lvlJc w:val="left"/>
      <w:pPr>
        <w:ind w:left="106" w:hanging="94"/>
      </w:pPr>
      <w:rPr>
        <w:rFonts w:ascii="Times New Roman" w:eastAsia="Times New Roman" w:hAnsi="Times New Roman" w:cs="Times New Roman" w:hint="default"/>
        <w:w w:val="100"/>
        <w:sz w:val="16"/>
        <w:szCs w:val="16"/>
        <w:lang w:val="pt-BR" w:eastAsia="pt-BR" w:bidi="pt-BR"/>
      </w:rPr>
    </w:lvl>
    <w:lvl w:ilvl="1" w:tplc="6DA4B878">
      <w:numFmt w:val="bullet"/>
      <w:lvlText w:val="•"/>
      <w:lvlJc w:val="left"/>
      <w:pPr>
        <w:ind w:left="554" w:hanging="94"/>
      </w:pPr>
      <w:rPr>
        <w:rFonts w:hint="default"/>
        <w:lang w:val="pt-BR" w:eastAsia="pt-BR" w:bidi="pt-BR"/>
      </w:rPr>
    </w:lvl>
    <w:lvl w:ilvl="2" w:tplc="4CB4279E">
      <w:numFmt w:val="bullet"/>
      <w:lvlText w:val="•"/>
      <w:lvlJc w:val="left"/>
      <w:pPr>
        <w:ind w:left="1008" w:hanging="94"/>
      </w:pPr>
      <w:rPr>
        <w:rFonts w:hint="default"/>
        <w:lang w:val="pt-BR" w:eastAsia="pt-BR" w:bidi="pt-BR"/>
      </w:rPr>
    </w:lvl>
    <w:lvl w:ilvl="3" w:tplc="38F8EF7A">
      <w:numFmt w:val="bullet"/>
      <w:lvlText w:val="•"/>
      <w:lvlJc w:val="left"/>
      <w:pPr>
        <w:ind w:left="1462" w:hanging="94"/>
      </w:pPr>
      <w:rPr>
        <w:rFonts w:hint="default"/>
        <w:lang w:val="pt-BR" w:eastAsia="pt-BR" w:bidi="pt-BR"/>
      </w:rPr>
    </w:lvl>
    <w:lvl w:ilvl="4" w:tplc="C33C8A38">
      <w:numFmt w:val="bullet"/>
      <w:lvlText w:val="•"/>
      <w:lvlJc w:val="left"/>
      <w:pPr>
        <w:ind w:left="1916" w:hanging="94"/>
      </w:pPr>
      <w:rPr>
        <w:rFonts w:hint="default"/>
        <w:lang w:val="pt-BR" w:eastAsia="pt-BR" w:bidi="pt-BR"/>
      </w:rPr>
    </w:lvl>
    <w:lvl w:ilvl="5" w:tplc="FBA69D44">
      <w:numFmt w:val="bullet"/>
      <w:lvlText w:val="•"/>
      <w:lvlJc w:val="left"/>
      <w:pPr>
        <w:ind w:left="2371" w:hanging="94"/>
      </w:pPr>
      <w:rPr>
        <w:rFonts w:hint="default"/>
        <w:lang w:val="pt-BR" w:eastAsia="pt-BR" w:bidi="pt-BR"/>
      </w:rPr>
    </w:lvl>
    <w:lvl w:ilvl="6" w:tplc="DFBE3C56">
      <w:numFmt w:val="bullet"/>
      <w:lvlText w:val="•"/>
      <w:lvlJc w:val="left"/>
      <w:pPr>
        <w:ind w:left="2825" w:hanging="94"/>
      </w:pPr>
      <w:rPr>
        <w:rFonts w:hint="default"/>
        <w:lang w:val="pt-BR" w:eastAsia="pt-BR" w:bidi="pt-BR"/>
      </w:rPr>
    </w:lvl>
    <w:lvl w:ilvl="7" w:tplc="40DA3BDA">
      <w:numFmt w:val="bullet"/>
      <w:lvlText w:val="•"/>
      <w:lvlJc w:val="left"/>
      <w:pPr>
        <w:ind w:left="3279" w:hanging="94"/>
      </w:pPr>
      <w:rPr>
        <w:rFonts w:hint="default"/>
        <w:lang w:val="pt-BR" w:eastAsia="pt-BR" w:bidi="pt-BR"/>
      </w:rPr>
    </w:lvl>
    <w:lvl w:ilvl="8" w:tplc="97D0AD80">
      <w:numFmt w:val="bullet"/>
      <w:lvlText w:val="•"/>
      <w:lvlJc w:val="left"/>
      <w:pPr>
        <w:ind w:left="3733" w:hanging="94"/>
      </w:pPr>
      <w:rPr>
        <w:rFonts w:hint="default"/>
        <w:lang w:val="pt-BR" w:eastAsia="pt-BR" w:bidi="pt-BR"/>
      </w:rPr>
    </w:lvl>
  </w:abstractNum>
  <w:abstractNum w:abstractNumId="5">
    <w:nsid w:val="76E45268"/>
    <w:multiLevelType w:val="hybridMultilevel"/>
    <w:tmpl w:val="4C40A96A"/>
    <w:lvl w:ilvl="0" w:tplc="C7AE007A">
      <w:numFmt w:val="bullet"/>
      <w:lvlText w:val="-"/>
      <w:lvlJc w:val="left"/>
      <w:pPr>
        <w:ind w:left="106" w:hanging="94"/>
      </w:pPr>
      <w:rPr>
        <w:rFonts w:ascii="Times New Roman" w:eastAsia="Times New Roman" w:hAnsi="Times New Roman" w:cs="Times New Roman" w:hint="default"/>
        <w:w w:val="100"/>
        <w:sz w:val="16"/>
        <w:szCs w:val="16"/>
        <w:lang w:val="pt-BR" w:eastAsia="pt-BR" w:bidi="pt-BR"/>
      </w:rPr>
    </w:lvl>
    <w:lvl w:ilvl="1" w:tplc="B956AECC">
      <w:numFmt w:val="bullet"/>
      <w:lvlText w:val="•"/>
      <w:lvlJc w:val="left"/>
      <w:pPr>
        <w:ind w:left="554" w:hanging="94"/>
      </w:pPr>
      <w:rPr>
        <w:rFonts w:hint="default"/>
        <w:lang w:val="pt-BR" w:eastAsia="pt-BR" w:bidi="pt-BR"/>
      </w:rPr>
    </w:lvl>
    <w:lvl w:ilvl="2" w:tplc="5B38D4AE">
      <w:numFmt w:val="bullet"/>
      <w:lvlText w:val="•"/>
      <w:lvlJc w:val="left"/>
      <w:pPr>
        <w:ind w:left="1008" w:hanging="94"/>
      </w:pPr>
      <w:rPr>
        <w:rFonts w:hint="default"/>
        <w:lang w:val="pt-BR" w:eastAsia="pt-BR" w:bidi="pt-BR"/>
      </w:rPr>
    </w:lvl>
    <w:lvl w:ilvl="3" w:tplc="93942AB0">
      <w:numFmt w:val="bullet"/>
      <w:lvlText w:val="•"/>
      <w:lvlJc w:val="left"/>
      <w:pPr>
        <w:ind w:left="1462" w:hanging="94"/>
      </w:pPr>
      <w:rPr>
        <w:rFonts w:hint="default"/>
        <w:lang w:val="pt-BR" w:eastAsia="pt-BR" w:bidi="pt-BR"/>
      </w:rPr>
    </w:lvl>
    <w:lvl w:ilvl="4" w:tplc="19AAE5C4">
      <w:numFmt w:val="bullet"/>
      <w:lvlText w:val="•"/>
      <w:lvlJc w:val="left"/>
      <w:pPr>
        <w:ind w:left="1916" w:hanging="94"/>
      </w:pPr>
      <w:rPr>
        <w:rFonts w:hint="default"/>
        <w:lang w:val="pt-BR" w:eastAsia="pt-BR" w:bidi="pt-BR"/>
      </w:rPr>
    </w:lvl>
    <w:lvl w:ilvl="5" w:tplc="271CD9AE">
      <w:numFmt w:val="bullet"/>
      <w:lvlText w:val="•"/>
      <w:lvlJc w:val="left"/>
      <w:pPr>
        <w:ind w:left="2371" w:hanging="94"/>
      </w:pPr>
      <w:rPr>
        <w:rFonts w:hint="default"/>
        <w:lang w:val="pt-BR" w:eastAsia="pt-BR" w:bidi="pt-BR"/>
      </w:rPr>
    </w:lvl>
    <w:lvl w:ilvl="6" w:tplc="A25C2422">
      <w:numFmt w:val="bullet"/>
      <w:lvlText w:val="•"/>
      <w:lvlJc w:val="left"/>
      <w:pPr>
        <w:ind w:left="2825" w:hanging="94"/>
      </w:pPr>
      <w:rPr>
        <w:rFonts w:hint="default"/>
        <w:lang w:val="pt-BR" w:eastAsia="pt-BR" w:bidi="pt-BR"/>
      </w:rPr>
    </w:lvl>
    <w:lvl w:ilvl="7" w:tplc="9ECC67C0">
      <w:numFmt w:val="bullet"/>
      <w:lvlText w:val="•"/>
      <w:lvlJc w:val="left"/>
      <w:pPr>
        <w:ind w:left="3279" w:hanging="94"/>
      </w:pPr>
      <w:rPr>
        <w:rFonts w:hint="default"/>
        <w:lang w:val="pt-BR" w:eastAsia="pt-BR" w:bidi="pt-BR"/>
      </w:rPr>
    </w:lvl>
    <w:lvl w:ilvl="8" w:tplc="BBAAFEB4">
      <w:numFmt w:val="bullet"/>
      <w:lvlText w:val="•"/>
      <w:lvlJc w:val="left"/>
      <w:pPr>
        <w:ind w:left="3733" w:hanging="94"/>
      </w:pPr>
      <w:rPr>
        <w:rFonts w:hint="default"/>
        <w:lang w:val="pt-BR" w:eastAsia="pt-BR" w:bidi="pt-BR"/>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3F1CD6"/>
    <w:rsid w:val="003F1CD6"/>
    <w:rsid w:val="006942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6"/>
      <w:jc w:val="both"/>
    </w:pPr>
    <w:rPr>
      <w:sz w:val="16"/>
      <w:szCs w:val="16"/>
    </w:rPr>
  </w:style>
  <w:style w:type="paragraph" w:styleId="PargrafodaLista">
    <w:name w:val="List Paragraph"/>
    <w:basedOn w:val="Normal"/>
    <w:uiPriority w:val="1"/>
    <w:qFormat/>
    <w:pPr>
      <w:ind w:left="106" w:right="-15" w:firstLine="567"/>
      <w:jc w:val="both"/>
    </w:pPr>
  </w:style>
  <w:style w:type="paragraph" w:customStyle="1" w:styleId="TableParagraph">
    <w:name w:val="Table Paragraph"/>
    <w:basedOn w:val="Normal"/>
    <w:uiPriority w:val="1"/>
    <w:qFormat/>
    <w:pPr>
      <w:spacing w:line="164" w:lineRule="exact"/>
      <w:ind w:left="108"/>
    </w:pPr>
  </w:style>
  <w:style w:type="paragraph" w:styleId="Textodebalo">
    <w:name w:val="Balloon Text"/>
    <w:basedOn w:val="Normal"/>
    <w:link w:val="TextodebaloChar"/>
    <w:uiPriority w:val="99"/>
    <w:semiHidden/>
    <w:unhideWhenUsed/>
    <w:rsid w:val="00694219"/>
    <w:rPr>
      <w:rFonts w:ascii="Tahoma" w:hAnsi="Tahoma" w:cs="Tahoma"/>
      <w:sz w:val="16"/>
      <w:szCs w:val="16"/>
    </w:rPr>
  </w:style>
  <w:style w:type="character" w:customStyle="1" w:styleId="TextodebaloChar">
    <w:name w:val="Texto de balão Char"/>
    <w:basedOn w:val="Fontepargpadro"/>
    <w:link w:val="Textodebalo"/>
    <w:uiPriority w:val="99"/>
    <w:semiHidden/>
    <w:rsid w:val="00694219"/>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ptodate.com/contents/initial-treatment-of-dermatomyositis-and-polymyositis-in-adults" TargetMode="External"/><Relationship Id="rId3" Type="http://schemas.microsoft.com/office/2007/relationships/stylesWithEffects" Target="stylesWithEffects.xml"/><Relationship Id="rId7" Type="http://schemas.openxmlformats.org/officeDocument/2006/relationships/hyperlink" Target="http://www.uptodate.com/contents/init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ptodate.com/contents/initial-treatment-of-dermatomyositis-and-polymyositis-in-ad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6624</Words>
  <Characters>35770</Characters>
  <Application>Microsoft Office Word</Application>
  <DocSecurity>0</DocSecurity>
  <Lines>298</Lines>
  <Paragraphs>84</Paragraphs>
  <ScaleCrop>false</ScaleCrop>
  <Company/>
  <LinksUpToDate>false</LinksUpToDate>
  <CharactersWithSpaces>42310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CLÍNICO E DIRETRIZES TERAPÊUTICAS</dc:title>
  <dc:creator>csaldanha</dc:creator>
  <cp:lastModifiedBy>VANESSA ALVES DE OLIVEIRA</cp:lastModifiedBy>
  <cp:revision>2</cp:revision>
  <dcterms:created xsi:type="dcterms:W3CDTF">2019-07-19T13:40:00Z</dcterms:created>
  <dcterms:modified xsi:type="dcterms:W3CDTF">2019-07-19T13:42:00Z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2016-11-24T00:00:00Z</vt:filetime>
  </property>
  <property fmtid="{D5CDD505-2E9C-101B-9397-08002B2CF9AE}" pid="3" name="Creator">
    <vt:lpwstr>Microsoft® Word 2010</vt:lpwstr>
  </property>
  <property fmtid="{D5CDD505-2E9C-101B-9397-08002B2CF9AE}" pid="4" name="LastSaved">
    <vt:filetime>2019-07-19T00:00:00Z</vt:filetime>
  </property>
</Properties>
</file>