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2B" w:rsidRDefault="005C592B">
      <w:pPr>
        <w:pStyle w:val="Corpodetexto"/>
        <w:spacing w:before="3"/>
        <w:ind w:left="0"/>
        <w:jc w:val="left"/>
      </w:pPr>
    </w:p>
    <w:p w:rsidR="005C592B" w:rsidRDefault="005D0206" w:rsidP="005D0206">
      <w:pPr>
        <w:pStyle w:val="Corpodetexto"/>
        <w:spacing w:before="71"/>
        <w:jc w:val="left"/>
      </w:pPr>
      <w:bookmarkStart w:id="0" w:name="_GoBack"/>
      <w:bookmarkEnd w:id="0"/>
      <w:r>
        <w:rPr>
          <w:noProof/>
          <w:lang w:bidi="ar-SA"/>
        </w:rPr>
        <w:drawing>
          <wp:inline distT="0" distB="0" distL="0" distR="0" wp14:anchorId="4B9D4DF5" wp14:editId="6CC48472">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r>
        <w:t>ANEXO</w:t>
      </w:r>
    </w:p>
    <w:p w:rsidR="005C592B" w:rsidRDefault="005C592B">
      <w:pPr>
        <w:pStyle w:val="Corpodetexto"/>
        <w:spacing w:before="1"/>
        <w:ind w:left="0"/>
        <w:jc w:val="left"/>
        <w:rPr>
          <w:sz w:val="36"/>
        </w:rPr>
      </w:pPr>
    </w:p>
    <w:p w:rsidR="005C592B" w:rsidRDefault="005D0206">
      <w:pPr>
        <w:pStyle w:val="Corpodetexto"/>
        <w:spacing w:line="720" w:lineRule="auto"/>
        <w:ind w:left="769" w:right="1411" w:firstLine="967"/>
        <w:jc w:val="left"/>
      </w:pPr>
      <w:r>
        <w:t>PROTOCOLO CLÍNICO E DIRETRIZES TERAPÊUTICAS DEFICIÊNCIA DE HORMÔNIO DO CRESCIMENTO - HIPOPITUITARISMO</w:t>
      </w:r>
    </w:p>
    <w:p w:rsidR="005C592B" w:rsidRDefault="005D0206">
      <w:pPr>
        <w:pStyle w:val="Ttulo1"/>
        <w:numPr>
          <w:ilvl w:val="0"/>
          <w:numId w:val="15"/>
        </w:numPr>
        <w:tabs>
          <w:tab w:val="left" w:pos="441"/>
        </w:tabs>
        <w:spacing w:before="5"/>
        <w:ind w:firstLine="0"/>
      </w:pPr>
      <w:r>
        <w:t>INTRODUÇÃO</w:t>
      </w:r>
    </w:p>
    <w:p w:rsidR="005C592B" w:rsidRDefault="005D0206">
      <w:pPr>
        <w:pStyle w:val="Corpodetexto"/>
        <w:spacing w:before="135" w:line="360" w:lineRule="auto"/>
        <w:ind w:right="854" w:firstLine="566"/>
      </w:pPr>
      <w:r>
        <w:t>O hormônio do crescimento (GH) é um polipeptídio produzido e secretado por células especializadas localizadas na hipófise anterior, cuja principal função é a promoção do crescimento e desenvolvimento corporal; além disso, participa da regulação do metaboli</w:t>
      </w:r>
      <w:r>
        <w:t xml:space="preserve">smo de proteínas, lipídeos e carboidratos (1). O eixo fisiológico GH/fator de crescimento insulina- </w:t>
      </w:r>
      <w:r>
        <w:rPr>
          <w:i/>
        </w:rPr>
        <w:t xml:space="preserve">like </w:t>
      </w:r>
      <w:r>
        <w:t>(IGF-1) exerce efeitos cardiovasculares relevantes, regulando o crescimento cardíaco e a contratilidade</w:t>
      </w:r>
      <w:r>
        <w:rPr>
          <w:spacing w:val="-9"/>
        </w:rPr>
        <w:t xml:space="preserve"> </w:t>
      </w:r>
      <w:r>
        <w:t>miocárdica</w:t>
      </w:r>
      <w:r>
        <w:rPr>
          <w:spacing w:val="-6"/>
        </w:rPr>
        <w:t xml:space="preserve"> </w:t>
      </w:r>
      <w:r>
        <w:t>e</w:t>
      </w:r>
      <w:r>
        <w:rPr>
          <w:spacing w:val="-9"/>
        </w:rPr>
        <w:t xml:space="preserve"> </w:t>
      </w:r>
      <w:r>
        <w:t>contribuindo</w:t>
      </w:r>
      <w:r>
        <w:rPr>
          <w:spacing w:val="-8"/>
        </w:rPr>
        <w:t xml:space="preserve"> </w:t>
      </w:r>
      <w:r>
        <w:t>para</w:t>
      </w:r>
      <w:r>
        <w:rPr>
          <w:spacing w:val="-8"/>
        </w:rPr>
        <w:t xml:space="preserve"> </w:t>
      </w:r>
      <w:r>
        <w:t>a</w:t>
      </w:r>
      <w:r>
        <w:rPr>
          <w:spacing w:val="-9"/>
        </w:rPr>
        <w:t xml:space="preserve"> </w:t>
      </w:r>
      <w:r>
        <w:t>manutenção</w:t>
      </w:r>
      <w:r>
        <w:rPr>
          <w:spacing w:val="-8"/>
        </w:rPr>
        <w:t xml:space="preserve"> </w:t>
      </w:r>
      <w:r>
        <w:t>da</w:t>
      </w:r>
      <w:r>
        <w:rPr>
          <w:spacing w:val="-8"/>
        </w:rPr>
        <w:t xml:space="preserve"> </w:t>
      </w:r>
      <w:r>
        <w:t>massa</w:t>
      </w:r>
      <w:r>
        <w:rPr>
          <w:spacing w:val="-7"/>
        </w:rPr>
        <w:t xml:space="preserve"> </w:t>
      </w:r>
      <w:r>
        <w:t>e</w:t>
      </w:r>
      <w:r>
        <w:rPr>
          <w:spacing w:val="-10"/>
        </w:rPr>
        <w:t xml:space="preserve"> </w:t>
      </w:r>
      <w:r>
        <w:t>da</w:t>
      </w:r>
      <w:r>
        <w:rPr>
          <w:spacing w:val="-6"/>
        </w:rPr>
        <w:t xml:space="preserve"> </w:t>
      </w:r>
      <w:r>
        <w:t>função</w:t>
      </w:r>
      <w:r>
        <w:rPr>
          <w:spacing w:val="-8"/>
        </w:rPr>
        <w:t xml:space="preserve"> </w:t>
      </w:r>
      <w:r>
        <w:t>cardíacas</w:t>
      </w:r>
      <w:r>
        <w:rPr>
          <w:spacing w:val="-7"/>
        </w:rPr>
        <w:t xml:space="preserve"> </w:t>
      </w:r>
      <w:r>
        <w:t>no adulto normal.</w:t>
      </w:r>
      <w:r>
        <w:rPr>
          <w:spacing w:val="-1"/>
        </w:rPr>
        <w:t xml:space="preserve"> </w:t>
      </w:r>
      <w:r>
        <w:t>(2)</w:t>
      </w:r>
    </w:p>
    <w:p w:rsidR="005C592B" w:rsidRDefault="005D0206">
      <w:pPr>
        <w:pStyle w:val="Corpodetexto"/>
        <w:spacing w:line="360" w:lineRule="auto"/>
        <w:ind w:right="856" w:firstLine="566"/>
      </w:pPr>
      <w:r>
        <w:t>A deficiência de GH (DGH) pode ser congênita ou adquirida. As causas congênitas são menos comuns e podem ou não estar associadas a defeitos anatômicos. As causas adquiridas incluem tumores e doenças infiltrativas da região hipotálamo-hipofisária, tratament</w:t>
      </w:r>
      <w:r>
        <w:t>o</w:t>
      </w:r>
      <w:r>
        <w:rPr>
          <w:spacing w:val="-33"/>
        </w:rPr>
        <w:t xml:space="preserve"> </w:t>
      </w:r>
      <w:r>
        <w:t>cirúrgico de lesões hipofisárias, trauma, infecções e infarto hipofisário ou radioterapia craniana</w:t>
      </w:r>
      <w:r>
        <w:rPr>
          <w:spacing w:val="-11"/>
        </w:rPr>
        <w:t xml:space="preserve"> </w:t>
      </w:r>
      <w:r>
        <w:t>(3,4).</w:t>
      </w:r>
    </w:p>
    <w:p w:rsidR="005C592B" w:rsidRDefault="005D0206">
      <w:pPr>
        <w:pStyle w:val="Corpodetexto"/>
        <w:spacing w:line="360" w:lineRule="auto"/>
        <w:ind w:right="852" w:firstLine="566"/>
      </w:pPr>
      <w:r>
        <w:t>A DGH ocorre de maneira isolada ou em associação a outras deficiências de hormônios hipofisários. A persistência de DGH em crianças implica falha de</w:t>
      </w:r>
      <w:r>
        <w:t xml:space="preserve"> crescimento e, nos casos graves,</w:t>
      </w:r>
      <w:r>
        <w:rPr>
          <w:spacing w:val="-6"/>
        </w:rPr>
        <w:t xml:space="preserve"> </w:t>
      </w:r>
      <w:r>
        <w:t>dificuldade</w:t>
      </w:r>
      <w:r>
        <w:rPr>
          <w:spacing w:val="-3"/>
        </w:rPr>
        <w:t xml:space="preserve"> </w:t>
      </w:r>
      <w:r>
        <w:t>de</w:t>
      </w:r>
      <w:r>
        <w:rPr>
          <w:spacing w:val="-7"/>
        </w:rPr>
        <w:t xml:space="preserve"> </w:t>
      </w:r>
      <w:r>
        <w:t>manutenção</w:t>
      </w:r>
      <w:r>
        <w:rPr>
          <w:spacing w:val="-5"/>
        </w:rPr>
        <w:t xml:space="preserve"> </w:t>
      </w:r>
      <w:r>
        <w:t>de</w:t>
      </w:r>
      <w:r>
        <w:rPr>
          <w:spacing w:val="-6"/>
        </w:rPr>
        <w:t xml:space="preserve"> </w:t>
      </w:r>
      <w:r>
        <w:t>normoglicemia</w:t>
      </w:r>
      <w:r>
        <w:rPr>
          <w:spacing w:val="-5"/>
        </w:rPr>
        <w:t xml:space="preserve"> </w:t>
      </w:r>
      <w:r>
        <w:t>(5).</w:t>
      </w:r>
      <w:r>
        <w:rPr>
          <w:spacing w:val="-5"/>
        </w:rPr>
        <w:t xml:space="preserve"> </w:t>
      </w:r>
      <w:r>
        <w:t>Com</w:t>
      </w:r>
      <w:r>
        <w:rPr>
          <w:spacing w:val="-3"/>
        </w:rPr>
        <w:t xml:space="preserve"> </w:t>
      </w:r>
      <w:r>
        <w:t>a</w:t>
      </w:r>
      <w:r>
        <w:rPr>
          <w:spacing w:val="-6"/>
        </w:rPr>
        <w:t xml:space="preserve"> </w:t>
      </w:r>
      <w:r>
        <w:t>reposição</w:t>
      </w:r>
      <w:r>
        <w:rPr>
          <w:spacing w:val="-2"/>
        </w:rPr>
        <w:t xml:space="preserve"> </w:t>
      </w:r>
      <w:r>
        <w:t>de</w:t>
      </w:r>
      <w:r>
        <w:rPr>
          <w:spacing w:val="-7"/>
        </w:rPr>
        <w:t xml:space="preserve"> </w:t>
      </w:r>
      <w:r>
        <w:t>GH</w:t>
      </w:r>
      <w:r>
        <w:rPr>
          <w:spacing w:val="-6"/>
        </w:rPr>
        <w:t xml:space="preserve"> </w:t>
      </w:r>
      <w:r>
        <w:t>há</w:t>
      </w:r>
      <w:r>
        <w:rPr>
          <w:spacing w:val="-3"/>
        </w:rPr>
        <w:t xml:space="preserve"> </w:t>
      </w:r>
      <w:r>
        <w:t>aumento da altura, do peso e da velocidade de crescimento com melhora do perfil lipídico que se encontra alterado, com diminuição do colesterol total</w:t>
      </w:r>
      <w:r>
        <w:t>, do colesterol-LDL e dos triglicerídios, com</w:t>
      </w:r>
      <w:r>
        <w:rPr>
          <w:spacing w:val="-13"/>
        </w:rPr>
        <w:t xml:space="preserve"> </w:t>
      </w:r>
      <w:r>
        <w:t>diminuição</w:t>
      </w:r>
      <w:r>
        <w:rPr>
          <w:spacing w:val="-13"/>
        </w:rPr>
        <w:t xml:space="preserve"> </w:t>
      </w:r>
      <w:r>
        <w:t>da</w:t>
      </w:r>
      <w:r>
        <w:rPr>
          <w:spacing w:val="-14"/>
        </w:rPr>
        <w:t xml:space="preserve"> </w:t>
      </w:r>
      <w:r>
        <w:t>espessura</w:t>
      </w:r>
      <w:r>
        <w:rPr>
          <w:spacing w:val="-15"/>
        </w:rPr>
        <w:t xml:space="preserve"> </w:t>
      </w:r>
      <w:r>
        <w:t>da</w:t>
      </w:r>
      <w:r>
        <w:rPr>
          <w:spacing w:val="-14"/>
        </w:rPr>
        <w:t xml:space="preserve"> </w:t>
      </w:r>
      <w:r>
        <w:t>íntima-média</w:t>
      </w:r>
      <w:r>
        <w:rPr>
          <w:spacing w:val="-12"/>
        </w:rPr>
        <w:t xml:space="preserve"> </w:t>
      </w:r>
      <w:r>
        <w:t>carotídea</w:t>
      </w:r>
      <w:r>
        <w:rPr>
          <w:spacing w:val="-14"/>
        </w:rPr>
        <w:t xml:space="preserve"> </w:t>
      </w:r>
      <w:r>
        <w:t>e</w:t>
      </w:r>
      <w:r>
        <w:rPr>
          <w:spacing w:val="-14"/>
        </w:rPr>
        <w:t xml:space="preserve"> </w:t>
      </w:r>
      <w:r>
        <w:t>melhora</w:t>
      </w:r>
      <w:r>
        <w:rPr>
          <w:spacing w:val="-13"/>
        </w:rPr>
        <w:t xml:space="preserve"> </w:t>
      </w:r>
      <w:r>
        <w:t>do</w:t>
      </w:r>
      <w:r>
        <w:rPr>
          <w:spacing w:val="-13"/>
        </w:rPr>
        <w:t xml:space="preserve"> </w:t>
      </w:r>
      <w:r>
        <w:t>nível</w:t>
      </w:r>
      <w:r>
        <w:rPr>
          <w:spacing w:val="-13"/>
        </w:rPr>
        <w:t xml:space="preserve"> </w:t>
      </w:r>
      <w:r>
        <w:t>do</w:t>
      </w:r>
      <w:r>
        <w:rPr>
          <w:spacing w:val="-13"/>
        </w:rPr>
        <w:t xml:space="preserve"> </w:t>
      </w:r>
      <w:r>
        <w:t>colesterol-HDL. (6)</w:t>
      </w:r>
    </w:p>
    <w:p w:rsidR="005C592B" w:rsidRDefault="005D0206">
      <w:pPr>
        <w:pStyle w:val="Corpodetexto"/>
        <w:spacing w:before="2" w:line="360" w:lineRule="auto"/>
        <w:ind w:right="852" w:firstLine="566"/>
      </w:pPr>
      <w:r>
        <w:t>Nos adultos com DGH, as principais consequências são dislipidemia, maior risco cardiovascular, baixa mineralização óss</w:t>
      </w:r>
      <w:r>
        <w:t xml:space="preserve">ea e fraqueza muscular (7). O risco cardiovascular aumenta pela aceleração da ateroesclerose e pelas alterações metabólicas, com altos níveis </w:t>
      </w:r>
      <w:r>
        <w:rPr>
          <w:spacing w:val="-3"/>
        </w:rPr>
        <w:t xml:space="preserve">do </w:t>
      </w:r>
      <w:r>
        <w:t xml:space="preserve">colesterol total e do colesterol-LDL, níveis baixos de colesterol-HDL associados à resistência à insulina e ao </w:t>
      </w:r>
      <w:r>
        <w:t>aumento da proteína C reativa. Independentemente da faixa etária, a não correção do déficit hormonal leva à deposição de gordura abdominal e à diminuição da massa magra</w:t>
      </w:r>
      <w:r>
        <w:rPr>
          <w:spacing w:val="-17"/>
        </w:rPr>
        <w:t xml:space="preserve"> </w:t>
      </w:r>
      <w:r>
        <w:t>em</w:t>
      </w:r>
      <w:r>
        <w:rPr>
          <w:spacing w:val="-15"/>
        </w:rPr>
        <w:t xml:space="preserve"> </w:t>
      </w:r>
      <w:r>
        <w:t>relação</w:t>
      </w:r>
      <w:r>
        <w:rPr>
          <w:spacing w:val="-15"/>
        </w:rPr>
        <w:t xml:space="preserve"> </w:t>
      </w:r>
      <w:r>
        <w:t>à</w:t>
      </w:r>
      <w:r>
        <w:rPr>
          <w:spacing w:val="-17"/>
        </w:rPr>
        <w:t xml:space="preserve"> </w:t>
      </w:r>
      <w:r>
        <w:t>massa</w:t>
      </w:r>
      <w:r>
        <w:rPr>
          <w:spacing w:val="-17"/>
        </w:rPr>
        <w:t xml:space="preserve"> </w:t>
      </w:r>
      <w:r>
        <w:t>gorda.</w:t>
      </w:r>
      <w:r>
        <w:rPr>
          <w:spacing w:val="-16"/>
        </w:rPr>
        <w:t xml:space="preserve"> </w:t>
      </w:r>
      <w:r>
        <w:t>Sendo</w:t>
      </w:r>
      <w:r>
        <w:rPr>
          <w:spacing w:val="-16"/>
        </w:rPr>
        <w:t xml:space="preserve"> </w:t>
      </w:r>
      <w:r>
        <w:t>assim,</w:t>
      </w:r>
      <w:r>
        <w:rPr>
          <w:spacing w:val="-15"/>
        </w:rPr>
        <w:t xml:space="preserve"> </w:t>
      </w:r>
      <w:r>
        <w:t>a</w:t>
      </w:r>
      <w:r>
        <w:rPr>
          <w:spacing w:val="-14"/>
        </w:rPr>
        <w:t xml:space="preserve"> </w:t>
      </w:r>
      <w:r>
        <w:t>reposição</w:t>
      </w:r>
      <w:r>
        <w:rPr>
          <w:spacing w:val="-15"/>
        </w:rPr>
        <w:t xml:space="preserve"> </w:t>
      </w:r>
      <w:r>
        <w:t>de</w:t>
      </w:r>
      <w:r>
        <w:rPr>
          <w:spacing w:val="-17"/>
        </w:rPr>
        <w:t xml:space="preserve"> </w:t>
      </w:r>
      <w:r>
        <w:t>GH</w:t>
      </w:r>
      <w:r>
        <w:rPr>
          <w:spacing w:val="-13"/>
        </w:rPr>
        <w:t xml:space="preserve"> </w:t>
      </w:r>
      <w:r>
        <w:t>altera</w:t>
      </w:r>
      <w:r>
        <w:rPr>
          <w:spacing w:val="-15"/>
        </w:rPr>
        <w:t xml:space="preserve"> </w:t>
      </w:r>
      <w:r>
        <w:t>a</w:t>
      </w:r>
      <w:r>
        <w:rPr>
          <w:spacing w:val="-17"/>
        </w:rPr>
        <w:t xml:space="preserve"> </w:t>
      </w:r>
      <w:r>
        <w:t>composição</w:t>
      </w:r>
      <w:r>
        <w:rPr>
          <w:spacing w:val="-15"/>
        </w:rPr>
        <w:t xml:space="preserve"> </w:t>
      </w:r>
      <w:r>
        <w:t>corporal, com aumento da massa magra, diminuição da massa gorda e redução do colesterol-LDL, sem afetar os níveis de glicose, da HbA1c ou da pressão arterial. O uso de GH é capaz de</w:t>
      </w:r>
      <w:r>
        <w:rPr>
          <w:spacing w:val="-41"/>
        </w:rPr>
        <w:t xml:space="preserve"> </w:t>
      </w:r>
      <w:r>
        <w:t>melhorar</w:t>
      </w:r>
    </w:p>
    <w:p w:rsidR="005C592B" w:rsidRDefault="005C592B">
      <w:pPr>
        <w:spacing w:line="360" w:lineRule="auto"/>
        <w:sectPr w:rsidR="005C592B">
          <w:pgSz w:w="11900" w:h="16850"/>
          <w:pgMar w:top="1360" w:right="580" w:bottom="280" w:left="1240" w:header="720" w:footer="720" w:gutter="0"/>
          <w:cols w:space="720"/>
        </w:sectPr>
      </w:pPr>
    </w:p>
    <w:p w:rsidR="005C592B" w:rsidRDefault="005D0206">
      <w:pPr>
        <w:pStyle w:val="Corpodetexto"/>
        <w:spacing w:before="74" w:line="360" w:lineRule="auto"/>
        <w:ind w:right="854"/>
      </w:pPr>
      <w:r>
        <w:lastRenderedPageBreak/>
        <w:t>o bem estar dos pacientes, a performance cognitiva,</w:t>
      </w:r>
      <w:r>
        <w:t xml:space="preserve"> a densidade mineral óssea e a função cardíaca, ao mesmo tempo que reduz o risco de câncer. A suplementação de GH melhora a qualidade de vida dos portadores de DGH. (2, 5, 7)</w:t>
      </w:r>
    </w:p>
    <w:p w:rsidR="005C592B" w:rsidRDefault="005D0206">
      <w:pPr>
        <w:pStyle w:val="Corpodetexto"/>
        <w:spacing w:line="360" w:lineRule="auto"/>
        <w:ind w:right="854" w:firstLine="566"/>
      </w:pPr>
      <w:r>
        <w:t xml:space="preserve">Inexistem estudos brasileiros sobre a incidência da DGH. Em um estudo americano, </w:t>
      </w:r>
      <w:r>
        <w:t>a incidência foi de um em cada 3.480 nascidos vivos (8).</w:t>
      </w:r>
    </w:p>
    <w:p w:rsidR="005C592B" w:rsidRDefault="005D0206">
      <w:pPr>
        <w:pStyle w:val="Corpodetexto"/>
        <w:spacing w:line="360" w:lineRule="auto"/>
        <w:ind w:right="855" w:firstLine="566"/>
      </w:pPr>
      <w:r>
        <w:t>A</w:t>
      </w:r>
      <w:r>
        <w:rPr>
          <w:spacing w:val="-16"/>
        </w:rPr>
        <w:t xml:space="preserve"> </w:t>
      </w:r>
      <w:r>
        <w:t>identificação</w:t>
      </w:r>
      <w:r>
        <w:rPr>
          <w:spacing w:val="-14"/>
        </w:rPr>
        <w:t xml:space="preserve"> </w:t>
      </w:r>
      <w:r>
        <w:t>de</w:t>
      </w:r>
      <w:r>
        <w:rPr>
          <w:spacing w:val="-16"/>
        </w:rPr>
        <w:t xml:space="preserve"> </w:t>
      </w:r>
      <w:r>
        <w:t>fatores</w:t>
      </w:r>
      <w:r>
        <w:rPr>
          <w:spacing w:val="-13"/>
        </w:rPr>
        <w:t xml:space="preserve"> </w:t>
      </w:r>
      <w:r>
        <w:t>de</w:t>
      </w:r>
      <w:r>
        <w:rPr>
          <w:spacing w:val="-16"/>
        </w:rPr>
        <w:t xml:space="preserve"> </w:t>
      </w:r>
      <w:r>
        <w:t>risco</w:t>
      </w:r>
      <w:r>
        <w:rPr>
          <w:spacing w:val="-12"/>
        </w:rPr>
        <w:t xml:space="preserve"> </w:t>
      </w:r>
      <w:r>
        <w:t>e</w:t>
      </w:r>
      <w:r>
        <w:rPr>
          <w:spacing w:val="-13"/>
        </w:rPr>
        <w:t xml:space="preserve"> </w:t>
      </w:r>
      <w:r>
        <w:t>da</w:t>
      </w:r>
      <w:r>
        <w:rPr>
          <w:spacing w:val="-17"/>
        </w:rPr>
        <w:t xml:space="preserve"> </w:t>
      </w:r>
      <w:r>
        <w:t>doença</w:t>
      </w:r>
      <w:r>
        <w:rPr>
          <w:spacing w:val="-15"/>
        </w:rPr>
        <w:t xml:space="preserve"> </w:t>
      </w:r>
      <w:r>
        <w:t>em</w:t>
      </w:r>
      <w:r>
        <w:rPr>
          <w:spacing w:val="-14"/>
        </w:rPr>
        <w:t xml:space="preserve"> </w:t>
      </w:r>
      <w:r>
        <w:t>seu</w:t>
      </w:r>
      <w:r>
        <w:rPr>
          <w:spacing w:val="-15"/>
        </w:rPr>
        <w:t xml:space="preserve"> </w:t>
      </w:r>
      <w:r>
        <w:t>estágio</w:t>
      </w:r>
      <w:r>
        <w:rPr>
          <w:spacing w:val="-14"/>
        </w:rPr>
        <w:t xml:space="preserve"> </w:t>
      </w:r>
      <w:r>
        <w:t>inicial</w:t>
      </w:r>
      <w:r>
        <w:rPr>
          <w:spacing w:val="-14"/>
        </w:rPr>
        <w:t xml:space="preserve"> </w:t>
      </w:r>
      <w:r>
        <w:t>e</w:t>
      </w:r>
      <w:r>
        <w:rPr>
          <w:spacing w:val="-16"/>
        </w:rPr>
        <w:t xml:space="preserve"> </w:t>
      </w:r>
      <w:r>
        <w:t>o</w:t>
      </w:r>
      <w:r>
        <w:rPr>
          <w:spacing w:val="-13"/>
        </w:rPr>
        <w:t xml:space="preserve"> </w:t>
      </w:r>
      <w:r>
        <w:t>encaminhamento ágil e adequado para o atendimento especializado dão à Atenção Básica um caráter essencial para um melhor resultado terapêutico e prognóstico dos</w:t>
      </w:r>
      <w:r>
        <w:rPr>
          <w:spacing w:val="-3"/>
        </w:rPr>
        <w:t xml:space="preserve"> </w:t>
      </w:r>
      <w:r>
        <w:t>casos.</w:t>
      </w:r>
    </w:p>
    <w:p w:rsidR="005C592B" w:rsidRDefault="005D0206">
      <w:pPr>
        <w:pStyle w:val="Corpodetexto"/>
        <w:spacing w:before="1" w:line="360" w:lineRule="auto"/>
        <w:ind w:right="855" w:firstLine="566"/>
      </w:pPr>
      <w:r>
        <w:t>Este Protocolo visa a estabelecer os critérios diagnósticos e terapêuticos da deficiênci</w:t>
      </w:r>
      <w:r>
        <w:t xml:space="preserve">a do hormônio de crescimento. A metodologia de busca e avaliação das evidências estão detalhadas no </w:t>
      </w:r>
      <w:r>
        <w:rPr>
          <w:b/>
        </w:rPr>
        <w:t>Apêndice 1</w:t>
      </w:r>
      <w:r>
        <w:t>.</w:t>
      </w:r>
    </w:p>
    <w:p w:rsidR="005C592B" w:rsidRDefault="005C592B">
      <w:pPr>
        <w:pStyle w:val="Corpodetexto"/>
        <w:ind w:left="0"/>
        <w:jc w:val="left"/>
        <w:rPr>
          <w:sz w:val="26"/>
        </w:rPr>
      </w:pPr>
    </w:p>
    <w:p w:rsidR="005C592B" w:rsidRDefault="005C592B">
      <w:pPr>
        <w:pStyle w:val="Corpodetexto"/>
        <w:ind w:left="0"/>
        <w:jc w:val="left"/>
        <w:rPr>
          <w:sz w:val="26"/>
        </w:rPr>
      </w:pPr>
    </w:p>
    <w:p w:rsidR="005C592B" w:rsidRDefault="005D0206">
      <w:pPr>
        <w:pStyle w:val="Ttulo1"/>
        <w:numPr>
          <w:ilvl w:val="0"/>
          <w:numId w:val="15"/>
        </w:numPr>
        <w:tabs>
          <w:tab w:val="left" w:pos="633"/>
        </w:tabs>
        <w:spacing w:before="233" w:line="360" w:lineRule="auto"/>
        <w:ind w:right="853" w:firstLine="0"/>
        <w:jc w:val="both"/>
      </w:pPr>
      <w:r>
        <w:t>CLASSIFICAÇÃO ESTATÍSTICA INTERNACIONAL DE DOENÇAS E PROBLEMAS RELACIONADOS À SAÚDE</w:t>
      </w:r>
      <w:r>
        <w:rPr>
          <w:spacing w:val="1"/>
        </w:rPr>
        <w:t xml:space="preserve"> </w:t>
      </w:r>
      <w:r>
        <w:t>(CID-10)</w:t>
      </w:r>
    </w:p>
    <w:p w:rsidR="005C592B" w:rsidRDefault="005D0206">
      <w:pPr>
        <w:pStyle w:val="Corpodetexto"/>
        <w:spacing w:line="271" w:lineRule="exact"/>
        <w:ind w:left="766"/>
        <w:jc w:val="left"/>
      </w:pPr>
      <w:r>
        <w:t>E23.0 Hipopituitarismo</w:t>
      </w:r>
    </w:p>
    <w:p w:rsidR="005C592B" w:rsidRDefault="005C592B">
      <w:pPr>
        <w:pStyle w:val="Corpodetexto"/>
        <w:ind w:left="0"/>
        <w:jc w:val="left"/>
        <w:rPr>
          <w:sz w:val="26"/>
        </w:rPr>
      </w:pPr>
    </w:p>
    <w:p w:rsidR="005C592B" w:rsidRDefault="005C592B">
      <w:pPr>
        <w:pStyle w:val="Corpodetexto"/>
        <w:spacing w:before="5"/>
        <w:ind w:left="0"/>
        <w:jc w:val="left"/>
        <w:rPr>
          <w:sz w:val="22"/>
        </w:rPr>
      </w:pPr>
    </w:p>
    <w:p w:rsidR="005C592B" w:rsidRDefault="005D0206">
      <w:pPr>
        <w:pStyle w:val="Ttulo1"/>
        <w:numPr>
          <w:ilvl w:val="0"/>
          <w:numId w:val="15"/>
        </w:numPr>
        <w:tabs>
          <w:tab w:val="left" w:pos="441"/>
        </w:tabs>
        <w:spacing w:before="1"/>
        <w:ind w:firstLine="0"/>
      </w:pPr>
      <w:r>
        <w:t>DIAGNÓSTICO</w:t>
      </w:r>
    </w:p>
    <w:p w:rsidR="005C592B" w:rsidRDefault="005C592B">
      <w:pPr>
        <w:pStyle w:val="Corpodetexto"/>
        <w:ind w:left="0"/>
        <w:jc w:val="left"/>
        <w:rPr>
          <w:b/>
          <w:sz w:val="26"/>
        </w:rPr>
      </w:pPr>
    </w:p>
    <w:p w:rsidR="005C592B" w:rsidRDefault="005C592B">
      <w:pPr>
        <w:pStyle w:val="Corpodetexto"/>
        <w:spacing w:before="11"/>
        <w:ind w:left="0"/>
        <w:jc w:val="left"/>
        <w:rPr>
          <w:b/>
          <w:sz w:val="21"/>
        </w:rPr>
      </w:pPr>
    </w:p>
    <w:p w:rsidR="005C592B" w:rsidRDefault="005D0206">
      <w:pPr>
        <w:spacing w:line="360" w:lineRule="auto"/>
        <w:ind w:left="766" w:right="6086"/>
        <w:rPr>
          <w:b/>
          <w:sz w:val="24"/>
        </w:rPr>
      </w:pPr>
      <w:r>
        <w:rPr>
          <w:b/>
          <w:sz w:val="24"/>
        </w:rPr>
        <w:t>3.1 DIAGNÓSTICO CLÍNICO Crianças e adolescentes</w:t>
      </w:r>
    </w:p>
    <w:p w:rsidR="005C592B" w:rsidRDefault="005D0206">
      <w:pPr>
        <w:pStyle w:val="Corpodetexto"/>
        <w:spacing w:line="360" w:lineRule="auto"/>
        <w:ind w:right="854" w:firstLine="566"/>
      </w:pPr>
      <w:r>
        <w:t>Os principais achados clínicos em crianças com DGH são baixa estatura e redução na velocidade de crescimento. É importante salientar que outras causas de baixa estatura, como displasias esqueléticas, síndrome</w:t>
      </w:r>
      <w:r>
        <w:t xml:space="preserve"> de Turner (em meninas) e doenças crônicas, devem ser excluídas (3).</w:t>
      </w:r>
    </w:p>
    <w:p w:rsidR="005C592B" w:rsidRDefault="005D0206">
      <w:pPr>
        <w:pStyle w:val="Corpodetexto"/>
        <w:ind w:left="766"/>
        <w:jc w:val="left"/>
      </w:pPr>
      <w:r>
        <w:t>A investigação para DGH está indicada nas seguintes situações:</w:t>
      </w:r>
    </w:p>
    <w:p w:rsidR="005C592B" w:rsidRDefault="005D0206">
      <w:pPr>
        <w:pStyle w:val="PargrafodaLista"/>
        <w:numPr>
          <w:ilvl w:val="1"/>
          <w:numId w:val="15"/>
        </w:numPr>
        <w:tabs>
          <w:tab w:val="left" w:pos="906"/>
        </w:tabs>
        <w:spacing w:before="135" w:line="360" w:lineRule="auto"/>
        <w:ind w:right="852" w:firstLine="566"/>
        <w:rPr>
          <w:sz w:val="24"/>
        </w:rPr>
      </w:pPr>
      <w:r>
        <w:rPr>
          <w:sz w:val="24"/>
        </w:rPr>
        <w:t>baixa estatura grave, definida como estatura (comprimento/altura) inferior a 3</w:t>
      </w:r>
      <w:r>
        <w:rPr>
          <w:spacing w:val="-16"/>
          <w:sz w:val="24"/>
        </w:rPr>
        <w:t xml:space="preserve"> </w:t>
      </w:r>
      <w:r>
        <w:rPr>
          <w:sz w:val="24"/>
        </w:rPr>
        <w:t>desvios- padrão (escore z = -3) da curva da Organização Mundial da Saúde (OMS)</w:t>
      </w:r>
      <w:r>
        <w:rPr>
          <w:spacing w:val="-7"/>
          <w:sz w:val="24"/>
        </w:rPr>
        <w:t xml:space="preserve"> </w:t>
      </w:r>
      <w:r>
        <w:rPr>
          <w:sz w:val="24"/>
        </w:rPr>
        <w:t>(9);</w:t>
      </w:r>
    </w:p>
    <w:p w:rsidR="005C592B" w:rsidRDefault="005D0206">
      <w:pPr>
        <w:pStyle w:val="PargrafodaLista"/>
        <w:numPr>
          <w:ilvl w:val="1"/>
          <w:numId w:val="15"/>
        </w:numPr>
        <w:tabs>
          <w:tab w:val="left" w:pos="966"/>
        </w:tabs>
        <w:spacing w:line="360" w:lineRule="auto"/>
        <w:ind w:right="849" w:firstLine="626"/>
        <w:rPr>
          <w:sz w:val="24"/>
        </w:rPr>
      </w:pPr>
      <w:r>
        <w:rPr>
          <w:sz w:val="24"/>
        </w:rPr>
        <w:t>baixa estatura, definida como estatura entre -3 e -2 desvios-padrão (escore z = -2 a -3) da estatura prevista para idade e sexo (9), associada à redução na velocidade de cr</w:t>
      </w:r>
      <w:r>
        <w:rPr>
          <w:sz w:val="24"/>
        </w:rPr>
        <w:t>escimento, definida como velocidade de crescimento inferior ao percentil 25 da curva de velocidade de crescimento</w:t>
      </w:r>
      <w:r>
        <w:rPr>
          <w:spacing w:val="-1"/>
          <w:sz w:val="24"/>
        </w:rPr>
        <w:t xml:space="preserve"> </w:t>
      </w:r>
      <w:r>
        <w:rPr>
          <w:sz w:val="24"/>
        </w:rPr>
        <w:t>(10,11);</w:t>
      </w:r>
    </w:p>
    <w:p w:rsidR="005C592B" w:rsidRDefault="005C592B">
      <w:pPr>
        <w:spacing w:line="360" w:lineRule="auto"/>
        <w:jc w:val="both"/>
        <w:rPr>
          <w:sz w:val="24"/>
        </w:rPr>
        <w:sectPr w:rsidR="005C592B">
          <w:pgSz w:w="11900" w:h="16850"/>
          <w:pgMar w:top="1360" w:right="580" w:bottom="280" w:left="1240" w:header="720" w:footer="720" w:gutter="0"/>
          <w:cols w:space="720"/>
        </w:sectPr>
      </w:pPr>
    </w:p>
    <w:p w:rsidR="005C592B" w:rsidRDefault="005D0206">
      <w:pPr>
        <w:pStyle w:val="PargrafodaLista"/>
        <w:numPr>
          <w:ilvl w:val="1"/>
          <w:numId w:val="15"/>
        </w:numPr>
        <w:tabs>
          <w:tab w:val="left" w:pos="892"/>
        </w:tabs>
        <w:spacing w:before="74" w:line="360" w:lineRule="auto"/>
        <w:ind w:right="857" w:firstLine="566"/>
        <w:rPr>
          <w:sz w:val="24"/>
        </w:rPr>
      </w:pPr>
      <w:r>
        <w:rPr>
          <w:sz w:val="24"/>
        </w:rPr>
        <w:lastRenderedPageBreak/>
        <w:t>estatura</w:t>
      </w:r>
      <w:r>
        <w:rPr>
          <w:spacing w:val="-15"/>
          <w:sz w:val="24"/>
        </w:rPr>
        <w:t xml:space="preserve"> </w:t>
      </w:r>
      <w:r>
        <w:rPr>
          <w:sz w:val="24"/>
        </w:rPr>
        <w:t>acima</w:t>
      </w:r>
      <w:r>
        <w:rPr>
          <w:spacing w:val="-15"/>
          <w:sz w:val="24"/>
        </w:rPr>
        <w:t xml:space="preserve"> </w:t>
      </w:r>
      <w:r>
        <w:rPr>
          <w:sz w:val="24"/>
        </w:rPr>
        <w:t>de</w:t>
      </w:r>
      <w:r>
        <w:rPr>
          <w:spacing w:val="-13"/>
          <w:sz w:val="24"/>
        </w:rPr>
        <w:t xml:space="preserve"> </w:t>
      </w:r>
      <w:r>
        <w:rPr>
          <w:sz w:val="24"/>
        </w:rPr>
        <w:t>-2</w:t>
      </w:r>
      <w:r>
        <w:rPr>
          <w:spacing w:val="-16"/>
          <w:sz w:val="24"/>
        </w:rPr>
        <w:t xml:space="preserve"> </w:t>
      </w:r>
      <w:r>
        <w:rPr>
          <w:sz w:val="24"/>
        </w:rPr>
        <w:t>desvios-padrão</w:t>
      </w:r>
      <w:r>
        <w:rPr>
          <w:spacing w:val="-14"/>
          <w:sz w:val="24"/>
        </w:rPr>
        <w:t xml:space="preserve"> </w:t>
      </w:r>
      <w:r>
        <w:rPr>
          <w:sz w:val="24"/>
        </w:rPr>
        <w:t>para</w:t>
      </w:r>
      <w:r>
        <w:rPr>
          <w:spacing w:val="-16"/>
          <w:sz w:val="24"/>
        </w:rPr>
        <w:t xml:space="preserve"> </w:t>
      </w:r>
      <w:r>
        <w:rPr>
          <w:sz w:val="24"/>
        </w:rPr>
        <w:t>idade</w:t>
      </w:r>
      <w:r>
        <w:rPr>
          <w:spacing w:val="-17"/>
          <w:sz w:val="24"/>
        </w:rPr>
        <w:t xml:space="preserve"> </w:t>
      </w:r>
      <w:r>
        <w:rPr>
          <w:sz w:val="24"/>
        </w:rPr>
        <w:t>e</w:t>
      </w:r>
      <w:r>
        <w:rPr>
          <w:spacing w:val="-16"/>
          <w:sz w:val="24"/>
        </w:rPr>
        <w:t xml:space="preserve"> </w:t>
      </w:r>
      <w:r>
        <w:rPr>
          <w:sz w:val="24"/>
        </w:rPr>
        <w:t>sexo,</w:t>
      </w:r>
      <w:r>
        <w:rPr>
          <w:spacing w:val="-14"/>
          <w:sz w:val="24"/>
        </w:rPr>
        <w:t xml:space="preserve"> </w:t>
      </w:r>
      <w:r>
        <w:rPr>
          <w:sz w:val="24"/>
        </w:rPr>
        <w:t>associada</w:t>
      </w:r>
      <w:r>
        <w:rPr>
          <w:spacing w:val="-16"/>
          <w:sz w:val="24"/>
        </w:rPr>
        <w:t xml:space="preserve"> </w:t>
      </w:r>
      <w:r>
        <w:rPr>
          <w:sz w:val="24"/>
        </w:rPr>
        <w:t>a</w:t>
      </w:r>
      <w:r>
        <w:rPr>
          <w:spacing w:val="-16"/>
          <w:sz w:val="24"/>
        </w:rPr>
        <w:t xml:space="preserve"> </w:t>
      </w:r>
      <w:r>
        <w:rPr>
          <w:sz w:val="24"/>
        </w:rPr>
        <w:t>uma</w:t>
      </w:r>
      <w:r>
        <w:rPr>
          <w:spacing w:val="-15"/>
          <w:sz w:val="24"/>
        </w:rPr>
        <w:t xml:space="preserve"> </w:t>
      </w:r>
      <w:r>
        <w:rPr>
          <w:sz w:val="24"/>
        </w:rPr>
        <w:t>baixa</w:t>
      </w:r>
      <w:r>
        <w:rPr>
          <w:spacing w:val="-17"/>
          <w:sz w:val="24"/>
        </w:rPr>
        <w:t xml:space="preserve"> </w:t>
      </w:r>
      <w:r>
        <w:rPr>
          <w:sz w:val="24"/>
        </w:rPr>
        <w:t>velocidade de crescimento (abaixo de -1 de</w:t>
      </w:r>
      <w:r>
        <w:rPr>
          <w:sz w:val="24"/>
        </w:rPr>
        <w:t>svio-padrão da curva de velocidade de crescimento em 12 meses)</w:t>
      </w:r>
      <w:r>
        <w:rPr>
          <w:spacing w:val="-2"/>
          <w:sz w:val="24"/>
        </w:rPr>
        <w:t xml:space="preserve"> </w:t>
      </w:r>
      <w:r>
        <w:rPr>
          <w:sz w:val="24"/>
        </w:rPr>
        <w:t>(3);</w:t>
      </w:r>
    </w:p>
    <w:p w:rsidR="005C592B" w:rsidRDefault="005D0206">
      <w:pPr>
        <w:pStyle w:val="PargrafodaLista"/>
        <w:numPr>
          <w:ilvl w:val="1"/>
          <w:numId w:val="15"/>
        </w:numPr>
        <w:tabs>
          <w:tab w:val="left" w:pos="914"/>
        </w:tabs>
        <w:spacing w:line="360" w:lineRule="auto"/>
        <w:ind w:right="852" w:firstLine="566"/>
        <w:rPr>
          <w:sz w:val="24"/>
        </w:rPr>
      </w:pPr>
      <w:r>
        <w:rPr>
          <w:sz w:val="24"/>
        </w:rPr>
        <w:t>presença de condição predisponente, como lesão intracraniana e irradiação do sistema nervoso central</w:t>
      </w:r>
      <w:r>
        <w:rPr>
          <w:spacing w:val="-2"/>
          <w:sz w:val="24"/>
        </w:rPr>
        <w:t xml:space="preserve"> </w:t>
      </w:r>
      <w:r>
        <w:rPr>
          <w:sz w:val="24"/>
        </w:rPr>
        <w:t>(SNC);</w:t>
      </w:r>
    </w:p>
    <w:p w:rsidR="005C592B" w:rsidRDefault="005D0206">
      <w:pPr>
        <w:pStyle w:val="PargrafodaLista"/>
        <w:numPr>
          <w:ilvl w:val="1"/>
          <w:numId w:val="15"/>
        </w:numPr>
        <w:tabs>
          <w:tab w:val="left" w:pos="906"/>
        </w:tabs>
        <w:ind w:firstLine="566"/>
        <w:jc w:val="left"/>
        <w:rPr>
          <w:sz w:val="24"/>
        </w:rPr>
      </w:pPr>
      <w:r>
        <w:rPr>
          <w:sz w:val="24"/>
        </w:rPr>
        <w:t>deficiência de outros hormônios</w:t>
      </w:r>
      <w:r>
        <w:rPr>
          <w:spacing w:val="-1"/>
          <w:sz w:val="24"/>
        </w:rPr>
        <w:t xml:space="preserve"> </w:t>
      </w:r>
      <w:r>
        <w:rPr>
          <w:sz w:val="24"/>
        </w:rPr>
        <w:t>hipofisários;</w:t>
      </w:r>
    </w:p>
    <w:p w:rsidR="005C592B" w:rsidRDefault="005D0206">
      <w:pPr>
        <w:pStyle w:val="PargrafodaLista"/>
        <w:numPr>
          <w:ilvl w:val="1"/>
          <w:numId w:val="15"/>
        </w:numPr>
        <w:tabs>
          <w:tab w:val="left" w:pos="897"/>
        </w:tabs>
        <w:spacing w:before="138" w:line="360" w:lineRule="auto"/>
        <w:ind w:right="857" w:firstLine="566"/>
        <w:rPr>
          <w:sz w:val="24"/>
        </w:rPr>
      </w:pPr>
      <w:r>
        <w:rPr>
          <w:sz w:val="24"/>
        </w:rPr>
        <w:t>sinais</w:t>
      </w:r>
      <w:r>
        <w:rPr>
          <w:spacing w:val="-10"/>
          <w:sz w:val="24"/>
        </w:rPr>
        <w:t xml:space="preserve"> </w:t>
      </w:r>
      <w:r>
        <w:rPr>
          <w:sz w:val="24"/>
        </w:rPr>
        <w:t>e</w:t>
      </w:r>
      <w:r>
        <w:rPr>
          <w:spacing w:val="-10"/>
          <w:sz w:val="24"/>
        </w:rPr>
        <w:t xml:space="preserve"> </w:t>
      </w:r>
      <w:r>
        <w:rPr>
          <w:sz w:val="24"/>
        </w:rPr>
        <w:t>sintomas</w:t>
      </w:r>
      <w:r>
        <w:rPr>
          <w:spacing w:val="-10"/>
          <w:sz w:val="24"/>
        </w:rPr>
        <w:t xml:space="preserve"> </w:t>
      </w:r>
      <w:r>
        <w:rPr>
          <w:sz w:val="24"/>
        </w:rPr>
        <w:t>de</w:t>
      </w:r>
      <w:r>
        <w:rPr>
          <w:spacing w:val="-10"/>
          <w:sz w:val="24"/>
        </w:rPr>
        <w:t xml:space="preserve"> </w:t>
      </w:r>
      <w:r>
        <w:rPr>
          <w:sz w:val="24"/>
        </w:rPr>
        <w:t>DGH/hipopitui</w:t>
      </w:r>
      <w:r>
        <w:rPr>
          <w:sz w:val="24"/>
        </w:rPr>
        <w:t>tarismo</w:t>
      </w:r>
      <w:r>
        <w:rPr>
          <w:spacing w:val="-8"/>
          <w:sz w:val="24"/>
        </w:rPr>
        <w:t xml:space="preserve"> </w:t>
      </w:r>
      <w:r>
        <w:rPr>
          <w:sz w:val="24"/>
        </w:rPr>
        <w:t>no</w:t>
      </w:r>
      <w:r>
        <w:rPr>
          <w:spacing w:val="-11"/>
          <w:sz w:val="24"/>
        </w:rPr>
        <w:t xml:space="preserve"> </w:t>
      </w:r>
      <w:r>
        <w:rPr>
          <w:sz w:val="24"/>
        </w:rPr>
        <w:t>período</w:t>
      </w:r>
      <w:r>
        <w:rPr>
          <w:spacing w:val="-11"/>
          <w:sz w:val="24"/>
        </w:rPr>
        <w:t xml:space="preserve"> </w:t>
      </w:r>
      <w:r>
        <w:rPr>
          <w:sz w:val="24"/>
        </w:rPr>
        <w:t>neonatal</w:t>
      </w:r>
      <w:r>
        <w:rPr>
          <w:spacing w:val="-10"/>
          <w:sz w:val="24"/>
        </w:rPr>
        <w:t xml:space="preserve"> </w:t>
      </w:r>
      <w:r>
        <w:rPr>
          <w:sz w:val="24"/>
        </w:rPr>
        <w:t>(hipoglicemia,</w:t>
      </w:r>
      <w:r>
        <w:rPr>
          <w:spacing w:val="-10"/>
          <w:sz w:val="24"/>
        </w:rPr>
        <w:t xml:space="preserve"> </w:t>
      </w:r>
      <w:r>
        <w:rPr>
          <w:sz w:val="24"/>
        </w:rPr>
        <w:t>icterícia prolongada, micropênis, defeitos de linha</w:t>
      </w:r>
      <w:r>
        <w:rPr>
          <w:spacing w:val="-2"/>
          <w:sz w:val="24"/>
        </w:rPr>
        <w:t xml:space="preserve"> </w:t>
      </w:r>
      <w:r>
        <w:rPr>
          <w:sz w:val="24"/>
        </w:rPr>
        <w:t>média).</w:t>
      </w:r>
    </w:p>
    <w:p w:rsidR="005C592B" w:rsidRDefault="005C592B">
      <w:pPr>
        <w:pStyle w:val="Corpodetexto"/>
        <w:spacing w:before="4"/>
        <w:ind w:left="0"/>
        <w:jc w:val="left"/>
        <w:rPr>
          <w:sz w:val="36"/>
        </w:rPr>
      </w:pPr>
    </w:p>
    <w:p w:rsidR="005C592B" w:rsidRDefault="005D0206">
      <w:pPr>
        <w:pStyle w:val="Ttulo1"/>
      </w:pPr>
      <w:r>
        <w:t>Adultos</w:t>
      </w:r>
    </w:p>
    <w:p w:rsidR="005C592B" w:rsidRDefault="005D0206">
      <w:pPr>
        <w:pStyle w:val="Corpodetexto"/>
        <w:spacing w:before="135" w:line="360" w:lineRule="auto"/>
        <w:ind w:right="854" w:firstLine="566"/>
      </w:pPr>
      <w:r>
        <w:t>A</w:t>
      </w:r>
      <w:r>
        <w:rPr>
          <w:spacing w:val="-12"/>
        </w:rPr>
        <w:t xml:space="preserve"> </w:t>
      </w:r>
      <w:r>
        <w:t>DGH</w:t>
      </w:r>
      <w:r>
        <w:rPr>
          <w:spacing w:val="-12"/>
        </w:rPr>
        <w:t xml:space="preserve"> </w:t>
      </w:r>
      <w:r>
        <w:t>em</w:t>
      </w:r>
      <w:r>
        <w:rPr>
          <w:spacing w:val="-11"/>
        </w:rPr>
        <w:t xml:space="preserve"> </w:t>
      </w:r>
      <w:r>
        <w:t>adultos</w:t>
      </w:r>
      <w:r>
        <w:rPr>
          <w:spacing w:val="-10"/>
        </w:rPr>
        <w:t xml:space="preserve"> </w:t>
      </w:r>
      <w:r>
        <w:t>pode</w:t>
      </w:r>
      <w:r>
        <w:rPr>
          <w:spacing w:val="-9"/>
        </w:rPr>
        <w:t xml:space="preserve"> </w:t>
      </w:r>
      <w:r>
        <w:t>ser</w:t>
      </w:r>
      <w:r>
        <w:rPr>
          <w:spacing w:val="-12"/>
        </w:rPr>
        <w:t xml:space="preserve"> </w:t>
      </w:r>
      <w:r>
        <w:t>isolada</w:t>
      </w:r>
      <w:r>
        <w:rPr>
          <w:spacing w:val="-11"/>
        </w:rPr>
        <w:t xml:space="preserve"> </w:t>
      </w:r>
      <w:r>
        <w:t>ou</w:t>
      </w:r>
      <w:r>
        <w:rPr>
          <w:spacing w:val="-11"/>
        </w:rPr>
        <w:t xml:space="preserve"> </w:t>
      </w:r>
      <w:r>
        <w:t>associada</w:t>
      </w:r>
      <w:r>
        <w:rPr>
          <w:spacing w:val="-12"/>
        </w:rPr>
        <w:t xml:space="preserve"> </w:t>
      </w:r>
      <w:r>
        <w:t>a</w:t>
      </w:r>
      <w:r>
        <w:rPr>
          <w:spacing w:val="-9"/>
        </w:rPr>
        <w:t xml:space="preserve"> </w:t>
      </w:r>
      <w:r>
        <w:t>outras</w:t>
      </w:r>
      <w:r>
        <w:rPr>
          <w:spacing w:val="-10"/>
        </w:rPr>
        <w:t xml:space="preserve"> </w:t>
      </w:r>
      <w:r>
        <w:t>deficiências</w:t>
      </w:r>
      <w:r>
        <w:rPr>
          <w:spacing w:val="-11"/>
        </w:rPr>
        <w:t xml:space="preserve"> </w:t>
      </w:r>
      <w:r>
        <w:t>hormonais,</w:t>
      </w:r>
      <w:r>
        <w:rPr>
          <w:spacing w:val="-10"/>
        </w:rPr>
        <w:t xml:space="preserve"> </w:t>
      </w:r>
      <w:r>
        <w:t>e</w:t>
      </w:r>
      <w:r>
        <w:rPr>
          <w:spacing w:val="-12"/>
        </w:rPr>
        <w:t xml:space="preserve"> </w:t>
      </w:r>
      <w:r>
        <w:t>pode ser decorrente de duas situações</w:t>
      </w:r>
      <w:r>
        <w:rPr>
          <w:spacing w:val="-4"/>
        </w:rPr>
        <w:t xml:space="preserve"> </w:t>
      </w:r>
      <w:r>
        <w:t>(7):</w:t>
      </w:r>
    </w:p>
    <w:p w:rsidR="005C592B" w:rsidRDefault="005D0206">
      <w:pPr>
        <w:pStyle w:val="PargrafodaLista"/>
        <w:numPr>
          <w:ilvl w:val="1"/>
          <w:numId w:val="15"/>
        </w:numPr>
        <w:tabs>
          <w:tab w:val="left" w:pos="906"/>
        </w:tabs>
        <w:ind w:firstLine="566"/>
        <w:jc w:val="left"/>
        <w:rPr>
          <w:sz w:val="24"/>
        </w:rPr>
      </w:pPr>
      <w:r>
        <w:rPr>
          <w:sz w:val="24"/>
        </w:rPr>
        <w:t>persistência da DGH iniciada na</w:t>
      </w:r>
      <w:r>
        <w:rPr>
          <w:spacing w:val="-8"/>
          <w:sz w:val="24"/>
        </w:rPr>
        <w:t xml:space="preserve"> </w:t>
      </w:r>
      <w:r>
        <w:rPr>
          <w:sz w:val="24"/>
        </w:rPr>
        <w:t>infância;</w:t>
      </w:r>
    </w:p>
    <w:p w:rsidR="005C592B" w:rsidRDefault="005D0206">
      <w:pPr>
        <w:pStyle w:val="PargrafodaLista"/>
        <w:numPr>
          <w:ilvl w:val="1"/>
          <w:numId w:val="15"/>
        </w:numPr>
        <w:tabs>
          <w:tab w:val="left" w:pos="914"/>
        </w:tabs>
        <w:spacing w:before="136" w:line="360" w:lineRule="auto"/>
        <w:ind w:right="857" w:firstLine="566"/>
        <w:rPr>
          <w:sz w:val="24"/>
        </w:rPr>
      </w:pPr>
      <w:r>
        <w:rPr>
          <w:sz w:val="24"/>
        </w:rPr>
        <w:t>presença de lesão da região hipotálamo-hipofisária (tumor, irradiação, trauma, doença inflamatória ou infecciosa) surgida na vida</w:t>
      </w:r>
      <w:r>
        <w:rPr>
          <w:spacing w:val="-2"/>
          <w:sz w:val="24"/>
        </w:rPr>
        <w:t xml:space="preserve"> </w:t>
      </w:r>
      <w:r>
        <w:rPr>
          <w:sz w:val="24"/>
        </w:rPr>
        <w:t>adulta.</w:t>
      </w:r>
    </w:p>
    <w:p w:rsidR="005C592B" w:rsidRDefault="005C592B">
      <w:pPr>
        <w:pStyle w:val="Corpodetexto"/>
        <w:spacing w:before="7"/>
        <w:ind w:left="0"/>
        <w:jc w:val="left"/>
        <w:rPr>
          <w:sz w:val="36"/>
        </w:rPr>
      </w:pPr>
    </w:p>
    <w:p w:rsidR="005C592B" w:rsidRDefault="005D0206">
      <w:pPr>
        <w:pStyle w:val="Ttulo1"/>
        <w:numPr>
          <w:ilvl w:val="1"/>
          <w:numId w:val="14"/>
        </w:numPr>
        <w:tabs>
          <w:tab w:val="left" w:pos="1127"/>
        </w:tabs>
        <w:spacing w:line="360" w:lineRule="auto"/>
        <w:ind w:right="5182" w:firstLine="0"/>
      </w:pPr>
      <w:r>
        <w:t>DIAGNÓSTICO LABORATORIAL Crianças e</w:t>
      </w:r>
      <w:r>
        <w:rPr>
          <w:spacing w:val="-2"/>
        </w:rPr>
        <w:t xml:space="preserve"> </w:t>
      </w:r>
      <w:r>
        <w:t>adolescentes</w:t>
      </w:r>
    </w:p>
    <w:p w:rsidR="005C592B" w:rsidRDefault="005D0206">
      <w:pPr>
        <w:pStyle w:val="Corpodetexto"/>
        <w:spacing w:line="360" w:lineRule="auto"/>
        <w:ind w:right="852" w:firstLine="566"/>
      </w:pPr>
      <w:r>
        <w:t>Na avaliação da baixa esta</w:t>
      </w:r>
      <w:r>
        <w:t>tura, a dosagem de somatomedina-C (</w:t>
      </w:r>
      <w:r>
        <w:rPr>
          <w:i/>
        </w:rPr>
        <w:t xml:space="preserve">insulin-like growth factor 1 </w:t>
      </w:r>
      <w:r>
        <w:t>– IGF-1) é relevante, porém tem baixa especificidade isoladamente (12). Valores de IGF-1</w:t>
      </w:r>
      <w:r>
        <w:rPr>
          <w:spacing w:val="-4"/>
        </w:rPr>
        <w:t xml:space="preserve"> </w:t>
      </w:r>
      <w:r>
        <w:t>acima</w:t>
      </w:r>
      <w:r>
        <w:rPr>
          <w:spacing w:val="-6"/>
        </w:rPr>
        <w:t xml:space="preserve"> </w:t>
      </w:r>
      <w:r>
        <w:t>da</w:t>
      </w:r>
      <w:r>
        <w:rPr>
          <w:spacing w:val="-5"/>
        </w:rPr>
        <w:t xml:space="preserve"> </w:t>
      </w:r>
      <w:r>
        <w:t>média</w:t>
      </w:r>
      <w:r>
        <w:rPr>
          <w:spacing w:val="-6"/>
        </w:rPr>
        <w:t xml:space="preserve"> </w:t>
      </w:r>
      <w:r>
        <w:t>para</w:t>
      </w:r>
      <w:r>
        <w:rPr>
          <w:spacing w:val="-6"/>
        </w:rPr>
        <w:t xml:space="preserve"> </w:t>
      </w:r>
      <w:r>
        <w:t>idade</w:t>
      </w:r>
      <w:r>
        <w:rPr>
          <w:spacing w:val="-7"/>
        </w:rPr>
        <w:t xml:space="preserve"> </w:t>
      </w:r>
      <w:r>
        <w:t>e</w:t>
      </w:r>
      <w:r>
        <w:rPr>
          <w:spacing w:val="-4"/>
        </w:rPr>
        <w:t xml:space="preserve"> </w:t>
      </w:r>
      <w:r>
        <w:t>sexo</w:t>
      </w:r>
      <w:r>
        <w:rPr>
          <w:spacing w:val="-6"/>
        </w:rPr>
        <w:t xml:space="preserve"> </w:t>
      </w:r>
      <w:r>
        <w:t>são</w:t>
      </w:r>
      <w:r>
        <w:rPr>
          <w:spacing w:val="-5"/>
        </w:rPr>
        <w:t xml:space="preserve"> </w:t>
      </w:r>
      <w:r>
        <w:t>forte</w:t>
      </w:r>
      <w:r>
        <w:rPr>
          <w:spacing w:val="-4"/>
        </w:rPr>
        <w:t xml:space="preserve"> </w:t>
      </w:r>
      <w:r>
        <w:t>evidência</w:t>
      </w:r>
      <w:r>
        <w:rPr>
          <w:spacing w:val="-4"/>
        </w:rPr>
        <w:t xml:space="preserve"> </w:t>
      </w:r>
      <w:r>
        <w:t>contra</w:t>
      </w:r>
      <w:r>
        <w:rPr>
          <w:spacing w:val="-3"/>
        </w:rPr>
        <w:t xml:space="preserve"> </w:t>
      </w:r>
      <w:r>
        <w:t>o</w:t>
      </w:r>
      <w:r>
        <w:rPr>
          <w:spacing w:val="-6"/>
        </w:rPr>
        <w:t xml:space="preserve"> </w:t>
      </w:r>
      <w:r>
        <w:t>diagnóstico</w:t>
      </w:r>
      <w:r>
        <w:rPr>
          <w:spacing w:val="-4"/>
        </w:rPr>
        <w:t xml:space="preserve"> </w:t>
      </w:r>
      <w:r>
        <w:t>de</w:t>
      </w:r>
      <w:r>
        <w:rPr>
          <w:spacing w:val="-6"/>
        </w:rPr>
        <w:t xml:space="preserve"> </w:t>
      </w:r>
      <w:r>
        <w:t>DGH,</w:t>
      </w:r>
      <w:r>
        <w:rPr>
          <w:spacing w:val="-7"/>
        </w:rPr>
        <w:t xml:space="preserve"> </w:t>
      </w:r>
      <w:r>
        <w:t>que deve ser confirmado pela realização de testes provocativos da secreção de GH e pela</w:t>
      </w:r>
      <w:r>
        <w:rPr>
          <w:spacing w:val="-26"/>
        </w:rPr>
        <w:t xml:space="preserve"> </w:t>
      </w:r>
      <w:r>
        <w:t>dosagem de IGF-1. Os testes provocativos envolvem estímulos como administração de insulina, clonidina, levodopa e glucagon, conforme protocolos específicos (5, 13). O t</w:t>
      </w:r>
      <w:r>
        <w:t>este com hipoglicemia insulínica não deve ser realizado em crianças com história de</w:t>
      </w:r>
      <w:r>
        <w:rPr>
          <w:spacing w:val="39"/>
        </w:rPr>
        <w:t xml:space="preserve"> </w:t>
      </w:r>
      <w:r>
        <w:t>convulsões, cardiopatias ou com menos de 20 kg. As técnicas que utilizam anticorpos monoclonais, como quimioluminescência e imunofluorimetria, são as mais utilizadas, e o p</w:t>
      </w:r>
      <w:r>
        <w:t>onto de corte utilizado é uma concentração de GH inferior a 5 ng/mL</w:t>
      </w:r>
      <w:r>
        <w:rPr>
          <w:spacing w:val="-7"/>
        </w:rPr>
        <w:t xml:space="preserve"> </w:t>
      </w:r>
      <w:r>
        <w:t>(13-16).</w:t>
      </w:r>
    </w:p>
    <w:p w:rsidR="005C592B" w:rsidRDefault="005D0206">
      <w:pPr>
        <w:pStyle w:val="Corpodetexto"/>
        <w:ind w:left="766"/>
        <w:jc w:val="left"/>
      </w:pPr>
      <w:r>
        <w:t>Em situações específicas, pode-se prescindir dos testes de estímulo:</w:t>
      </w:r>
    </w:p>
    <w:p w:rsidR="005C592B" w:rsidRDefault="005D0206">
      <w:pPr>
        <w:pStyle w:val="PargrafodaLista"/>
        <w:numPr>
          <w:ilvl w:val="0"/>
          <w:numId w:val="13"/>
        </w:numPr>
        <w:tabs>
          <w:tab w:val="left" w:pos="1043"/>
        </w:tabs>
        <w:spacing w:before="133" w:line="360" w:lineRule="auto"/>
        <w:ind w:right="856" w:firstLine="566"/>
        <w:jc w:val="both"/>
        <w:rPr>
          <w:sz w:val="24"/>
        </w:rPr>
      </w:pPr>
      <w:r>
        <w:rPr>
          <w:sz w:val="24"/>
        </w:rPr>
        <w:t>Pacientes com critérios auxológicos - relacionados ao crescimento -, compatíveis, defeito anatômico hipotalâmi</w:t>
      </w:r>
      <w:r>
        <w:rPr>
          <w:sz w:val="24"/>
        </w:rPr>
        <w:t>co-hipofisário, tumor, irradiação e uma deficiência hormonal adicional;</w:t>
      </w:r>
    </w:p>
    <w:p w:rsidR="005C592B" w:rsidRDefault="005C592B">
      <w:pPr>
        <w:spacing w:line="360" w:lineRule="auto"/>
        <w:jc w:val="both"/>
        <w:rPr>
          <w:sz w:val="24"/>
        </w:rPr>
        <w:sectPr w:rsidR="005C592B">
          <w:pgSz w:w="11900" w:h="16850"/>
          <w:pgMar w:top="1360" w:right="580" w:bottom="280" w:left="1240" w:header="720" w:footer="720" w:gutter="0"/>
          <w:cols w:space="720"/>
        </w:sectPr>
      </w:pPr>
    </w:p>
    <w:p w:rsidR="005C592B" w:rsidRDefault="005D0206">
      <w:pPr>
        <w:pStyle w:val="PargrafodaLista"/>
        <w:numPr>
          <w:ilvl w:val="0"/>
          <w:numId w:val="13"/>
        </w:numPr>
        <w:tabs>
          <w:tab w:val="left" w:pos="1029"/>
        </w:tabs>
        <w:spacing w:before="74" w:line="360" w:lineRule="auto"/>
        <w:ind w:right="853" w:firstLine="566"/>
        <w:jc w:val="both"/>
        <w:rPr>
          <w:sz w:val="24"/>
        </w:rPr>
      </w:pPr>
      <w:r>
        <w:rPr>
          <w:sz w:val="24"/>
        </w:rPr>
        <w:lastRenderedPageBreak/>
        <w:t xml:space="preserve">Pacientes com hipopituitarismo congênito, ou seja, bebês com dosagem de GH &lt; 5 mcg/L em vigência de hipoglicemia e ao menos 1 deficiência adicional ou alteração clássica </w:t>
      </w:r>
      <w:r>
        <w:rPr>
          <w:sz w:val="24"/>
        </w:rPr>
        <w:t>em exame de imagem</w:t>
      </w:r>
      <w:r>
        <w:rPr>
          <w:spacing w:val="-2"/>
          <w:sz w:val="24"/>
        </w:rPr>
        <w:t xml:space="preserve"> </w:t>
      </w:r>
      <w:r>
        <w:rPr>
          <w:sz w:val="24"/>
        </w:rPr>
        <w:t>(12).</w:t>
      </w:r>
    </w:p>
    <w:p w:rsidR="005C592B" w:rsidRDefault="005D0206">
      <w:pPr>
        <w:pStyle w:val="Corpodetexto"/>
        <w:spacing w:line="360" w:lineRule="auto"/>
        <w:ind w:right="853" w:firstLine="566"/>
      </w:pPr>
      <w:r>
        <w:t>Nos casos de suspeita de deficiência isolada de GH, são necessários dois testes provocativos para que se estabeleça o diagnóstico. Em pacientes que apresentam lesão anatômica ou defeitos da região hipotálamo-hipofisária, história de tratamento com radioter</w:t>
      </w:r>
      <w:r>
        <w:t>apia ou deficiência associada de outros hormônios hipofisários, apenas um teste provocativo é necessário para o diagnóstico. No caso de deficiência de outros hormônios hipofisários, estes devem estar adequadamente repostos antes da realização do teste.</w:t>
      </w:r>
    </w:p>
    <w:p w:rsidR="005C592B" w:rsidRDefault="005D0206">
      <w:pPr>
        <w:pStyle w:val="Corpodetexto"/>
        <w:spacing w:line="360" w:lineRule="auto"/>
        <w:ind w:right="853" w:firstLine="566"/>
      </w:pPr>
      <w:r>
        <w:t xml:space="preserve">No </w:t>
      </w:r>
      <w:r>
        <w:t>período pré-puberal ou puberal inicial, quando ainda não há estímulo endógeno suficiente para desenvolvimento ou progressão dos caracteres sexuais secundários (</w:t>
      </w:r>
      <w:r>
        <w:rPr>
          <w:b/>
        </w:rPr>
        <w:t xml:space="preserve">Apêndice 2 </w:t>
      </w:r>
      <w:r>
        <w:t>- Critérios de Tanner) (17,18), os testes de estímulo de GH podem ser falsamente nega</w:t>
      </w:r>
      <w:r>
        <w:t>tivos. Para discriminar entre DGH e retardo constitucional do crescimento e da puberdade (RCCP), pode-se realizar uso prévio (</w:t>
      </w:r>
      <w:r>
        <w:rPr>
          <w:i/>
        </w:rPr>
        <w:t>priming</w:t>
      </w:r>
      <w:r>
        <w:t>) de hormônios sexuais antes da realização do teste provocativo de secreção de GH, conforme descrito abaixo:</w:t>
      </w:r>
    </w:p>
    <w:p w:rsidR="005C592B" w:rsidRDefault="005D0206">
      <w:pPr>
        <w:pStyle w:val="PargrafodaLista"/>
        <w:numPr>
          <w:ilvl w:val="1"/>
          <w:numId w:val="15"/>
        </w:numPr>
        <w:tabs>
          <w:tab w:val="left" w:pos="909"/>
        </w:tabs>
        <w:spacing w:line="360" w:lineRule="auto"/>
        <w:ind w:right="854" w:firstLine="566"/>
        <w:rPr>
          <w:sz w:val="24"/>
        </w:rPr>
      </w:pPr>
      <w:r>
        <w:rPr>
          <w:sz w:val="24"/>
        </w:rPr>
        <w:t>meninas com id</w:t>
      </w:r>
      <w:r>
        <w:rPr>
          <w:sz w:val="24"/>
        </w:rPr>
        <w:t>ade a partir de 10 anos e estágio puberal abaixo de M3 e P3 de Tanner (</w:t>
      </w:r>
      <w:r>
        <w:rPr>
          <w:b/>
          <w:sz w:val="24"/>
        </w:rPr>
        <w:t>Apêndice</w:t>
      </w:r>
      <w:r>
        <w:rPr>
          <w:b/>
          <w:spacing w:val="-5"/>
          <w:sz w:val="24"/>
        </w:rPr>
        <w:t xml:space="preserve"> </w:t>
      </w:r>
      <w:r>
        <w:rPr>
          <w:b/>
          <w:sz w:val="24"/>
        </w:rPr>
        <w:t>2</w:t>
      </w:r>
      <w:r>
        <w:rPr>
          <w:sz w:val="24"/>
        </w:rPr>
        <w:t>)</w:t>
      </w:r>
      <w:r>
        <w:rPr>
          <w:spacing w:val="-4"/>
          <w:sz w:val="24"/>
        </w:rPr>
        <w:t xml:space="preserve"> </w:t>
      </w:r>
      <w:r>
        <w:rPr>
          <w:sz w:val="24"/>
        </w:rPr>
        <w:t>(17,18):</w:t>
      </w:r>
      <w:r>
        <w:rPr>
          <w:spacing w:val="-3"/>
          <w:sz w:val="24"/>
        </w:rPr>
        <w:t xml:space="preserve"> </w:t>
      </w:r>
      <w:r>
        <w:rPr>
          <w:sz w:val="24"/>
        </w:rPr>
        <w:t>ß</w:t>
      </w:r>
      <w:r>
        <w:rPr>
          <w:spacing w:val="-3"/>
          <w:sz w:val="24"/>
        </w:rPr>
        <w:t xml:space="preserve"> </w:t>
      </w:r>
      <w:r>
        <w:rPr>
          <w:sz w:val="24"/>
        </w:rPr>
        <w:t>estradiol</w:t>
      </w:r>
      <w:r>
        <w:rPr>
          <w:spacing w:val="-3"/>
          <w:sz w:val="24"/>
        </w:rPr>
        <w:t xml:space="preserve"> </w:t>
      </w:r>
      <w:r>
        <w:rPr>
          <w:sz w:val="24"/>
        </w:rPr>
        <w:t>na</w:t>
      </w:r>
      <w:r>
        <w:rPr>
          <w:spacing w:val="-4"/>
          <w:sz w:val="24"/>
        </w:rPr>
        <w:t xml:space="preserve"> </w:t>
      </w:r>
      <w:r>
        <w:rPr>
          <w:sz w:val="24"/>
        </w:rPr>
        <w:t>dose</w:t>
      </w:r>
      <w:r>
        <w:rPr>
          <w:spacing w:val="-4"/>
          <w:sz w:val="24"/>
        </w:rPr>
        <w:t xml:space="preserve"> </w:t>
      </w:r>
      <w:r>
        <w:rPr>
          <w:sz w:val="24"/>
        </w:rPr>
        <w:t>de</w:t>
      </w:r>
      <w:r>
        <w:rPr>
          <w:spacing w:val="-4"/>
          <w:sz w:val="24"/>
        </w:rPr>
        <w:t xml:space="preserve"> </w:t>
      </w:r>
      <w:r>
        <w:rPr>
          <w:sz w:val="24"/>
        </w:rPr>
        <w:t>1</w:t>
      </w:r>
      <w:r>
        <w:rPr>
          <w:spacing w:val="-4"/>
          <w:sz w:val="24"/>
        </w:rPr>
        <w:t xml:space="preserve"> </w:t>
      </w:r>
      <w:r>
        <w:rPr>
          <w:sz w:val="24"/>
        </w:rPr>
        <w:t>mg</w:t>
      </w:r>
      <w:r>
        <w:rPr>
          <w:spacing w:val="-3"/>
          <w:sz w:val="24"/>
        </w:rPr>
        <w:t xml:space="preserve"> </w:t>
      </w:r>
      <w:r>
        <w:rPr>
          <w:sz w:val="24"/>
        </w:rPr>
        <w:t>para</w:t>
      </w:r>
      <w:r>
        <w:rPr>
          <w:spacing w:val="-5"/>
          <w:sz w:val="24"/>
        </w:rPr>
        <w:t xml:space="preserve"> </w:t>
      </w:r>
      <w:r>
        <w:rPr>
          <w:sz w:val="24"/>
        </w:rPr>
        <w:t>meninas</w:t>
      </w:r>
      <w:r>
        <w:rPr>
          <w:spacing w:val="-2"/>
          <w:sz w:val="24"/>
        </w:rPr>
        <w:t xml:space="preserve"> </w:t>
      </w:r>
      <w:r>
        <w:rPr>
          <w:sz w:val="24"/>
        </w:rPr>
        <w:t>com</w:t>
      </w:r>
      <w:r>
        <w:rPr>
          <w:spacing w:val="-3"/>
          <w:sz w:val="24"/>
        </w:rPr>
        <w:t xml:space="preserve"> </w:t>
      </w:r>
      <w:r>
        <w:rPr>
          <w:sz w:val="24"/>
        </w:rPr>
        <w:t>peso menor</w:t>
      </w:r>
      <w:r>
        <w:rPr>
          <w:spacing w:val="-5"/>
          <w:sz w:val="24"/>
        </w:rPr>
        <w:t xml:space="preserve"> </w:t>
      </w:r>
      <w:r>
        <w:rPr>
          <w:sz w:val="24"/>
        </w:rPr>
        <w:t>de</w:t>
      </w:r>
      <w:r>
        <w:rPr>
          <w:spacing w:val="-4"/>
          <w:sz w:val="24"/>
        </w:rPr>
        <w:t xml:space="preserve"> </w:t>
      </w:r>
      <w:r>
        <w:rPr>
          <w:sz w:val="24"/>
        </w:rPr>
        <w:t>20</w:t>
      </w:r>
      <w:r>
        <w:rPr>
          <w:spacing w:val="-3"/>
          <w:sz w:val="24"/>
        </w:rPr>
        <w:t xml:space="preserve"> </w:t>
      </w:r>
      <w:r>
        <w:rPr>
          <w:sz w:val="24"/>
        </w:rPr>
        <w:t>Kg</w:t>
      </w:r>
      <w:r>
        <w:rPr>
          <w:spacing w:val="-5"/>
          <w:sz w:val="24"/>
        </w:rPr>
        <w:t xml:space="preserve"> </w:t>
      </w:r>
      <w:r>
        <w:rPr>
          <w:sz w:val="24"/>
        </w:rPr>
        <w:t>e</w:t>
      </w:r>
      <w:r>
        <w:rPr>
          <w:spacing w:val="-5"/>
          <w:sz w:val="24"/>
        </w:rPr>
        <w:t xml:space="preserve"> </w:t>
      </w:r>
      <w:r>
        <w:rPr>
          <w:sz w:val="24"/>
        </w:rPr>
        <w:t>ß estradiol 2 mg para maiores de 20 Kg , via oral, 2 doses, administradas nas 2 noites antes da realização do teste (adaptado de 19,</w:t>
      </w:r>
      <w:r>
        <w:rPr>
          <w:spacing w:val="-1"/>
          <w:sz w:val="24"/>
        </w:rPr>
        <w:t xml:space="preserve"> </w:t>
      </w:r>
      <w:r>
        <w:rPr>
          <w:sz w:val="24"/>
        </w:rPr>
        <w:t>12);</w:t>
      </w:r>
    </w:p>
    <w:p w:rsidR="005C592B" w:rsidRDefault="005D0206">
      <w:pPr>
        <w:pStyle w:val="PargrafodaLista"/>
        <w:numPr>
          <w:ilvl w:val="1"/>
          <w:numId w:val="15"/>
        </w:numPr>
        <w:tabs>
          <w:tab w:val="left" w:pos="945"/>
        </w:tabs>
        <w:spacing w:line="360" w:lineRule="auto"/>
        <w:ind w:right="854" w:firstLine="566"/>
        <w:rPr>
          <w:sz w:val="24"/>
        </w:rPr>
      </w:pPr>
      <w:r>
        <w:rPr>
          <w:sz w:val="24"/>
        </w:rPr>
        <w:t>meninos com idade a partir de 11 anos e estágio puberal abaixo de P3 de Tanner (</w:t>
      </w:r>
      <w:r>
        <w:rPr>
          <w:b/>
          <w:sz w:val="24"/>
        </w:rPr>
        <w:t>Apêndcie 2</w:t>
      </w:r>
      <w:r>
        <w:rPr>
          <w:sz w:val="24"/>
        </w:rPr>
        <w:t>) (16,17): cipionato de test</w:t>
      </w:r>
      <w:r>
        <w:rPr>
          <w:sz w:val="24"/>
        </w:rPr>
        <w:t>osterona 50-100 mg IM, 1 semana antes da realização do teste (adaptado de</w:t>
      </w:r>
      <w:r>
        <w:rPr>
          <w:spacing w:val="-3"/>
          <w:sz w:val="24"/>
        </w:rPr>
        <w:t xml:space="preserve"> </w:t>
      </w:r>
      <w:r>
        <w:rPr>
          <w:sz w:val="24"/>
        </w:rPr>
        <w:t>19,12).</w:t>
      </w:r>
    </w:p>
    <w:p w:rsidR="005C592B" w:rsidRDefault="005D0206">
      <w:pPr>
        <w:pStyle w:val="Corpodetexto"/>
        <w:spacing w:before="1" w:line="360" w:lineRule="auto"/>
        <w:ind w:right="854" w:firstLine="566"/>
      </w:pPr>
      <w:r>
        <w:t>Crianças com baixa velocidade de crescimento, baixa estatura para o alvo genético e atraso</w:t>
      </w:r>
      <w:r>
        <w:rPr>
          <w:spacing w:val="-12"/>
        </w:rPr>
        <w:t xml:space="preserve"> </w:t>
      </w:r>
      <w:r>
        <w:t>de</w:t>
      </w:r>
      <w:r>
        <w:rPr>
          <w:spacing w:val="-12"/>
        </w:rPr>
        <w:t xml:space="preserve"> </w:t>
      </w:r>
      <w:r>
        <w:t>idade</w:t>
      </w:r>
      <w:r>
        <w:rPr>
          <w:spacing w:val="-13"/>
        </w:rPr>
        <w:t xml:space="preserve"> </w:t>
      </w:r>
      <w:r>
        <w:t>óssea</w:t>
      </w:r>
      <w:r>
        <w:rPr>
          <w:spacing w:val="-12"/>
        </w:rPr>
        <w:t xml:space="preserve"> </w:t>
      </w:r>
      <w:r>
        <w:t>que</w:t>
      </w:r>
      <w:r>
        <w:rPr>
          <w:spacing w:val="-12"/>
        </w:rPr>
        <w:t xml:space="preserve"> </w:t>
      </w:r>
      <w:r>
        <w:t>respondem</w:t>
      </w:r>
      <w:r>
        <w:rPr>
          <w:spacing w:val="-11"/>
        </w:rPr>
        <w:t xml:space="preserve"> </w:t>
      </w:r>
      <w:r>
        <w:t>ao</w:t>
      </w:r>
      <w:r>
        <w:rPr>
          <w:spacing w:val="-11"/>
        </w:rPr>
        <w:t xml:space="preserve"> </w:t>
      </w:r>
      <w:r>
        <w:t>teste</w:t>
      </w:r>
      <w:r>
        <w:rPr>
          <w:spacing w:val="-12"/>
        </w:rPr>
        <w:t xml:space="preserve"> </w:t>
      </w:r>
      <w:r>
        <w:t>de</w:t>
      </w:r>
      <w:r>
        <w:rPr>
          <w:spacing w:val="-12"/>
        </w:rPr>
        <w:t xml:space="preserve"> </w:t>
      </w:r>
      <w:r>
        <w:t>estímulo</w:t>
      </w:r>
      <w:r>
        <w:rPr>
          <w:spacing w:val="-11"/>
        </w:rPr>
        <w:t xml:space="preserve"> </w:t>
      </w:r>
      <w:r>
        <w:t>com</w:t>
      </w:r>
      <w:r>
        <w:rPr>
          <w:spacing w:val="-11"/>
        </w:rPr>
        <w:t xml:space="preserve"> </w:t>
      </w:r>
      <w:r>
        <w:rPr>
          <w:i/>
        </w:rPr>
        <w:t>priming</w:t>
      </w:r>
      <w:r>
        <w:rPr>
          <w:i/>
          <w:spacing w:val="-10"/>
        </w:rPr>
        <w:t xml:space="preserve"> </w:t>
      </w:r>
      <w:r>
        <w:t>são</w:t>
      </w:r>
      <w:r>
        <w:rPr>
          <w:spacing w:val="-14"/>
        </w:rPr>
        <w:t xml:space="preserve"> </w:t>
      </w:r>
      <w:r>
        <w:t>mais</w:t>
      </w:r>
      <w:r>
        <w:rPr>
          <w:spacing w:val="-10"/>
        </w:rPr>
        <w:t xml:space="preserve"> </w:t>
      </w:r>
      <w:r>
        <w:t>provavelment</w:t>
      </w:r>
      <w:r>
        <w:t xml:space="preserve">e indivíduos com RCCP. Inexiste, no entanto, consenso sobre a realização de </w:t>
      </w:r>
      <w:r>
        <w:rPr>
          <w:i/>
        </w:rPr>
        <w:t xml:space="preserve">priming </w:t>
      </w:r>
      <w:r>
        <w:t>para o diagnóstico de</w:t>
      </w:r>
      <w:r>
        <w:rPr>
          <w:spacing w:val="-1"/>
        </w:rPr>
        <w:t xml:space="preserve"> </w:t>
      </w:r>
      <w:r>
        <w:t>DGH.</w:t>
      </w:r>
    </w:p>
    <w:p w:rsidR="005C592B" w:rsidRDefault="005C592B">
      <w:pPr>
        <w:pStyle w:val="Corpodetexto"/>
        <w:spacing w:before="5"/>
        <w:ind w:left="0"/>
        <w:jc w:val="left"/>
        <w:rPr>
          <w:sz w:val="36"/>
        </w:rPr>
      </w:pPr>
    </w:p>
    <w:p w:rsidR="005C592B" w:rsidRDefault="005D0206">
      <w:pPr>
        <w:pStyle w:val="Ttulo1"/>
      </w:pPr>
      <w:r>
        <w:t>Adultos</w:t>
      </w:r>
    </w:p>
    <w:p w:rsidR="005C592B" w:rsidRDefault="005D0206">
      <w:pPr>
        <w:pStyle w:val="Corpodetexto"/>
        <w:spacing w:before="134" w:line="360" w:lineRule="auto"/>
        <w:ind w:right="853" w:firstLine="566"/>
      </w:pPr>
      <w:r>
        <w:t xml:space="preserve">A comprovação da DGH iniciada na vida adulta requer, além de níveis baixos de IGF-1 para a idade, a realização de um teste de estímulo, </w:t>
      </w:r>
      <w:r>
        <w:t>especialmente na presença de outras deficiências de hormônios hipofisários, história de cirurgia ou traumatismo cranianos, doença com prejuízo estrutural do hipotálamo ou hipófise (20). Pacientes com deficiência isolada de GH na infância devem ser sempre r</w:t>
      </w:r>
      <w:r>
        <w:t>etestados (7, 15). Considera-se deficiência valores de GH no</w:t>
      </w:r>
      <w:r>
        <w:rPr>
          <w:spacing w:val="-4"/>
        </w:rPr>
        <w:t xml:space="preserve"> </w:t>
      </w:r>
      <w:r>
        <w:t>estímulo</w:t>
      </w:r>
      <w:r>
        <w:rPr>
          <w:spacing w:val="-3"/>
        </w:rPr>
        <w:t xml:space="preserve"> </w:t>
      </w:r>
      <w:r>
        <w:t>&lt;</w:t>
      </w:r>
      <w:r>
        <w:rPr>
          <w:spacing w:val="-4"/>
        </w:rPr>
        <w:t xml:space="preserve"> </w:t>
      </w:r>
      <w:r>
        <w:t>5</w:t>
      </w:r>
      <w:r>
        <w:rPr>
          <w:spacing w:val="-4"/>
        </w:rPr>
        <w:t xml:space="preserve"> </w:t>
      </w:r>
      <w:r>
        <w:t>ng/mL</w:t>
      </w:r>
      <w:r>
        <w:rPr>
          <w:spacing w:val="-5"/>
        </w:rPr>
        <w:t xml:space="preserve"> </w:t>
      </w:r>
      <w:r>
        <w:t>e</w:t>
      </w:r>
      <w:r>
        <w:rPr>
          <w:spacing w:val="-1"/>
        </w:rPr>
        <w:t xml:space="preserve"> </w:t>
      </w:r>
      <w:r>
        <w:t>deficiência</w:t>
      </w:r>
      <w:r>
        <w:rPr>
          <w:spacing w:val="-2"/>
        </w:rPr>
        <w:t xml:space="preserve"> </w:t>
      </w:r>
      <w:r>
        <w:t>grave</w:t>
      </w:r>
      <w:r>
        <w:rPr>
          <w:spacing w:val="-2"/>
        </w:rPr>
        <w:t xml:space="preserve"> </w:t>
      </w:r>
      <w:r>
        <w:t>concentração de</w:t>
      </w:r>
      <w:r>
        <w:rPr>
          <w:spacing w:val="-2"/>
        </w:rPr>
        <w:t xml:space="preserve"> </w:t>
      </w:r>
      <w:r>
        <w:t>GH</w:t>
      </w:r>
      <w:r>
        <w:rPr>
          <w:spacing w:val="-4"/>
        </w:rPr>
        <w:t xml:space="preserve"> </w:t>
      </w:r>
      <w:r>
        <w:t>inferior</w:t>
      </w:r>
      <w:r>
        <w:rPr>
          <w:spacing w:val="-4"/>
        </w:rPr>
        <w:t xml:space="preserve"> </w:t>
      </w:r>
      <w:r>
        <w:t>a</w:t>
      </w:r>
      <w:r>
        <w:rPr>
          <w:spacing w:val="-2"/>
        </w:rPr>
        <w:t xml:space="preserve"> </w:t>
      </w:r>
      <w:r>
        <w:t>3 ng/mL</w:t>
      </w:r>
      <w:r>
        <w:rPr>
          <w:spacing w:val="-6"/>
        </w:rPr>
        <w:t xml:space="preserve"> </w:t>
      </w:r>
      <w:r>
        <w:t>(7),</w:t>
      </w:r>
      <w:r>
        <w:rPr>
          <w:spacing w:val="-4"/>
        </w:rPr>
        <w:t xml:space="preserve"> </w:t>
      </w:r>
      <w:r>
        <w:t>mas</w:t>
      </w:r>
      <w:r>
        <w:rPr>
          <w:spacing w:val="-3"/>
        </w:rPr>
        <w:t xml:space="preserve"> </w:t>
      </w:r>
      <w:r>
        <w:t>há</w:t>
      </w:r>
    </w:p>
    <w:p w:rsidR="005C592B" w:rsidRDefault="005C592B">
      <w:pPr>
        <w:spacing w:line="360" w:lineRule="auto"/>
        <w:sectPr w:rsidR="005C592B">
          <w:pgSz w:w="11900" w:h="16850"/>
          <w:pgMar w:top="1360" w:right="580" w:bottom="280" w:left="1240" w:header="720" w:footer="720" w:gutter="0"/>
          <w:cols w:space="720"/>
        </w:sectPr>
      </w:pPr>
    </w:p>
    <w:p w:rsidR="005C592B" w:rsidRDefault="005D0206">
      <w:pPr>
        <w:pStyle w:val="Corpodetexto"/>
        <w:spacing w:before="74" w:line="360" w:lineRule="auto"/>
        <w:ind w:right="853"/>
      </w:pPr>
      <w:r>
        <w:lastRenderedPageBreak/>
        <w:t>sugestão de ponto de corte diverso para gravidade dependendo do estímulo (insulina &lt;</w:t>
      </w:r>
      <w:r>
        <w:t xml:space="preserve"> 5 ng/mL; glucagon &lt; 3 ng/mL) (20). O paciente com DGH adulto normalmente apresenta sintomas de deficiência, como dislipidemia, osteoporose, adiposidade abdominal e astenia.</w:t>
      </w:r>
    </w:p>
    <w:p w:rsidR="005C592B" w:rsidRDefault="005D0206">
      <w:pPr>
        <w:pStyle w:val="Corpodetexto"/>
        <w:spacing w:line="360" w:lineRule="auto"/>
        <w:ind w:right="855" w:firstLine="566"/>
      </w:pPr>
      <w:r>
        <w:t>Para que os testes de estímulo sejam valorizados, é imprescindível que os paciente</w:t>
      </w:r>
      <w:r>
        <w:t>s</w:t>
      </w:r>
      <w:r>
        <w:rPr>
          <w:spacing w:val="-37"/>
        </w:rPr>
        <w:t xml:space="preserve"> </w:t>
      </w:r>
      <w:r>
        <w:t>com outras deficiências hipotálamo-hipofisárias estejam fazendo adequada reposição hormonal (7, 15).</w:t>
      </w:r>
    </w:p>
    <w:p w:rsidR="005C592B" w:rsidRDefault="005C592B">
      <w:pPr>
        <w:pStyle w:val="Corpodetexto"/>
        <w:spacing w:before="3"/>
        <w:ind w:left="0"/>
        <w:jc w:val="left"/>
        <w:rPr>
          <w:sz w:val="36"/>
        </w:rPr>
      </w:pPr>
    </w:p>
    <w:p w:rsidR="005C592B" w:rsidRDefault="005D0206">
      <w:pPr>
        <w:pStyle w:val="Ttulo1"/>
        <w:numPr>
          <w:ilvl w:val="1"/>
          <w:numId w:val="14"/>
        </w:numPr>
        <w:tabs>
          <w:tab w:val="left" w:pos="1127"/>
        </w:tabs>
        <w:spacing w:line="362" w:lineRule="auto"/>
        <w:ind w:right="4043" w:firstLine="0"/>
      </w:pPr>
      <w:r>
        <w:t>DIAGNÓSTICO POR EXAMES DE IMAGEM Crianças e</w:t>
      </w:r>
      <w:r>
        <w:rPr>
          <w:spacing w:val="-2"/>
        </w:rPr>
        <w:t xml:space="preserve"> </w:t>
      </w:r>
      <w:r>
        <w:t>adolescentes</w:t>
      </w:r>
    </w:p>
    <w:p w:rsidR="005C592B" w:rsidRDefault="005D0206">
      <w:pPr>
        <w:pStyle w:val="Corpodetexto"/>
        <w:spacing w:line="360" w:lineRule="auto"/>
        <w:ind w:right="853" w:firstLine="566"/>
      </w:pPr>
      <w:r>
        <w:t xml:space="preserve">Em crianças maiores de 2 anos com baixa estatura e redução na velocidade de crescimento, a avaliação da idade óssea é um método auxiliar importante (14). Na DGH, em geral, a idade óssea tem um atraso maior que dois desvios-padrão. Na suspeita clínica, com </w:t>
      </w:r>
      <w:r>
        <w:t>confirmação laboratorial de DGH, deverá ser realizada avaliação por imagem, preferencialmente, ressonância nuclear magnética (RNM)] da região hipotálamo-hipofisária para buscar alterações anatômicas auxiliares no diagnóstico (transecção de haste hipofisári</w:t>
      </w:r>
      <w:r>
        <w:t>a, neuro-hipófise ectópica, hipoplasia de hipófise, lesões expansivas selares ou displasia septo- óptica). Na impossibilidade de realizar RNM, a tomografia computadorizada (TC) pode ser o exame de imagem auxiliar.</w:t>
      </w:r>
    </w:p>
    <w:p w:rsidR="005C592B" w:rsidRDefault="005C592B">
      <w:pPr>
        <w:pStyle w:val="Corpodetexto"/>
        <w:spacing w:before="8"/>
        <w:ind w:left="0"/>
        <w:jc w:val="left"/>
        <w:rPr>
          <w:sz w:val="35"/>
        </w:rPr>
      </w:pPr>
    </w:p>
    <w:p w:rsidR="005C592B" w:rsidRDefault="005D0206">
      <w:pPr>
        <w:pStyle w:val="Ttulo1"/>
      </w:pPr>
      <w:r>
        <w:t>Adultos</w:t>
      </w:r>
    </w:p>
    <w:p w:rsidR="005C592B" w:rsidRDefault="005D0206">
      <w:pPr>
        <w:pStyle w:val="Corpodetexto"/>
        <w:spacing w:before="134" w:line="360" w:lineRule="auto"/>
        <w:ind w:right="854" w:firstLine="566"/>
      </w:pPr>
      <w:r>
        <w:t>No caso de DGH iniciada na vida a</w:t>
      </w:r>
      <w:r>
        <w:t>dulta, também deverá ser realizada avaliação por imagem (TC ou, preferencialmente, RNM) da região hipotálamo-hipofisária. A avaliação da densidade mineral óssea por meio de densitometria permite identificar a presença de osteoporose, que tem PCDT do Minist</w:t>
      </w:r>
      <w:r>
        <w:t>ério da Saúde específico.</w:t>
      </w:r>
    </w:p>
    <w:p w:rsidR="005C592B" w:rsidRDefault="005D0206">
      <w:pPr>
        <w:pStyle w:val="Corpodetexto"/>
        <w:spacing w:before="1"/>
        <w:ind w:left="766"/>
        <w:jc w:val="left"/>
      </w:pPr>
      <w:r>
        <w:t>As seguintes informações são necessárias para a confirmação diagnóstica:</w:t>
      </w:r>
    </w:p>
    <w:p w:rsidR="005C592B" w:rsidRDefault="005C592B">
      <w:pPr>
        <w:pStyle w:val="Corpodetexto"/>
        <w:ind w:left="0"/>
        <w:jc w:val="left"/>
        <w:rPr>
          <w:sz w:val="26"/>
        </w:rPr>
      </w:pPr>
    </w:p>
    <w:p w:rsidR="005C592B" w:rsidRDefault="005C592B">
      <w:pPr>
        <w:pStyle w:val="Corpodetexto"/>
        <w:spacing w:before="5"/>
        <w:ind w:left="0"/>
        <w:jc w:val="left"/>
        <w:rPr>
          <w:sz w:val="22"/>
        </w:rPr>
      </w:pPr>
    </w:p>
    <w:p w:rsidR="005C592B" w:rsidRDefault="005D0206">
      <w:pPr>
        <w:pStyle w:val="Ttulo1"/>
        <w:tabs>
          <w:tab w:val="left" w:pos="4766"/>
          <w:tab w:val="left" w:pos="7951"/>
        </w:tabs>
      </w:pPr>
      <w:r>
        <w:t>Crianças</w:t>
      </w:r>
      <w:r>
        <w:tab/>
        <w:t>e</w:t>
      </w:r>
      <w:r>
        <w:tab/>
        <w:t>adolescentes</w:t>
      </w:r>
    </w:p>
    <w:p w:rsidR="005C592B" w:rsidRDefault="005D0206">
      <w:pPr>
        <w:pStyle w:val="PargrafodaLista"/>
        <w:numPr>
          <w:ilvl w:val="1"/>
          <w:numId w:val="15"/>
        </w:numPr>
        <w:tabs>
          <w:tab w:val="left" w:pos="909"/>
        </w:tabs>
        <w:spacing w:before="132"/>
        <w:ind w:left="908" w:hanging="142"/>
        <w:jc w:val="left"/>
        <w:rPr>
          <w:sz w:val="24"/>
        </w:rPr>
      </w:pPr>
      <w:r>
        <w:rPr>
          <w:sz w:val="24"/>
        </w:rPr>
        <w:t>Idade, peso e altura</w:t>
      </w:r>
      <w:r>
        <w:rPr>
          <w:spacing w:val="-2"/>
          <w:sz w:val="24"/>
        </w:rPr>
        <w:t xml:space="preserve"> </w:t>
      </w:r>
      <w:r>
        <w:rPr>
          <w:sz w:val="24"/>
        </w:rPr>
        <w:t>atuais;</w:t>
      </w:r>
    </w:p>
    <w:p w:rsidR="005C592B" w:rsidRDefault="005D0206">
      <w:pPr>
        <w:pStyle w:val="PargrafodaLista"/>
        <w:numPr>
          <w:ilvl w:val="1"/>
          <w:numId w:val="15"/>
        </w:numPr>
        <w:tabs>
          <w:tab w:val="left" w:pos="916"/>
        </w:tabs>
        <w:spacing w:before="139" w:line="360" w:lineRule="auto"/>
        <w:ind w:right="858" w:firstLine="566"/>
        <w:rPr>
          <w:sz w:val="24"/>
        </w:rPr>
      </w:pPr>
      <w:r>
        <w:rPr>
          <w:sz w:val="24"/>
        </w:rPr>
        <w:t>Peso e comprimento ao nascer, idade gestacional (na impossibilidade de fornecer tais dados, como em ca</w:t>
      </w:r>
      <w:r>
        <w:rPr>
          <w:sz w:val="24"/>
        </w:rPr>
        <w:t>sos de crianças adotivas, justificar a não inclusão dos</w:t>
      </w:r>
      <w:r>
        <w:rPr>
          <w:spacing w:val="-3"/>
          <w:sz w:val="24"/>
        </w:rPr>
        <w:t xml:space="preserve"> </w:t>
      </w:r>
      <w:r>
        <w:rPr>
          <w:sz w:val="24"/>
        </w:rPr>
        <w:t>mesmos);</w:t>
      </w:r>
    </w:p>
    <w:p w:rsidR="005C592B" w:rsidRDefault="005D0206">
      <w:pPr>
        <w:pStyle w:val="PargrafodaLista"/>
        <w:numPr>
          <w:ilvl w:val="1"/>
          <w:numId w:val="15"/>
        </w:numPr>
        <w:tabs>
          <w:tab w:val="left" w:pos="904"/>
        </w:tabs>
        <w:spacing w:line="360" w:lineRule="auto"/>
        <w:ind w:right="858" w:firstLine="566"/>
        <w:rPr>
          <w:sz w:val="24"/>
        </w:rPr>
      </w:pPr>
      <w:r>
        <w:rPr>
          <w:sz w:val="24"/>
        </w:rPr>
        <w:t>Velocidade de crescimento no último ano ou curva de crescimento</w:t>
      </w:r>
      <w:r>
        <w:rPr>
          <w:spacing w:val="-43"/>
          <w:sz w:val="24"/>
        </w:rPr>
        <w:t xml:space="preserve"> </w:t>
      </w:r>
      <w:r>
        <w:rPr>
          <w:sz w:val="24"/>
        </w:rPr>
        <w:t>(preferencialmente) em crianças maiores de 2 anos;</w:t>
      </w:r>
    </w:p>
    <w:p w:rsidR="005C592B" w:rsidRDefault="005D0206">
      <w:pPr>
        <w:pStyle w:val="PargrafodaLista"/>
        <w:numPr>
          <w:ilvl w:val="1"/>
          <w:numId w:val="15"/>
        </w:numPr>
        <w:tabs>
          <w:tab w:val="left" w:pos="906"/>
        </w:tabs>
        <w:spacing w:before="1"/>
        <w:ind w:firstLine="566"/>
        <w:jc w:val="left"/>
        <w:rPr>
          <w:sz w:val="24"/>
        </w:rPr>
      </w:pPr>
      <w:r>
        <w:rPr>
          <w:sz w:val="24"/>
        </w:rPr>
        <w:t>Estadiamento</w:t>
      </w:r>
      <w:r>
        <w:rPr>
          <w:spacing w:val="-1"/>
          <w:sz w:val="24"/>
        </w:rPr>
        <w:t xml:space="preserve"> </w:t>
      </w:r>
      <w:r>
        <w:rPr>
          <w:sz w:val="24"/>
        </w:rPr>
        <w:t>puberal;</w:t>
      </w:r>
    </w:p>
    <w:p w:rsidR="005C592B" w:rsidRDefault="005C592B">
      <w:pPr>
        <w:rPr>
          <w:sz w:val="24"/>
        </w:rPr>
        <w:sectPr w:rsidR="005C592B">
          <w:pgSz w:w="11900" w:h="16850"/>
          <w:pgMar w:top="1360" w:right="580" w:bottom="280" w:left="1240" w:header="720" w:footer="720" w:gutter="0"/>
          <w:cols w:space="720"/>
        </w:sectPr>
      </w:pPr>
    </w:p>
    <w:p w:rsidR="005C592B" w:rsidRDefault="005D0206">
      <w:pPr>
        <w:pStyle w:val="PargrafodaLista"/>
        <w:numPr>
          <w:ilvl w:val="1"/>
          <w:numId w:val="15"/>
        </w:numPr>
        <w:tabs>
          <w:tab w:val="left" w:pos="899"/>
        </w:tabs>
        <w:spacing w:before="74" w:line="360" w:lineRule="auto"/>
        <w:ind w:right="859" w:firstLine="566"/>
        <w:jc w:val="left"/>
        <w:rPr>
          <w:sz w:val="24"/>
        </w:rPr>
      </w:pPr>
      <w:r>
        <w:rPr>
          <w:sz w:val="24"/>
        </w:rPr>
        <w:lastRenderedPageBreak/>
        <w:t>Altura</w:t>
      </w:r>
      <w:r>
        <w:rPr>
          <w:spacing w:val="-7"/>
          <w:sz w:val="24"/>
        </w:rPr>
        <w:t xml:space="preserve"> </w:t>
      </w:r>
      <w:r>
        <w:rPr>
          <w:sz w:val="24"/>
        </w:rPr>
        <w:t>medida</w:t>
      </w:r>
      <w:r>
        <w:rPr>
          <w:spacing w:val="-7"/>
          <w:sz w:val="24"/>
        </w:rPr>
        <w:t xml:space="preserve"> </w:t>
      </w:r>
      <w:r>
        <w:rPr>
          <w:sz w:val="24"/>
        </w:rPr>
        <w:t>dos</w:t>
      </w:r>
      <w:r>
        <w:rPr>
          <w:spacing w:val="-7"/>
          <w:sz w:val="24"/>
        </w:rPr>
        <w:t xml:space="preserve"> </w:t>
      </w:r>
      <w:r>
        <w:rPr>
          <w:sz w:val="24"/>
        </w:rPr>
        <w:t>pais</w:t>
      </w:r>
      <w:r>
        <w:rPr>
          <w:spacing w:val="-3"/>
          <w:sz w:val="24"/>
        </w:rPr>
        <w:t xml:space="preserve"> </w:t>
      </w:r>
      <w:r>
        <w:rPr>
          <w:sz w:val="24"/>
        </w:rPr>
        <w:t>biológicos</w:t>
      </w:r>
      <w:r>
        <w:rPr>
          <w:spacing w:val="-7"/>
          <w:sz w:val="24"/>
        </w:rPr>
        <w:t xml:space="preserve"> </w:t>
      </w:r>
      <w:r>
        <w:rPr>
          <w:sz w:val="24"/>
        </w:rPr>
        <w:t>(na</w:t>
      </w:r>
      <w:r>
        <w:rPr>
          <w:spacing w:val="-9"/>
          <w:sz w:val="24"/>
        </w:rPr>
        <w:t xml:space="preserve"> </w:t>
      </w:r>
      <w:r>
        <w:rPr>
          <w:sz w:val="24"/>
        </w:rPr>
        <w:t>impossibilidade</w:t>
      </w:r>
      <w:r>
        <w:rPr>
          <w:spacing w:val="-8"/>
          <w:sz w:val="24"/>
        </w:rPr>
        <w:t xml:space="preserve"> </w:t>
      </w:r>
      <w:r>
        <w:rPr>
          <w:sz w:val="24"/>
        </w:rPr>
        <w:t>de</w:t>
      </w:r>
      <w:r>
        <w:rPr>
          <w:spacing w:val="-7"/>
          <w:sz w:val="24"/>
        </w:rPr>
        <w:t xml:space="preserve"> </w:t>
      </w:r>
      <w:r>
        <w:rPr>
          <w:sz w:val="24"/>
        </w:rPr>
        <w:t>fornecer</w:t>
      </w:r>
      <w:r>
        <w:rPr>
          <w:spacing w:val="-5"/>
          <w:sz w:val="24"/>
        </w:rPr>
        <w:t xml:space="preserve"> </w:t>
      </w:r>
      <w:r>
        <w:rPr>
          <w:sz w:val="24"/>
        </w:rPr>
        <w:t>tais</w:t>
      </w:r>
      <w:r>
        <w:rPr>
          <w:spacing w:val="-8"/>
          <w:sz w:val="24"/>
        </w:rPr>
        <w:t xml:space="preserve"> </w:t>
      </w:r>
      <w:r>
        <w:rPr>
          <w:sz w:val="24"/>
        </w:rPr>
        <w:t>dados,</w:t>
      </w:r>
      <w:r>
        <w:rPr>
          <w:spacing w:val="-7"/>
          <w:sz w:val="24"/>
        </w:rPr>
        <w:t xml:space="preserve"> </w:t>
      </w:r>
      <w:r>
        <w:rPr>
          <w:sz w:val="24"/>
        </w:rPr>
        <w:t>como</w:t>
      </w:r>
      <w:r>
        <w:rPr>
          <w:spacing w:val="-8"/>
          <w:sz w:val="24"/>
        </w:rPr>
        <w:t xml:space="preserve"> </w:t>
      </w:r>
      <w:r>
        <w:rPr>
          <w:sz w:val="24"/>
        </w:rPr>
        <w:t>em casos de crianças adotivas, justificar a não inclusão dos</w:t>
      </w:r>
      <w:r>
        <w:rPr>
          <w:spacing w:val="-3"/>
          <w:sz w:val="24"/>
        </w:rPr>
        <w:t xml:space="preserve"> </w:t>
      </w:r>
      <w:r>
        <w:rPr>
          <w:sz w:val="24"/>
        </w:rPr>
        <w:t>mesmos);</w:t>
      </w:r>
    </w:p>
    <w:p w:rsidR="005C592B" w:rsidRDefault="005D0206">
      <w:pPr>
        <w:pStyle w:val="PargrafodaLista"/>
        <w:numPr>
          <w:ilvl w:val="1"/>
          <w:numId w:val="15"/>
        </w:numPr>
        <w:tabs>
          <w:tab w:val="left" w:pos="906"/>
        </w:tabs>
        <w:ind w:firstLine="566"/>
        <w:jc w:val="left"/>
        <w:rPr>
          <w:sz w:val="24"/>
        </w:rPr>
      </w:pPr>
      <w:r>
        <w:rPr>
          <w:sz w:val="24"/>
        </w:rPr>
        <w:t>Radiografia de mãos e punhos, para determinação da idade</w:t>
      </w:r>
      <w:r>
        <w:rPr>
          <w:spacing w:val="-9"/>
          <w:sz w:val="24"/>
        </w:rPr>
        <w:t xml:space="preserve"> </w:t>
      </w:r>
      <w:r>
        <w:rPr>
          <w:sz w:val="24"/>
        </w:rPr>
        <w:t>óssea;</w:t>
      </w:r>
    </w:p>
    <w:p w:rsidR="005C592B" w:rsidRDefault="005D0206">
      <w:pPr>
        <w:pStyle w:val="PargrafodaLista"/>
        <w:numPr>
          <w:ilvl w:val="1"/>
          <w:numId w:val="15"/>
        </w:numPr>
        <w:tabs>
          <w:tab w:val="left" w:pos="957"/>
        </w:tabs>
        <w:spacing w:before="137" w:line="360" w:lineRule="auto"/>
        <w:ind w:right="854" w:firstLine="566"/>
        <w:rPr>
          <w:sz w:val="24"/>
        </w:rPr>
      </w:pPr>
      <w:r>
        <w:rPr>
          <w:sz w:val="24"/>
        </w:rPr>
        <w:t xml:space="preserve">IGF-1, glicemia, hormônio estimulante da tireoide (em inglês, </w:t>
      </w:r>
      <w:r>
        <w:rPr>
          <w:i/>
          <w:sz w:val="24"/>
        </w:rPr>
        <w:t xml:space="preserve">thyroid-stimulating hormone </w:t>
      </w:r>
      <w:r>
        <w:rPr>
          <w:sz w:val="24"/>
        </w:rPr>
        <w:t>– TSH) e tiroxina (T4) total ou livre (e demais exames do eixo hipofisário, no caso de pan-hipopituitarismo), e as reposições hormonais</w:t>
      </w:r>
      <w:r>
        <w:rPr>
          <w:spacing w:val="1"/>
          <w:sz w:val="24"/>
        </w:rPr>
        <w:t xml:space="preserve"> </w:t>
      </w:r>
      <w:r>
        <w:rPr>
          <w:sz w:val="24"/>
        </w:rPr>
        <w:t>realizadas;</w:t>
      </w:r>
    </w:p>
    <w:p w:rsidR="005C592B" w:rsidRDefault="005D0206">
      <w:pPr>
        <w:pStyle w:val="PargrafodaLista"/>
        <w:numPr>
          <w:ilvl w:val="1"/>
          <w:numId w:val="15"/>
        </w:numPr>
        <w:tabs>
          <w:tab w:val="left" w:pos="899"/>
        </w:tabs>
        <w:spacing w:before="1" w:line="360" w:lineRule="auto"/>
        <w:ind w:right="855" w:firstLine="566"/>
        <w:jc w:val="left"/>
        <w:rPr>
          <w:sz w:val="24"/>
        </w:rPr>
      </w:pPr>
      <w:r>
        <w:rPr>
          <w:sz w:val="24"/>
        </w:rPr>
        <w:t>Testes</w:t>
      </w:r>
      <w:r>
        <w:rPr>
          <w:spacing w:val="-9"/>
          <w:sz w:val="24"/>
        </w:rPr>
        <w:t xml:space="preserve"> </w:t>
      </w:r>
      <w:r>
        <w:rPr>
          <w:sz w:val="24"/>
        </w:rPr>
        <w:t>para</w:t>
      </w:r>
      <w:r>
        <w:rPr>
          <w:spacing w:val="-6"/>
          <w:sz w:val="24"/>
        </w:rPr>
        <w:t xml:space="preserve"> </w:t>
      </w:r>
      <w:r>
        <w:rPr>
          <w:sz w:val="24"/>
        </w:rPr>
        <w:t>GH</w:t>
      </w:r>
      <w:r>
        <w:rPr>
          <w:spacing w:val="-7"/>
          <w:sz w:val="24"/>
        </w:rPr>
        <w:t xml:space="preserve"> </w:t>
      </w:r>
      <w:r>
        <w:rPr>
          <w:sz w:val="24"/>
        </w:rPr>
        <w:t>com</w:t>
      </w:r>
      <w:r>
        <w:rPr>
          <w:spacing w:val="-7"/>
          <w:sz w:val="24"/>
        </w:rPr>
        <w:t xml:space="preserve"> </w:t>
      </w:r>
      <w:r>
        <w:rPr>
          <w:sz w:val="24"/>
        </w:rPr>
        <w:t>datas</w:t>
      </w:r>
      <w:r>
        <w:rPr>
          <w:spacing w:val="-7"/>
          <w:sz w:val="24"/>
        </w:rPr>
        <w:t xml:space="preserve"> </w:t>
      </w:r>
      <w:r>
        <w:rPr>
          <w:sz w:val="24"/>
        </w:rPr>
        <w:t>e</w:t>
      </w:r>
      <w:r>
        <w:rPr>
          <w:spacing w:val="-7"/>
          <w:sz w:val="24"/>
        </w:rPr>
        <w:t xml:space="preserve"> </w:t>
      </w:r>
      <w:r>
        <w:rPr>
          <w:sz w:val="24"/>
        </w:rPr>
        <w:t>estímulos</w:t>
      </w:r>
      <w:r>
        <w:rPr>
          <w:spacing w:val="-6"/>
          <w:sz w:val="24"/>
        </w:rPr>
        <w:t xml:space="preserve"> </w:t>
      </w:r>
      <w:r>
        <w:rPr>
          <w:sz w:val="24"/>
        </w:rPr>
        <w:t>diferentes</w:t>
      </w:r>
      <w:r>
        <w:rPr>
          <w:spacing w:val="-6"/>
          <w:sz w:val="24"/>
        </w:rPr>
        <w:t xml:space="preserve"> </w:t>
      </w:r>
      <w:r>
        <w:rPr>
          <w:sz w:val="24"/>
        </w:rPr>
        <w:t>com</w:t>
      </w:r>
      <w:r>
        <w:rPr>
          <w:spacing w:val="-7"/>
          <w:sz w:val="24"/>
        </w:rPr>
        <w:t xml:space="preserve"> </w:t>
      </w:r>
      <w:r>
        <w:rPr>
          <w:sz w:val="24"/>
        </w:rPr>
        <w:t>valores</w:t>
      </w:r>
      <w:r>
        <w:rPr>
          <w:spacing w:val="-7"/>
          <w:sz w:val="24"/>
        </w:rPr>
        <w:t xml:space="preserve"> </w:t>
      </w:r>
      <w:r>
        <w:rPr>
          <w:sz w:val="24"/>
        </w:rPr>
        <w:t>de</w:t>
      </w:r>
      <w:r>
        <w:rPr>
          <w:spacing w:val="-10"/>
          <w:sz w:val="24"/>
        </w:rPr>
        <w:t xml:space="preserve"> </w:t>
      </w:r>
      <w:r>
        <w:rPr>
          <w:sz w:val="24"/>
        </w:rPr>
        <w:t>pico</w:t>
      </w:r>
      <w:r>
        <w:rPr>
          <w:spacing w:val="-8"/>
          <w:sz w:val="24"/>
        </w:rPr>
        <w:t xml:space="preserve"> </w:t>
      </w:r>
      <w:r>
        <w:rPr>
          <w:sz w:val="24"/>
        </w:rPr>
        <w:t>de</w:t>
      </w:r>
      <w:r>
        <w:rPr>
          <w:spacing w:val="-10"/>
          <w:sz w:val="24"/>
        </w:rPr>
        <w:t xml:space="preserve"> </w:t>
      </w:r>
      <w:r>
        <w:rPr>
          <w:sz w:val="24"/>
        </w:rPr>
        <w:t>GH</w:t>
      </w:r>
      <w:r>
        <w:rPr>
          <w:spacing w:val="-8"/>
          <w:sz w:val="24"/>
        </w:rPr>
        <w:t xml:space="preserve"> </w:t>
      </w:r>
      <w:r>
        <w:rPr>
          <w:sz w:val="24"/>
        </w:rPr>
        <w:t>&lt;</w:t>
      </w:r>
      <w:r>
        <w:rPr>
          <w:spacing w:val="-8"/>
          <w:sz w:val="24"/>
        </w:rPr>
        <w:t xml:space="preserve"> </w:t>
      </w:r>
      <w:r>
        <w:rPr>
          <w:sz w:val="24"/>
        </w:rPr>
        <w:t>5</w:t>
      </w:r>
      <w:r>
        <w:rPr>
          <w:spacing w:val="-9"/>
          <w:sz w:val="24"/>
        </w:rPr>
        <w:t xml:space="preserve"> </w:t>
      </w:r>
      <w:r>
        <w:rPr>
          <w:sz w:val="24"/>
        </w:rPr>
        <w:t>ng</w:t>
      </w:r>
      <w:r>
        <w:rPr>
          <w:sz w:val="24"/>
        </w:rPr>
        <w:t xml:space="preserve">/mL (informar se foi realizado </w:t>
      </w:r>
      <w:r>
        <w:rPr>
          <w:i/>
          <w:sz w:val="24"/>
        </w:rPr>
        <w:t xml:space="preserve">priming </w:t>
      </w:r>
      <w:r>
        <w:rPr>
          <w:sz w:val="24"/>
        </w:rPr>
        <w:t>com estradiol ou</w:t>
      </w:r>
      <w:r>
        <w:rPr>
          <w:spacing w:val="-1"/>
          <w:sz w:val="24"/>
        </w:rPr>
        <w:t xml:space="preserve"> </w:t>
      </w:r>
      <w:r>
        <w:rPr>
          <w:sz w:val="24"/>
        </w:rPr>
        <w:t>testosterona);</w:t>
      </w:r>
    </w:p>
    <w:p w:rsidR="005C592B" w:rsidRDefault="005D0206">
      <w:pPr>
        <w:pStyle w:val="Corpodetexto"/>
        <w:spacing w:line="360" w:lineRule="auto"/>
        <w:ind w:left="354" w:right="852" w:firstLine="412"/>
      </w:pPr>
      <w:r>
        <w:rPr>
          <w:rFonts w:ascii="Arial" w:hAnsi="Arial"/>
        </w:rPr>
        <w:t xml:space="preserve">- </w:t>
      </w:r>
      <w:r>
        <w:t>Em lactentes, sinais e sintomas clássicos de DGH/hipopituitarismo incluem hipoglicemia, icterícia prolongada, micropênis e defeitos de linha média. Nessa situação, pode-se confirmar o</w:t>
      </w:r>
      <w:r>
        <w:t xml:space="preserve"> diagnóstico apenas com uma dosagem de GH e cortisol na vigência de hipoglicemia. No caso de múltiplas deficiências hormonais no lactente e alteração na RNM com</w:t>
      </w:r>
      <w:r>
        <w:rPr>
          <w:spacing w:val="-3"/>
        </w:rPr>
        <w:t xml:space="preserve"> </w:t>
      </w:r>
      <w:r>
        <w:t>IGF-1</w:t>
      </w:r>
      <w:r>
        <w:rPr>
          <w:spacing w:val="-6"/>
        </w:rPr>
        <w:t xml:space="preserve"> </w:t>
      </w:r>
      <w:r>
        <w:t>abaixo</w:t>
      </w:r>
      <w:r>
        <w:rPr>
          <w:spacing w:val="-5"/>
        </w:rPr>
        <w:t xml:space="preserve"> </w:t>
      </w:r>
      <w:r>
        <w:t>do</w:t>
      </w:r>
      <w:r>
        <w:rPr>
          <w:spacing w:val="-5"/>
        </w:rPr>
        <w:t xml:space="preserve"> </w:t>
      </w:r>
      <w:r>
        <w:t>limite</w:t>
      </w:r>
      <w:r>
        <w:rPr>
          <w:spacing w:val="-7"/>
        </w:rPr>
        <w:t xml:space="preserve"> </w:t>
      </w:r>
      <w:r>
        <w:t>inferior</w:t>
      </w:r>
      <w:r>
        <w:rPr>
          <w:spacing w:val="-7"/>
        </w:rPr>
        <w:t xml:space="preserve"> </w:t>
      </w:r>
      <w:r>
        <w:t>da</w:t>
      </w:r>
      <w:r>
        <w:rPr>
          <w:spacing w:val="-6"/>
        </w:rPr>
        <w:t xml:space="preserve"> </w:t>
      </w:r>
      <w:r>
        <w:t>normalidade,</w:t>
      </w:r>
      <w:r>
        <w:rPr>
          <w:spacing w:val="-6"/>
        </w:rPr>
        <w:t xml:space="preserve"> </w:t>
      </w:r>
      <w:r>
        <w:t>pode-se</w:t>
      </w:r>
      <w:r>
        <w:rPr>
          <w:spacing w:val="-7"/>
        </w:rPr>
        <w:t xml:space="preserve"> </w:t>
      </w:r>
      <w:r>
        <w:t>prescindir</w:t>
      </w:r>
      <w:r>
        <w:rPr>
          <w:spacing w:val="-5"/>
        </w:rPr>
        <w:t xml:space="preserve"> </w:t>
      </w:r>
      <w:r>
        <w:t>do</w:t>
      </w:r>
      <w:r>
        <w:rPr>
          <w:spacing w:val="-6"/>
        </w:rPr>
        <w:t xml:space="preserve"> </w:t>
      </w:r>
      <w:r>
        <w:t>teste</w:t>
      </w:r>
      <w:r>
        <w:rPr>
          <w:spacing w:val="-6"/>
        </w:rPr>
        <w:t xml:space="preserve"> </w:t>
      </w:r>
      <w:r>
        <w:t>de</w:t>
      </w:r>
      <w:r>
        <w:rPr>
          <w:spacing w:val="-4"/>
        </w:rPr>
        <w:t xml:space="preserve"> </w:t>
      </w:r>
      <w:r>
        <w:t>estímulo. [A RNM não é um exame indispensável, mas pode ser considerada como critério de investigação</w:t>
      </w:r>
      <w:r>
        <w:rPr>
          <w:spacing w:val="-1"/>
        </w:rPr>
        <w:t xml:space="preserve"> </w:t>
      </w:r>
      <w:r>
        <w:t>adicional.]</w:t>
      </w:r>
    </w:p>
    <w:p w:rsidR="005C592B" w:rsidRDefault="005C592B">
      <w:pPr>
        <w:pStyle w:val="Corpodetexto"/>
        <w:spacing w:before="5"/>
        <w:ind w:left="0"/>
        <w:jc w:val="left"/>
        <w:rPr>
          <w:sz w:val="36"/>
        </w:rPr>
      </w:pPr>
    </w:p>
    <w:p w:rsidR="005C592B" w:rsidRDefault="005D0206">
      <w:pPr>
        <w:pStyle w:val="Ttulo1"/>
      </w:pPr>
      <w:r>
        <w:t>Adultos</w:t>
      </w:r>
    </w:p>
    <w:p w:rsidR="005C592B" w:rsidRDefault="005D0206">
      <w:pPr>
        <w:pStyle w:val="PargrafodaLista"/>
        <w:numPr>
          <w:ilvl w:val="0"/>
          <w:numId w:val="12"/>
        </w:numPr>
        <w:tabs>
          <w:tab w:val="left" w:pos="909"/>
        </w:tabs>
        <w:spacing w:before="134"/>
        <w:ind w:firstLine="566"/>
        <w:jc w:val="left"/>
        <w:rPr>
          <w:sz w:val="24"/>
        </w:rPr>
      </w:pPr>
      <w:r>
        <w:rPr>
          <w:sz w:val="24"/>
        </w:rPr>
        <w:t>Idade;</w:t>
      </w:r>
    </w:p>
    <w:p w:rsidR="005C592B" w:rsidRDefault="005D0206">
      <w:pPr>
        <w:pStyle w:val="PargrafodaLista"/>
        <w:numPr>
          <w:ilvl w:val="0"/>
          <w:numId w:val="12"/>
        </w:numPr>
        <w:tabs>
          <w:tab w:val="left" w:pos="906"/>
        </w:tabs>
        <w:spacing w:before="137"/>
        <w:ind w:left="906" w:hanging="140"/>
        <w:jc w:val="left"/>
        <w:rPr>
          <w:sz w:val="24"/>
        </w:rPr>
      </w:pPr>
      <w:r>
        <w:rPr>
          <w:sz w:val="24"/>
        </w:rPr>
        <w:t>Comprovar deficiência prévia, se</w:t>
      </w:r>
      <w:r>
        <w:rPr>
          <w:spacing w:val="1"/>
          <w:sz w:val="24"/>
        </w:rPr>
        <w:t xml:space="preserve"> </w:t>
      </w:r>
      <w:r>
        <w:rPr>
          <w:sz w:val="24"/>
        </w:rPr>
        <w:t>existente;</w:t>
      </w:r>
    </w:p>
    <w:p w:rsidR="005C592B" w:rsidRDefault="005D0206">
      <w:pPr>
        <w:pStyle w:val="PargrafodaLista"/>
        <w:numPr>
          <w:ilvl w:val="0"/>
          <w:numId w:val="12"/>
        </w:numPr>
        <w:tabs>
          <w:tab w:val="left" w:pos="928"/>
        </w:tabs>
        <w:spacing w:before="139" w:line="360" w:lineRule="auto"/>
        <w:ind w:right="858" w:firstLine="566"/>
        <w:jc w:val="left"/>
        <w:rPr>
          <w:sz w:val="24"/>
        </w:rPr>
      </w:pPr>
      <w:r>
        <w:rPr>
          <w:sz w:val="24"/>
        </w:rPr>
        <w:t>Fatores de risco para deficiência iniciada na vida adulta (traumatismo, irradiação no SNC, cirurgias no SNC, doenças que acometem o eixo</w:t>
      </w:r>
      <w:r>
        <w:rPr>
          <w:spacing w:val="-2"/>
          <w:sz w:val="24"/>
        </w:rPr>
        <w:t xml:space="preserve"> </w:t>
      </w:r>
      <w:r>
        <w:rPr>
          <w:sz w:val="24"/>
        </w:rPr>
        <w:t>hipotálamo-hipofisário);</w:t>
      </w:r>
    </w:p>
    <w:p w:rsidR="005C592B" w:rsidRDefault="005D0206">
      <w:pPr>
        <w:pStyle w:val="PargrafodaLista"/>
        <w:numPr>
          <w:ilvl w:val="0"/>
          <w:numId w:val="12"/>
        </w:numPr>
        <w:tabs>
          <w:tab w:val="left" w:pos="904"/>
        </w:tabs>
        <w:spacing w:line="360" w:lineRule="auto"/>
        <w:ind w:right="855" w:firstLine="566"/>
        <w:jc w:val="left"/>
        <w:rPr>
          <w:sz w:val="24"/>
        </w:rPr>
      </w:pPr>
      <w:r>
        <w:rPr>
          <w:sz w:val="24"/>
        </w:rPr>
        <w:t>IGF-1,</w:t>
      </w:r>
      <w:r>
        <w:rPr>
          <w:spacing w:val="-1"/>
          <w:sz w:val="24"/>
        </w:rPr>
        <w:t xml:space="preserve"> </w:t>
      </w:r>
      <w:r>
        <w:rPr>
          <w:sz w:val="24"/>
        </w:rPr>
        <w:t>glicemia,</w:t>
      </w:r>
      <w:r>
        <w:rPr>
          <w:spacing w:val="-3"/>
          <w:sz w:val="24"/>
        </w:rPr>
        <w:t xml:space="preserve"> </w:t>
      </w:r>
      <w:r>
        <w:rPr>
          <w:sz w:val="24"/>
        </w:rPr>
        <w:t>TSH</w:t>
      </w:r>
      <w:r>
        <w:rPr>
          <w:spacing w:val="-7"/>
          <w:sz w:val="24"/>
        </w:rPr>
        <w:t xml:space="preserve"> </w:t>
      </w:r>
      <w:r>
        <w:rPr>
          <w:sz w:val="24"/>
        </w:rPr>
        <w:t>e</w:t>
      </w:r>
      <w:r>
        <w:rPr>
          <w:spacing w:val="-2"/>
          <w:sz w:val="24"/>
        </w:rPr>
        <w:t xml:space="preserve"> </w:t>
      </w:r>
      <w:r>
        <w:rPr>
          <w:sz w:val="24"/>
        </w:rPr>
        <w:t>T4</w:t>
      </w:r>
      <w:r>
        <w:rPr>
          <w:spacing w:val="-6"/>
          <w:sz w:val="24"/>
        </w:rPr>
        <w:t xml:space="preserve"> </w:t>
      </w:r>
      <w:r>
        <w:rPr>
          <w:sz w:val="24"/>
        </w:rPr>
        <w:t>total</w:t>
      </w:r>
      <w:r>
        <w:rPr>
          <w:spacing w:val="-4"/>
          <w:sz w:val="24"/>
        </w:rPr>
        <w:t xml:space="preserve"> </w:t>
      </w:r>
      <w:r>
        <w:rPr>
          <w:sz w:val="24"/>
        </w:rPr>
        <w:t>ou</w:t>
      </w:r>
      <w:r>
        <w:rPr>
          <w:spacing w:val="-6"/>
          <w:sz w:val="24"/>
        </w:rPr>
        <w:t xml:space="preserve"> </w:t>
      </w:r>
      <w:r>
        <w:rPr>
          <w:sz w:val="24"/>
        </w:rPr>
        <w:t>livre</w:t>
      </w:r>
      <w:r>
        <w:rPr>
          <w:spacing w:val="-7"/>
          <w:sz w:val="24"/>
        </w:rPr>
        <w:t xml:space="preserve"> </w:t>
      </w:r>
      <w:r>
        <w:rPr>
          <w:sz w:val="24"/>
        </w:rPr>
        <w:t>(e</w:t>
      </w:r>
      <w:r>
        <w:rPr>
          <w:spacing w:val="-7"/>
          <w:sz w:val="24"/>
        </w:rPr>
        <w:t xml:space="preserve"> </w:t>
      </w:r>
      <w:r>
        <w:rPr>
          <w:sz w:val="24"/>
        </w:rPr>
        <w:t>demais</w:t>
      </w:r>
      <w:r>
        <w:rPr>
          <w:spacing w:val="-4"/>
          <w:sz w:val="24"/>
        </w:rPr>
        <w:t xml:space="preserve"> </w:t>
      </w:r>
      <w:r>
        <w:rPr>
          <w:sz w:val="24"/>
        </w:rPr>
        <w:t>exames</w:t>
      </w:r>
      <w:r>
        <w:rPr>
          <w:spacing w:val="-6"/>
          <w:sz w:val="24"/>
        </w:rPr>
        <w:t xml:space="preserve"> </w:t>
      </w:r>
      <w:r>
        <w:rPr>
          <w:sz w:val="24"/>
        </w:rPr>
        <w:t>do</w:t>
      </w:r>
      <w:r>
        <w:rPr>
          <w:spacing w:val="-4"/>
          <w:sz w:val="24"/>
        </w:rPr>
        <w:t xml:space="preserve"> </w:t>
      </w:r>
      <w:r>
        <w:rPr>
          <w:sz w:val="24"/>
        </w:rPr>
        <w:t>eixo</w:t>
      </w:r>
      <w:r>
        <w:rPr>
          <w:spacing w:val="-6"/>
          <w:sz w:val="24"/>
        </w:rPr>
        <w:t xml:space="preserve"> </w:t>
      </w:r>
      <w:r>
        <w:rPr>
          <w:sz w:val="24"/>
        </w:rPr>
        <w:t>hipofisário,</w:t>
      </w:r>
      <w:r>
        <w:rPr>
          <w:spacing w:val="-5"/>
          <w:sz w:val="24"/>
        </w:rPr>
        <w:t xml:space="preserve"> </w:t>
      </w:r>
      <w:r>
        <w:rPr>
          <w:sz w:val="24"/>
        </w:rPr>
        <w:t>no</w:t>
      </w:r>
      <w:r>
        <w:rPr>
          <w:spacing w:val="-3"/>
          <w:sz w:val="24"/>
        </w:rPr>
        <w:t xml:space="preserve"> </w:t>
      </w:r>
      <w:r>
        <w:rPr>
          <w:sz w:val="24"/>
        </w:rPr>
        <w:t>caso de</w:t>
      </w:r>
      <w:r>
        <w:rPr>
          <w:spacing w:val="-2"/>
          <w:sz w:val="24"/>
        </w:rPr>
        <w:t xml:space="preserve"> </w:t>
      </w:r>
      <w:r>
        <w:rPr>
          <w:sz w:val="24"/>
        </w:rPr>
        <w:t>pan-</w:t>
      </w:r>
      <w:r>
        <w:rPr>
          <w:sz w:val="24"/>
        </w:rPr>
        <w:t>hipopituitarismo);</w:t>
      </w:r>
    </w:p>
    <w:p w:rsidR="005C592B" w:rsidRDefault="005D0206">
      <w:pPr>
        <w:pStyle w:val="PargrafodaLista"/>
        <w:numPr>
          <w:ilvl w:val="0"/>
          <w:numId w:val="12"/>
        </w:numPr>
        <w:tabs>
          <w:tab w:val="left" w:pos="906"/>
        </w:tabs>
        <w:spacing w:before="1"/>
        <w:ind w:left="906" w:hanging="140"/>
        <w:jc w:val="left"/>
        <w:rPr>
          <w:sz w:val="24"/>
        </w:rPr>
      </w:pPr>
      <w:r>
        <w:rPr>
          <w:sz w:val="24"/>
        </w:rPr>
        <w:t>Reposições realizadas, se</w:t>
      </w:r>
      <w:r>
        <w:rPr>
          <w:spacing w:val="2"/>
          <w:sz w:val="24"/>
        </w:rPr>
        <w:t xml:space="preserve"> </w:t>
      </w:r>
      <w:r>
        <w:rPr>
          <w:sz w:val="24"/>
        </w:rPr>
        <w:t>pertinente;</w:t>
      </w:r>
    </w:p>
    <w:p w:rsidR="005C592B" w:rsidRDefault="005D0206">
      <w:pPr>
        <w:pStyle w:val="PargrafodaLista"/>
        <w:numPr>
          <w:ilvl w:val="0"/>
          <w:numId w:val="12"/>
        </w:numPr>
        <w:tabs>
          <w:tab w:val="left" w:pos="969"/>
        </w:tabs>
        <w:spacing w:before="137" w:line="360" w:lineRule="auto"/>
        <w:ind w:right="855" w:firstLine="566"/>
        <w:jc w:val="left"/>
        <w:rPr>
          <w:sz w:val="24"/>
        </w:rPr>
      </w:pPr>
      <w:r>
        <w:rPr>
          <w:sz w:val="24"/>
        </w:rPr>
        <w:t>Exame de imagem (RNM de hipófise, preferencialmente, mas não é um exame indispensável, mas pode ser considerada como critério de investigação</w:t>
      </w:r>
      <w:r>
        <w:rPr>
          <w:spacing w:val="-2"/>
          <w:sz w:val="24"/>
        </w:rPr>
        <w:t xml:space="preserve"> </w:t>
      </w:r>
      <w:r>
        <w:rPr>
          <w:sz w:val="24"/>
        </w:rPr>
        <w:t>adicional);</w:t>
      </w:r>
    </w:p>
    <w:p w:rsidR="005C592B" w:rsidRDefault="005D0206">
      <w:pPr>
        <w:pStyle w:val="PargrafodaLista"/>
        <w:numPr>
          <w:ilvl w:val="0"/>
          <w:numId w:val="12"/>
        </w:numPr>
        <w:tabs>
          <w:tab w:val="left" w:pos="906"/>
        </w:tabs>
        <w:ind w:left="906" w:hanging="140"/>
        <w:jc w:val="left"/>
        <w:rPr>
          <w:sz w:val="24"/>
        </w:rPr>
      </w:pPr>
      <w:r>
        <w:rPr>
          <w:sz w:val="24"/>
        </w:rPr>
        <w:t>Teste de estímulo para GH;</w:t>
      </w:r>
    </w:p>
    <w:p w:rsidR="005C592B" w:rsidRDefault="005D0206">
      <w:pPr>
        <w:pStyle w:val="PargrafodaLista"/>
        <w:numPr>
          <w:ilvl w:val="0"/>
          <w:numId w:val="11"/>
        </w:numPr>
        <w:tabs>
          <w:tab w:val="left" w:pos="921"/>
        </w:tabs>
        <w:spacing w:before="138"/>
        <w:jc w:val="left"/>
        <w:rPr>
          <w:sz w:val="24"/>
        </w:rPr>
      </w:pPr>
      <w:r>
        <w:rPr>
          <w:sz w:val="24"/>
        </w:rPr>
        <w:t>Densitometria</w:t>
      </w:r>
      <w:r>
        <w:rPr>
          <w:spacing w:val="-1"/>
          <w:sz w:val="24"/>
        </w:rPr>
        <w:t xml:space="preserve"> </w:t>
      </w:r>
      <w:r>
        <w:rPr>
          <w:sz w:val="24"/>
        </w:rPr>
        <w:t>óssea;</w:t>
      </w:r>
    </w:p>
    <w:p w:rsidR="005C592B" w:rsidRDefault="005D0206">
      <w:pPr>
        <w:pStyle w:val="PargrafodaLista"/>
        <w:numPr>
          <w:ilvl w:val="0"/>
          <w:numId w:val="11"/>
        </w:numPr>
        <w:tabs>
          <w:tab w:val="left" w:pos="921"/>
        </w:tabs>
        <w:spacing w:before="136"/>
        <w:jc w:val="left"/>
        <w:rPr>
          <w:sz w:val="24"/>
        </w:rPr>
      </w:pPr>
      <w:r>
        <w:rPr>
          <w:sz w:val="24"/>
        </w:rPr>
        <w:t>Perfil lipídico: colesterol total, colesterol HDL e triglicerídeos</w:t>
      </w:r>
      <w:r>
        <w:rPr>
          <w:spacing w:val="-5"/>
          <w:sz w:val="24"/>
        </w:rPr>
        <w:t xml:space="preserve"> </w:t>
      </w:r>
      <w:r>
        <w:rPr>
          <w:sz w:val="24"/>
        </w:rPr>
        <w:t>séricos.</w:t>
      </w:r>
    </w:p>
    <w:p w:rsidR="005C592B" w:rsidRDefault="005C592B">
      <w:pPr>
        <w:pStyle w:val="Corpodetexto"/>
        <w:ind w:left="0"/>
        <w:jc w:val="left"/>
        <w:rPr>
          <w:sz w:val="26"/>
        </w:rPr>
      </w:pPr>
    </w:p>
    <w:p w:rsidR="005C592B" w:rsidRDefault="005C592B">
      <w:pPr>
        <w:pStyle w:val="Corpodetexto"/>
        <w:spacing w:before="7"/>
        <w:ind w:left="0"/>
        <w:jc w:val="left"/>
        <w:rPr>
          <w:sz w:val="22"/>
        </w:rPr>
      </w:pPr>
    </w:p>
    <w:p w:rsidR="005C592B" w:rsidRDefault="005D0206">
      <w:pPr>
        <w:pStyle w:val="Ttulo1"/>
        <w:numPr>
          <w:ilvl w:val="0"/>
          <w:numId w:val="15"/>
        </w:numPr>
        <w:tabs>
          <w:tab w:val="left" w:pos="441"/>
        </w:tabs>
        <w:ind w:firstLine="0"/>
      </w:pPr>
      <w:r>
        <w:t>CRITÉRIOS DE</w:t>
      </w:r>
      <w:r>
        <w:rPr>
          <w:spacing w:val="1"/>
        </w:rPr>
        <w:t xml:space="preserve"> </w:t>
      </w:r>
      <w:r>
        <w:t>INCLUSÃO</w:t>
      </w:r>
    </w:p>
    <w:p w:rsidR="005C592B" w:rsidRDefault="005D0206">
      <w:pPr>
        <w:pStyle w:val="Corpodetexto"/>
        <w:spacing w:before="132" w:line="362" w:lineRule="auto"/>
        <w:ind w:right="756" w:firstLine="566"/>
        <w:jc w:val="left"/>
      </w:pPr>
      <w:r>
        <w:t>Serão incluídos neste Protocolo os pacientes com diagnóstico de DGH conforme os critérios estabelecidos no item 3. DIAGNÓSTICO e que também apresentem:</w:t>
      </w:r>
    </w:p>
    <w:p w:rsidR="005C592B" w:rsidRDefault="005C592B">
      <w:pPr>
        <w:spacing w:line="362" w:lineRule="auto"/>
        <w:sectPr w:rsidR="005C592B">
          <w:pgSz w:w="11900" w:h="16850"/>
          <w:pgMar w:top="1360" w:right="580" w:bottom="280" w:left="1240" w:header="720" w:footer="720" w:gutter="0"/>
          <w:cols w:space="720"/>
        </w:sectPr>
      </w:pPr>
    </w:p>
    <w:p w:rsidR="005C592B" w:rsidRDefault="005D0206">
      <w:pPr>
        <w:pStyle w:val="Ttulo1"/>
        <w:spacing w:before="78"/>
      </w:pPr>
      <w:r>
        <w:lastRenderedPageBreak/>
        <w:t>Crianças e adolescentes:</w:t>
      </w:r>
    </w:p>
    <w:p w:rsidR="005C592B" w:rsidRDefault="005D0206">
      <w:pPr>
        <w:pStyle w:val="PargrafodaLista"/>
        <w:numPr>
          <w:ilvl w:val="0"/>
          <w:numId w:val="10"/>
        </w:numPr>
        <w:tabs>
          <w:tab w:val="left" w:pos="981"/>
        </w:tabs>
        <w:spacing w:before="132"/>
        <w:ind w:firstLine="412"/>
        <w:jc w:val="left"/>
        <w:rPr>
          <w:sz w:val="24"/>
        </w:rPr>
      </w:pPr>
      <w:r>
        <w:rPr>
          <w:sz w:val="24"/>
        </w:rPr>
        <w:t>déficit de</w:t>
      </w:r>
      <w:r>
        <w:rPr>
          <w:spacing w:val="-1"/>
          <w:sz w:val="24"/>
        </w:rPr>
        <w:t xml:space="preserve"> </w:t>
      </w:r>
      <w:r>
        <w:rPr>
          <w:sz w:val="24"/>
        </w:rPr>
        <w:t>crescimento;</w:t>
      </w:r>
    </w:p>
    <w:p w:rsidR="005C592B" w:rsidRDefault="005D0206">
      <w:pPr>
        <w:pStyle w:val="PargrafodaLista"/>
        <w:numPr>
          <w:ilvl w:val="0"/>
          <w:numId w:val="10"/>
        </w:numPr>
        <w:tabs>
          <w:tab w:val="left" w:pos="981"/>
        </w:tabs>
        <w:spacing w:before="138" w:line="357" w:lineRule="auto"/>
        <w:ind w:right="853" w:firstLine="412"/>
        <w:rPr>
          <w:sz w:val="24"/>
        </w:rPr>
      </w:pPr>
      <w:r>
        <w:rPr>
          <w:sz w:val="24"/>
        </w:rPr>
        <w:t>deficiência comprovada de GH (por meio de</w:t>
      </w:r>
      <w:r>
        <w:rPr>
          <w:sz w:val="24"/>
        </w:rPr>
        <w:t xml:space="preserve"> dois testes de estímulo quando houver deficiência isolada sem alteração anatômica de hipófise; por uma dosagem de GH em hipoglicemia em caso de sintomas presentes quando lactente (descritos acima); por meio de 1 teste de estimulo na presença de múltiplas </w:t>
      </w:r>
      <w:r>
        <w:rPr>
          <w:sz w:val="24"/>
        </w:rPr>
        <w:t>deficiências hormonais (pan-hipopituitarismo) ou lesão hipofisária (alteração e exame de imagem, conforme descrito</w:t>
      </w:r>
      <w:r>
        <w:rPr>
          <w:spacing w:val="-4"/>
          <w:sz w:val="24"/>
        </w:rPr>
        <w:t xml:space="preserve"> </w:t>
      </w:r>
      <w:r>
        <w:rPr>
          <w:sz w:val="24"/>
        </w:rPr>
        <w:t>acima).</w:t>
      </w:r>
    </w:p>
    <w:p w:rsidR="005C592B" w:rsidRDefault="005C592B">
      <w:pPr>
        <w:pStyle w:val="Corpodetexto"/>
        <w:spacing w:before="10"/>
        <w:ind w:left="0"/>
        <w:jc w:val="left"/>
        <w:rPr>
          <w:sz w:val="36"/>
        </w:rPr>
      </w:pPr>
    </w:p>
    <w:p w:rsidR="005C592B" w:rsidRDefault="005D0206">
      <w:pPr>
        <w:pStyle w:val="Ttulo1"/>
      </w:pPr>
      <w:r>
        <w:t>Adultos:</w:t>
      </w:r>
    </w:p>
    <w:p w:rsidR="005C592B" w:rsidRDefault="005D0206">
      <w:pPr>
        <w:pStyle w:val="PargrafodaLista"/>
        <w:numPr>
          <w:ilvl w:val="0"/>
          <w:numId w:val="10"/>
        </w:numPr>
        <w:tabs>
          <w:tab w:val="left" w:pos="981"/>
        </w:tabs>
        <w:spacing w:before="134" w:line="355" w:lineRule="auto"/>
        <w:ind w:right="854" w:firstLine="412"/>
        <w:rPr>
          <w:sz w:val="24"/>
        </w:rPr>
      </w:pPr>
      <w:r>
        <w:rPr>
          <w:sz w:val="24"/>
        </w:rPr>
        <w:t>deficiência comprovada de GH por reteste, com estímulo de insulina ou clonidina, quando houver deficiência isolada de GH na</w:t>
      </w:r>
      <w:r>
        <w:rPr>
          <w:sz w:val="24"/>
        </w:rPr>
        <w:t xml:space="preserve"> infância (comprovar deficiência prévia na infância);</w:t>
      </w:r>
    </w:p>
    <w:p w:rsidR="005C592B" w:rsidRDefault="005D0206">
      <w:pPr>
        <w:pStyle w:val="PargrafodaLista"/>
        <w:numPr>
          <w:ilvl w:val="0"/>
          <w:numId w:val="10"/>
        </w:numPr>
        <w:tabs>
          <w:tab w:val="left" w:pos="981"/>
        </w:tabs>
        <w:spacing w:before="5" w:line="357" w:lineRule="auto"/>
        <w:ind w:right="854" w:firstLine="412"/>
        <w:rPr>
          <w:sz w:val="24"/>
        </w:rPr>
      </w:pPr>
      <w:r>
        <w:rPr>
          <w:sz w:val="24"/>
        </w:rPr>
        <w:t>deficiência comprovada de GH (pico de GH &lt; 3 ng/mL) por teste quando houver sintomas iniciados na vida adulta (descritos acima), múltiplas deficiências hormonais (pan- hipopituitarismo)</w:t>
      </w:r>
      <w:r>
        <w:rPr>
          <w:spacing w:val="-7"/>
          <w:sz w:val="24"/>
        </w:rPr>
        <w:t xml:space="preserve"> </w:t>
      </w:r>
      <w:r>
        <w:rPr>
          <w:sz w:val="24"/>
        </w:rPr>
        <w:t>ou</w:t>
      </w:r>
      <w:r>
        <w:rPr>
          <w:spacing w:val="-6"/>
          <w:sz w:val="24"/>
        </w:rPr>
        <w:t xml:space="preserve"> </w:t>
      </w:r>
      <w:r>
        <w:rPr>
          <w:sz w:val="24"/>
        </w:rPr>
        <w:t>lesão</w:t>
      </w:r>
      <w:r>
        <w:rPr>
          <w:spacing w:val="-7"/>
          <w:sz w:val="24"/>
        </w:rPr>
        <w:t xml:space="preserve"> </w:t>
      </w:r>
      <w:r>
        <w:rPr>
          <w:sz w:val="24"/>
        </w:rPr>
        <w:t>hipofisária</w:t>
      </w:r>
      <w:r>
        <w:rPr>
          <w:spacing w:val="-4"/>
          <w:sz w:val="24"/>
        </w:rPr>
        <w:t xml:space="preserve"> </w:t>
      </w:r>
      <w:r>
        <w:rPr>
          <w:sz w:val="24"/>
        </w:rPr>
        <w:t>(alteração</w:t>
      </w:r>
      <w:r>
        <w:rPr>
          <w:spacing w:val="-4"/>
          <w:sz w:val="24"/>
        </w:rPr>
        <w:t xml:space="preserve"> </w:t>
      </w:r>
      <w:r>
        <w:rPr>
          <w:sz w:val="24"/>
        </w:rPr>
        <w:t>em</w:t>
      </w:r>
      <w:r>
        <w:rPr>
          <w:spacing w:val="-6"/>
          <w:sz w:val="24"/>
        </w:rPr>
        <w:t xml:space="preserve"> </w:t>
      </w:r>
      <w:r>
        <w:rPr>
          <w:sz w:val="24"/>
        </w:rPr>
        <w:t>exame</w:t>
      </w:r>
      <w:r>
        <w:rPr>
          <w:spacing w:val="-7"/>
          <w:sz w:val="24"/>
        </w:rPr>
        <w:t xml:space="preserve"> </w:t>
      </w:r>
      <w:r>
        <w:rPr>
          <w:sz w:val="24"/>
        </w:rPr>
        <w:t>de</w:t>
      </w:r>
      <w:r>
        <w:rPr>
          <w:spacing w:val="-4"/>
          <w:sz w:val="24"/>
        </w:rPr>
        <w:t xml:space="preserve"> </w:t>
      </w:r>
      <w:r>
        <w:rPr>
          <w:sz w:val="24"/>
        </w:rPr>
        <w:t>imagem,</w:t>
      </w:r>
      <w:r>
        <w:rPr>
          <w:spacing w:val="-4"/>
          <w:sz w:val="24"/>
        </w:rPr>
        <w:t xml:space="preserve"> </w:t>
      </w:r>
      <w:r>
        <w:rPr>
          <w:sz w:val="24"/>
        </w:rPr>
        <w:t>radioterapia,</w:t>
      </w:r>
      <w:r>
        <w:rPr>
          <w:spacing w:val="-3"/>
          <w:sz w:val="24"/>
        </w:rPr>
        <w:t xml:space="preserve"> </w:t>
      </w:r>
      <w:r>
        <w:rPr>
          <w:sz w:val="24"/>
        </w:rPr>
        <w:t>cirurgia no eixo hipotálamo-hipófise, conforme descrito</w:t>
      </w:r>
      <w:r>
        <w:rPr>
          <w:spacing w:val="-2"/>
          <w:sz w:val="24"/>
        </w:rPr>
        <w:t xml:space="preserve"> </w:t>
      </w:r>
      <w:r>
        <w:rPr>
          <w:sz w:val="24"/>
        </w:rPr>
        <w:t>acima).</w:t>
      </w:r>
    </w:p>
    <w:p w:rsidR="005C592B" w:rsidRDefault="005D0206">
      <w:pPr>
        <w:pStyle w:val="PargrafodaLista"/>
        <w:numPr>
          <w:ilvl w:val="0"/>
          <w:numId w:val="10"/>
        </w:numPr>
        <w:tabs>
          <w:tab w:val="left" w:pos="981"/>
        </w:tabs>
        <w:spacing w:before="2"/>
        <w:ind w:firstLine="412"/>
        <w:jc w:val="left"/>
        <w:rPr>
          <w:sz w:val="24"/>
        </w:rPr>
      </w:pPr>
      <w:r>
        <w:rPr>
          <w:sz w:val="24"/>
        </w:rPr>
        <w:t>no caso de pico de GH &lt; 5 ng/mL, deve apresentar ao menos um dos fatores</w:t>
      </w:r>
      <w:r>
        <w:rPr>
          <w:spacing w:val="-5"/>
          <w:sz w:val="24"/>
        </w:rPr>
        <w:t xml:space="preserve"> </w:t>
      </w:r>
      <w:r>
        <w:rPr>
          <w:sz w:val="24"/>
        </w:rPr>
        <w:t>abaixo:</w:t>
      </w:r>
    </w:p>
    <w:p w:rsidR="005C592B" w:rsidRDefault="005D0206">
      <w:pPr>
        <w:pStyle w:val="PargrafodaLista"/>
        <w:numPr>
          <w:ilvl w:val="0"/>
          <w:numId w:val="10"/>
        </w:numPr>
        <w:tabs>
          <w:tab w:val="left" w:pos="981"/>
        </w:tabs>
        <w:spacing w:before="138"/>
        <w:ind w:firstLine="412"/>
        <w:jc w:val="left"/>
        <w:rPr>
          <w:sz w:val="24"/>
        </w:rPr>
      </w:pPr>
      <w:r>
        <w:rPr>
          <w:sz w:val="24"/>
        </w:rPr>
        <w:t>baixa densidade mineral óssea;</w:t>
      </w:r>
    </w:p>
    <w:p w:rsidR="005C592B" w:rsidRDefault="005D0206">
      <w:pPr>
        <w:pStyle w:val="PargrafodaLista"/>
        <w:numPr>
          <w:ilvl w:val="0"/>
          <w:numId w:val="10"/>
        </w:numPr>
        <w:tabs>
          <w:tab w:val="left" w:pos="981"/>
        </w:tabs>
        <w:spacing w:before="138"/>
        <w:ind w:firstLine="412"/>
        <w:jc w:val="left"/>
        <w:rPr>
          <w:sz w:val="24"/>
        </w:rPr>
      </w:pPr>
      <w:r>
        <w:rPr>
          <w:sz w:val="24"/>
        </w:rPr>
        <w:t>dislipidemia;</w:t>
      </w:r>
    </w:p>
    <w:p w:rsidR="005C592B" w:rsidRDefault="005D0206">
      <w:pPr>
        <w:pStyle w:val="PargrafodaLista"/>
        <w:numPr>
          <w:ilvl w:val="0"/>
          <w:numId w:val="10"/>
        </w:numPr>
        <w:tabs>
          <w:tab w:val="left" w:pos="981"/>
        </w:tabs>
        <w:spacing w:before="135"/>
        <w:ind w:firstLine="412"/>
        <w:jc w:val="left"/>
        <w:rPr>
          <w:sz w:val="24"/>
        </w:rPr>
      </w:pPr>
      <w:r>
        <w:rPr>
          <w:sz w:val="24"/>
        </w:rPr>
        <w:t xml:space="preserve">prejuízo </w:t>
      </w:r>
      <w:r>
        <w:rPr>
          <w:sz w:val="24"/>
        </w:rPr>
        <w:t>no exercício das atividades habituais, atestado pelo médico.</w:t>
      </w:r>
    </w:p>
    <w:p w:rsidR="005C592B" w:rsidRDefault="005C592B">
      <w:pPr>
        <w:pStyle w:val="Corpodetexto"/>
        <w:ind w:left="0"/>
        <w:jc w:val="left"/>
        <w:rPr>
          <w:sz w:val="28"/>
        </w:rPr>
      </w:pPr>
    </w:p>
    <w:p w:rsidR="005C592B" w:rsidRDefault="005D0206">
      <w:pPr>
        <w:pStyle w:val="Ttulo1"/>
        <w:numPr>
          <w:ilvl w:val="0"/>
          <w:numId w:val="15"/>
        </w:numPr>
        <w:tabs>
          <w:tab w:val="left" w:pos="441"/>
        </w:tabs>
        <w:spacing w:before="237"/>
        <w:ind w:firstLine="0"/>
      </w:pPr>
      <w:r>
        <w:t>CRITÉRIOS DE</w:t>
      </w:r>
      <w:r>
        <w:rPr>
          <w:spacing w:val="1"/>
        </w:rPr>
        <w:t xml:space="preserve"> </w:t>
      </w:r>
      <w:r>
        <w:t>EXCLUSÃO</w:t>
      </w:r>
    </w:p>
    <w:p w:rsidR="005C592B" w:rsidRDefault="005D0206">
      <w:pPr>
        <w:pStyle w:val="Corpodetexto"/>
        <w:spacing w:before="132" w:line="360" w:lineRule="auto"/>
        <w:ind w:right="1451" w:firstLine="566"/>
        <w:jc w:val="left"/>
      </w:pPr>
      <w:r>
        <w:t>Serão excluídos deste Protocolo os pacientes que apresentarem qualquer uma das seguintes condições:</w:t>
      </w:r>
    </w:p>
    <w:p w:rsidR="005C592B" w:rsidRDefault="005D0206">
      <w:pPr>
        <w:pStyle w:val="PargrafodaLista"/>
        <w:numPr>
          <w:ilvl w:val="0"/>
          <w:numId w:val="9"/>
        </w:numPr>
        <w:tabs>
          <w:tab w:val="left" w:pos="981"/>
        </w:tabs>
        <w:ind w:firstLine="412"/>
        <w:jc w:val="left"/>
        <w:rPr>
          <w:sz w:val="24"/>
        </w:rPr>
      </w:pPr>
      <w:r>
        <w:rPr>
          <w:sz w:val="24"/>
        </w:rPr>
        <w:t>doença neoplásica maligna</w:t>
      </w:r>
      <w:r>
        <w:rPr>
          <w:spacing w:val="-3"/>
          <w:sz w:val="24"/>
        </w:rPr>
        <w:t xml:space="preserve"> </w:t>
      </w:r>
      <w:r>
        <w:rPr>
          <w:sz w:val="24"/>
        </w:rPr>
        <w:t>ativa;</w:t>
      </w:r>
    </w:p>
    <w:p w:rsidR="005C592B" w:rsidRDefault="005D0206">
      <w:pPr>
        <w:pStyle w:val="PargrafodaLista"/>
        <w:numPr>
          <w:ilvl w:val="0"/>
          <w:numId w:val="9"/>
        </w:numPr>
        <w:tabs>
          <w:tab w:val="left" w:pos="981"/>
        </w:tabs>
        <w:spacing w:before="138" w:line="350" w:lineRule="auto"/>
        <w:ind w:right="856" w:firstLine="412"/>
        <w:jc w:val="left"/>
        <w:rPr>
          <w:sz w:val="24"/>
        </w:rPr>
      </w:pPr>
      <w:r>
        <w:rPr>
          <w:sz w:val="24"/>
        </w:rPr>
        <w:t>doença</w:t>
      </w:r>
      <w:r>
        <w:rPr>
          <w:spacing w:val="-12"/>
          <w:sz w:val="24"/>
        </w:rPr>
        <w:t xml:space="preserve"> </w:t>
      </w:r>
      <w:r>
        <w:rPr>
          <w:sz w:val="24"/>
        </w:rPr>
        <w:t>aguda</w:t>
      </w:r>
      <w:r>
        <w:rPr>
          <w:spacing w:val="-9"/>
          <w:sz w:val="24"/>
        </w:rPr>
        <w:t xml:space="preserve"> </w:t>
      </w:r>
      <w:r>
        <w:rPr>
          <w:sz w:val="24"/>
        </w:rPr>
        <w:t>grave</w:t>
      </w:r>
      <w:r>
        <w:rPr>
          <w:spacing w:val="-12"/>
          <w:sz w:val="24"/>
        </w:rPr>
        <w:t xml:space="preserve"> </w:t>
      </w:r>
      <w:r>
        <w:rPr>
          <w:sz w:val="24"/>
        </w:rPr>
        <w:t>(com</w:t>
      </w:r>
      <w:r>
        <w:rPr>
          <w:spacing w:val="-10"/>
          <w:sz w:val="24"/>
        </w:rPr>
        <w:t xml:space="preserve"> </w:t>
      </w:r>
      <w:r>
        <w:rPr>
          <w:sz w:val="24"/>
        </w:rPr>
        <w:t>mais</w:t>
      </w:r>
      <w:r>
        <w:rPr>
          <w:spacing w:val="-10"/>
          <w:sz w:val="24"/>
        </w:rPr>
        <w:t xml:space="preserve"> </w:t>
      </w:r>
      <w:r>
        <w:rPr>
          <w:sz w:val="24"/>
        </w:rPr>
        <w:t>de</w:t>
      </w:r>
      <w:r>
        <w:rPr>
          <w:spacing w:val="-12"/>
          <w:sz w:val="24"/>
        </w:rPr>
        <w:t xml:space="preserve"> </w:t>
      </w:r>
      <w:r>
        <w:rPr>
          <w:sz w:val="24"/>
        </w:rPr>
        <w:t>1</w:t>
      </w:r>
      <w:r>
        <w:rPr>
          <w:spacing w:val="-11"/>
          <w:sz w:val="24"/>
        </w:rPr>
        <w:t xml:space="preserve"> </w:t>
      </w:r>
      <w:r>
        <w:rPr>
          <w:sz w:val="24"/>
        </w:rPr>
        <w:t>mês</w:t>
      </w:r>
      <w:r>
        <w:rPr>
          <w:spacing w:val="-11"/>
          <w:sz w:val="24"/>
        </w:rPr>
        <w:t xml:space="preserve"> </w:t>
      </w:r>
      <w:r>
        <w:rPr>
          <w:sz w:val="24"/>
        </w:rPr>
        <w:t>de</w:t>
      </w:r>
      <w:r>
        <w:rPr>
          <w:spacing w:val="-12"/>
          <w:sz w:val="24"/>
        </w:rPr>
        <w:t xml:space="preserve"> </w:t>
      </w:r>
      <w:r>
        <w:rPr>
          <w:sz w:val="24"/>
        </w:rPr>
        <w:t>evolução</w:t>
      </w:r>
      <w:r>
        <w:rPr>
          <w:spacing w:val="-10"/>
          <w:sz w:val="24"/>
        </w:rPr>
        <w:t xml:space="preserve"> </w:t>
      </w:r>
      <w:r>
        <w:rPr>
          <w:sz w:val="24"/>
        </w:rPr>
        <w:t>e</w:t>
      </w:r>
      <w:r>
        <w:rPr>
          <w:spacing w:val="-11"/>
          <w:sz w:val="24"/>
        </w:rPr>
        <w:t xml:space="preserve"> </w:t>
      </w:r>
      <w:r>
        <w:rPr>
          <w:sz w:val="24"/>
        </w:rPr>
        <w:t>que</w:t>
      </w:r>
      <w:r>
        <w:rPr>
          <w:spacing w:val="-12"/>
          <w:sz w:val="24"/>
        </w:rPr>
        <w:t xml:space="preserve"> </w:t>
      </w:r>
      <w:r>
        <w:rPr>
          <w:sz w:val="24"/>
        </w:rPr>
        <w:t>repercute</w:t>
      </w:r>
      <w:r>
        <w:rPr>
          <w:spacing w:val="-11"/>
          <w:sz w:val="24"/>
        </w:rPr>
        <w:t xml:space="preserve"> </w:t>
      </w:r>
      <w:r>
        <w:rPr>
          <w:sz w:val="24"/>
        </w:rPr>
        <w:t>nas</w:t>
      </w:r>
      <w:r>
        <w:rPr>
          <w:spacing w:val="-11"/>
          <w:sz w:val="24"/>
        </w:rPr>
        <w:t xml:space="preserve"> </w:t>
      </w:r>
      <w:r>
        <w:rPr>
          <w:sz w:val="24"/>
        </w:rPr>
        <w:t>funções</w:t>
      </w:r>
      <w:r>
        <w:rPr>
          <w:spacing w:val="-9"/>
          <w:sz w:val="24"/>
        </w:rPr>
        <w:t xml:space="preserve"> </w:t>
      </w:r>
      <w:r>
        <w:rPr>
          <w:sz w:val="24"/>
        </w:rPr>
        <w:t>vitais do indivíduo);</w:t>
      </w:r>
    </w:p>
    <w:p w:rsidR="005C592B" w:rsidRDefault="005D0206">
      <w:pPr>
        <w:pStyle w:val="PargrafodaLista"/>
        <w:numPr>
          <w:ilvl w:val="0"/>
          <w:numId w:val="9"/>
        </w:numPr>
        <w:tabs>
          <w:tab w:val="left" w:pos="981"/>
        </w:tabs>
        <w:spacing w:before="13"/>
        <w:ind w:firstLine="412"/>
        <w:jc w:val="left"/>
        <w:rPr>
          <w:sz w:val="24"/>
        </w:rPr>
      </w:pPr>
      <w:r>
        <w:rPr>
          <w:sz w:val="24"/>
        </w:rPr>
        <w:t>hipertensão intracraniana</w:t>
      </w:r>
      <w:r>
        <w:rPr>
          <w:spacing w:val="-1"/>
          <w:sz w:val="24"/>
        </w:rPr>
        <w:t xml:space="preserve"> </w:t>
      </w:r>
      <w:r>
        <w:rPr>
          <w:sz w:val="24"/>
        </w:rPr>
        <w:t>benigna;</w:t>
      </w:r>
    </w:p>
    <w:p w:rsidR="005C592B" w:rsidRDefault="005D0206">
      <w:pPr>
        <w:pStyle w:val="PargrafodaLista"/>
        <w:numPr>
          <w:ilvl w:val="0"/>
          <w:numId w:val="9"/>
        </w:numPr>
        <w:tabs>
          <w:tab w:val="left" w:pos="981"/>
        </w:tabs>
        <w:spacing w:before="138"/>
        <w:ind w:firstLine="412"/>
        <w:jc w:val="left"/>
        <w:rPr>
          <w:sz w:val="24"/>
        </w:rPr>
      </w:pPr>
      <w:r>
        <w:rPr>
          <w:sz w:val="24"/>
        </w:rPr>
        <w:t>retinopatia diabética proliferativa ou</w:t>
      </w:r>
      <w:r>
        <w:rPr>
          <w:spacing w:val="-2"/>
          <w:sz w:val="24"/>
        </w:rPr>
        <w:t xml:space="preserve"> </w:t>
      </w:r>
      <w:r>
        <w:rPr>
          <w:sz w:val="24"/>
        </w:rPr>
        <w:t>pré-proliferativa;</w:t>
      </w:r>
    </w:p>
    <w:p w:rsidR="005C592B" w:rsidRDefault="005D0206">
      <w:pPr>
        <w:pStyle w:val="PargrafodaLista"/>
        <w:numPr>
          <w:ilvl w:val="0"/>
          <w:numId w:val="9"/>
        </w:numPr>
        <w:tabs>
          <w:tab w:val="left" w:pos="981"/>
        </w:tabs>
        <w:spacing w:before="135"/>
        <w:ind w:firstLine="412"/>
        <w:jc w:val="left"/>
        <w:rPr>
          <w:sz w:val="24"/>
        </w:rPr>
      </w:pPr>
      <w:r>
        <w:rPr>
          <w:sz w:val="24"/>
        </w:rPr>
        <w:t>intolerância ao uso do</w:t>
      </w:r>
      <w:r>
        <w:rPr>
          <w:spacing w:val="-1"/>
          <w:sz w:val="24"/>
        </w:rPr>
        <w:t xml:space="preserve"> </w:t>
      </w:r>
      <w:r>
        <w:rPr>
          <w:sz w:val="24"/>
        </w:rPr>
        <w:t>medicamento;</w:t>
      </w:r>
    </w:p>
    <w:p w:rsidR="005C592B" w:rsidRDefault="005D0206">
      <w:pPr>
        <w:pStyle w:val="PargrafodaLista"/>
        <w:numPr>
          <w:ilvl w:val="0"/>
          <w:numId w:val="9"/>
        </w:numPr>
        <w:tabs>
          <w:tab w:val="left" w:pos="981"/>
        </w:tabs>
        <w:spacing w:before="138"/>
        <w:ind w:firstLine="412"/>
        <w:jc w:val="left"/>
        <w:rPr>
          <w:sz w:val="24"/>
        </w:rPr>
      </w:pPr>
      <w:r>
        <w:rPr>
          <w:sz w:val="24"/>
        </w:rPr>
        <w:t>outras causas de baixa estatura para</w:t>
      </w:r>
      <w:r>
        <w:rPr>
          <w:spacing w:val="-6"/>
          <w:sz w:val="24"/>
        </w:rPr>
        <w:t xml:space="preserve"> </w:t>
      </w:r>
      <w:r>
        <w:rPr>
          <w:sz w:val="24"/>
        </w:rPr>
        <w:t>crianças;</w:t>
      </w:r>
    </w:p>
    <w:p w:rsidR="005C592B" w:rsidRDefault="005D0206">
      <w:pPr>
        <w:pStyle w:val="PargrafodaLista"/>
        <w:numPr>
          <w:ilvl w:val="0"/>
          <w:numId w:val="9"/>
        </w:numPr>
        <w:tabs>
          <w:tab w:val="left" w:pos="981"/>
        </w:tabs>
        <w:spacing w:before="138" w:line="350" w:lineRule="auto"/>
        <w:ind w:right="855" w:firstLine="412"/>
        <w:jc w:val="left"/>
        <w:rPr>
          <w:sz w:val="24"/>
        </w:rPr>
      </w:pPr>
      <w:r>
        <w:rPr>
          <w:sz w:val="24"/>
        </w:rPr>
        <w:t>adolescentes</w:t>
      </w:r>
      <w:r>
        <w:rPr>
          <w:spacing w:val="-3"/>
          <w:sz w:val="24"/>
        </w:rPr>
        <w:t xml:space="preserve"> </w:t>
      </w:r>
      <w:r>
        <w:rPr>
          <w:sz w:val="24"/>
        </w:rPr>
        <w:t>com</w:t>
      </w:r>
      <w:r>
        <w:rPr>
          <w:spacing w:val="-6"/>
          <w:sz w:val="24"/>
        </w:rPr>
        <w:t xml:space="preserve"> </w:t>
      </w:r>
      <w:r>
        <w:rPr>
          <w:sz w:val="24"/>
        </w:rPr>
        <w:t>displasias</w:t>
      </w:r>
      <w:r>
        <w:rPr>
          <w:spacing w:val="-5"/>
          <w:sz w:val="24"/>
        </w:rPr>
        <w:t xml:space="preserve"> </w:t>
      </w:r>
      <w:r>
        <w:rPr>
          <w:sz w:val="24"/>
        </w:rPr>
        <w:t>esqueléticas,</w:t>
      </w:r>
      <w:r>
        <w:rPr>
          <w:spacing w:val="-3"/>
          <w:sz w:val="24"/>
        </w:rPr>
        <w:t xml:space="preserve"> </w:t>
      </w:r>
      <w:r>
        <w:rPr>
          <w:sz w:val="24"/>
        </w:rPr>
        <w:t>síndrome</w:t>
      </w:r>
      <w:r>
        <w:rPr>
          <w:spacing w:val="-6"/>
          <w:sz w:val="24"/>
        </w:rPr>
        <w:t xml:space="preserve"> </w:t>
      </w:r>
      <w:r>
        <w:rPr>
          <w:sz w:val="24"/>
        </w:rPr>
        <w:t>de</w:t>
      </w:r>
      <w:r>
        <w:rPr>
          <w:spacing w:val="-6"/>
          <w:sz w:val="24"/>
        </w:rPr>
        <w:t xml:space="preserve"> </w:t>
      </w:r>
      <w:r>
        <w:rPr>
          <w:sz w:val="24"/>
        </w:rPr>
        <w:t>Turner</w:t>
      </w:r>
      <w:r>
        <w:rPr>
          <w:spacing w:val="-4"/>
          <w:sz w:val="24"/>
        </w:rPr>
        <w:t xml:space="preserve"> </w:t>
      </w:r>
      <w:r>
        <w:rPr>
          <w:sz w:val="24"/>
        </w:rPr>
        <w:t>(em</w:t>
      </w:r>
      <w:r>
        <w:rPr>
          <w:spacing w:val="-5"/>
          <w:sz w:val="24"/>
        </w:rPr>
        <w:t xml:space="preserve"> </w:t>
      </w:r>
      <w:r>
        <w:rPr>
          <w:sz w:val="24"/>
        </w:rPr>
        <w:t>meninas)</w:t>
      </w:r>
      <w:r>
        <w:rPr>
          <w:spacing w:val="-6"/>
          <w:sz w:val="24"/>
        </w:rPr>
        <w:t xml:space="preserve"> </w:t>
      </w:r>
      <w:r>
        <w:rPr>
          <w:sz w:val="24"/>
        </w:rPr>
        <w:t>e</w:t>
      </w:r>
      <w:r>
        <w:rPr>
          <w:spacing w:val="-7"/>
          <w:sz w:val="24"/>
        </w:rPr>
        <w:t xml:space="preserve"> </w:t>
      </w:r>
      <w:r>
        <w:rPr>
          <w:sz w:val="24"/>
        </w:rPr>
        <w:t>doenças crônicas.</w:t>
      </w:r>
    </w:p>
    <w:p w:rsidR="005C592B" w:rsidRDefault="005C592B">
      <w:pPr>
        <w:spacing w:line="350" w:lineRule="auto"/>
        <w:rPr>
          <w:sz w:val="24"/>
        </w:rPr>
        <w:sectPr w:rsidR="005C592B">
          <w:pgSz w:w="11900" w:h="16850"/>
          <w:pgMar w:top="1360" w:right="580" w:bottom="280" w:left="1240" w:header="720" w:footer="720" w:gutter="0"/>
          <w:cols w:space="720"/>
        </w:sectPr>
      </w:pPr>
    </w:p>
    <w:p w:rsidR="005C592B" w:rsidRDefault="005C592B">
      <w:pPr>
        <w:pStyle w:val="Corpodetexto"/>
        <w:ind w:left="0"/>
        <w:jc w:val="left"/>
        <w:rPr>
          <w:sz w:val="14"/>
        </w:rPr>
      </w:pPr>
    </w:p>
    <w:p w:rsidR="005C592B" w:rsidRDefault="005D0206">
      <w:pPr>
        <w:pStyle w:val="Ttulo1"/>
        <w:numPr>
          <w:ilvl w:val="0"/>
          <w:numId w:val="15"/>
        </w:numPr>
        <w:tabs>
          <w:tab w:val="left" w:pos="441"/>
        </w:tabs>
        <w:spacing w:before="90"/>
        <w:ind w:firstLine="0"/>
      </w:pPr>
      <w:r>
        <w:t>CASOS ESPECIAIS</w:t>
      </w:r>
    </w:p>
    <w:p w:rsidR="005C592B" w:rsidRDefault="005D0206">
      <w:pPr>
        <w:pStyle w:val="Corpodetexto"/>
        <w:spacing w:before="135" w:line="360" w:lineRule="auto"/>
        <w:ind w:right="852" w:firstLine="707"/>
      </w:pPr>
      <w:r>
        <w:t>Em situações de doença neoplásica prévia, o tratamento com somatropina somente poderá ser utilizado após liberação documentada por oncologista ou endocrinologista, decorridos 2 anos do tratamento e com remissão completa da doença (21,22).</w:t>
      </w:r>
    </w:p>
    <w:p w:rsidR="005C592B" w:rsidRDefault="005D0206">
      <w:pPr>
        <w:pStyle w:val="Corpodetexto"/>
        <w:spacing w:line="360" w:lineRule="auto"/>
        <w:ind w:right="854" w:firstLine="566"/>
      </w:pPr>
      <w:r>
        <w:t>Pacientes com cri</w:t>
      </w:r>
      <w:r>
        <w:t>térios clínicos e auxológicos sugestivos de DGH com valores de GH no teste de estímulo entre 5 e 10 devem ser preferentemente avaliados em Centros de Referência,</w:t>
      </w:r>
      <w:r>
        <w:rPr>
          <w:spacing w:val="-5"/>
        </w:rPr>
        <w:t xml:space="preserve"> </w:t>
      </w:r>
      <w:r>
        <w:t>e</w:t>
      </w:r>
      <w:r>
        <w:rPr>
          <w:spacing w:val="-5"/>
        </w:rPr>
        <w:t xml:space="preserve"> </w:t>
      </w:r>
      <w:r>
        <w:t>o</w:t>
      </w:r>
      <w:r>
        <w:rPr>
          <w:spacing w:val="-4"/>
        </w:rPr>
        <w:t xml:space="preserve"> </w:t>
      </w:r>
      <w:r>
        <w:t>tratamento</w:t>
      </w:r>
      <w:r>
        <w:rPr>
          <w:spacing w:val="-3"/>
        </w:rPr>
        <w:t xml:space="preserve"> </w:t>
      </w:r>
      <w:r>
        <w:t>com</w:t>
      </w:r>
      <w:r>
        <w:rPr>
          <w:spacing w:val="-3"/>
        </w:rPr>
        <w:t xml:space="preserve"> </w:t>
      </w:r>
      <w:r>
        <w:t>GH</w:t>
      </w:r>
      <w:r>
        <w:rPr>
          <w:spacing w:val="-4"/>
        </w:rPr>
        <w:t xml:space="preserve"> </w:t>
      </w:r>
      <w:r>
        <w:t>pode</w:t>
      </w:r>
      <w:r>
        <w:rPr>
          <w:spacing w:val="-4"/>
        </w:rPr>
        <w:t xml:space="preserve"> </w:t>
      </w:r>
      <w:r>
        <w:t>ser</w:t>
      </w:r>
      <w:r>
        <w:rPr>
          <w:spacing w:val="-3"/>
        </w:rPr>
        <w:t xml:space="preserve"> </w:t>
      </w:r>
      <w:r>
        <w:t>considerado.</w:t>
      </w:r>
      <w:r>
        <w:rPr>
          <w:spacing w:val="-4"/>
        </w:rPr>
        <w:t xml:space="preserve"> </w:t>
      </w:r>
      <w:r>
        <w:t>Para</w:t>
      </w:r>
      <w:r>
        <w:rPr>
          <w:spacing w:val="-4"/>
        </w:rPr>
        <w:t xml:space="preserve"> </w:t>
      </w:r>
      <w:r>
        <w:t>estes,</w:t>
      </w:r>
      <w:r>
        <w:rPr>
          <w:spacing w:val="-4"/>
        </w:rPr>
        <w:t xml:space="preserve"> </w:t>
      </w:r>
      <w:r>
        <w:t>a</w:t>
      </w:r>
      <w:r>
        <w:rPr>
          <w:spacing w:val="-2"/>
        </w:rPr>
        <w:t xml:space="preserve"> </w:t>
      </w:r>
      <w:r>
        <w:t>reavaliação</w:t>
      </w:r>
      <w:r>
        <w:rPr>
          <w:spacing w:val="-3"/>
        </w:rPr>
        <w:t xml:space="preserve"> </w:t>
      </w:r>
      <w:r>
        <w:t>precoce</w:t>
      </w:r>
      <w:r>
        <w:rPr>
          <w:spacing w:val="-4"/>
        </w:rPr>
        <w:t xml:space="preserve"> </w:t>
      </w:r>
      <w:r>
        <w:t xml:space="preserve">do </w:t>
      </w:r>
      <w:r>
        <w:rPr>
          <w:i/>
        </w:rPr>
        <w:t xml:space="preserve">status </w:t>
      </w:r>
      <w:r>
        <w:t xml:space="preserve">do GH </w:t>
      </w:r>
      <w:r>
        <w:t>durante o tratamento da DGH isolada é recomendada para pacientes que alcançaram</w:t>
      </w:r>
      <w:r>
        <w:rPr>
          <w:spacing w:val="-6"/>
        </w:rPr>
        <w:t xml:space="preserve"> </w:t>
      </w:r>
      <w:r>
        <w:t>altura</w:t>
      </w:r>
      <w:r>
        <w:rPr>
          <w:spacing w:val="-8"/>
        </w:rPr>
        <w:t xml:space="preserve"> </w:t>
      </w:r>
      <w:r>
        <w:t>&lt;</w:t>
      </w:r>
      <w:r>
        <w:rPr>
          <w:spacing w:val="-7"/>
        </w:rPr>
        <w:t xml:space="preserve"> </w:t>
      </w:r>
      <w:r>
        <w:t>0,61</w:t>
      </w:r>
      <w:r>
        <w:rPr>
          <w:spacing w:val="-7"/>
        </w:rPr>
        <w:t xml:space="preserve"> </w:t>
      </w:r>
      <w:r>
        <w:t>desvio-padrão</w:t>
      </w:r>
      <w:r>
        <w:rPr>
          <w:spacing w:val="-6"/>
        </w:rPr>
        <w:t xml:space="preserve"> </w:t>
      </w:r>
      <w:r>
        <w:t>após</w:t>
      </w:r>
      <w:r>
        <w:rPr>
          <w:spacing w:val="-7"/>
        </w:rPr>
        <w:t xml:space="preserve"> </w:t>
      </w:r>
      <w:r>
        <w:t>o</w:t>
      </w:r>
      <w:r>
        <w:rPr>
          <w:spacing w:val="-6"/>
        </w:rPr>
        <w:t xml:space="preserve"> </w:t>
      </w:r>
      <w:r>
        <w:t>primeiro</w:t>
      </w:r>
      <w:r>
        <w:rPr>
          <w:spacing w:val="-7"/>
        </w:rPr>
        <w:t xml:space="preserve"> </w:t>
      </w:r>
      <w:r>
        <w:t>ano</w:t>
      </w:r>
      <w:r>
        <w:rPr>
          <w:spacing w:val="-6"/>
        </w:rPr>
        <w:t xml:space="preserve"> </w:t>
      </w:r>
      <w:r>
        <w:t>de</w:t>
      </w:r>
      <w:r>
        <w:rPr>
          <w:spacing w:val="-8"/>
        </w:rPr>
        <w:t xml:space="preserve"> </w:t>
      </w:r>
      <w:r>
        <w:t>tratamento,</w:t>
      </w:r>
      <w:r>
        <w:rPr>
          <w:spacing w:val="-7"/>
        </w:rPr>
        <w:t xml:space="preserve"> </w:t>
      </w:r>
      <w:r>
        <w:t>especialmente</w:t>
      </w:r>
      <w:r>
        <w:rPr>
          <w:spacing w:val="-7"/>
        </w:rPr>
        <w:t xml:space="preserve"> </w:t>
      </w:r>
      <w:r>
        <w:t>para aqueles com imagem de pituitária normal ou hipoplásica, para evitar tratamentos desnecessários</w:t>
      </w:r>
      <w:r>
        <w:t xml:space="preserve"> naqueles que não respondem ao tratamento.</w:t>
      </w:r>
      <w:r>
        <w:rPr>
          <w:spacing w:val="2"/>
        </w:rPr>
        <w:t xml:space="preserve"> </w:t>
      </w:r>
      <w:r>
        <w:t>(23)</w:t>
      </w:r>
    </w:p>
    <w:p w:rsidR="005C592B" w:rsidRDefault="005D0206">
      <w:pPr>
        <w:pStyle w:val="Corpodetexto"/>
        <w:spacing w:before="1" w:line="360" w:lineRule="auto"/>
        <w:ind w:right="856" w:firstLine="707"/>
      </w:pPr>
      <w:r>
        <w:t>Pacientes nascidos pequenos para idade gestacional (PIG) e com síndromes genéticas com evidência de benefício do uso de GH devem ser avaliados em Centros de Referência ou por equipe técnica</w:t>
      </w:r>
      <w:r>
        <w:rPr>
          <w:spacing w:val="-3"/>
        </w:rPr>
        <w:t xml:space="preserve"> </w:t>
      </w:r>
      <w:r>
        <w:t>especializada.</w:t>
      </w:r>
    </w:p>
    <w:p w:rsidR="005C592B" w:rsidRDefault="005C592B">
      <w:pPr>
        <w:pStyle w:val="Corpodetexto"/>
        <w:spacing w:before="5"/>
        <w:ind w:left="0"/>
        <w:jc w:val="left"/>
        <w:rPr>
          <w:sz w:val="36"/>
        </w:rPr>
      </w:pPr>
    </w:p>
    <w:p w:rsidR="005C592B" w:rsidRDefault="005D0206">
      <w:pPr>
        <w:pStyle w:val="Ttulo1"/>
        <w:numPr>
          <w:ilvl w:val="0"/>
          <w:numId w:val="15"/>
        </w:numPr>
        <w:tabs>
          <w:tab w:val="left" w:pos="441"/>
        </w:tabs>
        <w:ind w:firstLine="0"/>
      </w:pPr>
      <w:r>
        <w:t>CENTROS DE</w:t>
      </w:r>
      <w:r>
        <w:rPr>
          <w:spacing w:val="-4"/>
        </w:rPr>
        <w:t xml:space="preserve"> </w:t>
      </w:r>
      <w:r>
        <w:t>REFERÊNCIA</w:t>
      </w:r>
    </w:p>
    <w:p w:rsidR="005C592B" w:rsidRDefault="005D0206">
      <w:pPr>
        <w:pStyle w:val="Corpodetexto"/>
        <w:spacing w:before="132" w:line="360" w:lineRule="auto"/>
        <w:ind w:right="856" w:firstLine="566"/>
      </w:pPr>
      <w:r>
        <w:t>Os pacientes devem passar por avaliação diagnóstica e ter acompanhamento terapêutico com endocrinologistas ou pediatras, cuja avaliação periódica deve ser condição para a continuidade da dispensação do medicamento.</w:t>
      </w:r>
    </w:p>
    <w:p w:rsidR="005C592B" w:rsidRDefault="005D0206">
      <w:pPr>
        <w:pStyle w:val="Corpodetexto"/>
        <w:spacing w:before="1" w:line="360" w:lineRule="auto"/>
        <w:ind w:right="856" w:firstLine="566"/>
      </w:pPr>
      <w:r>
        <w:t>Pacientes</w:t>
      </w:r>
      <w:r>
        <w:rPr>
          <w:spacing w:val="-16"/>
        </w:rPr>
        <w:t xml:space="preserve"> </w:t>
      </w:r>
      <w:r>
        <w:t>com</w:t>
      </w:r>
      <w:r>
        <w:rPr>
          <w:spacing w:val="-16"/>
        </w:rPr>
        <w:t xml:space="preserve"> </w:t>
      </w:r>
      <w:r>
        <w:t>hipop</w:t>
      </w:r>
      <w:r>
        <w:t>ituitarismo</w:t>
      </w:r>
      <w:r>
        <w:rPr>
          <w:spacing w:val="-16"/>
        </w:rPr>
        <w:t xml:space="preserve"> </w:t>
      </w:r>
      <w:r>
        <w:t>devem</w:t>
      </w:r>
      <w:r>
        <w:rPr>
          <w:spacing w:val="-16"/>
        </w:rPr>
        <w:t xml:space="preserve"> </w:t>
      </w:r>
      <w:r>
        <w:t>ser</w:t>
      </w:r>
      <w:r>
        <w:rPr>
          <w:spacing w:val="-17"/>
        </w:rPr>
        <w:t xml:space="preserve"> </w:t>
      </w:r>
      <w:r>
        <w:t>avaliados</w:t>
      </w:r>
      <w:r>
        <w:rPr>
          <w:spacing w:val="-16"/>
        </w:rPr>
        <w:t xml:space="preserve"> </w:t>
      </w:r>
      <w:r>
        <w:t>com</w:t>
      </w:r>
      <w:r>
        <w:rPr>
          <w:spacing w:val="-16"/>
        </w:rPr>
        <w:t xml:space="preserve"> </w:t>
      </w:r>
      <w:r>
        <w:t>relação</w:t>
      </w:r>
      <w:r>
        <w:rPr>
          <w:spacing w:val="-14"/>
        </w:rPr>
        <w:t xml:space="preserve"> </w:t>
      </w:r>
      <w:r>
        <w:t>à</w:t>
      </w:r>
      <w:r>
        <w:rPr>
          <w:spacing w:val="-17"/>
        </w:rPr>
        <w:t xml:space="preserve"> </w:t>
      </w:r>
      <w:r>
        <w:t>eficácia</w:t>
      </w:r>
      <w:r>
        <w:rPr>
          <w:spacing w:val="-17"/>
        </w:rPr>
        <w:t xml:space="preserve"> </w:t>
      </w:r>
      <w:r>
        <w:t>do</w:t>
      </w:r>
      <w:r>
        <w:rPr>
          <w:spacing w:val="-17"/>
        </w:rPr>
        <w:t xml:space="preserve"> </w:t>
      </w:r>
      <w:r>
        <w:t>tratamento e ao desenvolvimento de toxicidade aguda ou crônica. A existência de centro de referência facilita</w:t>
      </w:r>
      <w:r>
        <w:rPr>
          <w:spacing w:val="-10"/>
        </w:rPr>
        <w:t xml:space="preserve"> </w:t>
      </w:r>
      <w:r>
        <w:t>o</w:t>
      </w:r>
      <w:r>
        <w:rPr>
          <w:spacing w:val="-9"/>
        </w:rPr>
        <w:t xml:space="preserve"> </w:t>
      </w:r>
      <w:r>
        <w:t>tratamento</w:t>
      </w:r>
      <w:r>
        <w:rPr>
          <w:spacing w:val="-7"/>
        </w:rPr>
        <w:t xml:space="preserve"> </w:t>
      </w:r>
      <w:r>
        <w:t>em</w:t>
      </w:r>
      <w:r>
        <w:rPr>
          <w:spacing w:val="-9"/>
        </w:rPr>
        <w:t xml:space="preserve"> </w:t>
      </w:r>
      <w:r>
        <w:t>si,</w:t>
      </w:r>
      <w:r>
        <w:rPr>
          <w:spacing w:val="-8"/>
        </w:rPr>
        <w:t xml:space="preserve"> </w:t>
      </w:r>
      <w:r>
        <w:t>bem</w:t>
      </w:r>
      <w:r>
        <w:rPr>
          <w:spacing w:val="-8"/>
        </w:rPr>
        <w:t xml:space="preserve"> </w:t>
      </w:r>
      <w:r>
        <w:t>como</w:t>
      </w:r>
      <w:r>
        <w:rPr>
          <w:spacing w:val="-9"/>
        </w:rPr>
        <w:t xml:space="preserve"> </w:t>
      </w:r>
      <w:r>
        <w:t>o</w:t>
      </w:r>
      <w:r>
        <w:rPr>
          <w:spacing w:val="-9"/>
        </w:rPr>
        <w:t xml:space="preserve"> </w:t>
      </w:r>
      <w:r>
        <w:t>ajuste</w:t>
      </w:r>
      <w:r>
        <w:rPr>
          <w:spacing w:val="-9"/>
        </w:rPr>
        <w:t xml:space="preserve"> </w:t>
      </w:r>
      <w:r>
        <w:t>de</w:t>
      </w:r>
      <w:r>
        <w:rPr>
          <w:spacing w:val="-10"/>
        </w:rPr>
        <w:t xml:space="preserve"> </w:t>
      </w:r>
      <w:r>
        <w:t>doses,</w:t>
      </w:r>
      <w:r>
        <w:rPr>
          <w:spacing w:val="-9"/>
        </w:rPr>
        <w:t xml:space="preserve"> </w:t>
      </w:r>
      <w:r>
        <w:t>caso</w:t>
      </w:r>
      <w:r>
        <w:rPr>
          <w:spacing w:val="-8"/>
        </w:rPr>
        <w:t xml:space="preserve"> </w:t>
      </w:r>
      <w:r>
        <w:t>necessário,</w:t>
      </w:r>
      <w:r>
        <w:rPr>
          <w:spacing w:val="-8"/>
        </w:rPr>
        <w:t xml:space="preserve"> </w:t>
      </w:r>
      <w:r>
        <w:t>e</w:t>
      </w:r>
      <w:r>
        <w:rPr>
          <w:spacing w:val="-11"/>
        </w:rPr>
        <w:t xml:space="preserve"> </w:t>
      </w:r>
      <w:r>
        <w:t>o</w:t>
      </w:r>
      <w:r>
        <w:rPr>
          <w:spacing w:val="-9"/>
        </w:rPr>
        <w:t xml:space="preserve"> </w:t>
      </w:r>
      <w:r>
        <w:t>controle</w:t>
      </w:r>
      <w:r>
        <w:rPr>
          <w:spacing w:val="-9"/>
        </w:rPr>
        <w:t xml:space="preserve"> </w:t>
      </w:r>
      <w:r>
        <w:t>de</w:t>
      </w:r>
      <w:r>
        <w:rPr>
          <w:spacing w:val="-9"/>
        </w:rPr>
        <w:t xml:space="preserve"> </w:t>
      </w:r>
      <w:r>
        <w:t>efeitos</w:t>
      </w:r>
      <w:r>
        <w:t xml:space="preserve"> adversos.</w:t>
      </w:r>
    </w:p>
    <w:p w:rsidR="005C592B" w:rsidRDefault="005C592B">
      <w:pPr>
        <w:pStyle w:val="Corpodetexto"/>
        <w:spacing w:before="4"/>
        <w:ind w:left="0"/>
        <w:jc w:val="left"/>
        <w:rPr>
          <w:sz w:val="36"/>
        </w:rPr>
      </w:pPr>
    </w:p>
    <w:p w:rsidR="005C592B" w:rsidRDefault="005D0206">
      <w:pPr>
        <w:pStyle w:val="Ttulo1"/>
        <w:numPr>
          <w:ilvl w:val="0"/>
          <w:numId w:val="15"/>
        </w:numPr>
        <w:tabs>
          <w:tab w:val="left" w:pos="441"/>
        </w:tabs>
        <w:spacing w:before="1"/>
        <w:ind w:firstLine="0"/>
      </w:pPr>
      <w:r>
        <w:t>TRATAMENTO</w:t>
      </w:r>
    </w:p>
    <w:p w:rsidR="005C592B" w:rsidRDefault="005D0206">
      <w:pPr>
        <w:pStyle w:val="Corpodetexto"/>
        <w:spacing w:before="134" w:line="360" w:lineRule="auto"/>
        <w:ind w:right="853" w:firstLine="566"/>
      </w:pPr>
      <w:r>
        <w:t>O tratamento da DGH foi realizado inicialmente com a administração de hormônio do crescimento obtido a partir da hipófise de cadáveres humanos. Essa forma de tratamento foi suspensa em 1985, por estar relacionada à ocorrência da doen</w:t>
      </w:r>
      <w:r>
        <w:t>ça de Creutzfeldt-Jakob (encefalopatia) (24). Nesse mesmo período, tornou-se disponível a somatropina humana recombinante, forma biossintética que substituiu o tratamento anterior (25).</w:t>
      </w:r>
    </w:p>
    <w:p w:rsidR="005C592B" w:rsidRDefault="005C592B">
      <w:pPr>
        <w:pStyle w:val="Corpodetexto"/>
        <w:spacing w:before="5"/>
        <w:ind w:left="0"/>
        <w:jc w:val="left"/>
        <w:rPr>
          <w:sz w:val="36"/>
        </w:rPr>
      </w:pPr>
    </w:p>
    <w:p w:rsidR="005C592B" w:rsidRDefault="005D0206">
      <w:pPr>
        <w:pStyle w:val="Ttulo1"/>
        <w:spacing w:before="1"/>
      </w:pPr>
      <w:r>
        <w:t>Crianças e adolescentes</w:t>
      </w:r>
    </w:p>
    <w:p w:rsidR="005C592B" w:rsidRDefault="005C592B">
      <w:pPr>
        <w:sectPr w:rsidR="005C592B">
          <w:pgSz w:w="11900" w:h="16850"/>
          <w:pgMar w:top="1600" w:right="580" w:bottom="280" w:left="1240" w:header="720" w:footer="720" w:gutter="0"/>
          <w:cols w:space="720"/>
        </w:sectPr>
      </w:pPr>
    </w:p>
    <w:p w:rsidR="005C592B" w:rsidRDefault="005D0206">
      <w:pPr>
        <w:pStyle w:val="Corpodetexto"/>
        <w:spacing w:before="74" w:line="360" w:lineRule="auto"/>
        <w:ind w:right="853" w:firstLine="566"/>
      </w:pPr>
      <w:r>
        <w:lastRenderedPageBreak/>
        <w:t xml:space="preserve">Em uma revisão sistemática que </w:t>
      </w:r>
      <w:r>
        <w:t>teve como objetivo avaliar o uso de GH humano recombinante</w:t>
      </w:r>
      <w:r>
        <w:rPr>
          <w:spacing w:val="-4"/>
        </w:rPr>
        <w:t xml:space="preserve"> </w:t>
      </w:r>
      <w:r>
        <w:t>em</w:t>
      </w:r>
      <w:r>
        <w:rPr>
          <w:spacing w:val="-5"/>
        </w:rPr>
        <w:t xml:space="preserve"> </w:t>
      </w:r>
      <w:r>
        <w:t>doenças</w:t>
      </w:r>
      <w:r>
        <w:rPr>
          <w:spacing w:val="-5"/>
        </w:rPr>
        <w:t xml:space="preserve"> </w:t>
      </w:r>
      <w:r>
        <w:t>para</w:t>
      </w:r>
      <w:r>
        <w:rPr>
          <w:spacing w:val="-4"/>
        </w:rPr>
        <w:t xml:space="preserve"> </w:t>
      </w:r>
      <w:r>
        <w:t>as</w:t>
      </w:r>
      <w:r>
        <w:rPr>
          <w:spacing w:val="-6"/>
        </w:rPr>
        <w:t xml:space="preserve"> </w:t>
      </w:r>
      <w:r>
        <w:t>quais</w:t>
      </w:r>
      <w:r>
        <w:rPr>
          <w:spacing w:val="-5"/>
        </w:rPr>
        <w:t xml:space="preserve"> </w:t>
      </w:r>
      <w:r>
        <w:t>este</w:t>
      </w:r>
      <w:r>
        <w:rPr>
          <w:spacing w:val="-5"/>
        </w:rPr>
        <w:t xml:space="preserve"> </w:t>
      </w:r>
      <w:r>
        <w:t>tratamento</w:t>
      </w:r>
      <w:r>
        <w:rPr>
          <w:spacing w:val="-6"/>
        </w:rPr>
        <w:t xml:space="preserve"> </w:t>
      </w:r>
      <w:r>
        <w:t>está</w:t>
      </w:r>
      <w:r>
        <w:rPr>
          <w:spacing w:val="-5"/>
        </w:rPr>
        <w:t xml:space="preserve"> </w:t>
      </w:r>
      <w:r>
        <w:t>recomendado,</w:t>
      </w:r>
      <w:r>
        <w:rPr>
          <w:spacing w:val="-3"/>
        </w:rPr>
        <w:t xml:space="preserve"> </w:t>
      </w:r>
      <w:r>
        <w:t>somente</w:t>
      </w:r>
      <w:r>
        <w:rPr>
          <w:spacing w:val="-7"/>
        </w:rPr>
        <w:t xml:space="preserve"> </w:t>
      </w:r>
      <w:r>
        <w:t>um</w:t>
      </w:r>
      <w:r>
        <w:rPr>
          <w:spacing w:val="-4"/>
        </w:rPr>
        <w:t xml:space="preserve"> </w:t>
      </w:r>
      <w:r>
        <w:t>estudo de tratamento contra não tratamento para crianças com DGH foi localizado (26). Nesse</w:t>
      </w:r>
      <w:r>
        <w:rPr>
          <w:spacing w:val="-30"/>
        </w:rPr>
        <w:t xml:space="preserve"> </w:t>
      </w:r>
      <w:r>
        <w:t>ensaio clínico randomizado (ECR), 77 crianças com baixa estatura foram submetidas a testes provocativos de secreção de GH e então randomizadas, de acordo com a resposta dos testes, para tratamento com diferentes doses de GH ou para não tratamento. Os resul</w:t>
      </w:r>
      <w:r>
        <w:t>tados foram analisados após 1 ano. Dos 77 pacientes, em apenas dois grupos (n = 19) a comparação do tratamento com GH é possível, pois há pareamento entre pacientes com DGH tratados e não tratados. O estudo mostrou melhora no desvio-padrão da altura (-2,3±</w:t>
      </w:r>
      <w:r>
        <w:t>0,45 versus -2,8±0,45;</w:t>
      </w:r>
      <w:r>
        <w:rPr>
          <w:spacing w:val="-14"/>
        </w:rPr>
        <w:t xml:space="preserve"> </w:t>
      </w:r>
      <w:r>
        <w:t>p</w:t>
      </w:r>
    </w:p>
    <w:p w:rsidR="005C592B" w:rsidRDefault="005D0206">
      <w:pPr>
        <w:pStyle w:val="Corpodetexto"/>
        <w:spacing w:line="360" w:lineRule="auto"/>
        <w:ind w:right="858"/>
      </w:pPr>
      <w:r>
        <w:t>&lt; 0,05) e na velocidade de crescimento (8,4±1,4 versus 5,7±1,8; p &lt; 0,05) entre tratados e</w:t>
      </w:r>
      <w:r>
        <w:rPr>
          <w:spacing w:val="-15"/>
        </w:rPr>
        <w:t xml:space="preserve"> </w:t>
      </w:r>
      <w:r>
        <w:t>não tratados, respectivamente. No entanto, esse estudo apresenta limitações metodológicas importantes</w:t>
      </w:r>
      <w:r>
        <w:rPr>
          <w:spacing w:val="-10"/>
        </w:rPr>
        <w:t xml:space="preserve"> </w:t>
      </w:r>
      <w:r>
        <w:t>(não</w:t>
      </w:r>
      <w:r>
        <w:rPr>
          <w:spacing w:val="-9"/>
        </w:rPr>
        <w:t xml:space="preserve"> </w:t>
      </w:r>
      <w:r>
        <w:t>há</w:t>
      </w:r>
      <w:r>
        <w:rPr>
          <w:spacing w:val="-9"/>
        </w:rPr>
        <w:t xml:space="preserve"> </w:t>
      </w:r>
      <w:r>
        <w:t>descrição</w:t>
      </w:r>
      <w:r>
        <w:rPr>
          <w:spacing w:val="-9"/>
        </w:rPr>
        <w:t xml:space="preserve"> </w:t>
      </w:r>
      <w:r>
        <w:t>do</w:t>
      </w:r>
      <w:r>
        <w:rPr>
          <w:spacing w:val="-9"/>
        </w:rPr>
        <w:t xml:space="preserve"> </w:t>
      </w:r>
      <w:r>
        <w:t>método</w:t>
      </w:r>
      <w:r>
        <w:rPr>
          <w:spacing w:val="-8"/>
        </w:rPr>
        <w:t xml:space="preserve"> </w:t>
      </w:r>
      <w:r>
        <w:t>de</w:t>
      </w:r>
      <w:r>
        <w:rPr>
          <w:spacing w:val="-10"/>
        </w:rPr>
        <w:t xml:space="preserve"> </w:t>
      </w:r>
      <w:r>
        <w:t>randomi</w:t>
      </w:r>
      <w:r>
        <w:t>zação;</w:t>
      </w:r>
      <w:r>
        <w:rPr>
          <w:spacing w:val="-9"/>
        </w:rPr>
        <w:t xml:space="preserve"> </w:t>
      </w:r>
      <w:r>
        <w:t>o</w:t>
      </w:r>
      <w:r>
        <w:rPr>
          <w:spacing w:val="-9"/>
        </w:rPr>
        <w:t xml:space="preserve"> </w:t>
      </w:r>
      <w:r>
        <w:t>estudo</w:t>
      </w:r>
      <w:r>
        <w:rPr>
          <w:spacing w:val="-7"/>
        </w:rPr>
        <w:t xml:space="preserve"> </w:t>
      </w:r>
      <w:r>
        <w:t>é</w:t>
      </w:r>
      <w:r>
        <w:rPr>
          <w:spacing w:val="-10"/>
        </w:rPr>
        <w:t xml:space="preserve"> </w:t>
      </w:r>
      <w:r>
        <w:t>aberto;</w:t>
      </w:r>
      <w:r>
        <w:rPr>
          <w:spacing w:val="-9"/>
        </w:rPr>
        <w:t xml:space="preserve"> </w:t>
      </w:r>
      <w:r>
        <w:t>não</w:t>
      </w:r>
      <w:r>
        <w:rPr>
          <w:spacing w:val="-9"/>
        </w:rPr>
        <w:t xml:space="preserve"> </w:t>
      </w:r>
      <w:r>
        <w:t>há</w:t>
      </w:r>
      <w:r>
        <w:rPr>
          <w:spacing w:val="-10"/>
        </w:rPr>
        <w:t xml:space="preserve"> </w:t>
      </w:r>
      <w:r>
        <w:t>descrição de outros desfechos, como qualidade de vida).</w:t>
      </w:r>
      <w:r>
        <w:rPr>
          <w:spacing w:val="-4"/>
        </w:rPr>
        <w:t xml:space="preserve"> </w:t>
      </w:r>
      <w:r>
        <w:t>(27)</w:t>
      </w:r>
    </w:p>
    <w:p w:rsidR="005C592B" w:rsidRDefault="005D0206">
      <w:pPr>
        <w:pStyle w:val="Corpodetexto"/>
        <w:spacing w:line="357" w:lineRule="auto"/>
        <w:ind w:right="852" w:firstLine="566"/>
      </w:pPr>
      <w:r>
        <w:t>Um</w:t>
      </w:r>
      <w:r>
        <w:rPr>
          <w:spacing w:val="-6"/>
        </w:rPr>
        <w:t xml:space="preserve"> </w:t>
      </w:r>
      <w:r>
        <w:t>segundo</w:t>
      </w:r>
      <w:r>
        <w:rPr>
          <w:spacing w:val="-6"/>
        </w:rPr>
        <w:t xml:space="preserve"> </w:t>
      </w:r>
      <w:r>
        <w:t>ECR</w:t>
      </w:r>
      <w:r>
        <w:rPr>
          <w:spacing w:val="-5"/>
        </w:rPr>
        <w:t xml:space="preserve"> </w:t>
      </w:r>
      <w:r>
        <w:t>foi</w:t>
      </w:r>
      <w:r>
        <w:rPr>
          <w:spacing w:val="-6"/>
        </w:rPr>
        <w:t xml:space="preserve"> </w:t>
      </w:r>
      <w:r>
        <w:t>realizado</w:t>
      </w:r>
      <w:r>
        <w:rPr>
          <w:spacing w:val="-4"/>
        </w:rPr>
        <w:t xml:space="preserve"> </w:t>
      </w:r>
      <w:r>
        <w:t>nesse</w:t>
      </w:r>
      <w:r>
        <w:rPr>
          <w:spacing w:val="-6"/>
        </w:rPr>
        <w:t xml:space="preserve"> </w:t>
      </w:r>
      <w:r>
        <w:t>contexto</w:t>
      </w:r>
      <w:r>
        <w:rPr>
          <w:spacing w:val="-5"/>
        </w:rPr>
        <w:t xml:space="preserve"> </w:t>
      </w:r>
      <w:r>
        <w:t>para</w:t>
      </w:r>
      <w:r>
        <w:rPr>
          <w:spacing w:val="-8"/>
        </w:rPr>
        <w:t xml:space="preserve"> </w:t>
      </w:r>
      <w:r>
        <w:t>testar</w:t>
      </w:r>
      <w:r>
        <w:rPr>
          <w:spacing w:val="-6"/>
        </w:rPr>
        <w:t xml:space="preserve"> </w:t>
      </w:r>
      <w:r>
        <w:t>diferentes</w:t>
      </w:r>
      <w:r>
        <w:rPr>
          <w:spacing w:val="-5"/>
        </w:rPr>
        <w:t xml:space="preserve"> </w:t>
      </w:r>
      <w:r>
        <w:t>doses</w:t>
      </w:r>
      <w:r>
        <w:rPr>
          <w:spacing w:val="-6"/>
        </w:rPr>
        <w:t xml:space="preserve"> </w:t>
      </w:r>
      <w:r>
        <w:t>de</w:t>
      </w:r>
      <w:r>
        <w:rPr>
          <w:spacing w:val="-7"/>
        </w:rPr>
        <w:t xml:space="preserve"> </w:t>
      </w:r>
      <w:r>
        <w:t>GH.</w:t>
      </w:r>
      <w:r>
        <w:rPr>
          <w:spacing w:val="-6"/>
        </w:rPr>
        <w:t xml:space="preserve"> </w:t>
      </w:r>
      <w:r>
        <w:t>Nesse estudo, 35 crianças foram randomizadas para o recebimento de duas doses de G</w:t>
      </w:r>
      <w:r>
        <w:t>H: 0,7 mg/m</w:t>
      </w:r>
      <w:r>
        <w:rPr>
          <w:position w:val="9"/>
          <w:sz w:val="16"/>
        </w:rPr>
        <w:t>2</w:t>
      </w:r>
      <w:r>
        <w:t>/dia (aproximadamente 0,025 mg/kg/dia) ou 1,4 mg/m</w:t>
      </w:r>
      <w:r>
        <w:rPr>
          <w:position w:val="9"/>
          <w:sz w:val="16"/>
        </w:rPr>
        <w:t>2</w:t>
      </w:r>
      <w:r>
        <w:t>/dia (aproximadamente 0,050 mg/kg/dia). Os resultados demonstraram que os pacientes tratados com a dose mais baixa de GH apresentaram altura na idade final de 4-5 cm menor do que o esperado, enquanto os pacientes tratados com a dose mais alta tiveram uma d</w:t>
      </w:r>
      <w:r>
        <w:t>iferença de 0-2 cm. Essa diferença, porém, não foi estatisticamente significativa.</w:t>
      </w:r>
      <w:r>
        <w:rPr>
          <w:spacing w:val="-2"/>
        </w:rPr>
        <w:t xml:space="preserve"> </w:t>
      </w:r>
      <w:r>
        <w:t>(28)</w:t>
      </w:r>
    </w:p>
    <w:p w:rsidR="005C592B" w:rsidRDefault="005D0206">
      <w:pPr>
        <w:pStyle w:val="Corpodetexto"/>
        <w:spacing w:before="5" w:line="360" w:lineRule="auto"/>
        <w:ind w:right="854" w:firstLine="566"/>
      </w:pPr>
      <w:r>
        <w:t>Além desses ECRs, os estudos de coorte, embora não apresentem grupo de comparação e tenham sido realizados a partir de banco de dados da indústria farmacêutica, representam a principal evidência de benefício do tratamento com somatropina em crianças com DG</w:t>
      </w:r>
      <w:r>
        <w:t>H. No estudo</w:t>
      </w:r>
      <w:r>
        <w:rPr>
          <w:spacing w:val="-8"/>
        </w:rPr>
        <w:t xml:space="preserve"> </w:t>
      </w:r>
      <w:r>
        <w:t>de</w:t>
      </w:r>
      <w:r>
        <w:rPr>
          <w:spacing w:val="-10"/>
        </w:rPr>
        <w:t xml:space="preserve"> </w:t>
      </w:r>
      <w:r>
        <w:t>Cutfield</w:t>
      </w:r>
      <w:r>
        <w:rPr>
          <w:spacing w:val="-6"/>
        </w:rPr>
        <w:t xml:space="preserve"> </w:t>
      </w:r>
      <w:r>
        <w:t>et</w:t>
      </w:r>
      <w:r>
        <w:rPr>
          <w:spacing w:val="-8"/>
        </w:rPr>
        <w:t xml:space="preserve"> </w:t>
      </w:r>
      <w:r>
        <w:t>al.,</w:t>
      </w:r>
      <w:r>
        <w:rPr>
          <w:spacing w:val="-8"/>
        </w:rPr>
        <w:t xml:space="preserve"> </w:t>
      </w:r>
      <w:r>
        <w:t>houve</w:t>
      </w:r>
      <w:r>
        <w:rPr>
          <w:spacing w:val="-9"/>
        </w:rPr>
        <w:t xml:space="preserve"> </w:t>
      </w:r>
      <w:r>
        <w:t>melhora</w:t>
      </w:r>
      <w:r>
        <w:rPr>
          <w:spacing w:val="-9"/>
        </w:rPr>
        <w:t xml:space="preserve"> </w:t>
      </w:r>
      <w:r>
        <w:t>do</w:t>
      </w:r>
      <w:r>
        <w:rPr>
          <w:spacing w:val="-9"/>
        </w:rPr>
        <w:t xml:space="preserve"> </w:t>
      </w:r>
      <w:r>
        <w:t>desvio-padrão</w:t>
      </w:r>
      <w:r>
        <w:rPr>
          <w:spacing w:val="-8"/>
        </w:rPr>
        <w:t xml:space="preserve"> </w:t>
      </w:r>
      <w:r>
        <w:t>da</w:t>
      </w:r>
      <w:r>
        <w:rPr>
          <w:spacing w:val="-10"/>
        </w:rPr>
        <w:t xml:space="preserve"> </w:t>
      </w:r>
      <w:r>
        <w:t>altura</w:t>
      </w:r>
      <w:r>
        <w:rPr>
          <w:spacing w:val="-8"/>
        </w:rPr>
        <w:t xml:space="preserve"> </w:t>
      </w:r>
      <w:r>
        <w:t>de</w:t>
      </w:r>
      <w:r>
        <w:rPr>
          <w:spacing w:val="-10"/>
        </w:rPr>
        <w:t xml:space="preserve"> </w:t>
      </w:r>
      <w:r>
        <w:t>-3,1</w:t>
      </w:r>
      <w:r>
        <w:rPr>
          <w:spacing w:val="-6"/>
        </w:rPr>
        <w:t xml:space="preserve"> </w:t>
      </w:r>
      <w:r>
        <w:t>pré-tratamento</w:t>
      </w:r>
      <w:r>
        <w:rPr>
          <w:spacing w:val="-7"/>
        </w:rPr>
        <w:t xml:space="preserve"> </w:t>
      </w:r>
      <w:r>
        <w:t>para</w:t>
      </w:r>
    </w:p>
    <w:p w:rsidR="005C592B" w:rsidRDefault="005D0206">
      <w:pPr>
        <w:pStyle w:val="Corpodetexto"/>
        <w:spacing w:before="1" w:line="360" w:lineRule="auto"/>
        <w:ind w:right="854"/>
      </w:pPr>
      <w:r>
        <w:t>-1,5 pós-tratamento, por uma mediana de 8,1 anos (29). No estudo de August et al., houve melhora de -2,6 para -1,3 após um tempo médio de tratamento de 4,</w:t>
      </w:r>
      <w:r>
        <w:t>5 anos (30).</w:t>
      </w:r>
    </w:p>
    <w:p w:rsidR="005C592B" w:rsidRDefault="005D0206">
      <w:pPr>
        <w:pStyle w:val="Corpodetexto"/>
        <w:spacing w:line="360" w:lineRule="auto"/>
        <w:ind w:right="855" w:firstLine="566"/>
      </w:pPr>
      <w:r>
        <w:t>Em uma análise de custo-efetividade realizada pelo sistema de saúde inglês a partir dos resultados dos estudos publicados, o tratamento com somatropina em crianças com DGH foi considerado custo-efetivo naquele país (31).</w:t>
      </w:r>
    </w:p>
    <w:p w:rsidR="005C592B" w:rsidRDefault="005D0206">
      <w:pPr>
        <w:pStyle w:val="Ttulo1"/>
        <w:spacing w:before="4"/>
      </w:pPr>
      <w:r>
        <w:t>Adultos</w:t>
      </w:r>
    </w:p>
    <w:p w:rsidR="005C592B" w:rsidRDefault="005D0206">
      <w:pPr>
        <w:pStyle w:val="Corpodetexto"/>
        <w:spacing w:before="134" w:line="360" w:lineRule="auto"/>
        <w:ind w:right="852" w:firstLine="566"/>
      </w:pPr>
      <w:r>
        <w:t xml:space="preserve">Em relação ao </w:t>
      </w:r>
      <w:r>
        <w:t xml:space="preserve">tratamento de pacientes adultos com GH, embora não haja consenso de quais pacientes devam ser tratados, a recomendação deve ser individualizada (32). Existem evidências oriundas de meta-análises de benefícios sobre densidade mineral óssea (33-35), fatores </w:t>
      </w:r>
      <w:r>
        <w:t>de risco cardiovasculares e qualidade de vida. (2,34, 36)</w:t>
      </w:r>
    </w:p>
    <w:p w:rsidR="005C592B" w:rsidRDefault="005C592B">
      <w:pPr>
        <w:spacing w:line="360" w:lineRule="auto"/>
        <w:sectPr w:rsidR="005C592B">
          <w:pgSz w:w="11900" w:h="16850"/>
          <w:pgMar w:top="1360" w:right="580" w:bottom="280" w:left="1240" w:header="720" w:footer="720" w:gutter="0"/>
          <w:cols w:space="720"/>
        </w:sectPr>
      </w:pPr>
    </w:p>
    <w:p w:rsidR="005C592B" w:rsidRDefault="005D0206">
      <w:pPr>
        <w:pStyle w:val="Corpodetexto"/>
        <w:spacing w:before="74" w:line="360" w:lineRule="auto"/>
        <w:ind w:right="853" w:firstLine="566"/>
      </w:pPr>
      <w:r>
        <w:lastRenderedPageBreak/>
        <w:t>Meta-análise recente, de suplementação com GH em pacientes adultos com DGH em curto ou longo prazo, mostrou que a terapia é segura e que provavelmente leva a diminuição significativa</w:t>
      </w:r>
      <w:r>
        <w:rPr>
          <w:spacing w:val="-15"/>
        </w:rPr>
        <w:t xml:space="preserve"> </w:t>
      </w:r>
      <w:r>
        <w:t>n</w:t>
      </w:r>
      <w:r>
        <w:t>o</w:t>
      </w:r>
      <w:r>
        <w:rPr>
          <w:spacing w:val="-14"/>
        </w:rPr>
        <w:t xml:space="preserve"> </w:t>
      </w:r>
      <w:r>
        <w:t>risco</w:t>
      </w:r>
      <w:r>
        <w:rPr>
          <w:spacing w:val="-13"/>
        </w:rPr>
        <w:t xml:space="preserve"> </w:t>
      </w:r>
      <w:r>
        <w:t>cardiovascular,</w:t>
      </w:r>
      <w:r>
        <w:rPr>
          <w:spacing w:val="-14"/>
        </w:rPr>
        <w:t xml:space="preserve"> </w:t>
      </w:r>
      <w:r>
        <w:t>embora</w:t>
      </w:r>
      <w:r>
        <w:rPr>
          <w:spacing w:val="-15"/>
        </w:rPr>
        <w:t xml:space="preserve"> </w:t>
      </w:r>
      <w:r>
        <w:t>não</w:t>
      </w:r>
      <w:r>
        <w:rPr>
          <w:spacing w:val="-13"/>
        </w:rPr>
        <w:t xml:space="preserve"> </w:t>
      </w:r>
      <w:r>
        <w:t>tenha</w:t>
      </w:r>
      <w:r>
        <w:rPr>
          <w:spacing w:val="-15"/>
        </w:rPr>
        <w:t xml:space="preserve"> </w:t>
      </w:r>
      <w:r>
        <w:t>havido</w:t>
      </w:r>
      <w:r>
        <w:rPr>
          <w:spacing w:val="-14"/>
        </w:rPr>
        <w:t xml:space="preserve"> </w:t>
      </w:r>
      <w:r>
        <w:t>demonstração</w:t>
      </w:r>
      <w:r>
        <w:rPr>
          <w:spacing w:val="-10"/>
        </w:rPr>
        <w:t xml:space="preserve"> </w:t>
      </w:r>
      <w:r>
        <w:t>quantitativa</w:t>
      </w:r>
      <w:r>
        <w:rPr>
          <w:spacing w:val="-14"/>
        </w:rPr>
        <w:t xml:space="preserve"> </w:t>
      </w:r>
      <w:r>
        <w:t>deste efeito.</w:t>
      </w:r>
      <w:r>
        <w:rPr>
          <w:spacing w:val="-11"/>
        </w:rPr>
        <w:t xml:space="preserve"> </w:t>
      </w:r>
      <w:r>
        <w:t>O</w:t>
      </w:r>
      <w:r>
        <w:rPr>
          <w:spacing w:val="-11"/>
        </w:rPr>
        <w:t xml:space="preserve"> </w:t>
      </w:r>
      <w:r>
        <w:t>benefício</w:t>
      </w:r>
      <w:r>
        <w:rPr>
          <w:spacing w:val="-9"/>
        </w:rPr>
        <w:t xml:space="preserve"> </w:t>
      </w:r>
      <w:r>
        <w:t>está</w:t>
      </w:r>
      <w:r>
        <w:rPr>
          <w:spacing w:val="-10"/>
        </w:rPr>
        <w:t xml:space="preserve"> </w:t>
      </w:r>
      <w:r>
        <w:t>relacionado</w:t>
      </w:r>
      <w:r>
        <w:rPr>
          <w:spacing w:val="-11"/>
        </w:rPr>
        <w:t xml:space="preserve"> </w:t>
      </w:r>
      <w:r>
        <w:t>à</w:t>
      </w:r>
      <w:r>
        <w:rPr>
          <w:spacing w:val="-9"/>
        </w:rPr>
        <w:t xml:space="preserve"> </w:t>
      </w:r>
      <w:r>
        <w:t>diminuição</w:t>
      </w:r>
      <w:r>
        <w:rPr>
          <w:spacing w:val="-9"/>
        </w:rPr>
        <w:t xml:space="preserve"> </w:t>
      </w:r>
      <w:r>
        <w:t>do</w:t>
      </w:r>
      <w:r>
        <w:rPr>
          <w:spacing w:val="-11"/>
        </w:rPr>
        <w:t xml:space="preserve"> </w:t>
      </w:r>
      <w:r>
        <w:t>colesterol-LDL</w:t>
      </w:r>
      <w:r>
        <w:rPr>
          <w:spacing w:val="-12"/>
        </w:rPr>
        <w:t xml:space="preserve"> </w:t>
      </w:r>
      <w:r>
        <w:t>demonstrado,</w:t>
      </w:r>
      <w:r>
        <w:rPr>
          <w:spacing w:val="-11"/>
        </w:rPr>
        <w:t xml:space="preserve"> </w:t>
      </w:r>
      <w:r>
        <w:t>além</w:t>
      </w:r>
      <w:r>
        <w:rPr>
          <w:spacing w:val="-10"/>
        </w:rPr>
        <w:t xml:space="preserve"> </w:t>
      </w:r>
      <w:r>
        <w:t>de</w:t>
      </w:r>
      <w:r>
        <w:rPr>
          <w:spacing w:val="-11"/>
        </w:rPr>
        <w:t xml:space="preserve"> </w:t>
      </w:r>
      <w:r>
        <w:t>não ter havido prejuízo ao metabolismo da glicose ou à pressão arterial. Estes resultados permanecem independente da causa da DGH, idiopática ou panhipopituitarismo.</w:t>
      </w:r>
      <w:r>
        <w:rPr>
          <w:spacing w:val="-5"/>
        </w:rPr>
        <w:t xml:space="preserve"> </w:t>
      </w:r>
      <w:r>
        <w:t>(2)</w:t>
      </w:r>
    </w:p>
    <w:p w:rsidR="005C592B" w:rsidRDefault="005D0206">
      <w:pPr>
        <w:pStyle w:val="Corpodetexto"/>
        <w:spacing w:line="360" w:lineRule="auto"/>
        <w:ind w:right="854" w:firstLine="566"/>
      </w:pPr>
      <w:r>
        <w:t>ECR</w:t>
      </w:r>
      <w:r>
        <w:rPr>
          <w:spacing w:val="-13"/>
        </w:rPr>
        <w:t xml:space="preserve"> </w:t>
      </w:r>
      <w:r>
        <w:t>avaliou</w:t>
      </w:r>
      <w:r>
        <w:rPr>
          <w:spacing w:val="-14"/>
        </w:rPr>
        <w:t xml:space="preserve"> </w:t>
      </w:r>
      <w:r>
        <w:t>o</w:t>
      </w:r>
      <w:r>
        <w:rPr>
          <w:spacing w:val="-13"/>
        </w:rPr>
        <w:t xml:space="preserve"> </w:t>
      </w:r>
      <w:r>
        <w:t>efeito</w:t>
      </w:r>
      <w:r>
        <w:rPr>
          <w:spacing w:val="-14"/>
        </w:rPr>
        <w:t xml:space="preserve"> </w:t>
      </w:r>
      <w:r>
        <w:t>de</w:t>
      </w:r>
      <w:r>
        <w:rPr>
          <w:spacing w:val="-15"/>
        </w:rPr>
        <w:t xml:space="preserve"> </w:t>
      </w:r>
      <w:r>
        <w:t>níveis</w:t>
      </w:r>
      <w:r>
        <w:rPr>
          <w:spacing w:val="-13"/>
        </w:rPr>
        <w:t xml:space="preserve"> </w:t>
      </w:r>
      <w:r>
        <w:t>normais</w:t>
      </w:r>
      <w:r>
        <w:rPr>
          <w:spacing w:val="-13"/>
        </w:rPr>
        <w:t xml:space="preserve"> </w:t>
      </w:r>
      <w:r>
        <w:t>baixos</w:t>
      </w:r>
      <w:r>
        <w:rPr>
          <w:spacing w:val="-13"/>
        </w:rPr>
        <w:t xml:space="preserve"> </w:t>
      </w:r>
      <w:r>
        <w:t>versus</w:t>
      </w:r>
      <w:r>
        <w:rPr>
          <w:spacing w:val="-14"/>
        </w:rPr>
        <w:t xml:space="preserve"> </w:t>
      </w:r>
      <w:r>
        <w:t>normais</w:t>
      </w:r>
      <w:r>
        <w:rPr>
          <w:spacing w:val="-13"/>
        </w:rPr>
        <w:t xml:space="preserve"> </w:t>
      </w:r>
      <w:r>
        <w:t>altos</w:t>
      </w:r>
      <w:r>
        <w:rPr>
          <w:spacing w:val="-13"/>
        </w:rPr>
        <w:t xml:space="preserve"> </w:t>
      </w:r>
      <w:r>
        <w:t>de</w:t>
      </w:r>
      <w:r>
        <w:rPr>
          <w:spacing w:val="-13"/>
        </w:rPr>
        <w:t xml:space="preserve"> </w:t>
      </w:r>
      <w:r>
        <w:t>IGF-1</w:t>
      </w:r>
      <w:r>
        <w:rPr>
          <w:spacing w:val="-12"/>
        </w:rPr>
        <w:t xml:space="preserve"> </w:t>
      </w:r>
      <w:r>
        <w:t>na</w:t>
      </w:r>
      <w:r>
        <w:rPr>
          <w:spacing w:val="-14"/>
        </w:rPr>
        <w:t xml:space="preserve"> </w:t>
      </w:r>
      <w:r>
        <w:t>cogniçã</w:t>
      </w:r>
      <w:r>
        <w:t>o e bem-estar de pacientes adultos com DGH, durante tratamento com GH por pelo menos um ano. Verificou-se que mulheres no braço de dose baixa de GH tiveram melhor memória de controle estratégico e de trabalho após 24 semanas de tratamento em oposição ao br</w:t>
      </w:r>
      <w:r>
        <w:t>aço de mulheres com dose alta. Em relação ao humor, os níveis diminuídos de IGF-1 nas mulheres com dose menor estão associados a mais fadiga e menos vigor. O ajuste de dose nas pacientes do sexo feminino deve ser mais estreito, sendo que uma dose muito alt</w:t>
      </w:r>
      <w:r>
        <w:t>a pode prejudicar a função cognitiva prefrontal, enquanto a dose mais baixa está associada com mais fadiga e menos vigor.</w:t>
      </w:r>
      <w:r>
        <w:rPr>
          <w:spacing w:val="-1"/>
        </w:rPr>
        <w:t xml:space="preserve"> </w:t>
      </w:r>
      <w:r>
        <w:t>(37)</w:t>
      </w:r>
    </w:p>
    <w:p w:rsidR="005C592B" w:rsidRDefault="005D0206">
      <w:pPr>
        <w:pStyle w:val="Corpodetexto"/>
        <w:spacing w:line="360" w:lineRule="auto"/>
        <w:ind w:right="854" w:firstLine="566"/>
      </w:pPr>
      <w:r>
        <w:t>ECR</w:t>
      </w:r>
      <w:r>
        <w:rPr>
          <w:spacing w:val="-8"/>
        </w:rPr>
        <w:t xml:space="preserve"> </w:t>
      </w:r>
      <w:r>
        <w:t>aberto</w:t>
      </w:r>
      <w:r>
        <w:rPr>
          <w:spacing w:val="-8"/>
        </w:rPr>
        <w:t xml:space="preserve"> </w:t>
      </w:r>
      <w:r>
        <w:t>anterior</w:t>
      </w:r>
      <w:r>
        <w:rPr>
          <w:spacing w:val="-8"/>
        </w:rPr>
        <w:t xml:space="preserve"> </w:t>
      </w:r>
      <w:r>
        <w:t>de</w:t>
      </w:r>
      <w:r>
        <w:rPr>
          <w:spacing w:val="-10"/>
        </w:rPr>
        <w:t xml:space="preserve"> </w:t>
      </w:r>
      <w:r>
        <w:t>mesma</w:t>
      </w:r>
      <w:r>
        <w:rPr>
          <w:spacing w:val="-9"/>
        </w:rPr>
        <w:t xml:space="preserve"> </w:t>
      </w:r>
      <w:r>
        <w:t>autoria</w:t>
      </w:r>
      <w:r>
        <w:rPr>
          <w:spacing w:val="-9"/>
        </w:rPr>
        <w:t xml:space="preserve"> </w:t>
      </w:r>
      <w:r>
        <w:t>comparou</w:t>
      </w:r>
      <w:r>
        <w:rPr>
          <w:spacing w:val="-9"/>
        </w:rPr>
        <w:t xml:space="preserve"> </w:t>
      </w:r>
      <w:r>
        <w:t>alvos</w:t>
      </w:r>
      <w:r>
        <w:rPr>
          <w:spacing w:val="-8"/>
        </w:rPr>
        <w:t xml:space="preserve"> </w:t>
      </w:r>
      <w:r>
        <w:t>de</w:t>
      </w:r>
      <w:r>
        <w:rPr>
          <w:spacing w:val="-7"/>
        </w:rPr>
        <w:t xml:space="preserve"> </w:t>
      </w:r>
      <w:r>
        <w:t>IGF-1</w:t>
      </w:r>
      <w:r>
        <w:rPr>
          <w:spacing w:val="-9"/>
        </w:rPr>
        <w:t xml:space="preserve"> </w:t>
      </w:r>
      <w:r>
        <w:t>normais</w:t>
      </w:r>
      <w:r>
        <w:rPr>
          <w:spacing w:val="-8"/>
        </w:rPr>
        <w:t xml:space="preserve"> </w:t>
      </w:r>
      <w:r>
        <w:t>altos</w:t>
      </w:r>
      <w:r>
        <w:rPr>
          <w:spacing w:val="-8"/>
        </w:rPr>
        <w:t xml:space="preserve"> </w:t>
      </w:r>
      <w:r>
        <w:t>e</w:t>
      </w:r>
      <w:r>
        <w:rPr>
          <w:spacing w:val="-9"/>
        </w:rPr>
        <w:t xml:space="preserve"> </w:t>
      </w:r>
      <w:r>
        <w:t>normais baixos, com doses mais altas e mais baixas d</w:t>
      </w:r>
      <w:r>
        <w:t>e GH, respectivamente, para avaliar eficácia e segurança do tratamento. Verificaram que, apesar da dose mais alta para níveis normais altos de IGF-1, diminuir a circunferência abdominal (p=0,05) especialmente em mulheres e melhorar</w:t>
      </w:r>
      <w:r>
        <w:rPr>
          <w:spacing w:val="-9"/>
        </w:rPr>
        <w:t xml:space="preserve"> </w:t>
      </w:r>
      <w:r>
        <w:t>o</w:t>
      </w:r>
      <w:r>
        <w:rPr>
          <w:spacing w:val="-8"/>
        </w:rPr>
        <w:t xml:space="preserve"> </w:t>
      </w:r>
      <w:r>
        <w:t>bem</w:t>
      </w:r>
      <w:r>
        <w:rPr>
          <w:spacing w:val="-8"/>
        </w:rPr>
        <w:t xml:space="preserve"> </w:t>
      </w:r>
      <w:r>
        <w:t>estar</w:t>
      </w:r>
      <w:r>
        <w:rPr>
          <w:spacing w:val="-5"/>
        </w:rPr>
        <w:t xml:space="preserve"> </w:t>
      </w:r>
      <w:r>
        <w:t>geral</w:t>
      </w:r>
      <w:r>
        <w:rPr>
          <w:spacing w:val="-8"/>
        </w:rPr>
        <w:t xml:space="preserve"> </w:t>
      </w:r>
      <w:r>
        <w:t>dos</w:t>
      </w:r>
      <w:r>
        <w:rPr>
          <w:spacing w:val="-7"/>
        </w:rPr>
        <w:t xml:space="preserve"> </w:t>
      </w:r>
      <w:r>
        <w:t>pa</w:t>
      </w:r>
      <w:r>
        <w:t>cientes</w:t>
      </w:r>
      <w:r>
        <w:rPr>
          <w:spacing w:val="-7"/>
        </w:rPr>
        <w:t xml:space="preserve"> </w:t>
      </w:r>
      <w:r>
        <w:t>(p=</w:t>
      </w:r>
      <w:r>
        <w:rPr>
          <w:spacing w:val="-9"/>
        </w:rPr>
        <w:t xml:space="preserve"> </w:t>
      </w:r>
      <w:r>
        <w:t>0,04),</w:t>
      </w:r>
      <w:r>
        <w:rPr>
          <w:spacing w:val="-7"/>
        </w:rPr>
        <w:t xml:space="preserve"> </w:t>
      </w:r>
      <w:r>
        <w:t>houve</w:t>
      </w:r>
      <w:r>
        <w:rPr>
          <w:spacing w:val="-10"/>
        </w:rPr>
        <w:t xml:space="preserve"> </w:t>
      </w:r>
      <w:r>
        <w:t>mais</w:t>
      </w:r>
      <w:r>
        <w:rPr>
          <w:spacing w:val="-7"/>
        </w:rPr>
        <w:t xml:space="preserve"> </w:t>
      </w:r>
      <w:r>
        <w:t>queixas</w:t>
      </w:r>
      <w:r>
        <w:rPr>
          <w:spacing w:val="-7"/>
        </w:rPr>
        <w:t xml:space="preserve"> </w:t>
      </w:r>
      <w:r>
        <w:t>de</w:t>
      </w:r>
      <w:r>
        <w:rPr>
          <w:spacing w:val="-7"/>
        </w:rPr>
        <w:t xml:space="preserve"> </w:t>
      </w:r>
      <w:r>
        <w:t>mialgia.</w:t>
      </w:r>
      <w:r>
        <w:rPr>
          <w:spacing w:val="-8"/>
        </w:rPr>
        <w:t xml:space="preserve"> </w:t>
      </w:r>
      <w:r>
        <w:t>Ao</w:t>
      </w:r>
      <w:r>
        <w:rPr>
          <w:spacing w:val="-6"/>
        </w:rPr>
        <w:t xml:space="preserve"> </w:t>
      </w:r>
      <w:r>
        <w:t>mesmo tempo, a dose mais baixa com níveis normais baixos de IGF-1 causou mais fadiga, na comparação. A segurança da dose mais alta não é garantida, com diferença nos gêneros e aparecimento de mialgias.</w:t>
      </w:r>
      <w:r>
        <w:rPr>
          <w:spacing w:val="-1"/>
        </w:rPr>
        <w:t xml:space="preserve"> </w:t>
      </w:r>
      <w:r>
        <w:t>(38)</w:t>
      </w:r>
    </w:p>
    <w:p w:rsidR="005C592B" w:rsidRDefault="005D0206">
      <w:pPr>
        <w:pStyle w:val="Corpodetexto"/>
        <w:spacing w:line="360" w:lineRule="auto"/>
        <w:ind w:right="854" w:firstLine="566"/>
      </w:pPr>
      <w:r>
        <w:t>Não parece haver maior incidência de neoplasias em pacientes em uso de GH. Pelo contrário,</w:t>
      </w:r>
      <w:r>
        <w:rPr>
          <w:spacing w:val="-4"/>
        </w:rPr>
        <w:t xml:space="preserve"> </w:t>
      </w:r>
      <w:r>
        <w:t>meta-análise</w:t>
      </w:r>
      <w:r>
        <w:rPr>
          <w:spacing w:val="-3"/>
        </w:rPr>
        <w:t xml:space="preserve"> </w:t>
      </w:r>
      <w:r>
        <w:t>de</w:t>
      </w:r>
      <w:r>
        <w:rPr>
          <w:spacing w:val="-5"/>
        </w:rPr>
        <w:t xml:space="preserve"> </w:t>
      </w:r>
      <w:r>
        <w:t>2016</w:t>
      </w:r>
      <w:r>
        <w:rPr>
          <w:spacing w:val="-3"/>
        </w:rPr>
        <w:t xml:space="preserve"> </w:t>
      </w:r>
      <w:r>
        <w:t>mostra</w:t>
      </w:r>
      <w:r>
        <w:rPr>
          <w:spacing w:val="-4"/>
        </w:rPr>
        <w:t xml:space="preserve"> </w:t>
      </w:r>
      <w:r>
        <w:t>que</w:t>
      </w:r>
      <w:r>
        <w:rPr>
          <w:spacing w:val="-4"/>
        </w:rPr>
        <w:t xml:space="preserve"> </w:t>
      </w:r>
      <w:r>
        <w:t>a</w:t>
      </w:r>
      <w:r>
        <w:rPr>
          <w:spacing w:val="-4"/>
        </w:rPr>
        <w:t xml:space="preserve"> </w:t>
      </w:r>
      <w:r>
        <w:t>terapia</w:t>
      </w:r>
      <w:r>
        <w:rPr>
          <w:spacing w:val="-3"/>
        </w:rPr>
        <w:t xml:space="preserve"> </w:t>
      </w:r>
      <w:r>
        <w:t>com</w:t>
      </w:r>
      <w:r>
        <w:rPr>
          <w:spacing w:val="-3"/>
        </w:rPr>
        <w:t xml:space="preserve"> </w:t>
      </w:r>
      <w:r>
        <w:t>GH</w:t>
      </w:r>
      <w:r>
        <w:rPr>
          <w:spacing w:val="-3"/>
        </w:rPr>
        <w:t xml:space="preserve"> </w:t>
      </w:r>
      <w:r>
        <w:t>está</w:t>
      </w:r>
      <w:r>
        <w:rPr>
          <w:spacing w:val="-3"/>
        </w:rPr>
        <w:t xml:space="preserve"> </w:t>
      </w:r>
      <w:r>
        <w:t>associada</w:t>
      </w:r>
      <w:r>
        <w:rPr>
          <w:spacing w:val="-3"/>
        </w:rPr>
        <w:t xml:space="preserve"> </w:t>
      </w:r>
      <w:r>
        <w:t>a</w:t>
      </w:r>
      <w:r>
        <w:rPr>
          <w:spacing w:val="-4"/>
        </w:rPr>
        <w:t xml:space="preserve"> </w:t>
      </w:r>
      <w:r>
        <w:t>risco</w:t>
      </w:r>
      <w:r>
        <w:rPr>
          <w:spacing w:val="-4"/>
        </w:rPr>
        <w:t xml:space="preserve"> </w:t>
      </w:r>
      <w:r>
        <w:t>diminuído de câncer em pacientes adultos com DGH. (39) Alguns pacientes com diabetes mel</w:t>
      </w:r>
      <w:r>
        <w:t>ito podem precisar de ajustes no tratamento (40). A mortalidade também não parece ser afetada pelo tratamento</w:t>
      </w:r>
      <w:r>
        <w:rPr>
          <w:spacing w:val="-1"/>
        </w:rPr>
        <w:t xml:space="preserve"> </w:t>
      </w:r>
      <w:r>
        <w:t>(34).</w:t>
      </w:r>
    </w:p>
    <w:p w:rsidR="005C592B" w:rsidRDefault="005C592B">
      <w:pPr>
        <w:pStyle w:val="Corpodetexto"/>
        <w:spacing w:before="6"/>
        <w:ind w:left="0"/>
        <w:jc w:val="left"/>
        <w:rPr>
          <w:sz w:val="36"/>
        </w:rPr>
      </w:pPr>
    </w:p>
    <w:p w:rsidR="005C592B" w:rsidRDefault="005D0206">
      <w:pPr>
        <w:pStyle w:val="Ttulo1"/>
        <w:numPr>
          <w:ilvl w:val="1"/>
          <w:numId w:val="8"/>
        </w:numPr>
        <w:tabs>
          <w:tab w:val="left" w:pos="1127"/>
        </w:tabs>
        <w:ind w:firstLine="0"/>
      </w:pPr>
      <w:r>
        <w:t>FÁRMACO</w:t>
      </w:r>
    </w:p>
    <w:p w:rsidR="005C592B" w:rsidRDefault="005D0206">
      <w:pPr>
        <w:pStyle w:val="Corpodetexto"/>
        <w:spacing w:before="134"/>
        <w:ind w:left="766"/>
        <w:jc w:val="left"/>
      </w:pPr>
      <w:r>
        <w:t>Somatropina injetável: 4 UI, 12UI, 15UI, 16UI, 18UI, 24UI e 30UI.</w:t>
      </w:r>
    </w:p>
    <w:p w:rsidR="005C592B" w:rsidRDefault="005D0206">
      <w:pPr>
        <w:pStyle w:val="Corpodetexto"/>
        <w:spacing w:before="137" w:line="360" w:lineRule="auto"/>
        <w:ind w:right="856" w:firstLine="566"/>
      </w:pPr>
      <w:r>
        <w:t>Na fórmula de conversão, 1 mg equivale a 3 UI. Há apresentações comerciais com volumes</w:t>
      </w:r>
      <w:r>
        <w:rPr>
          <w:spacing w:val="-7"/>
        </w:rPr>
        <w:t xml:space="preserve"> </w:t>
      </w:r>
      <w:r>
        <w:t>de</w:t>
      </w:r>
      <w:r>
        <w:rPr>
          <w:spacing w:val="-9"/>
        </w:rPr>
        <w:t xml:space="preserve"> </w:t>
      </w:r>
      <w:r>
        <w:t>diluente</w:t>
      </w:r>
      <w:r>
        <w:rPr>
          <w:spacing w:val="-7"/>
        </w:rPr>
        <w:t xml:space="preserve"> </w:t>
      </w:r>
      <w:r>
        <w:t>diferentes</w:t>
      </w:r>
      <w:r>
        <w:rPr>
          <w:spacing w:val="-7"/>
        </w:rPr>
        <w:t xml:space="preserve"> </w:t>
      </w:r>
      <w:r>
        <w:t>para</w:t>
      </w:r>
      <w:r>
        <w:rPr>
          <w:spacing w:val="-6"/>
        </w:rPr>
        <w:t xml:space="preserve"> </w:t>
      </w:r>
      <w:r>
        <w:t>a</w:t>
      </w:r>
      <w:r>
        <w:rPr>
          <w:spacing w:val="-9"/>
        </w:rPr>
        <w:t xml:space="preserve"> </w:t>
      </w:r>
      <w:r>
        <w:t>mesma</w:t>
      </w:r>
      <w:r>
        <w:rPr>
          <w:spacing w:val="-8"/>
        </w:rPr>
        <w:t xml:space="preserve"> </w:t>
      </w:r>
      <w:r>
        <w:t>dose</w:t>
      </w:r>
      <w:r>
        <w:rPr>
          <w:spacing w:val="-6"/>
        </w:rPr>
        <w:t xml:space="preserve"> </w:t>
      </w:r>
      <w:r>
        <w:t>de</w:t>
      </w:r>
      <w:r>
        <w:rPr>
          <w:spacing w:val="-9"/>
        </w:rPr>
        <w:t xml:space="preserve"> </w:t>
      </w:r>
      <w:r>
        <w:t>hormônio,</w:t>
      </w:r>
      <w:r>
        <w:rPr>
          <w:spacing w:val="-7"/>
        </w:rPr>
        <w:t xml:space="preserve"> </w:t>
      </w:r>
      <w:r>
        <w:t>o</w:t>
      </w:r>
      <w:r>
        <w:rPr>
          <w:spacing w:val="-8"/>
        </w:rPr>
        <w:t xml:space="preserve"> </w:t>
      </w:r>
      <w:r>
        <w:t>que</w:t>
      </w:r>
      <w:r>
        <w:rPr>
          <w:spacing w:val="-8"/>
        </w:rPr>
        <w:t xml:space="preserve"> </w:t>
      </w:r>
      <w:r>
        <w:t>deverá</w:t>
      </w:r>
      <w:r>
        <w:rPr>
          <w:spacing w:val="-8"/>
        </w:rPr>
        <w:t xml:space="preserve"> </w:t>
      </w:r>
      <w:r>
        <w:t>ser</w:t>
      </w:r>
      <w:r>
        <w:rPr>
          <w:spacing w:val="-6"/>
        </w:rPr>
        <w:t xml:space="preserve"> </w:t>
      </w:r>
      <w:r>
        <w:t>observado</w:t>
      </w:r>
      <w:r>
        <w:rPr>
          <w:spacing w:val="-7"/>
        </w:rPr>
        <w:t xml:space="preserve"> </w:t>
      </w:r>
      <w:r>
        <w:t>na prescrição e orientação ao</w:t>
      </w:r>
      <w:r>
        <w:rPr>
          <w:spacing w:val="-1"/>
        </w:rPr>
        <w:t xml:space="preserve"> </w:t>
      </w:r>
      <w:r>
        <w:t>paciente.</w:t>
      </w:r>
    </w:p>
    <w:p w:rsidR="005C592B" w:rsidRDefault="005C592B">
      <w:pPr>
        <w:spacing w:line="360" w:lineRule="auto"/>
        <w:sectPr w:rsidR="005C592B">
          <w:pgSz w:w="11900" w:h="16850"/>
          <w:pgMar w:top="1360" w:right="580" w:bottom="280" w:left="1240" w:header="720" w:footer="720" w:gutter="0"/>
          <w:cols w:space="720"/>
        </w:sectPr>
      </w:pPr>
    </w:p>
    <w:p w:rsidR="005C592B" w:rsidRDefault="005C592B">
      <w:pPr>
        <w:pStyle w:val="Corpodetexto"/>
        <w:ind w:left="0"/>
        <w:jc w:val="left"/>
        <w:rPr>
          <w:sz w:val="14"/>
        </w:rPr>
      </w:pPr>
    </w:p>
    <w:p w:rsidR="005C592B" w:rsidRDefault="005D0206">
      <w:pPr>
        <w:pStyle w:val="Ttulo1"/>
        <w:numPr>
          <w:ilvl w:val="1"/>
          <w:numId w:val="8"/>
        </w:numPr>
        <w:tabs>
          <w:tab w:val="left" w:pos="1127"/>
        </w:tabs>
        <w:spacing w:before="90" w:line="360" w:lineRule="auto"/>
        <w:ind w:right="5046" w:firstLine="0"/>
      </w:pPr>
      <w:r>
        <w:t>ESQUEMAS DE</w:t>
      </w:r>
      <w:r>
        <w:rPr>
          <w:spacing w:val="-8"/>
        </w:rPr>
        <w:t xml:space="preserve"> </w:t>
      </w:r>
      <w:r>
        <w:t>ADMINISTRAÇÃO Crianças e</w:t>
      </w:r>
      <w:r>
        <w:rPr>
          <w:spacing w:val="-2"/>
        </w:rPr>
        <w:t xml:space="preserve"> </w:t>
      </w:r>
      <w:r>
        <w:t>adolescentes</w:t>
      </w:r>
    </w:p>
    <w:p w:rsidR="005C592B" w:rsidRDefault="005D0206">
      <w:pPr>
        <w:pStyle w:val="Corpodetexto"/>
        <w:spacing w:line="360" w:lineRule="auto"/>
        <w:ind w:right="855" w:firstLine="566"/>
      </w:pPr>
      <w:r>
        <w:t>Somatropina: 0,025-0,035 mg/kg/dia ou 0,075-0,10 UI/kg/dia, administrada por via subcutânea, à noite, 6-7 vezes/semana, ajustada conforme peso corporal, velocidade de crescimento e níveis de IGF-1 (12).</w:t>
      </w:r>
    </w:p>
    <w:p w:rsidR="005C592B" w:rsidRDefault="005C592B">
      <w:pPr>
        <w:pStyle w:val="Corpodetexto"/>
        <w:ind w:left="0"/>
        <w:jc w:val="left"/>
        <w:rPr>
          <w:sz w:val="36"/>
        </w:rPr>
      </w:pPr>
    </w:p>
    <w:p w:rsidR="005C592B" w:rsidRDefault="005D0206">
      <w:pPr>
        <w:pStyle w:val="Ttulo1"/>
      </w:pPr>
      <w:r>
        <w:t>Adultos</w:t>
      </w:r>
    </w:p>
    <w:p w:rsidR="005C592B" w:rsidRDefault="005D0206">
      <w:pPr>
        <w:pStyle w:val="Corpodetexto"/>
        <w:spacing w:before="135" w:line="360" w:lineRule="auto"/>
        <w:ind w:right="858" w:firstLine="566"/>
      </w:pPr>
      <w:r>
        <w:t>Somatr</w:t>
      </w:r>
      <w:r>
        <w:t>opina: 0,15-0,3 mg/dia ou 0,5-1,0 UI/dia (independentemente do peso corporal), ajustada com dosagem de IGF-1 (7, 41, 42).</w:t>
      </w:r>
    </w:p>
    <w:p w:rsidR="005C592B" w:rsidRDefault="005C592B">
      <w:pPr>
        <w:pStyle w:val="Corpodetexto"/>
        <w:spacing w:before="4"/>
        <w:ind w:left="0"/>
        <w:jc w:val="left"/>
        <w:rPr>
          <w:sz w:val="36"/>
        </w:rPr>
      </w:pPr>
    </w:p>
    <w:p w:rsidR="005C592B" w:rsidRDefault="005D0206">
      <w:pPr>
        <w:pStyle w:val="Ttulo1"/>
        <w:numPr>
          <w:ilvl w:val="1"/>
          <w:numId w:val="8"/>
        </w:numPr>
        <w:tabs>
          <w:tab w:val="left" w:pos="1127"/>
        </w:tabs>
        <w:ind w:firstLine="0"/>
      </w:pPr>
      <w:r>
        <w:t>TEMPO DE TRATAMENTO – CRITÉRIOS DE</w:t>
      </w:r>
      <w:r>
        <w:rPr>
          <w:spacing w:val="1"/>
        </w:rPr>
        <w:t xml:space="preserve"> </w:t>
      </w:r>
      <w:r>
        <w:t>INTERRUPÇÃO</w:t>
      </w:r>
    </w:p>
    <w:p w:rsidR="005C592B" w:rsidRDefault="005D0206">
      <w:pPr>
        <w:pStyle w:val="Corpodetexto"/>
        <w:spacing w:before="135"/>
        <w:ind w:left="766"/>
        <w:jc w:val="left"/>
      </w:pPr>
      <w:r>
        <w:t>O tratamento com somatropina deverá ser interrompido nas seguintes situações:</w:t>
      </w:r>
    </w:p>
    <w:p w:rsidR="005C592B" w:rsidRDefault="005D0206">
      <w:pPr>
        <w:pStyle w:val="PargrafodaLista"/>
        <w:numPr>
          <w:ilvl w:val="1"/>
          <w:numId w:val="15"/>
        </w:numPr>
        <w:tabs>
          <w:tab w:val="left" w:pos="904"/>
        </w:tabs>
        <w:spacing w:before="136" w:line="360" w:lineRule="auto"/>
        <w:ind w:right="853" w:firstLine="566"/>
        <w:rPr>
          <w:sz w:val="24"/>
        </w:rPr>
      </w:pPr>
      <w:r>
        <w:rPr>
          <w:sz w:val="24"/>
        </w:rPr>
        <w:t>crianças</w:t>
      </w:r>
      <w:r>
        <w:rPr>
          <w:sz w:val="24"/>
        </w:rPr>
        <w:t xml:space="preserve"> em período de crescimento: quando a velocidade de crescimento for inferior</w:t>
      </w:r>
      <w:r>
        <w:rPr>
          <w:spacing w:val="-25"/>
          <w:sz w:val="24"/>
        </w:rPr>
        <w:t xml:space="preserve"> </w:t>
      </w:r>
      <w:r>
        <w:rPr>
          <w:sz w:val="24"/>
        </w:rPr>
        <w:t>a 2</w:t>
      </w:r>
      <w:r>
        <w:rPr>
          <w:spacing w:val="-4"/>
          <w:sz w:val="24"/>
        </w:rPr>
        <w:t xml:space="preserve"> </w:t>
      </w:r>
      <w:r>
        <w:rPr>
          <w:sz w:val="24"/>
        </w:rPr>
        <w:t>cm</w:t>
      </w:r>
      <w:r>
        <w:rPr>
          <w:spacing w:val="-2"/>
          <w:sz w:val="24"/>
        </w:rPr>
        <w:t xml:space="preserve"> </w:t>
      </w:r>
      <w:r>
        <w:rPr>
          <w:sz w:val="24"/>
        </w:rPr>
        <w:t>por</w:t>
      </w:r>
      <w:r>
        <w:rPr>
          <w:spacing w:val="-5"/>
          <w:sz w:val="24"/>
        </w:rPr>
        <w:t xml:space="preserve"> </w:t>
      </w:r>
      <w:r>
        <w:rPr>
          <w:sz w:val="24"/>
        </w:rPr>
        <w:t>ano,</w:t>
      </w:r>
      <w:r>
        <w:rPr>
          <w:spacing w:val="-3"/>
          <w:sz w:val="24"/>
        </w:rPr>
        <w:t xml:space="preserve"> </w:t>
      </w:r>
      <w:r>
        <w:rPr>
          <w:sz w:val="24"/>
        </w:rPr>
        <w:t>e</w:t>
      </w:r>
      <w:r>
        <w:rPr>
          <w:spacing w:val="-4"/>
          <w:sz w:val="24"/>
        </w:rPr>
        <w:t xml:space="preserve"> </w:t>
      </w:r>
      <w:r>
        <w:rPr>
          <w:sz w:val="24"/>
        </w:rPr>
        <w:t>esse</w:t>
      </w:r>
      <w:r>
        <w:rPr>
          <w:spacing w:val="-4"/>
          <w:sz w:val="24"/>
        </w:rPr>
        <w:t xml:space="preserve"> </w:t>
      </w:r>
      <w:r>
        <w:rPr>
          <w:sz w:val="24"/>
        </w:rPr>
        <w:t>achado</w:t>
      </w:r>
      <w:r>
        <w:rPr>
          <w:spacing w:val="-2"/>
          <w:sz w:val="24"/>
        </w:rPr>
        <w:t xml:space="preserve"> </w:t>
      </w:r>
      <w:r>
        <w:rPr>
          <w:sz w:val="24"/>
        </w:rPr>
        <w:t>estiver</w:t>
      </w:r>
      <w:r>
        <w:rPr>
          <w:spacing w:val="-4"/>
          <w:sz w:val="24"/>
        </w:rPr>
        <w:t xml:space="preserve"> </w:t>
      </w:r>
      <w:r>
        <w:rPr>
          <w:sz w:val="24"/>
        </w:rPr>
        <w:t>associado</w:t>
      </w:r>
      <w:r>
        <w:rPr>
          <w:spacing w:val="-2"/>
          <w:sz w:val="24"/>
        </w:rPr>
        <w:t xml:space="preserve"> </w:t>
      </w:r>
      <w:r>
        <w:rPr>
          <w:sz w:val="24"/>
        </w:rPr>
        <w:t>à</w:t>
      </w:r>
      <w:r>
        <w:rPr>
          <w:spacing w:val="-4"/>
          <w:sz w:val="24"/>
        </w:rPr>
        <w:t xml:space="preserve"> </w:t>
      </w:r>
      <w:r>
        <w:rPr>
          <w:sz w:val="24"/>
        </w:rPr>
        <w:t>idade</w:t>
      </w:r>
      <w:r>
        <w:rPr>
          <w:spacing w:val="-5"/>
          <w:sz w:val="24"/>
        </w:rPr>
        <w:t xml:space="preserve"> </w:t>
      </w:r>
      <w:r>
        <w:rPr>
          <w:sz w:val="24"/>
        </w:rPr>
        <w:t>óssea</w:t>
      </w:r>
      <w:r>
        <w:rPr>
          <w:spacing w:val="-4"/>
          <w:sz w:val="24"/>
        </w:rPr>
        <w:t xml:space="preserve"> </w:t>
      </w:r>
      <w:r>
        <w:rPr>
          <w:sz w:val="24"/>
        </w:rPr>
        <w:t>de</w:t>
      </w:r>
      <w:r>
        <w:rPr>
          <w:spacing w:val="-3"/>
          <w:sz w:val="24"/>
        </w:rPr>
        <w:t xml:space="preserve"> </w:t>
      </w:r>
      <w:r>
        <w:rPr>
          <w:sz w:val="24"/>
        </w:rPr>
        <w:t>14-15</w:t>
      </w:r>
      <w:r>
        <w:rPr>
          <w:spacing w:val="-4"/>
          <w:sz w:val="24"/>
        </w:rPr>
        <w:t xml:space="preserve"> </w:t>
      </w:r>
      <w:r>
        <w:rPr>
          <w:sz w:val="24"/>
        </w:rPr>
        <w:t>anos</w:t>
      </w:r>
      <w:r>
        <w:rPr>
          <w:spacing w:val="-3"/>
          <w:sz w:val="24"/>
        </w:rPr>
        <w:t xml:space="preserve"> </w:t>
      </w:r>
      <w:r>
        <w:rPr>
          <w:sz w:val="24"/>
        </w:rPr>
        <w:t>em</w:t>
      </w:r>
      <w:r>
        <w:rPr>
          <w:spacing w:val="-3"/>
          <w:sz w:val="24"/>
        </w:rPr>
        <w:t xml:space="preserve"> </w:t>
      </w:r>
      <w:r>
        <w:rPr>
          <w:sz w:val="24"/>
        </w:rPr>
        <w:t>meninas</w:t>
      </w:r>
      <w:r>
        <w:rPr>
          <w:spacing w:val="-2"/>
          <w:sz w:val="24"/>
        </w:rPr>
        <w:t xml:space="preserve"> </w:t>
      </w:r>
      <w:r>
        <w:rPr>
          <w:sz w:val="24"/>
        </w:rPr>
        <w:t>e</w:t>
      </w:r>
      <w:r>
        <w:rPr>
          <w:spacing w:val="-4"/>
          <w:sz w:val="24"/>
        </w:rPr>
        <w:t xml:space="preserve"> </w:t>
      </w:r>
      <w:r>
        <w:rPr>
          <w:sz w:val="24"/>
        </w:rPr>
        <w:t>de</w:t>
      </w:r>
      <w:r>
        <w:rPr>
          <w:spacing w:val="-5"/>
          <w:sz w:val="24"/>
        </w:rPr>
        <w:t xml:space="preserve"> </w:t>
      </w:r>
      <w:r>
        <w:rPr>
          <w:sz w:val="24"/>
        </w:rPr>
        <w:t>16 anos em meninos</w:t>
      </w:r>
      <w:r>
        <w:rPr>
          <w:spacing w:val="-1"/>
          <w:sz w:val="24"/>
        </w:rPr>
        <w:t xml:space="preserve"> </w:t>
      </w:r>
      <w:r>
        <w:rPr>
          <w:sz w:val="24"/>
        </w:rPr>
        <w:t>(43);</w:t>
      </w:r>
    </w:p>
    <w:p w:rsidR="005C592B" w:rsidRDefault="005D0206">
      <w:pPr>
        <w:pStyle w:val="PargrafodaLista"/>
        <w:numPr>
          <w:ilvl w:val="1"/>
          <w:numId w:val="15"/>
        </w:numPr>
        <w:tabs>
          <w:tab w:val="left" w:pos="902"/>
        </w:tabs>
        <w:spacing w:before="2" w:line="360" w:lineRule="auto"/>
        <w:ind w:right="856" w:firstLine="566"/>
        <w:rPr>
          <w:sz w:val="24"/>
        </w:rPr>
      </w:pPr>
      <w:r>
        <w:rPr>
          <w:sz w:val="24"/>
        </w:rPr>
        <w:t>não</w:t>
      </w:r>
      <w:r>
        <w:rPr>
          <w:spacing w:val="-4"/>
          <w:sz w:val="24"/>
        </w:rPr>
        <w:t xml:space="preserve"> </w:t>
      </w:r>
      <w:r>
        <w:rPr>
          <w:sz w:val="24"/>
        </w:rPr>
        <w:t>comparecimento</w:t>
      </w:r>
      <w:r>
        <w:rPr>
          <w:spacing w:val="-1"/>
          <w:sz w:val="24"/>
        </w:rPr>
        <w:t xml:space="preserve"> </w:t>
      </w:r>
      <w:r>
        <w:rPr>
          <w:sz w:val="24"/>
        </w:rPr>
        <w:t>a</w:t>
      </w:r>
      <w:r>
        <w:rPr>
          <w:spacing w:val="-4"/>
          <w:sz w:val="24"/>
        </w:rPr>
        <w:t xml:space="preserve"> </w:t>
      </w:r>
      <w:r>
        <w:rPr>
          <w:sz w:val="24"/>
        </w:rPr>
        <w:t>duas</w:t>
      </w:r>
      <w:r>
        <w:rPr>
          <w:spacing w:val="-6"/>
          <w:sz w:val="24"/>
        </w:rPr>
        <w:t xml:space="preserve"> </w:t>
      </w:r>
      <w:r>
        <w:rPr>
          <w:sz w:val="24"/>
        </w:rPr>
        <w:t>consultas</w:t>
      </w:r>
      <w:r>
        <w:rPr>
          <w:spacing w:val="-5"/>
          <w:sz w:val="24"/>
        </w:rPr>
        <w:t xml:space="preserve"> </w:t>
      </w:r>
      <w:r>
        <w:rPr>
          <w:sz w:val="24"/>
        </w:rPr>
        <w:t>subsequentes</w:t>
      </w:r>
      <w:r>
        <w:rPr>
          <w:spacing w:val="-5"/>
          <w:sz w:val="24"/>
        </w:rPr>
        <w:t xml:space="preserve"> </w:t>
      </w:r>
      <w:r>
        <w:rPr>
          <w:sz w:val="24"/>
        </w:rPr>
        <w:t>dentro</w:t>
      </w:r>
      <w:r>
        <w:rPr>
          <w:spacing w:val="-5"/>
          <w:sz w:val="24"/>
        </w:rPr>
        <w:t xml:space="preserve"> </w:t>
      </w:r>
      <w:r>
        <w:rPr>
          <w:sz w:val="24"/>
        </w:rPr>
        <w:t>de</w:t>
      </w:r>
      <w:r>
        <w:rPr>
          <w:spacing w:val="-7"/>
          <w:sz w:val="24"/>
        </w:rPr>
        <w:t xml:space="preserve"> </w:t>
      </w:r>
      <w:r>
        <w:rPr>
          <w:sz w:val="24"/>
        </w:rPr>
        <w:t>um</w:t>
      </w:r>
      <w:r>
        <w:rPr>
          <w:spacing w:val="-5"/>
          <w:sz w:val="24"/>
        </w:rPr>
        <w:t xml:space="preserve"> </w:t>
      </w:r>
      <w:r>
        <w:rPr>
          <w:sz w:val="24"/>
        </w:rPr>
        <w:t>intervalo</w:t>
      </w:r>
      <w:r>
        <w:rPr>
          <w:spacing w:val="-4"/>
          <w:sz w:val="24"/>
        </w:rPr>
        <w:t xml:space="preserve"> </w:t>
      </w:r>
      <w:r>
        <w:rPr>
          <w:sz w:val="24"/>
        </w:rPr>
        <w:t>de</w:t>
      </w:r>
      <w:r>
        <w:rPr>
          <w:spacing w:val="-6"/>
          <w:sz w:val="24"/>
        </w:rPr>
        <w:t xml:space="preserve"> </w:t>
      </w:r>
      <w:r>
        <w:rPr>
          <w:sz w:val="24"/>
        </w:rPr>
        <w:t>3</w:t>
      </w:r>
      <w:r>
        <w:rPr>
          <w:spacing w:val="-6"/>
          <w:sz w:val="24"/>
        </w:rPr>
        <w:t xml:space="preserve"> </w:t>
      </w:r>
      <w:r>
        <w:rPr>
          <w:sz w:val="24"/>
        </w:rPr>
        <w:t>meses, sem justificativa</w:t>
      </w:r>
      <w:r>
        <w:rPr>
          <w:spacing w:val="-2"/>
          <w:sz w:val="24"/>
        </w:rPr>
        <w:t xml:space="preserve"> </w:t>
      </w:r>
      <w:r>
        <w:rPr>
          <w:sz w:val="24"/>
        </w:rPr>
        <w:t>adequada;</w:t>
      </w:r>
    </w:p>
    <w:p w:rsidR="005C592B" w:rsidRDefault="005D0206">
      <w:pPr>
        <w:pStyle w:val="PargrafodaLista"/>
        <w:numPr>
          <w:ilvl w:val="1"/>
          <w:numId w:val="15"/>
        </w:numPr>
        <w:tabs>
          <w:tab w:val="left" w:pos="964"/>
        </w:tabs>
        <w:spacing w:line="360" w:lineRule="auto"/>
        <w:ind w:right="852" w:firstLine="566"/>
        <w:rPr>
          <w:sz w:val="24"/>
        </w:rPr>
      </w:pPr>
      <w:r>
        <w:rPr>
          <w:sz w:val="24"/>
        </w:rPr>
        <w:t>em caso de intercorrência, como processo infeccioso grave ou traumatismo com necessidade de internação, o tratamento deverá ser interrompido durante 1 a 2 meses ou até que o paciente se</w:t>
      </w:r>
      <w:r>
        <w:rPr>
          <w:spacing w:val="-4"/>
          <w:sz w:val="24"/>
        </w:rPr>
        <w:t xml:space="preserve"> </w:t>
      </w:r>
      <w:r>
        <w:rPr>
          <w:sz w:val="24"/>
        </w:rPr>
        <w:t>recupere;</w:t>
      </w:r>
    </w:p>
    <w:p w:rsidR="005C592B" w:rsidRDefault="005D0206">
      <w:pPr>
        <w:pStyle w:val="PargrafodaLista"/>
        <w:numPr>
          <w:ilvl w:val="1"/>
          <w:numId w:val="15"/>
        </w:numPr>
        <w:tabs>
          <w:tab w:val="left" w:pos="914"/>
        </w:tabs>
        <w:spacing w:line="360" w:lineRule="auto"/>
        <w:ind w:right="857" w:firstLine="566"/>
        <w:rPr>
          <w:sz w:val="24"/>
        </w:rPr>
      </w:pPr>
      <w:r>
        <w:rPr>
          <w:sz w:val="24"/>
        </w:rPr>
        <w:t>em caso de</w:t>
      </w:r>
      <w:r>
        <w:rPr>
          <w:sz w:val="24"/>
        </w:rPr>
        <w:t xml:space="preserve"> câncer surgido ou recidivado durante o tratamento, interromper e somente reiniciar após 2 anos livre da doença, conforme liberação feita pelo</w:t>
      </w:r>
      <w:r>
        <w:rPr>
          <w:spacing w:val="-5"/>
          <w:sz w:val="24"/>
        </w:rPr>
        <w:t xml:space="preserve"> </w:t>
      </w:r>
      <w:r>
        <w:rPr>
          <w:sz w:val="24"/>
        </w:rPr>
        <w:t>oncologista.</w:t>
      </w:r>
    </w:p>
    <w:p w:rsidR="005C592B" w:rsidRDefault="005D0206">
      <w:pPr>
        <w:pStyle w:val="PargrafodaLista"/>
        <w:numPr>
          <w:ilvl w:val="1"/>
          <w:numId w:val="15"/>
        </w:numPr>
        <w:tabs>
          <w:tab w:val="left" w:pos="904"/>
        </w:tabs>
        <w:spacing w:line="360" w:lineRule="auto"/>
        <w:ind w:right="854" w:firstLine="566"/>
        <w:rPr>
          <w:sz w:val="24"/>
        </w:rPr>
      </w:pPr>
      <w:r>
        <w:rPr>
          <w:sz w:val="24"/>
        </w:rPr>
        <w:t>idade</w:t>
      </w:r>
      <w:r>
        <w:rPr>
          <w:spacing w:val="-5"/>
          <w:sz w:val="24"/>
        </w:rPr>
        <w:t xml:space="preserve"> </w:t>
      </w:r>
      <w:r>
        <w:rPr>
          <w:sz w:val="24"/>
        </w:rPr>
        <w:t>avançada</w:t>
      </w:r>
      <w:r>
        <w:rPr>
          <w:spacing w:val="-4"/>
          <w:sz w:val="24"/>
        </w:rPr>
        <w:t xml:space="preserve"> </w:t>
      </w:r>
      <w:r>
        <w:rPr>
          <w:sz w:val="24"/>
        </w:rPr>
        <w:t>deve</w:t>
      </w:r>
      <w:r>
        <w:rPr>
          <w:spacing w:val="-5"/>
          <w:sz w:val="24"/>
        </w:rPr>
        <w:t xml:space="preserve"> </w:t>
      </w:r>
      <w:r>
        <w:rPr>
          <w:sz w:val="24"/>
        </w:rPr>
        <w:t>ser</w:t>
      </w:r>
      <w:r>
        <w:rPr>
          <w:spacing w:val="-3"/>
          <w:sz w:val="24"/>
        </w:rPr>
        <w:t xml:space="preserve"> </w:t>
      </w:r>
      <w:r>
        <w:rPr>
          <w:sz w:val="24"/>
        </w:rPr>
        <w:t>levada</w:t>
      </w:r>
      <w:r>
        <w:rPr>
          <w:spacing w:val="-4"/>
          <w:sz w:val="24"/>
        </w:rPr>
        <w:t xml:space="preserve"> </w:t>
      </w:r>
      <w:r>
        <w:rPr>
          <w:sz w:val="24"/>
        </w:rPr>
        <w:t>em</w:t>
      </w:r>
      <w:r>
        <w:rPr>
          <w:spacing w:val="-4"/>
          <w:sz w:val="24"/>
        </w:rPr>
        <w:t xml:space="preserve"> </w:t>
      </w:r>
      <w:r>
        <w:rPr>
          <w:sz w:val="24"/>
        </w:rPr>
        <w:t>conta</w:t>
      </w:r>
      <w:r>
        <w:rPr>
          <w:spacing w:val="-4"/>
          <w:sz w:val="24"/>
        </w:rPr>
        <w:t xml:space="preserve"> </w:t>
      </w:r>
      <w:r>
        <w:rPr>
          <w:sz w:val="24"/>
        </w:rPr>
        <w:t>para</w:t>
      </w:r>
      <w:r>
        <w:rPr>
          <w:spacing w:val="-4"/>
          <w:sz w:val="24"/>
        </w:rPr>
        <w:t xml:space="preserve"> </w:t>
      </w:r>
      <w:r>
        <w:rPr>
          <w:sz w:val="24"/>
        </w:rPr>
        <w:t>a</w:t>
      </w:r>
      <w:r>
        <w:rPr>
          <w:spacing w:val="-5"/>
          <w:sz w:val="24"/>
        </w:rPr>
        <w:t xml:space="preserve"> </w:t>
      </w:r>
      <w:r>
        <w:rPr>
          <w:sz w:val="24"/>
        </w:rPr>
        <w:t>suspensão</w:t>
      </w:r>
      <w:r>
        <w:rPr>
          <w:spacing w:val="-4"/>
          <w:sz w:val="24"/>
        </w:rPr>
        <w:t xml:space="preserve"> </w:t>
      </w:r>
      <w:r>
        <w:rPr>
          <w:sz w:val="24"/>
        </w:rPr>
        <w:t>do</w:t>
      </w:r>
      <w:r>
        <w:rPr>
          <w:spacing w:val="-4"/>
          <w:sz w:val="24"/>
        </w:rPr>
        <w:t xml:space="preserve"> </w:t>
      </w:r>
      <w:r>
        <w:rPr>
          <w:sz w:val="24"/>
        </w:rPr>
        <w:t>tratamento,</w:t>
      </w:r>
      <w:r>
        <w:rPr>
          <w:spacing w:val="-3"/>
          <w:sz w:val="24"/>
        </w:rPr>
        <w:t xml:space="preserve"> </w:t>
      </w:r>
      <w:r>
        <w:rPr>
          <w:sz w:val="24"/>
        </w:rPr>
        <w:t>já</w:t>
      </w:r>
      <w:r>
        <w:rPr>
          <w:spacing w:val="-5"/>
          <w:sz w:val="24"/>
        </w:rPr>
        <w:t xml:space="preserve"> </w:t>
      </w:r>
      <w:r>
        <w:rPr>
          <w:sz w:val="24"/>
        </w:rPr>
        <w:t>que</w:t>
      </w:r>
      <w:r>
        <w:rPr>
          <w:spacing w:val="-4"/>
          <w:sz w:val="24"/>
        </w:rPr>
        <w:t xml:space="preserve"> </w:t>
      </w:r>
      <w:r>
        <w:rPr>
          <w:sz w:val="24"/>
        </w:rPr>
        <w:t>não</w:t>
      </w:r>
      <w:r>
        <w:rPr>
          <w:spacing w:val="-4"/>
          <w:sz w:val="24"/>
        </w:rPr>
        <w:t xml:space="preserve"> </w:t>
      </w:r>
      <w:r>
        <w:rPr>
          <w:sz w:val="24"/>
        </w:rPr>
        <w:t>se verificou efei</w:t>
      </w:r>
      <w:r>
        <w:rPr>
          <w:sz w:val="24"/>
        </w:rPr>
        <w:t>tos adversos óbvios nos parâmentros metabólicos em um ano, além de aumento da massa gorda e diminuição dos marcadores de turnover ósseo. Os efeitos adversos ocorrem mais</w:t>
      </w:r>
      <w:r>
        <w:rPr>
          <w:spacing w:val="-8"/>
          <w:sz w:val="24"/>
        </w:rPr>
        <w:t xml:space="preserve"> </w:t>
      </w:r>
      <w:r>
        <w:rPr>
          <w:sz w:val="24"/>
        </w:rPr>
        <w:t>nos</w:t>
      </w:r>
      <w:r>
        <w:rPr>
          <w:spacing w:val="-8"/>
          <w:sz w:val="24"/>
        </w:rPr>
        <w:t xml:space="preserve"> </w:t>
      </w:r>
      <w:r>
        <w:rPr>
          <w:sz w:val="24"/>
        </w:rPr>
        <w:t>pacientes</w:t>
      </w:r>
      <w:r>
        <w:rPr>
          <w:spacing w:val="-7"/>
          <w:sz w:val="24"/>
        </w:rPr>
        <w:t xml:space="preserve"> </w:t>
      </w:r>
      <w:r>
        <w:rPr>
          <w:sz w:val="24"/>
        </w:rPr>
        <w:t>com</w:t>
      </w:r>
      <w:r>
        <w:rPr>
          <w:spacing w:val="-2"/>
          <w:sz w:val="24"/>
        </w:rPr>
        <w:t xml:space="preserve"> </w:t>
      </w:r>
      <w:r>
        <w:rPr>
          <w:sz w:val="24"/>
        </w:rPr>
        <w:t>menos</w:t>
      </w:r>
      <w:r>
        <w:rPr>
          <w:spacing w:val="-8"/>
          <w:sz w:val="24"/>
        </w:rPr>
        <w:t xml:space="preserve"> </w:t>
      </w:r>
      <w:r>
        <w:rPr>
          <w:sz w:val="24"/>
        </w:rPr>
        <w:t>de</w:t>
      </w:r>
      <w:r>
        <w:rPr>
          <w:spacing w:val="-10"/>
          <w:sz w:val="24"/>
        </w:rPr>
        <w:t xml:space="preserve"> </w:t>
      </w:r>
      <w:r>
        <w:rPr>
          <w:sz w:val="24"/>
        </w:rPr>
        <w:t>60</w:t>
      </w:r>
      <w:r>
        <w:rPr>
          <w:spacing w:val="-5"/>
          <w:sz w:val="24"/>
        </w:rPr>
        <w:t xml:space="preserve"> </w:t>
      </w:r>
      <w:r>
        <w:rPr>
          <w:sz w:val="24"/>
        </w:rPr>
        <w:t>anos.</w:t>
      </w:r>
      <w:r>
        <w:rPr>
          <w:spacing w:val="-5"/>
          <w:sz w:val="24"/>
        </w:rPr>
        <w:t xml:space="preserve"> </w:t>
      </w:r>
      <w:r>
        <w:rPr>
          <w:sz w:val="24"/>
        </w:rPr>
        <w:t>Nos</w:t>
      </w:r>
      <w:r>
        <w:rPr>
          <w:spacing w:val="-8"/>
          <w:sz w:val="24"/>
        </w:rPr>
        <w:t xml:space="preserve"> </w:t>
      </w:r>
      <w:r>
        <w:rPr>
          <w:sz w:val="24"/>
        </w:rPr>
        <w:t>pacientes</w:t>
      </w:r>
      <w:r>
        <w:rPr>
          <w:spacing w:val="-5"/>
          <w:sz w:val="24"/>
        </w:rPr>
        <w:t xml:space="preserve"> </w:t>
      </w:r>
      <w:r>
        <w:rPr>
          <w:sz w:val="24"/>
        </w:rPr>
        <w:t>com</w:t>
      </w:r>
      <w:r>
        <w:rPr>
          <w:spacing w:val="-8"/>
          <w:sz w:val="24"/>
        </w:rPr>
        <w:t xml:space="preserve"> </w:t>
      </w:r>
      <w:r>
        <w:rPr>
          <w:sz w:val="24"/>
        </w:rPr>
        <w:t>&gt;</w:t>
      </w:r>
      <w:r>
        <w:rPr>
          <w:spacing w:val="-6"/>
          <w:sz w:val="24"/>
        </w:rPr>
        <w:t xml:space="preserve"> </w:t>
      </w:r>
      <w:r>
        <w:rPr>
          <w:sz w:val="24"/>
        </w:rPr>
        <w:t>60</w:t>
      </w:r>
      <w:r>
        <w:rPr>
          <w:spacing w:val="-5"/>
          <w:sz w:val="24"/>
        </w:rPr>
        <w:t xml:space="preserve"> </w:t>
      </w:r>
      <w:r>
        <w:rPr>
          <w:sz w:val="24"/>
        </w:rPr>
        <w:t>anos,</w:t>
      </w:r>
      <w:r>
        <w:rPr>
          <w:spacing w:val="-7"/>
          <w:sz w:val="24"/>
        </w:rPr>
        <w:t xml:space="preserve"> </w:t>
      </w:r>
      <w:r>
        <w:rPr>
          <w:sz w:val="24"/>
        </w:rPr>
        <w:t>os</w:t>
      </w:r>
      <w:r>
        <w:rPr>
          <w:spacing w:val="-7"/>
          <w:sz w:val="24"/>
        </w:rPr>
        <w:t xml:space="preserve"> </w:t>
      </w:r>
      <w:r>
        <w:rPr>
          <w:sz w:val="24"/>
        </w:rPr>
        <w:t>cuidados</w:t>
      </w:r>
      <w:r>
        <w:rPr>
          <w:spacing w:val="-7"/>
          <w:sz w:val="24"/>
        </w:rPr>
        <w:t xml:space="preserve"> </w:t>
      </w:r>
      <w:r>
        <w:rPr>
          <w:sz w:val="24"/>
        </w:rPr>
        <w:t>de</w:t>
      </w:r>
      <w:r>
        <w:rPr>
          <w:spacing w:val="-10"/>
          <w:sz w:val="24"/>
        </w:rPr>
        <w:t xml:space="preserve"> </w:t>
      </w:r>
      <w:r>
        <w:rPr>
          <w:sz w:val="24"/>
        </w:rPr>
        <w:t>rotina cardiovascular em relação à dislipidemia e hipertensão arterial devem ser seguidos conforme diretrizes, após a suspensão do GH. Outro racional para a restrição da terapia com GH nos idosos é o declínio fisiológico da atividade do eixo GH-IGF-1 com a</w:t>
      </w:r>
      <w:r>
        <w:rPr>
          <w:sz w:val="24"/>
        </w:rPr>
        <w:t xml:space="preserve"> idade, melhorando a longevidade.</w:t>
      </w:r>
      <w:r>
        <w:rPr>
          <w:spacing w:val="-1"/>
          <w:sz w:val="24"/>
        </w:rPr>
        <w:t xml:space="preserve"> </w:t>
      </w:r>
      <w:r>
        <w:rPr>
          <w:sz w:val="24"/>
        </w:rPr>
        <w:t>(44)</w:t>
      </w:r>
    </w:p>
    <w:p w:rsidR="005C592B" w:rsidRDefault="005C592B">
      <w:pPr>
        <w:pStyle w:val="Corpodetexto"/>
        <w:spacing w:before="6"/>
        <w:ind w:left="0"/>
        <w:jc w:val="left"/>
        <w:rPr>
          <w:sz w:val="36"/>
        </w:rPr>
      </w:pPr>
    </w:p>
    <w:p w:rsidR="005C592B" w:rsidRDefault="005D0206">
      <w:pPr>
        <w:pStyle w:val="Ttulo1"/>
        <w:numPr>
          <w:ilvl w:val="1"/>
          <w:numId w:val="8"/>
        </w:numPr>
        <w:tabs>
          <w:tab w:val="left" w:pos="1127"/>
        </w:tabs>
        <w:spacing w:before="1"/>
        <w:ind w:firstLine="0"/>
      </w:pPr>
      <w:r>
        <w:t>BENEFÍCIOS</w:t>
      </w:r>
      <w:r>
        <w:rPr>
          <w:spacing w:val="1"/>
        </w:rPr>
        <w:t xml:space="preserve"> </w:t>
      </w:r>
      <w:r>
        <w:t>ESPERADOS</w:t>
      </w:r>
    </w:p>
    <w:p w:rsidR="005C592B" w:rsidRDefault="005D0206">
      <w:pPr>
        <w:pStyle w:val="PargrafodaLista"/>
        <w:numPr>
          <w:ilvl w:val="0"/>
          <w:numId w:val="7"/>
        </w:numPr>
        <w:tabs>
          <w:tab w:val="left" w:pos="981"/>
        </w:tabs>
        <w:spacing w:before="131"/>
        <w:jc w:val="left"/>
        <w:rPr>
          <w:sz w:val="24"/>
        </w:rPr>
      </w:pPr>
      <w:r>
        <w:rPr>
          <w:sz w:val="24"/>
        </w:rPr>
        <w:t>aumento da velocidade de crescimento e da previsão de estatura em</w:t>
      </w:r>
      <w:r>
        <w:rPr>
          <w:spacing w:val="-7"/>
          <w:sz w:val="24"/>
        </w:rPr>
        <w:t xml:space="preserve"> </w:t>
      </w:r>
      <w:r>
        <w:rPr>
          <w:sz w:val="24"/>
        </w:rPr>
        <w:t>crianças;</w:t>
      </w:r>
    </w:p>
    <w:p w:rsidR="005C592B" w:rsidRDefault="005C592B">
      <w:pPr>
        <w:rPr>
          <w:sz w:val="24"/>
        </w:rPr>
        <w:sectPr w:rsidR="005C592B">
          <w:pgSz w:w="11900" w:h="16850"/>
          <w:pgMar w:top="1600" w:right="580" w:bottom="280" w:left="1240" w:header="720" w:footer="720" w:gutter="0"/>
          <w:cols w:space="720"/>
        </w:sectPr>
      </w:pPr>
    </w:p>
    <w:p w:rsidR="005C592B" w:rsidRDefault="005D0206">
      <w:pPr>
        <w:pStyle w:val="PargrafodaLista"/>
        <w:numPr>
          <w:ilvl w:val="0"/>
          <w:numId w:val="7"/>
        </w:numPr>
        <w:tabs>
          <w:tab w:val="left" w:pos="981"/>
        </w:tabs>
        <w:spacing w:before="73"/>
        <w:jc w:val="left"/>
        <w:rPr>
          <w:sz w:val="24"/>
        </w:rPr>
      </w:pPr>
      <w:r>
        <w:rPr>
          <w:sz w:val="24"/>
        </w:rPr>
        <w:lastRenderedPageBreak/>
        <w:t>aumento da densidade mineral óssea e melhora da dislipidemia em</w:t>
      </w:r>
      <w:r>
        <w:rPr>
          <w:spacing w:val="-4"/>
          <w:sz w:val="24"/>
        </w:rPr>
        <w:t xml:space="preserve"> </w:t>
      </w:r>
      <w:r>
        <w:rPr>
          <w:sz w:val="24"/>
        </w:rPr>
        <w:t>adultos;</w:t>
      </w:r>
    </w:p>
    <w:p w:rsidR="005C592B" w:rsidRDefault="005D0206">
      <w:pPr>
        <w:pStyle w:val="PargrafodaLista"/>
        <w:numPr>
          <w:ilvl w:val="0"/>
          <w:numId w:val="7"/>
        </w:numPr>
        <w:tabs>
          <w:tab w:val="left" w:pos="981"/>
          <w:tab w:val="left" w:pos="3164"/>
          <w:tab w:val="left" w:pos="4790"/>
          <w:tab w:val="left" w:pos="7123"/>
          <w:tab w:val="left" w:pos="8748"/>
        </w:tabs>
        <w:spacing w:before="138"/>
        <w:jc w:val="left"/>
        <w:rPr>
          <w:sz w:val="24"/>
        </w:rPr>
      </w:pPr>
      <w:r>
        <w:rPr>
          <w:sz w:val="24"/>
        </w:rPr>
        <w:t>melhora</w:t>
      </w:r>
      <w:r>
        <w:rPr>
          <w:sz w:val="24"/>
        </w:rPr>
        <w:tab/>
        <w:t>da</w:t>
      </w:r>
      <w:r>
        <w:rPr>
          <w:sz w:val="24"/>
        </w:rPr>
        <w:tab/>
        <w:t>qualidade</w:t>
      </w:r>
      <w:r>
        <w:rPr>
          <w:sz w:val="24"/>
        </w:rPr>
        <w:tab/>
        <w:t>de</w:t>
      </w:r>
      <w:r>
        <w:rPr>
          <w:sz w:val="24"/>
        </w:rPr>
        <w:tab/>
        <w:t>vida.</w:t>
      </w:r>
    </w:p>
    <w:p w:rsidR="005C592B" w:rsidRDefault="005C592B">
      <w:pPr>
        <w:pStyle w:val="Corpodetexto"/>
        <w:ind w:left="0"/>
        <w:jc w:val="left"/>
        <w:rPr>
          <w:sz w:val="28"/>
        </w:rPr>
      </w:pPr>
    </w:p>
    <w:p w:rsidR="005C592B" w:rsidRDefault="005D0206">
      <w:pPr>
        <w:pStyle w:val="Ttulo1"/>
        <w:numPr>
          <w:ilvl w:val="0"/>
          <w:numId w:val="15"/>
        </w:numPr>
        <w:tabs>
          <w:tab w:val="left" w:pos="441"/>
        </w:tabs>
        <w:spacing w:before="234" w:line="360" w:lineRule="auto"/>
        <w:ind w:left="766" w:right="6898" w:hanging="566"/>
      </w:pPr>
      <w:r>
        <w:t>MONITORIZAÇÃO Crianças e</w:t>
      </w:r>
      <w:r>
        <w:rPr>
          <w:spacing w:val="-6"/>
        </w:rPr>
        <w:t xml:space="preserve"> </w:t>
      </w:r>
      <w:r>
        <w:t>adolescentes</w:t>
      </w:r>
    </w:p>
    <w:p w:rsidR="005C592B" w:rsidRDefault="005D0206">
      <w:pPr>
        <w:pStyle w:val="Corpodetexto"/>
        <w:spacing w:line="360" w:lineRule="auto"/>
        <w:ind w:right="853" w:firstLine="566"/>
      </w:pPr>
      <w:r>
        <w:t>A monitorização do tratamento com somatropina em crianças e adolescentes deverá ser realizada a partir de consultas médicas especializadas, com aferição das medidas antropométricas</w:t>
      </w:r>
      <w:r>
        <w:rPr>
          <w:spacing w:val="-2"/>
        </w:rPr>
        <w:t xml:space="preserve"> </w:t>
      </w:r>
      <w:r>
        <w:t>a</w:t>
      </w:r>
      <w:r>
        <w:rPr>
          <w:spacing w:val="-4"/>
        </w:rPr>
        <w:t xml:space="preserve"> </w:t>
      </w:r>
      <w:r>
        <w:t>cada</w:t>
      </w:r>
      <w:r>
        <w:rPr>
          <w:spacing w:val="-5"/>
        </w:rPr>
        <w:t xml:space="preserve"> </w:t>
      </w:r>
      <w:r>
        <w:t>3-6</w:t>
      </w:r>
      <w:r>
        <w:rPr>
          <w:spacing w:val="-4"/>
        </w:rPr>
        <w:t xml:space="preserve"> </w:t>
      </w:r>
      <w:r>
        <w:t>meses.</w:t>
      </w:r>
      <w:r>
        <w:rPr>
          <w:spacing w:val="-4"/>
        </w:rPr>
        <w:t xml:space="preserve"> </w:t>
      </w:r>
      <w:r>
        <w:t>Exames</w:t>
      </w:r>
      <w:r>
        <w:rPr>
          <w:spacing w:val="-3"/>
        </w:rPr>
        <w:t xml:space="preserve"> </w:t>
      </w:r>
      <w:r>
        <w:t>laboratoriai</w:t>
      </w:r>
      <w:r>
        <w:t>s</w:t>
      </w:r>
      <w:r>
        <w:rPr>
          <w:spacing w:val="-3"/>
        </w:rPr>
        <w:t xml:space="preserve"> </w:t>
      </w:r>
      <w:r>
        <w:t>para</w:t>
      </w:r>
      <w:r>
        <w:rPr>
          <w:spacing w:val="-3"/>
        </w:rPr>
        <w:t xml:space="preserve"> </w:t>
      </w:r>
      <w:r>
        <w:t>avaliação</w:t>
      </w:r>
      <w:r>
        <w:rPr>
          <w:spacing w:val="-3"/>
        </w:rPr>
        <w:t xml:space="preserve"> </w:t>
      </w:r>
      <w:r>
        <w:t>da</w:t>
      </w:r>
      <w:r>
        <w:rPr>
          <w:spacing w:val="-2"/>
        </w:rPr>
        <w:t xml:space="preserve"> </w:t>
      </w:r>
      <w:r>
        <w:t>glicemia</w:t>
      </w:r>
      <w:r>
        <w:rPr>
          <w:spacing w:val="-4"/>
        </w:rPr>
        <w:t xml:space="preserve"> </w:t>
      </w:r>
      <w:r>
        <w:t>de</w:t>
      </w:r>
      <w:r>
        <w:rPr>
          <w:spacing w:val="-4"/>
        </w:rPr>
        <w:t xml:space="preserve"> </w:t>
      </w:r>
      <w:r>
        <w:t>jejum</w:t>
      </w:r>
      <w:r>
        <w:rPr>
          <w:spacing w:val="-3"/>
        </w:rPr>
        <w:t xml:space="preserve"> </w:t>
      </w:r>
      <w:r>
        <w:t>e da função tireoidiana devem ser realizados a cada ano. No caso de alteração da função tireoidiana, com sugestão de hipotireoidismo, o tratamento deve ser feito com levotiroxina. Exame radiológico para avaliação da id</w:t>
      </w:r>
      <w:r>
        <w:t>ade óssea também deverá ser realizado anualmente. Como</w:t>
      </w:r>
      <w:r>
        <w:rPr>
          <w:spacing w:val="-9"/>
        </w:rPr>
        <w:t xml:space="preserve"> </w:t>
      </w:r>
      <w:r>
        <w:t>forma</w:t>
      </w:r>
      <w:r>
        <w:rPr>
          <w:spacing w:val="-9"/>
        </w:rPr>
        <w:t xml:space="preserve"> </w:t>
      </w:r>
      <w:r>
        <w:t>de</w:t>
      </w:r>
      <w:r>
        <w:rPr>
          <w:spacing w:val="-10"/>
        </w:rPr>
        <w:t xml:space="preserve"> </w:t>
      </w:r>
      <w:r>
        <w:t>verificação</w:t>
      </w:r>
      <w:r>
        <w:rPr>
          <w:spacing w:val="-9"/>
        </w:rPr>
        <w:t xml:space="preserve"> </w:t>
      </w:r>
      <w:r>
        <w:t>do</w:t>
      </w:r>
      <w:r>
        <w:rPr>
          <w:spacing w:val="-9"/>
        </w:rPr>
        <w:t xml:space="preserve"> </w:t>
      </w:r>
      <w:r>
        <w:t>uso</w:t>
      </w:r>
      <w:r>
        <w:rPr>
          <w:spacing w:val="-8"/>
        </w:rPr>
        <w:t xml:space="preserve"> </w:t>
      </w:r>
      <w:r>
        <w:t>adequado</w:t>
      </w:r>
      <w:r>
        <w:rPr>
          <w:spacing w:val="-8"/>
        </w:rPr>
        <w:t xml:space="preserve"> </w:t>
      </w:r>
      <w:r>
        <w:t>da</w:t>
      </w:r>
      <w:r>
        <w:rPr>
          <w:spacing w:val="-11"/>
        </w:rPr>
        <w:t xml:space="preserve"> </w:t>
      </w:r>
      <w:r>
        <w:t>somatropina</w:t>
      </w:r>
      <w:r>
        <w:rPr>
          <w:spacing w:val="-9"/>
        </w:rPr>
        <w:t xml:space="preserve"> </w:t>
      </w:r>
      <w:r>
        <w:t>e</w:t>
      </w:r>
      <w:r>
        <w:rPr>
          <w:spacing w:val="-10"/>
        </w:rPr>
        <w:t xml:space="preserve"> </w:t>
      </w:r>
      <w:r>
        <w:t>monitorização</w:t>
      </w:r>
      <w:r>
        <w:rPr>
          <w:spacing w:val="-8"/>
        </w:rPr>
        <w:t xml:space="preserve"> </w:t>
      </w:r>
      <w:r>
        <w:t>da</w:t>
      </w:r>
      <w:r>
        <w:rPr>
          <w:spacing w:val="-11"/>
        </w:rPr>
        <w:t xml:space="preserve"> </w:t>
      </w:r>
      <w:r>
        <w:t>dose,</w:t>
      </w:r>
      <w:r>
        <w:rPr>
          <w:spacing w:val="-8"/>
        </w:rPr>
        <w:t xml:space="preserve"> </w:t>
      </w:r>
      <w:r>
        <w:t>deve</w:t>
      </w:r>
      <w:r>
        <w:rPr>
          <w:spacing w:val="-10"/>
        </w:rPr>
        <w:t xml:space="preserve"> </w:t>
      </w:r>
      <w:r>
        <w:t>ser realizada dosagem de IGF-1 anualmente ou após mudança de dose. Recomenda-se manter a dose de somatropina para pacientes com valores de IGF-1 dentro da normalidade e com velocidade de crescimento adequada. Em pacientes com crescimento insatisfatório e v</w:t>
      </w:r>
      <w:r>
        <w:t>alores baixos de IGF-1, a aderência ao tratamento deve ser checada e o diagnóstico deve</w:t>
      </w:r>
      <w:r>
        <w:rPr>
          <w:spacing w:val="39"/>
        </w:rPr>
        <w:t xml:space="preserve"> </w:t>
      </w:r>
      <w:r>
        <w:t>ser reavaliado. No caso de serem observados valores de IGF-1 acima dos limites superiores da normalidade,</w:t>
      </w:r>
      <w:r>
        <w:rPr>
          <w:spacing w:val="-4"/>
        </w:rPr>
        <w:t xml:space="preserve"> </w:t>
      </w:r>
      <w:r>
        <w:t>a</w:t>
      </w:r>
      <w:r>
        <w:rPr>
          <w:spacing w:val="-6"/>
        </w:rPr>
        <w:t xml:space="preserve"> </w:t>
      </w:r>
      <w:r>
        <w:t>dose</w:t>
      </w:r>
      <w:r>
        <w:rPr>
          <w:spacing w:val="-6"/>
        </w:rPr>
        <w:t xml:space="preserve"> </w:t>
      </w:r>
      <w:r>
        <w:t>de</w:t>
      </w:r>
      <w:r>
        <w:rPr>
          <w:spacing w:val="-6"/>
        </w:rPr>
        <w:t xml:space="preserve"> </w:t>
      </w:r>
      <w:r>
        <w:t>somatropina</w:t>
      </w:r>
      <w:r>
        <w:rPr>
          <w:spacing w:val="-6"/>
        </w:rPr>
        <w:t xml:space="preserve"> </w:t>
      </w:r>
      <w:r>
        <w:t>deve</w:t>
      </w:r>
      <w:r>
        <w:rPr>
          <w:spacing w:val="-6"/>
        </w:rPr>
        <w:t xml:space="preserve"> </w:t>
      </w:r>
      <w:r>
        <w:t>ser</w:t>
      </w:r>
      <w:r>
        <w:rPr>
          <w:spacing w:val="-5"/>
        </w:rPr>
        <w:t xml:space="preserve"> </w:t>
      </w:r>
      <w:r>
        <w:t>reduzida,</w:t>
      </w:r>
      <w:r>
        <w:rPr>
          <w:spacing w:val="-5"/>
        </w:rPr>
        <w:t xml:space="preserve"> </w:t>
      </w:r>
      <w:r>
        <w:t>com</w:t>
      </w:r>
      <w:r>
        <w:rPr>
          <w:spacing w:val="-6"/>
        </w:rPr>
        <w:t xml:space="preserve"> </w:t>
      </w:r>
      <w:r>
        <w:t>nova</w:t>
      </w:r>
      <w:r>
        <w:rPr>
          <w:spacing w:val="-6"/>
        </w:rPr>
        <w:t xml:space="preserve"> </w:t>
      </w:r>
      <w:r>
        <w:t>medida</w:t>
      </w:r>
      <w:r>
        <w:rPr>
          <w:spacing w:val="-5"/>
        </w:rPr>
        <w:t xml:space="preserve"> </w:t>
      </w:r>
      <w:r>
        <w:t>da</w:t>
      </w:r>
      <w:r>
        <w:rPr>
          <w:spacing w:val="-4"/>
        </w:rPr>
        <w:t xml:space="preserve"> </w:t>
      </w:r>
      <w:r>
        <w:t>IG</w:t>
      </w:r>
      <w:r>
        <w:t>F-1</w:t>
      </w:r>
      <w:r>
        <w:rPr>
          <w:spacing w:val="-4"/>
        </w:rPr>
        <w:t xml:space="preserve"> </w:t>
      </w:r>
      <w:r>
        <w:t>após</w:t>
      </w:r>
      <w:r>
        <w:rPr>
          <w:spacing w:val="-6"/>
        </w:rPr>
        <w:t xml:space="preserve"> </w:t>
      </w:r>
      <w:r>
        <w:t>30-60 dias, e assim sucessivamente até a normalização dos níveis de IGF-1. Em casos de boa</w:t>
      </w:r>
      <w:r>
        <w:rPr>
          <w:spacing w:val="-23"/>
        </w:rPr>
        <w:t xml:space="preserve"> </w:t>
      </w:r>
      <w:r>
        <w:t xml:space="preserve">adesão ao tratamento, mas níveis de IGF-1 baixos para a idade óssea e velocidade de crescimento aquém do desejado, recomenda-se ajuste de dose para o peso, </w:t>
      </w:r>
      <w:r>
        <w:t>visando níveis satisfatórios de IGF-1 e aumento da velocidade de</w:t>
      </w:r>
      <w:r>
        <w:rPr>
          <w:spacing w:val="-2"/>
        </w:rPr>
        <w:t xml:space="preserve"> </w:t>
      </w:r>
      <w:r>
        <w:t>crescimento.</w:t>
      </w:r>
    </w:p>
    <w:p w:rsidR="005C592B" w:rsidRDefault="005D0206">
      <w:pPr>
        <w:pStyle w:val="Ttulo1"/>
        <w:spacing w:before="1"/>
      </w:pPr>
      <w:r>
        <w:t>Adultos</w:t>
      </w:r>
    </w:p>
    <w:p w:rsidR="005C592B" w:rsidRDefault="005D0206">
      <w:pPr>
        <w:pStyle w:val="Corpodetexto"/>
        <w:spacing w:before="134" w:line="360" w:lineRule="auto"/>
        <w:ind w:right="853" w:firstLine="566"/>
      </w:pPr>
      <w:r>
        <w:t>Em caso de tratamento após o final do crescimento e para o adulto com deficiência de GH, a dosagem de IGF-1 poderá ser realizada um mês após cada mudança de dose, até o e</w:t>
      </w:r>
      <w:r>
        <w:t xml:space="preserve">stabelecimento da dose adequada. A partir de então, a dosagem poderá ser realizada anualmente. A meta para adequação da dose é manter os níveis de IGF-1 próximos da média para a idade, de acordo com as técnicas e os limites laboratoriais, ou entre a média </w:t>
      </w:r>
      <w:r>
        <w:t>e o limite superior da normalidade (7, 41, 42). Mulheres em uso de estrogênios orais podem necessitar de doses um pouco mais elevadas, em função da interferência no metabolismo hepático e na síntese de IGF-1 (20). Devem ser monitorizadas complicações da fa</w:t>
      </w:r>
      <w:r>
        <w:t>lta de reposição, como dislipidemia e osteoporose (ver os respectivos protocolos do Ministério da Saúde), além da inadequada distribuição de gordura corporal e baixa resistência a atividades físicas, e</w:t>
      </w:r>
    </w:p>
    <w:p w:rsidR="005C592B" w:rsidRDefault="005C592B">
      <w:pPr>
        <w:spacing w:line="360" w:lineRule="auto"/>
        <w:sectPr w:rsidR="005C592B">
          <w:pgSz w:w="11900" w:h="16850"/>
          <w:pgMar w:top="1360" w:right="580" w:bottom="280" w:left="1240" w:header="720" w:footer="720" w:gutter="0"/>
          <w:cols w:space="720"/>
        </w:sectPr>
      </w:pPr>
    </w:p>
    <w:p w:rsidR="005C592B" w:rsidRDefault="005D0206">
      <w:pPr>
        <w:pStyle w:val="Corpodetexto"/>
        <w:tabs>
          <w:tab w:val="left" w:pos="6578"/>
        </w:tabs>
        <w:spacing w:before="74" w:line="360" w:lineRule="auto"/>
        <w:ind w:right="859"/>
        <w:jc w:val="left"/>
      </w:pPr>
      <w:r>
        <w:lastRenderedPageBreak/>
        <w:t xml:space="preserve">complicações  </w:t>
      </w:r>
      <w:r>
        <w:rPr>
          <w:spacing w:val="17"/>
        </w:rPr>
        <w:t xml:space="preserve"> </w:t>
      </w:r>
      <w:r>
        <w:t xml:space="preserve">do  </w:t>
      </w:r>
      <w:r>
        <w:rPr>
          <w:spacing w:val="17"/>
        </w:rPr>
        <w:t xml:space="preserve"> </w:t>
      </w:r>
      <w:r>
        <w:t xml:space="preserve">excesso  </w:t>
      </w:r>
      <w:r>
        <w:rPr>
          <w:spacing w:val="15"/>
        </w:rPr>
        <w:t xml:space="preserve"> </w:t>
      </w:r>
      <w:r>
        <w:t xml:space="preserve">de  </w:t>
      </w:r>
      <w:r>
        <w:rPr>
          <w:spacing w:val="16"/>
        </w:rPr>
        <w:t xml:space="preserve"> </w:t>
      </w:r>
      <w:r>
        <w:t>repos</w:t>
      </w:r>
      <w:r>
        <w:t xml:space="preserve">ição,  </w:t>
      </w:r>
      <w:r>
        <w:rPr>
          <w:spacing w:val="17"/>
        </w:rPr>
        <w:t xml:space="preserve"> </w:t>
      </w:r>
      <w:r>
        <w:t xml:space="preserve">como  </w:t>
      </w:r>
      <w:r>
        <w:rPr>
          <w:spacing w:val="15"/>
        </w:rPr>
        <w:t xml:space="preserve"> </w:t>
      </w:r>
      <w:r>
        <w:t>alterações</w:t>
      </w:r>
      <w:r>
        <w:tab/>
        <w:t>glicêmicas, características acromegálicas e miocardiopatia hipertrófica (7, 15,</w:t>
      </w:r>
      <w:r>
        <w:rPr>
          <w:spacing w:val="-1"/>
        </w:rPr>
        <w:t xml:space="preserve"> </w:t>
      </w:r>
      <w:r>
        <w:t>20).</w:t>
      </w:r>
    </w:p>
    <w:p w:rsidR="005C592B" w:rsidRDefault="005D0206">
      <w:pPr>
        <w:pStyle w:val="Ttulo1"/>
        <w:spacing w:before="5"/>
      </w:pPr>
      <w:r>
        <w:t>Segurança</w:t>
      </w:r>
    </w:p>
    <w:p w:rsidR="005C592B" w:rsidRDefault="005D0206">
      <w:pPr>
        <w:pStyle w:val="Corpodetexto"/>
        <w:spacing w:before="132" w:line="360" w:lineRule="auto"/>
        <w:ind w:right="852" w:firstLine="566"/>
      </w:pPr>
      <w:r>
        <w:t>A somatropina é considerada um medicamento seguro, com raros efeitos colaterais graves.</w:t>
      </w:r>
      <w:r>
        <w:rPr>
          <w:spacing w:val="-8"/>
        </w:rPr>
        <w:t xml:space="preserve"> </w:t>
      </w:r>
      <w:r>
        <w:t>Deve-se</w:t>
      </w:r>
      <w:r>
        <w:rPr>
          <w:spacing w:val="-10"/>
        </w:rPr>
        <w:t xml:space="preserve"> </w:t>
      </w:r>
      <w:r>
        <w:t>atentar</w:t>
      </w:r>
      <w:r>
        <w:rPr>
          <w:spacing w:val="-11"/>
        </w:rPr>
        <w:t xml:space="preserve"> </w:t>
      </w:r>
      <w:r>
        <w:t>para</w:t>
      </w:r>
      <w:r>
        <w:rPr>
          <w:spacing w:val="-10"/>
        </w:rPr>
        <w:t xml:space="preserve"> </w:t>
      </w:r>
      <w:r>
        <w:t>o</w:t>
      </w:r>
      <w:r>
        <w:rPr>
          <w:spacing w:val="-11"/>
        </w:rPr>
        <w:t xml:space="preserve"> </w:t>
      </w:r>
      <w:r>
        <w:t>risco</w:t>
      </w:r>
      <w:r>
        <w:rPr>
          <w:spacing w:val="-8"/>
        </w:rPr>
        <w:t xml:space="preserve"> </w:t>
      </w:r>
      <w:r>
        <w:t>de</w:t>
      </w:r>
      <w:r>
        <w:rPr>
          <w:spacing w:val="-10"/>
        </w:rPr>
        <w:t xml:space="preserve"> </w:t>
      </w:r>
      <w:r>
        <w:t>desenvolvimento</w:t>
      </w:r>
      <w:r>
        <w:rPr>
          <w:spacing w:val="-10"/>
        </w:rPr>
        <w:t xml:space="preserve"> </w:t>
      </w:r>
      <w:r>
        <w:t>de</w:t>
      </w:r>
      <w:r>
        <w:rPr>
          <w:spacing w:val="-12"/>
        </w:rPr>
        <w:t xml:space="preserve"> </w:t>
      </w:r>
      <w:r>
        <w:t>intolerância</w:t>
      </w:r>
      <w:r>
        <w:rPr>
          <w:spacing w:val="-8"/>
        </w:rPr>
        <w:t xml:space="preserve"> </w:t>
      </w:r>
      <w:r>
        <w:t>à</w:t>
      </w:r>
      <w:r>
        <w:rPr>
          <w:spacing w:val="-7"/>
        </w:rPr>
        <w:t xml:space="preserve"> </w:t>
      </w:r>
      <w:r>
        <w:t>glicose</w:t>
      </w:r>
      <w:r>
        <w:rPr>
          <w:spacing w:val="-11"/>
        </w:rPr>
        <w:t xml:space="preserve"> </w:t>
      </w:r>
      <w:r>
        <w:t>e</w:t>
      </w:r>
      <w:r>
        <w:rPr>
          <w:spacing w:val="-9"/>
        </w:rPr>
        <w:t xml:space="preserve"> </w:t>
      </w:r>
      <w:r>
        <w:t>hipertensão intracraniana</w:t>
      </w:r>
      <w:r>
        <w:rPr>
          <w:spacing w:val="-14"/>
        </w:rPr>
        <w:t xml:space="preserve"> </w:t>
      </w:r>
      <w:r>
        <w:t>benigna.</w:t>
      </w:r>
      <w:r>
        <w:rPr>
          <w:spacing w:val="-12"/>
        </w:rPr>
        <w:t xml:space="preserve"> </w:t>
      </w:r>
      <w:r>
        <w:t>(45)</w:t>
      </w:r>
      <w:r>
        <w:rPr>
          <w:spacing w:val="-14"/>
        </w:rPr>
        <w:t xml:space="preserve"> </w:t>
      </w:r>
      <w:r>
        <w:t>Pacientes</w:t>
      </w:r>
      <w:r>
        <w:rPr>
          <w:spacing w:val="-11"/>
        </w:rPr>
        <w:t xml:space="preserve"> </w:t>
      </w:r>
      <w:r>
        <w:t>com</w:t>
      </w:r>
      <w:r>
        <w:rPr>
          <w:spacing w:val="-13"/>
        </w:rPr>
        <w:t xml:space="preserve"> </w:t>
      </w:r>
      <w:r>
        <w:t>doença</w:t>
      </w:r>
      <w:r>
        <w:rPr>
          <w:spacing w:val="-12"/>
        </w:rPr>
        <w:t xml:space="preserve"> </w:t>
      </w:r>
      <w:r>
        <w:t>neoplásica</w:t>
      </w:r>
      <w:r>
        <w:rPr>
          <w:spacing w:val="-14"/>
        </w:rPr>
        <w:t xml:space="preserve"> </w:t>
      </w:r>
      <w:r>
        <w:t>prévia</w:t>
      </w:r>
      <w:r>
        <w:rPr>
          <w:spacing w:val="-13"/>
        </w:rPr>
        <w:t xml:space="preserve"> </w:t>
      </w:r>
      <w:r>
        <w:t>deverão</w:t>
      </w:r>
      <w:r>
        <w:rPr>
          <w:spacing w:val="-13"/>
        </w:rPr>
        <w:t xml:space="preserve"> </w:t>
      </w:r>
      <w:r>
        <w:t>ser</w:t>
      </w:r>
      <w:r>
        <w:rPr>
          <w:spacing w:val="-14"/>
        </w:rPr>
        <w:t xml:space="preserve"> </w:t>
      </w:r>
      <w:r>
        <w:t>conjuntamente acompanhados por oncologista ou neurocirurgião. Em uma grande série de casos, não houve aumento da recorrência de neoplasi</w:t>
      </w:r>
      <w:r>
        <w:t>a ou da incidência de novos casos em pacientes em uso de somatropina</w:t>
      </w:r>
      <w:r>
        <w:rPr>
          <w:spacing w:val="-2"/>
        </w:rPr>
        <w:t xml:space="preserve"> </w:t>
      </w:r>
      <w:r>
        <w:t>(22).</w:t>
      </w:r>
    </w:p>
    <w:p w:rsidR="005C592B" w:rsidRDefault="005C592B">
      <w:pPr>
        <w:pStyle w:val="Corpodetexto"/>
        <w:ind w:left="0"/>
        <w:jc w:val="left"/>
        <w:rPr>
          <w:sz w:val="26"/>
        </w:rPr>
      </w:pPr>
    </w:p>
    <w:p w:rsidR="005C592B" w:rsidRDefault="005C592B">
      <w:pPr>
        <w:pStyle w:val="Corpodetexto"/>
        <w:ind w:left="0"/>
        <w:jc w:val="left"/>
        <w:rPr>
          <w:sz w:val="26"/>
        </w:rPr>
      </w:pPr>
    </w:p>
    <w:p w:rsidR="005C592B" w:rsidRDefault="005C592B">
      <w:pPr>
        <w:pStyle w:val="Corpodetexto"/>
        <w:spacing w:before="5"/>
        <w:ind w:left="0"/>
        <w:jc w:val="left"/>
        <w:rPr>
          <w:sz w:val="20"/>
        </w:rPr>
      </w:pPr>
    </w:p>
    <w:p w:rsidR="005C592B" w:rsidRDefault="005D0206">
      <w:pPr>
        <w:pStyle w:val="Ttulo1"/>
        <w:numPr>
          <w:ilvl w:val="0"/>
          <w:numId w:val="15"/>
        </w:numPr>
        <w:tabs>
          <w:tab w:val="left" w:pos="561"/>
        </w:tabs>
        <w:spacing w:line="360" w:lineRule="auto"/>
        <w:ind w:left="766" w:right="4643" w:hanging="566"/>
      </w:pPr>
      <w:r>
        <w:t>ACOMPANHAMENTO PÓS-TRATAMENTO Crianças e</w:t>
      </w:r>
      <w:r>
        <w:rPr>
          <w:spacing w:val="-2"/>
        </w:rPr>
        <w:t xml:space="preserve"> </w:t>
      </w:r>
      <w:r>
        <w:t>adolescentes</w:t>
      </w:r>
    </w:p>
    <w:p w:rsidR="005C592B" w:rsidRDefault="005D0206">
      <w:pPr>
        <w:pStyle w:val="Corpodetexto"/>
        <w:spacing w:line="360" w:lineRule="auto"/>
        <w:ind w:right="853" w:firstLine="566"/>
      </w:pPr>
      <w:r>
        <w:t>Encerrada a fase de crescimento, interrompe-se o tratamento e, após 30 a 90 dias, testa- se novamente. É necessário apenas um teste, e o estímulo deve ser com insulina ou glucagon. No reteste, para comprovar a persistência da DGH no período de transição pa</w:t>
      </w:r>
      <w:r>
        <w:t>ra a vida adulta, considera-se uma IGF-1 baixa para faixa etária e sexo, e uma concentração de GH inferior a 5 ng/ml no teste de estímulo (46-48).</w:t>
      </w:r>
    </w:p>
    <w:p w:rsidR="005C592B" w:rsidRDefault="005D0206">
      <w:pPr>
        <w:pStyle w:val="Ttulo1"/>
        <w:spacing w:before="2"/>
      </w:pPr>
      <w:r>
        <w:t>Adultos</w:t>
      </w:r>
    </w:p>
    <w:p w:rsidR="005C592B" w:rsidRDefault="005D0206">
      <w:pPr>
        <w:pStyle w:val="Corpodetexto"/>
        <w:spacing w:before="132" w:line="360" w:lineRule="auto"/>
        <w:ind w:right="858" w:firstLine="566"/>
      </w:pPr>
      <w:r>
        <w:t>Nos casos de DGH grave (menor que 3 ng/mL), a reposição hormonal é considerada permanente, ajustando-</w:t>
      </w:r>
      <w:r>
        <w:t>se a dose conforme os níveis de IGF-1 (7, 41,</w:t>
      </w:r>
      <w:r>
        <w:rPr>
          <w:spacing w:val="-2"/>
        </w:rPr>
        <w:t xml:space="preserve"> </w:t>
      </w:r>
      <w:r>
        <w:t>42).</w:t>
      </w:r>
    </w:p>
    <w:p w:rsidR="005C592B" w:rsidRDefault="005C592B">
      <w:pPr>
        <w:pStyle w:val="Corpodetexto"/>
        <w:spacing w:before="6"/>
        <w:ind w:left="0"/>
        <w:jc w:val="left"/>
        <w:rPr>
          <w:sz w:val="36"/>
        </w:rPr>
      </w:pPr>
    </w:p>
    <w:p w:rsidR="005C592B" w:rsidRDefault="005D0206">
      <w:pPr>
        <w:pStyle w:val="Ttulo1"/>
        <w:numPr>
          <w:ilvl w:val="0"/>
          <w:numId w:val="15"/>
        </w:numPr>
        <w:tabs>
          <w:tab w:val="left" w:pos="561"/>
        </w:tabs>
        <w:ind w:left="560" w:hanging="360"/>
      </w:pPr>
      <w:r>
        <w:t>REGULAÇÃO/CONTROLE/AVALIAÇÃO PELO</w:t>
      </w:r>
      <w:r>
        <w:rPr>
          <w:spacing w:val="-7"/>
        </w:rPr>
        <w:t xml:space="preserve"> </w:t>
      </w:r>
      <w:r>
        <w:t>GESTOR</w:t>
      </w:r>
    </w:p>
    <w:p w:rsidR="005C592B" w:rsidRDefault="005D0206">
      <w:pPr>
        <w:pStyle w:val="Corpodetexto"/>
        <w:spacing w:before="132" w:line="360" w:lineRule="auto"/>
        <w:ind w:right="856" w:firstLine="566"/>
      </w:pPr>
      <w:r>
        <w:t>Os doentes devem passar por avaliação diagnóstica e ter acompanhamento terapêutico com endocrinologistas ou endocrinologistas pediátricos, cuja avaliação periódica</w:t>
      </w:r>
      <w:r>
        <w:t xml:space="preserve"> deve ser condição para a continuidade da dispensação do medicamento.</w:t>
      </w:r>
    </w:p>
    <w:p w:rsidR="005C592B" w:rsidRDefault="005D0206">
      <w:pPr>
        <w:pStyle w:val="Corpodetexto"/>
        <w:spacing w:before="2" w:line="360" w:lineRule="auto"/>
        <w:ind w:right="856" w:firstLine="566"/>
      </w:pPr>
      <w:r>
        <w:t>Recomenda-se</w:t>
      </w:r>
      <w:r>
        <w:rPr>
          <w:spacing w:val="-12"/>
        </w:rPr>
        <w:t xml:space="preserve"> </w:t>
      </w:r>
      <w:r>
        <w:t>a</w:t>
      </w:r>
      <w:r>
        <w:rPr>
          <w:spacing w:val="-10"/>
        </w:rPr>
        <w:t xml:space="preserve"> </w:t>
      </w:r>
      <w:r>
        <w:t>indicação</w:t>
      </w:r>
      <w:r>
        <w:rPr>
          <w:spacing w:val="-10"/>
        </w:rPr>
        <w:t xml:space="preserve"> </w:t>
      </w:r>
      <w:r>
        <w:t>de</w:t>
      </w:r>
      <w:r>
        <w:rPr>
          <w:spacing w:val="-10"/>
        </w:rPr>
        <w:t xml:space="preserve"> </w:t>
      </w:r>
      <w:r>
        <w:t>centro</w:t>
      </w:r>
      <w:r>
        <w:rPr>
          <w:spacing w:val="-11"/>
        </w:rPr>
        <w:t xml:space="preserve"> </w:t>
      </w:r>
      <w:r>
        <w:t>de</w:t>
      </w:r>
      <w:r>
        <w:rPr>
          <w:spacing w:val="-10"/>
        </w:rPr>
        <w:t xml:space="preserve"> </w:t>
      </w:r>
      <w:r>
        <w:t>referência</w:t>
      </w:r>
      <w:r>
        <w:rPr>
          <w:spacing w:val="-9"/>
        </w:rPr>
        <w:t xml:space="preserve"> </w:t>
      </w:r>
      <w:r>
        <w:t>para</w:t>
      </w:r>
      <w:r>
        <w:rPr>
          <w:spacing w:val="-10"/>
        </w:rPr>
        <w:t xml:space="preserve"> </w:t>
      </w:r>
      <w:r>
        <w:t>avaliação</w:t>
      </w:r>
      <w:r>
        <w:rPr>
          <w:spacing w:val="-7"/>
        </w:rPr>
        <w:t xml:space="preserve"> </w:t>
      </w:r>
      <w:r>
        <w:t>e</w:t>
      </w:r>
      <w:r>
        <w:rPr>
          <w:spacing w:val="-12"/>
        </w:rPr>
        <w:t xml:space="preserve"> </w:t>
      </w:r>
      <w:r>
        <w:t>monitorização</w:t>
      </w:r>
      <w:r>
        <w:rPr>
          <w:spacing w:val="-10"/>
        </w:rPr>
        <w:t xml:space="preserve"> </w:t>
      </w:r>
      <w:r>
        <w:t>clínica das respostas terapêuticas, decisões de interrupção de tratamento e avaliação de casos complexos e</w:t>
      </w:r>
      <w:r>
        <w:t xml:space="preserve"> de difícil</w:t>
      </w:r>
      <w:r>
        <w:rPr>
          <w:spacing w:val="-2"/>
        </w:rPr>
        <w:t xml:space="preserve"> </w:t>
      </w:r>
      <w:r>
        <w:t>diagnóstico.</w:t>
      </w:r>
    </w:p>
    <w:p w:rsidR="005C592B" w:rsidRDefault="005D0206">
      <w:pPr>
        <w:pStyle w:val="Corpodetexto"/>
        <w:spacing w:line="360" w:lineRule="auto"/>
        <w:ind w:right="852" w:firstLine="566"/>
      </w:pPr>
      <w:r>
        <w:t>Há de se observar os critérios de inclusão e exclusão de doentes neste Protocolo, a duração e a monitorização do tratamento, a verificação periódica das doses prescritas e dispensadas, a adequação de uso do medicamento e o acompanhamento pós-tratamento.</w:t>
      </w:r>
    </w:p>
    <w:p w:rsidR="005C592B" w:rsidRDefault="005C592B">
      <w:pPr>
        <w:spacing w:line="360" w:lineRule="auto"/>
        <w:sectPr w:rsidR="005C592B">
          <w:pgSz w:w="11900" w:h="16850"/>
          <w:pgMar w:top="1360" w:right="580" w:bottom="280" w:left="1240" w:header="720" w:footer="720" w:gutter="0"/>
          <w:cols w:space="720"/>
        </w:sectPr>
      </w:pPr>
    </w:p>
    <w:p w:rsidR="005C592B" w:rsidRDefault="005D0206">
      <w:pPr>
        <w:pStyle w:val="Corpodetexto"/>
        <w:spacing w:before="74" w:line="360" w:lineRule="auto"/>
        <w:ind w:right="855" w:firstLine="566"/>
      </w:pPr>
      <w:r>
        <w:lastRenderedPageBreak/>
        <w:t>Verificar</w:t>
      </w:r>
      <w:r>
        <w:rPr>
          <w:spacing w:val="-12"/>
        </w:rPr>
        <w:t xml:space="preserve"> </w:t>
      </w:r>
      <w:r>
        <w:t>na</w:t>
      </w:r>
      <w:r>
        <w:rPr>
          <w:spacing w:val="-11"/>
        </w:rPr>
        <w:t xml:space="preserve"> </w:t>
      </w:r>
      <w:r>
        <w:t>Relação</w:t>
      </w:r>
      <w:r>
        <w:rPr>
          <w:spacing w:val="-11"/>
        </w:rPr>
        <w:t xml:space="preserve"> </w:t>
      </w:r>
      <w:r>
        <w:t>Nacional</w:t>
      </w:r>
      <w:r>
        <w:rPr>
          <w:spacing w:val="-12"/>
        </w:rPr>
        <w:t xml:space="preserve"> </w:t>
      </w:r>
      <w:r>
        <w:t>de</w:t>
      </w:r>
      <w:r>
        <w:rPr>
          <w:spacing w:val="-12"/>
        </w:rPr>
        <w:t xml:space="preserve"> </w:t>
      </w:r>
      <w:r>
        <w:t>Medicamentos</w:t>
      </w:r>
      <w:r>
        <w:rPr>
          <w:spacing w:val="-10"/>
        </w:rPr>
        <w:t xml:space="preserve"> </w:t>
      </w:r>
      <w:r>
        <w:t>Essenciais</w:t>
      </w:r>
      <w:r>
        <w:rPr>
          <w:spacing w:val="-11"/>
        </w:rPr>
        <w:t xml:space="preserve"> </w:t>
      </w:r>
      <w:r>
        <w:t>(RENAME)</w:t>
      </w:r>
      <w:r>
        <w:rPr>
          <w:spacing w:val="-12"/>
        </w:rPr>
        <w:t xml:space="preserve"> </w:t>
      </w:r>
      <w:r>
        <w:t>vigente</w:t>
      </w:r>
      <w:r>
        <w:rPr>
          <w:spacing w:val="-11"/>
        </w:rPr>
        <w:t xml:space="preserve"> </w:t>
      </w:r>
      <w:r>
        <w:t>em</w:t>
      </w:r>
      <w:r>
        <w:rPr>
          <w:spacing w:val="-11"/>
        </w:rPr>
        <w:t xml:space="preserve"> </w:t>
      </w:r>
      <w:r>
        <w:t>qual componente da Assistência Farmacêutica se encontram os medicamentos preconizados neste Protocolo.</w:t>
      </w:r>
    </w:p>
    <w:p w:rsidR="005C592B" w:rsidRDefault="005C592B">
      <w:pPr>
        <w:pStyle w:val="Corpodetexto"/>
        <w:spacing w:before="4"/>
        <w:ind w:left="0"/>
        <w:jc w:val="left"/>
        <w:rPr>
          <w:sz w:val="36"/>
        </w:rPr>
      </w:pPr>
    </w:p>
    <w:p w:rsidR="005C592B" w:rsidRDefault="005D0206">
      <w:pPr>
        <w:pStyle w:val="Ttulo1"/>
        <w:numPr>
          <w:ilvl w:val="0"/>
          <w:numId w:val="15"/>
        </w:numPr>
        <w:tabs>
          <w:tab w:val="left" w:pos="561"/>
        </w:tabs>
        <w:spacing w:before="1"/>
        <w:ind w:left="560" w:hanging="360"/>
        <w:jc w:val="both"/>
      </w:pPr>
      <w:r>
        <w:t>TERMO DE ESCLARECIMENTO E RESPONSABILIDADE –</w:t>
      </w:r>
      <w:r>
        <w:rPr>
          <w:spacing w:val="1"/>
        </w:rPr>
        <w:t xml:space="preserve"> </w:t>
      </w:r>
      <w:r>
        <w:t>TER</w:t>
      </w:r>
    </w:p>
    <w:p w:rsidR="005C592B" w:rsidRDefault="005D0206">
      <w:pPr>
        <w:pStyle w:val="Corpodetexto"/>
        <w:spacing w:before="132" w:line="360" w:lineRule="auto"/>
        <w:ind w:right="855" w:firstLine="707"/>
      </w:pPr>
      <w:r>
        <w:t>Deve-se informar ao paciente, ou seu responsável legal, sobre os potenciais riscos, benefícios e efeitos adversos relacionados ao uso do medicamento preconizado neste Protocolo, levando-se em consideração as informações contidas no TER.</w:t>
      </w:r>
    </w:p>
    <w:p w:rsidR="005C592B" w:rsidRDefault="005C592B">
      <w:pPr>
        <w:pStyle w:val="Corpodetexto"/>
        <w:spacing w:before="3"/>
        <w:ind w:left="0"/>
        <w:jc w:val="left"/>
        <w:rPr>
          <w:sz w:val="36"/>
        </w:rPr>
      </w:pPr>
    </w:p>
    <w:p w:rsidR="005C592B" w:rsidRDefault="005D0206">
      <w:pPr>
        <w:pStyle w:val="Ttulo1"/>
        <w:numPr>
          <w:ilvl w:val="0"/>
          <w:numId w:val="15"/>
        </w:numPr>
        <w:tabs>
          <w:tab w:val="left" w:pos="561"/>
        </w:tabs>
        <w:spacing w:line="274" w:lineRule="exact"/>
        <w:ind w:left="560" w:hanging="360"/>
        <w:jc w:val="both"/>
      </w:pPr>
      <w:r>
        <w:t>REFERÊNCIAS BIBLIO</w:t>
      </w:r>
      <w:r>
        <w:t>GRÁFICAS</w:t>
      </w:r>
    </w:p>
    <w:p w:rsidR="005C592B" w:rsidRPr="005D0206" w:rsidRDefault="005D0206">
      <w:pPr>
        <w:pStyle w:val="PargrafodaLista"/>
        <w:numPr>
          <w:ilvl w:val="0"/>
          <w:numId w:val="6"/>
        </w:numPr>
        <w:tabs>
          <w:tab w:val="left" w:pos="921"/>
        </w:tabs>
        <w:ind w:right="853" w:firstLine="0"/>
        <w:jc w:val="both"/>
        <w:rPr>
          <w:sz w:val="24"/>
          <w:lang w:val="en-US"/>
        </w:rPr>
      </w:pPr>
      <w:r w:rsidRPr="005D0206">
        <w:rPr>
          <w:sz w:val="24"/>
          <w:lang w:val="en-US"/>
        </w:rPr>
        <w:t>Thorner MO, Vance M, Laws Jr E, Horvalth E, Kovacs K. The anterior pituitary. In: Wilson  JD,  Foster  DW,   Kronenberg   HM,   Larsen   PR,   editors.   Williams   textbook  of endocrinology. 9th ed. Philadelphia: WB Saunders Company; 1998. p.</w:t>
      </w:r>
      <w:r w:rsidRPr="005D0206">
        <w:rPr>
          <w:spacing w:val="-4"/>
          <w:sz w:val="24"/>
          <w:lang w:val="en-US"/>
        </w:rPr>
        <w:t xml:space="preserve"> </w:t>
      </w:r>
      <w:r w:rsidRPr="005D0206">
        <w:rPr>
          <w:sz w:val="24"/>
          <w:lang w:val="en-US"/>
        </w:rPr>
        <w:t>24</w:t>
      </w:r>
      <w:r w:rsidRPr="005D0206">
        <w:rPr>
          <w:sz w:val="24"/>
          <w:lang w:val="en-US"/>
        </w:rPr>
        <w:t>9-341.</w:t>
      </w:r>
    </w:p>
    <w:p w:rsidR="005C592B" w:rsidRPr="005D0206" w:rsidRDefault="005D0206">
      <w:pPr>
        <w:pStyle w:val="PargrafodaLista"/>
        <w:numPr>
          <w:ilvl w:val="0"/>
          <w:numId w:val="6"/>
        </w:numPr>
        <w:tabs>
          <w:tab w:val="left" w:pos="460"/>
        </w:tabs>
        <w:ind w:right="854" w:firstLine="0"/>
        <w:jc w:val="both"/>
        <w:rPr>
          <w:sz w:val="24"/>
          <w:lang w:val="en-US"/>
        </w:rPr>
      </w:pPr>
      <w:r w:rsidRPr="005D0206">
        <w:rPr>
          <w:sz w:val="24"/>
          <w:lang w:val="en-US"/>
        </w:rPr>
        <w:t>Giagulli VA, Castellana M, Perrone R, Guastamacchia E, Iacoviello M, Triggiani V. GH Supplementation</w:t>
      </w:r>
      <w:r w:rsidRPr="005D0206">
        <w:rPr>
          <w:spacing w:val="-11"/>
          <w:sz w:val="24"/>
          <w:lang w:val="en-US"/>
        </w:rPr>
        <w:t xml:space="preserve"> </w:t>
      </w:r>
      <w:r w:rsidRPr="005D0206">
        <w:rPr>
          <w:sz w:val="24"/>
          <w:lang w:val="en-US"/>
        </w:rPr>
        <w:t>Effects</w:t>
      </w:r>
      <w:r w:rsidRPr="005D0206">
        <w:rPr>
          <w:spacing w:val="-7"/>
          <w:sz w:val="24"/>
          <w:lang w:val="en-US"/>
        </w:rPr>
        <w:t xml:space="preserve"> </w:t>
      </w:r>
      <w:r w:rsidRPr="005D0206">
        <w:rPr>
          <w:sz w:val="24"/>
          <w:lang w:val="en-US"/>
        </w:rPr>
        <w:t>on</w:t>
      </w:r>
      <w:r w:rsidRPr="005D0206">
        <w:rPr>
          <w:spacing w:val="-12"/>
          <w:sz w:val="24"/>
          <w:lang w:val="en-US"/>
        </w:rPr>
        <w:t xml:space="preserve"> </w:t>
      </w:r>
      <w:r w:rsidRPr="005D0206">
        <w:rPr>
          <w:sz w:val="24"/>
          <w:lang w:val="en-US"/>
        </w:rPr>
        <w:t>Cardiovascular</w:t>
      </w:r>
      <w:r w:rsidRPr="005D0206">
        <w:rPr>
          <w:spacing w:val="-11"/>
          <w:sz w:val="24"/>
          <w:lang w:val="en-US"/>
        </w:rPr>
        <w:t xml:space="preserve"> </w:t>
      </w:r>
      <w:r w:rsidRPr="005D0206">
        <w:rPr>
          <w:sz w:val="24"/>
          <w:lang w:val="en-US"/>
        </w:rPr>
        <w:t>Risk</w:t>
      </w:r>
      <w:r w:rsidRPr="005D0206">
        <w:rPr>
          <w:spacing w:val="-11"/>
          <w:sz w:val="24"/>
          <w:lang w:val="en-US"/>
        </w:rPr>
        <w:t xml:space="preserve"> </w:t>
      </w:r>
      <w:r w:rsidRPr="005D0206">
        <w:rPr>
          <w:sz w:val="24"/>
          <w:lang w:val="en-US"/>
        </w:rPr>
        <w:t>in</w:t>
      </w:r>
      <w:r w:rsidRPr="005D0206">
        <w:rPr>
          <w:spacing w:val="-11"/>
          <w:sz w:val="24"/>
          <w:lang w:val="en-US"/>
        </w:rPr>
        <w:t xml:space="preserve"> </w:t>
      </w:r>
      <w:r w:rsidRPr="005D0206">
        <w:rPr>
          <w:sz w:val="24"/>
          <w:lang w:val="en-US"/>
        </w:rPr>
        <w:t>GH</w:t>
      </w:r>
      <w:r w:rsidRPr="005D0206">
        <w:rPr>
          <w:spacing w:val="-13"/>
          <w:sz w:val="24"/>
          <w:lang w:val="en-US"/>
        </w:rPr>
        <w:t xml:space="preserve"> </w:t>
      </w:r>
      <w:r w:rsidRPr="005D0206">
        <w:rPr>
          <w:sz w:val="24"/>
          <w:lang w:val="en-US"/>
        </w:rPr>
        <w:t>Deficient</w:t>
      </w:r>
      <w:r w:rsidRPr="005D0206">
        <w:rPr>
          <w:spacing w:val="-10"/>
          <w:sz w:val="24"/>
          <w:lang w:val="en-US"/>
        </w:rPr>
        <w:t xml:space="preserve"> </w:t>
      </w:r>
      <w:r w:rsidRPr="005D0206">
        <w:rPr>
          <w:sz w:val="24"/>
          <w:lang w:val="en-US"/>
        </w:rPr>
        <w:t>Adult</w:t>
      </w:r>
      <w:r w:rsidRPr="005D0206">
        <w:rPr>
          <w:spacing w:val="-11"/>
          <w:sz w:val="24"/>
          <w:lang w:val="en-US"/>
        </w:rPr>
        <w:t xml:space="preserve"> </w:t>
      </w:r>
      <w:r w:rsidRPr="005D0206">
        <w:rPr>
          <w:sz w:val="24"/>
          <w:lang w:val="en-US"/>
        </w:rPr>
        <w:t>Patients:</w:t>
      </w:r>
      <w:r w:rsidRPr="005D0206">
        <w:rPr>
          <w:spacing w:val="-10"/>
          <w:sz w:val="24"/>
          <w:lang w:val="en-US"/>
        </w:rPr>
        <w:t xml:space="preserve"> </w:t>
      </w:r>
      <w:r w:rsidRPr="005D0206">
        <w:rPr>
          <w:sz w:val="24"/>
          <w:lang w:val="en-US"/>
        </w:rPr>
        <w:t>A</w:t>
      </w:r>
      <w:r w:rsidRPr="005D0206">
        <w:rPr>
          <w:spacing w:val="-12"/>
          <w:sz w:val="24"/>
          <w:lang w:val="en-US"/>
        </w:rPr>
        <w:t xml:space="preserve"> </w:t>
      </w:r>
      <w:r w:rsidRPr="005D0206">
        <w:rPr>
          <w:sz w:val="24"/>
          <w:lang w:val="en-US"/>
        </w:rPr>
        <w:t xml:space="preserve">Systematic Review and Meta-analysis. Endocr Metab Immune Disord Drug Targets. 2017 </w:t>
      </w:r>
      <w:r w:rsidRPr="005D0206">
        <w:rPr>
          <w:sz w:val="24"/>
          <w:lang w:val="en-US"/>
        </w:rPr>
        <w:t>Nov 16;17(4):285-296.3.</w:t>
      </w:r>
      <w:r w:rsidRPr="005D0206">
        <w:rPr>
          <w:spacing w:val="32"/>
          <w:sz w:val="24"/>
          <w:lang w:val="en-US"/>
        </w:rPr>
        <w:t xml:space="preserve"> </w:t>
      </w:r>
      <w:r w:rsidRPr="005D0206">
        <w:rPr>
          <w:sz w:val="24"/>
          <w:lang w:val="en-US"/>
        </w:rPr>
        <w:t>Reiter</w:t>
      </w:r>
      <w:r w:rsidRPr="005D0206">
        <w:rPr>
          <w:spacing w:val="-16"/>
          <w:sz w:val="24"/>
          <w:lang w:val="en-US"/>
        </w:rPr>
        <w:t xml:space="preserve"> </w:t>
      </w:r>
      <w:r w:rsidRPr="005D0206">
        <w:rPr>
          <w:sz w:val="24"/>
          <w:lang w:val="en-US"/>
        </w:rPr>
        <w:t>E,</w:t>
      </w:r>
      <w:r w:rsidRPr="005D0206">
        <w:rPr>
          <w:spacing w:val="-14"/>
          <w:sz w:val="24"/>
          <w:lang w:val="en-US"/>
        </w:rPr>
        <w:t xml:space="preserve"> </w:t>
      </w:r>
      <w:r w:rsidRPr="005D0206">
        <w:rPr>
          <w:sz w:val="24"/>
          <w:lang w:val="en-US"/>
        </w:rPr>
        <w:t>Rosenfeld</w:t>
      </w:r>
      <w:r w:rsidRPr="005D0206">
        <w:rPr>
          <w:spacing w:val="-12"/>
          <w:sz w:val="24"/>
          <w:lang w:val="en-US"/>
        </w:rPr>
        <w:t xml:space="preserve"> </w:t>
      </w:r>
      <w:r w:rsidRPr="005D0206">
        <w:rPr>
          <w:sz w:val="24"/>
          <w:lang w:val="en-US"/>
        </w:rPr>
        <w:t>R.</w:t>
      </w:r>
      <w:r w:rsidRPr="005D0206">
        <w:rPr>
          <w:spacing w:val="-17"/>
          <w:sz w:val="24"/>
          <w:lang w:val="en-US"/>
        </w:rPr>
        <w:t xml:space="preserve"> </w:t>
      </w:r>
      <w:r w:rsidRPr="005D0206">
        <w:rPr>
          <w:sz w:val="24"/>
          <w:lang w:val="en-US"/>
        </w:rPr>
        <w:t>Normal</w:t>
      </w:r>
      <w:r w:rsidRPr="005D0206">
        <w:rPr>
          <w:spacing w:val="-12"/>
          <w:sz w:val="24"/>
          <w:lang w:val="en-US"/>
        </w:rPr>
        <w:t xml:space="preserve"> </w:t>
      </w:r>
      <w:r w:rsidRPr="005D0206">
        <w:rPr>
          <w:sz w:val="24"/>
          <w:lang w:val="en-US"/>
        </w:rPr>
        <w:t>and</w:t>
      </w:r>
      <w:r w:rsidRPr="005D0206">
        <w:rPr>
          <w:spacing w:val="-17"/>
          <w:sz w:val="24"/>
          <w:lang w:val="en-US"/>
        </w:rPr>
        <w:t xml:space="preserve"> </w:t>
      </w:r>
      <w:r w:rsidRPr="005D0206">
        <w:rPr>
          <w:sz w:val="24"/>
          <w:lang w:val="en-US"/>
        </w:rPr>
        <w:t>aberrant</w:t>
      </w:r>
      <w:r w:rsidRPr="005D0206">
        <w:rPr>
          <w:spacing w:val="-12"/>
          <w:sz w:val="24"/>
          <w:lang w:val="en-US"/>
        </w:rPr>
        <w:t xml:space="preserve"> </w:t>
      </w:r>
      <w:r w:rsidRPr="005D0206">
        <w:rPr>
          <w:sz w:val="24"/>
          <w:lang w:val="en-US"/>
        </w:rPr>
        <w:t>growth.</w:t>
      </w:r>
      <w:r w:rsidRPr="005D0206">
        <w:rPr>
          <w:spacing w:val="-12"/>
          <w:sz w:val="24"/>
          <w:lang w:val="en-US"/>
        </w:rPr>
        <w:t xml:space="preserve"> </w:t>
      </w:r>
      <w:r w:rsidRPr="005D0206">
        <w:rPr>
          <w:sz w:val="24"/>
          <w:lang w:val="en-US"/>
        </w:rPr>
        <w:t>In:</w:t>
      </w:r>
      <w:r w:rsidRPr="005D0206">
        <w:rPr>
          <w:spacing w:val="-11"/>
          <w:sz w:val="24"/>
          <w:lang w:val="en-US"/>
        </w:rPr>
        <w:t xml:space="preserve"> </w:t>
      </w:r>
      <w:r w:rsidRPr="005D0206">
        <w:rPr>
          <w:sz w:val="24"/>
          <w:lang w:val="en-US"/>
        </w:rPr>
        <w:t>Wilson</w:t>
      </w:r>
      <w:r w:rsidRPr="005D0206">
        <w:rPr>
          <w:spacing w:val="-19"/>
          <w:sz w:val="24"/>
          <w:lang w:val="en-US"/>
        </w:rPr>
        <w:t xml:space="preserve"> </w:t>
      </w:r>
      <w:r w:rsidRPr="005D0206">
        <w:rPr>
          <w:sz w:val="24"/>
          <w:lang w:val="en-US"/>
        </w:rPr>
        <w:t>JD,</w:t>
      </w:r>
      <w:r w:rsidRPr="005D0206">
        <w:rPr>
          <w:spacing w:val="-16"/>
          <w:sz w:val="24"/>
          <w:lang w:val="en-US"/>
        </w:rPr>
        <w:t xml:space="preserve"> </w:t>
      </w:r>
      <w:r w:rsidRPr="005D0206">
        <w:rPr>
          <w:sz w:val="24"/>
          <w:lang w:val="en-US"/>
        </w:rPr>
        <w:t>Foster DW, Kronenberg HM, Larsen PR, editors. Williams textbook of endocrinology. 9th ed. Philadelphia: WB Saunders Company; 1998. p.</w:t>
      </w:r>
      <w:r w:rsidRPr="005D0206">
        <w:rPr>
          <w:spacing w:val="-2"/>
          <w:sz w:val="24"/>
          <w:lang w:val="en-US"/>
        </w:rPr>
        <w:t xml:space="preserve"> </w:t>
      </w:r>
      <w:r w:rsidRPr="005D0206">
        <w:rPr>
          <w:sz w:val="24"/>
          <w:lang w:val="en-US"/>
        </w:rPr>
        <w:t>1427-509.</w:t>
      </w:r>
    </w:p>
    <w:p w:rsidR="005C592B" w:rsidRDefault="005D0206">
      <w:pPr>
        <w:pStyle w:val="PargrafodaLista"/>
        <w:numPr>
          <w:ilvl w:val="0"/>
          <w:numId w:val="5"/>
        </w:numPr>
        <w:tabs>
          <w:tab w:val="left" w:pos="427"/>
        </w:tabs>
        <w:ind w:right="853" w:firstLine="0"/>
        <w:jc w:val="both"/>
        <w:rPr>
          <w:sz w:val="24"/>
        </w:rPr>
      </w:pPr>
      <w:r w:rsidRPr="005D0206">
        <w:rPr>
          <w:sz w:val="24"/>
          <w:lang w:val="en-US"/>
        </w:rPr>
        <w:t>Adan</w:t>
      </w:r>
      <w:r w:rsidRPr="005D0206">
        <w:rPr>
          <w:spacing w:val="-15"/>
          <w:sz w:val="24"/>
          <w:lang w:val="en-US"/>
        </w:rPr>
        <w:t xml:space="preserve"> </w:t>
      </w:r>
      <w:r w:rsidRPr="005D0206">
        <w:rPr>
          <w:sz w:val="24"/>
          <w:lang w:val="en-US"/>
        </w:rPr>
        <w:t>L,</w:t>
      </w:r>
      <w:r w:rsidRPr="005D0206">
        <w:rPr>
          <w:spacing w:val="-16"/>
          <w:sz w:val="24"/>
          <w:lang w:val="en-US"/>
        </w:rPr>
        <w:t xml:space="preserve"> </w:t>
      </w:r>
      <w:r w:rsidRPr="005D0206">
        <w:rPr>
          <w:sz w:val="24"/>
          <w:lang w:val="en-US"/>
        </w:rPr>
        <w:t>Trivin</w:t>
      </w:r>
      <w:r w:rsidRPr="005D0206">
        <w:rPr>
          <w:spacing w:val="-16"/>
          <w:sz w:val="24"/>
          <w:lang w:val="en-US"/>
        </w:rPr>
        <w:t xml:space="preserve"> </w:t>
      </w:r>
      <w:r w:rsidRPr="005D0206">
        <w:rPr>
          <w:sz w:val="24"/>
          <w:lang w:val="en-US"/>
        </w:rPr>
        <w:t>C,</w:t>
      </w:r>
      <w:r w:rsidRPr="005D0206">
        <w:rPr>
          <w:spacing w:val="-15"/>
          <w:sz w:val="24"/>
          <w:lang w:val="en-US"/>
        </w:rPr>
        <w:t xml:space="preserve"> </w:t>
      </w:r>
      <w:r w:rsidRPr="005D0206">
        <w:rPr>
          <w:sz w:val="24"/>
          <w:lang w:val="en-US"/>
        </w:rPr>
        <w:t>Sainte-Rose</w:t>
      </w:r>
      <w:r w:rsidRPr="005D0206">
        <w:rPr>
          <w:spacing w:val="-16"/>
          <w:sz w:val="24"/>
          <w:lang w:val="en-US"/>
        </w:rPr>
        <w:t xml:space="preserve"> </w:t>
      </w:r>
      <w:r w:rsidRPr="005D0206">
        <w:rPr>
          <w:sz w:val="24"/>
          <w:lang w:val="en-US"/>
        </w:rPr>
        <w:t>C,</w:t>
      </w:r>
      <w:r w:rsidRPr="005D0206">
        <w:rPr>
          <w:spacing w:val="-17"/>
          <w:sz w:val="24"/>
          <w:lang w:val="en-US"/>
        </w:rPr>
        <w:t xml:space="preserve"> </w:t>
      </w:r>
      <w:r w:rsidRPr="005D0206">
        <w:rPr>
          <w:sz w:val="24"/>
          <w:lang w:val="en-US"/>
        </w:rPr>
        <w:t>Zucker</w:t>
      </w:r>
      <w:r w:rsidRPr="005D0206">
        <w:rPr>
          <w:spacing w:val="-16"/>
          <w:sz w:val="24"/>
          <w:lang w:val="en-US"/>
        </w:rPr>
        <w:t xml:space="preserve"> </w:t>
      </w:r>
      <w:r w:rsidRPr="005D0206">
        <w:rPr>
          <w:sz w:val="24"/>
          <w:lang w:val="en-US"/>
        </w:rPr>
        <w:t>JM,</w:t>
      </w:r>
      <w:r w:rsidRPr="005D0206">
        <w:rPr>
          <w:spacing w:val="-16"/>
          <w:sz w:val="24"/>
          <w:lang w:val="en-US"/>
        </w:rPr>
        <w:t xml:space="preserve"> </w:t>
      </w:r>
      <w:r w:rsidRPr="005D0206">
        <w:rPr>
          <w:sz w:val="24"/>
          <w:lang w:val="en-US"/>
        </w:rPr>
        <w:t>Hartmann</w:t>
      </w:r>
      <w:r w:rsidRPr="005D0206">
        <w:rPr>
          <w:spacing w:val="-15"/>
          <w:sz w:val="24"/>
          <w:lang w:val="en-US"/>
        </w:rPr>
        <w:t xml:space="preserve"> </w:t>
      </w:r>
      <w:r w:rsidRPr="005D0206">
        <w:rPr>
          <w:sz w:val="24"/>
          <w:lang w:val="en-US"/>
        </w:rPr>
        <w:t>O,</w:t>
      </w:r>
      <w:r w:rsidRPr="005D0206">
        <w:rPr>
          <w:spacing w:val="-16"/>
          <w:sz w:val="24"/>
          <w:lang w:val="en-US"/>
        </w:rPr>
        <w:t xml:space="preserve"> </w:t>
      </w:r>
      <w:r w:rsidRPr="005D0206">
        <w:rPr>
          <w:sz w:val="24"/>
          <w:lang w:val="en-US"/>
        </w:rPr>
        <w:t>Brauner</w:t>
      </w:r>
      <w:r w:rsidRPr="005D0206">
        <w:rPr>
          <w:spacing w:val="-16"/>
          <w:sz w:val="24"/>
          <w:lang w:val="en-US"/>
        </w:rPr>
        <w:t xml:space="preserve"> </w:t>
      </w:r>
      <w:r w:rsidRPr="005D0206">
        <w:rPr>
          <w:sz w:val="24"/>
          <w:lang w:val="en-US"/>
        </w:rPr>
        <w:t>R.</w:t>
      </w:r>
      <w:r w:rsidRPr="005D0206">
        <w:rPr>
          <w:spacing w:val="-16"/>
          <w:sz w:val="24"/>
          <w:lang w:val="en-US"/>
        </w:rPr>
        <w:t xml:space="preserve"> </w:t>
      </w:r>
      <w:r w:rsidRPr="005D0206">
        <w:rPr>
          <w:sz w:val="24"/>
          <w:lang w:val="en-US"/>
        </w:rPr>
        <w:t>GH</w:t>
      </w:r>
      <w:r w:rsidRPr="005D0206">
        <w:rPr>
          <w:spacing w:val="-14"/>
          <w:sz w:val="24"/>
          <w:lang w:val="en-US"/>
        </w:rPr>
        <w:t xml:space="preserve"> </w:t>
      </w:r>
      <w:r w:rsidRPr="005D0206">
        <w:rPr>
          <w:sz w:val="24"/>
          <w:lang w:val="en-US"/>
        </w:rPr>
        <w:t>deficiency</w:t>
      </w:r>
      <w:r w:rsidRPr="005D0206">
        <w:rPr>
          <w:spacing w:val="-18"/>
          <w:sz w:val="24"/>
          <w:lang w:val="en-US"/>
        </w:rPr>
        <w:t xml:space="preserve"> </w:t>
      </w:r>
      <w:r w:rsidRPr="005D0206">
        <w:rPr>
          <w:sz w:val="24"/>
          <w:lang w:val="en-US"/>
        </w:rPr>
        <w:t>caused by</w:t>
      </w:r>
      <w:r w:rsidRPr="005D0206">
        <w:rPr>
          <w:spacing w:val="-11"/>
          <w:sz w:val="24"/>
          <w:lang w:val="en-US"/>
        </w:rPr>
        <w:t xml:space="preserve"> </w:t>
      </w:r>
      <w:r w:rsidRPr="005D0206">
        <w:rPr>
          <w:sz w:val="24"/>
          <w:lang w:val="en-US"/>
        </w:rPr>
        <w:t>cranial</w:t>
      </w:r>
      <w:r w:rsidRPr="005D0206">
        <w:rPr>
          <w:spacing w:val="-7"/>
          <w:sz w:val="24"/>
          <w:lang w:val="en-US"/>
        </w:rPr>
        <w:t xml:space="preserve"> </w:t>
      </w:r>
      <w:r w:rsidRPr="005D0206">
        <w:rPr>
          <w:sz w:val="24"/>
          <w:lang w:val="en-US"/>
        </w:rPr>
        <w:t>irradiation</w:t>
      </w:r>
      <w:r w:rsidRPr="005D0206">
        <w:rPr>
          <w:spacing w:val="-5"/>
          <w:sz w:val="24"/>
          <w:lang w:val="en-US"/>
        </w:rPr>
        <w:t xml:space="preserve"> </w:t>
      </w:r>
      <w:r w:rsidRPr="005D0206">
        <w:rPr>
          <w:sz w:val="24"/>
          <w:lang w:val="en-US"/>
        </w:rPr>
        <w:t>during</w:t>
      </w:r>
      <w:r w:rsidRPr="005D0206">
        <w:rPr>
          <w:spacing w:val="-8"/>
          <w:sz w:val="24"/>
          <w:lang w:val="en-US"/>
        </w:rPr>
        <w:t xml:space="preserve"> </w:t>
      </w:r>
      <w:r w:rsidRPr="005D0206">
        <w:rPr>
          <w:sz w:val="24"/>
          <w:lang w:val="en-US"/>
        </w:rPr>
        <w:t>childhood:</w:t>
      </w:r>
      <w:r w:rsidRPr="005D0206">
        <w:rPr>
          <w:spacing w:val="-5"/>
          <w:sz w:val="24"/>
          <w:lang w:val="en-US"/>
        </w:rPr>
        <w:t xml:space="preserve"> </w:t>
      </w:r>
      <w:r w:rsidRPr="005D0206">
        <w:rPr>
          <w:sz w:val="24"/>
          <w:lang w:val="en-US"/>
        </w:rPr>
        <w:t>factors</w:t>
      </w:r>
      <w:r w:rsidRPr="005D0206">
        <w:rPr>
          <w:spacing w:val="-6"/>
          <w:sz w:val="24"/>
          <w:lang w:val="en-US"/>
        </w:rPr>
        <w:t xml:space="preserve"> </w:t>
      </w:r>
      <w:r w:rsidRPr="005D0206">
        <w:rPr>
          <w:sz w:val="24"/>
          <w:lang w:val="en-US"/>
        </w:rPr>
        <w:t>and</w:t>
      </w:r>
      <w:r w:rsidRPr="005D0206">
        <w:rPr>
          <w:spacing w:val="-4"/>
          <w:sz w:val="24"/>
          <w:lang w:val="en-US"/>
        </w:rPr>
        <w:t xml:space="preserve"> </w:t>
      </w:r>
      <w:r w:rsidRPr="005D0206">
        <w:rPr>
          <w:sz w:val="24"/>
          <w:lang w:val="en-US"/>
        </w:rPr>
        <w:t>markers</w:t>
      </w:r>
      <w:r w:rsidRPr="005D0206">
        <w:rPr>
          <w:spacing w:val="-7"/>
          <w:sz w:val="24"/>
          <w:lang w:val="en-US"/>
        </w:rPr>
        <w:t xml:space="preserve"> </w:t>
      </w:r>
      <w:r w:rsidRPr="005D0206">
        <w:rPr>
          <w:sz w:val="24"/>
          <w:lang w:val="en-US"/>
        </w:rPr>
        <w:t>in</w:t>
      </w:r>
      <w:r w:rsidRPr="005D0206">
        <w:rPr>
          <w:spacing w:val="-3"/>
          <w:sz w:val="24"/>
          <w:lang w:val="en-US"/>
        </w:rPr>
        <w:t xml:space="preserve"> </w:t>
      </w:r>
      <w:r w:rsidRPr="005D0206">
        <w:rPr>
          <w:sz w:val="24"/>
          <w:lang w:val="en-US"/>
        </w:rPr>
        <w:t>young</w:t>
      </w:r>
      <w:r w:rsidRPr="005D0206">
        <w:rPr>
          <w:spacing w:val="-8"/>
          <w:sz w:val="24"/>
          <w:lang w:val="en-US"/>
        </w:rPr>
        <w:t xml:space="preserve"> </w:t>
      </w:r>
      <w:r w:rsidRPr="005D0206">
        <w:rPr>
          <w:sz w:val="24"/>
          <w:lang w:val="en-US"/>
        </w:rPr>
        <w:t>adults.</w:t>
      </w:r>
      <w:r w:rsidRPr="005D0206">
        <w:rPr>
          <w:spacing w:val="-3"/>
          <w:sz w:val="24"/>
          <w:lang w:val="en-US"/>
        </w:rPr>
        <w:t xml:space="preserve"> </w:t>
      </w:r>
      <w:r>
        <w:rPr>
          <w:sz w:val="24"/>
        </w:rPr>
        <w:t>J</w:t>
      </w:r>
      <w:r>
        <w:rPr>
          <w:spacing w:val="-6"/>
          <w:sz w:val="24"/>
        </w:rPr>
        <w:t xml:space="preserve"> </w:t>
      </w:r>
      <w:r>
        <w:rPr>
          <w:sz w:val="24"/>
        </w:rPr>
        <w:t>Clin</w:t>
      </w:r>
      <w:r>
        <w:rPr>
          <w:spacing w:val="-8"/>
          <w:sz w:val="24"/>
        </w:rPr>
        <w:t xml:space="preserve"> </w:t>
      </w:r>
      <w:r>
        <w:rPr>
          <w:sz w:val="24"/>
        </w:rPr>
        <w:t>Endocrinol Metab.</w:t>
      </w:r>
      <w:r>
        <w:rPr>
          <w:spacing w:val="-1"/>
          <w:sz w:val="24"/>
        </w:rPr>
        <w:t xml:space="preserve"> </w:t>
      </w:r>
      <w:r>
        <w:rPr>
          <w:sz w:val="24"/>
        </w:rPr>
        <w:t>2001;86(11):5245-51.</w:t>
      </w:r>
    </w:p>
    <w:p w:rsidR="005C592B" w:rsidRDefault="005D0206">
      <w:pPr>
        <w:pStyle w:val="PargrafodaLista"/>
        <w:numPr>
          <w:ilvl w:val="0"/>
          <w:numId w:val="5"/>
        </w:numPr>
        <w:tabs>
          <w:tab w:val="left" w:pos="585"/>
        </w:tabs>
        <w:ind w:right="856" w:firstLine="0"/>
        <w:jc w:val="both"/>
        <w:rPr>
          <w:sz w:val="24"/>
        </w:rPr>
      </w:pPr>
      <w:r w:rsidRPr="005D0206">
        <w:rPr>
          <w:sz w:val="24"/>
          <w:lang w:val="en-US"/>
        </w:rPr>
        <w:t xml:space="preserve">Richmond EJ, Rogol AD. Growth hormone deficiency in children. </w:t>
      </w:r>
      <w:r>
        <w:rPr>
          <w:sz w:val="24"/>
        </w:rPr>
        <w:t>Pituitary. 2008;11(2):115-20.</w:t>
      </w:r>
    </w:p>
    <w:p w:rsidR="005C592B" w:rsidRDefault="005D0206">
      <w:pPr>
        <w:pStyle w:val="PargrafodaLista"/>
        <w:numPr>
          <w:ilvl w:val="0"/>
          <w:numId w:val="5"/>
        </w:numPr>
        <w:tabs>
          <w:tab w:val="left" w:pos="458"/>
        </w:tabs>
        <w:ind w:right="855" w:firstLine="0"/>
        <w:jc w:val="both"/>
        <w:rPr>
          <w:sz w:val="24"/>
        </w:rPr>
      </w:pPr>
      <w:r w:rsidRPr="005D0206">
        <w:rPr>
          <w:sz w:val="24"/>
          <w:lang w:val="en-US"/>
        </w:rPr>
        <w:t xml:space="preserve">Chen M, Gan D, Luo Y, Rampersad S, Xu </w:t>
      </w:r>
      <w:r w:rsidRPr="005D0206">
        <w:rPr>
          <w:spacing w:val="-3"/>
          <w:sz w:val="24"/>
          <w:lang w:val="en-US"/>
        </w:rPr>
        <w:t xml:space="preserve">L, </w:t>
      </w:r>
      <w:r w:rsidRPr="005D0206">
        <w:rPr>
          <w:sz w:val="24"/>
          <w:lang w:val="en-US"/>
        </w:rPr>
        <w:t xml:space="preserve">Yang S, </w:t>
      </w:r>
      <w:r w:rsidRPr="005D0206">
        <w:rPr>
          <w:spacing w:val="-3"/>
          <w:sz w:val="24"/>
          <w:lang w:val="en-US"/>
        </w:rPr>
        <w:t xml:space="preserve">Li </w:t>
      </w:r>
      <w:r w:rsidRPr="005D0206">
        <w:rPr>
          <w:sz w:val="24"/>
          <w:lang w:val="en-US"/>
        </w:rPr>
        <w:t xml:space="preserve">N, </w:t>
      </w:r>
      <w:r w:rsidRPr="005D0206">
        <w:rPr>
          <w:spacing w:val="-3"/>
          <w:sz w:val="24"/>
          <w:lang w:val="en-US"/>
        </w:rPr>
        <w:t xml:space="preserve">Li </w:t>
      </w:r>
      <w:r w:rsidRPr="005D0206">
        <w:rPr>
          <w:sz w:val="24"/>
          <w:lang w:val="en-US"/>
        </w:rPr>
        <w:t xml:space="preserve">H. Effect of recombinant human growth hormone therapy on blood lipid and carotid intima-media thickness in children with growth hormone deficiency. </w:t>
      </w:r>
      <w:r>
        <w:rPr>
          <w:sz w:val="24"/>
        </w:rPr>
        <w:t>Pediatr Res. 2018</w:t>
      </w:r>
      <w:r>
        <w:rPr>
          <w:spacing w:val="-3"/>
          <w:sz w:val="24"/>
        </w:rPr>
        <w:t xml:space="preserve"> </w:t>
      </w:r>
      <w:r>
        <w:rPr>
          <w:sz w:val="24"/>
        </w:rPr>
        <w:t>May;83(5):954-960.</w:t>
      </w:r>
    </w:p>
    <w:p w:rsidR="005C592B" w:rsidRDefault="005D0206">
      <w:pPr>
        <w:pStyle w:val="PargrafodaLista"/>
        <w:numPr>
          <w:ilvl w:val="0"/>
          <w:numId w:val="5"/>
        </w:numPr>
        <w:tabs>
          <w:tab w:val="left" w:pos="448"/>
        </w:tabs>
        <w:ind w:right="858" w:firstLine="0"/>
        <w:jc w:val="both"/>
        <w:rPr>
          <w:sz w:val="24"/>
        </w:rPr>
      </w:pPr>
      <w:r w:rsidRPr="005D0206">
        <w:rPr>
          <w:sz w:val="24"/>
          <w:lang w:val="en-US"/>
        </w:rPr>
        <w:t>Jallad RS, Bronstein MD. [Growth hormone deficiency in adulthood: how t</w:t>
      </w:r>
      <w:r w:rsidRPr="005D0206">
        <w:rPr>
          <w:sz w:val="24"/>
          <w:lang w:val="en-US"/>
        </w:rPr>
        <w:t xml:space="preserve">o diagnose and when to treat?]. </w:t>
      </w:r>
      <w:r>
        <w:rPr>
          <w:sz w:val="24"/>
        </w:rPr>
        <w:t>Arq Bras Endocrinol Metabol.</w:t>
      </w:r>
      <w:r>
        <w:rPr>
          <w:spacing w:val="-1"/>
          <w:sz w:val="24"/>
        </w:rPr>
        <w:t xml:space="preserve"> </w:t>
      </w:r>
      <w:r>
        <w:rPr>
          <w:sz w:val="24"/>
        </w:rPr>
        <w:t>2008;52(5):861-71.</w:t>
      </w:r>
    </w:p>
    <w:p w:rsidR="005C592B" w:rsidRDefault="005D0206">
      <w:pPr>
        <w:pStyle w:val="PargrafodaLista"/>
        <w:numPr>
          <w:ilvl w:val="0"/>
          <w:numId w:val="5"/>
        </w:numPr>
        <w:tabs>
          <w:tab w:val="left" w:pos="460"/>
        </w:tabs>
        <w:ind w:right="858" w:firstLine="0"/>
        <w:jc w:val="both"/>
        <w:rPr>
          <w:sz w:val="24"/>
        </w:rPr>
      </w:pPr>
      <w:r w:rsidRPr="005D0206">
        <w:rPr>
          <w:sz w:val="24"/>
          <w:lang w:val="en-US"/>
        </w:rPr>
        <w:t xml:space="preserve">Lindsay R, Feldkamp M, Harris D, Robertson J, Rallison M. Utah Growth Study: growth standards and the prevalence of growth hormone deficiency. </w:t>
      </w:r>
      <w:r>
        <w:rPr>
          <w:sz w:val="24"/>
        </w:rPr>
        <w:t>J Pediatr.</w:t>
      </w:r>
      <w:r>
        <w:rPr>
          <w:spacing w:val="-5"/>
          <w:sz w:val="24"/>
        </w:rPr>
        <w:t xml:space="preserve"> </w:t>
      </w:r>
      <w:r>
        <w:rPr>
          <w:sz w:val="24"/>
        </w:rPr>
        <w:t>1994;125(1):29-35.</w:t>
      </w:r>
    </w:p>
    <w:p w:rsidR="005C592B" w:rsidRDefault="005D0206">
      <w:pPr>
        <w:pStyle w:val="PargrafodaLista"/>
        <w:numPr>
          <w:ilvl w:val="0"/>
          <w:numId w:val="5"/>
        </w:numPr>
        <w:tabs>
          <w:tab w:val="left" w:pos="453"/>
        </w:tabs>
        <w:ind w:right="857" w:firstLine="0"/>
        <w:jc w:val="both"/>
        <w:rPr>
          <w:sz w:val="24"/>
        </w:rPr>
      </w:pPr>
      <w:r w:rsidRPr="005D0206">
        <w:rPr>
          <w:sz w:val="24"/>
          <w:lang w:val="en-US"/>
        </w:rPr>
        <w:t xml:space="preserve">de </w:t>
      </w:r>
      <w:r w:rsidRPr="005D0206">
        <w:rPr>
          <w:sz w:val="24"/>
          <w:lang w:val="en-US"/>
        </w:rPr>
        <w:t xml:space="preserve">Onis M, Onyango AW, Borghi E, Siyam A, Nishida C, Siekmann J. Development of a WHO growth reference for school-aged children and adolescents. </w:t>
      </w:r>
      <w:r>
        <w:rPr>
          <w:sz w:val="24"/>
        </w:rPr>
        <w:t>Bull World Health Organ. 2007;85(9):660-7.</w:t>
      </w:r>
    </w:p>
    <w:p w:rsidR="005C592B" w:rsidRDefault="005D0206">
      <w:pPr>
        <w:pStyle w:val="PargrafodaLista"/>
        <w:numPr>
          <w:ilvl w:val="0"/>
          <w:numId w:val="5"/>
        </w:numPr>
        <w:tabs>
          <w:tab w:val="left" w:pos="921"/>
        </w:tabs>
        <w:ind w:right="853" w:firstLine="0"/>
        <w:jc w:val="both"/>
        <w:rPr>
          <w:sz w:val="24"/>
        </w:rPr>
      </w:pPr>
      <w:r w:rsidRPr="005D0206">
        <w:rPr>
          <w:sz w:val="24"/>
          <w:lang w:val="en-US"/>
        </w:rPr>
        <w:t>Tanner JM, Davies PS. Clinical longitudinal standards for height and he</w:t>
      </w:r>
      <w:r w:rsidRPr="005D0206">
        <w:rPr>
          <w:sz w:val="24"/>
          <w:lang w:val="en-US"/>
        </w:rPr>
        <w:t xml:space="preserve">ight velocity for North American children. </w:t>
      </w:r>
      <w:r>
        <w:rPr>
          <w:sz w:val="24"/>
        </w:rPr>
        <w:t>J Pediatr.</w:t>
      </w:r>
      <w:r>
        <w:rPr>
          <w:spacing w:val="1"/>
          <w:sz w:val="24"/>
        </w:rPr>
        <w:t xml:space="preserve"> </w:t>
      </w:r>
      <w:r>
        <w:rPr>
          <w:sz w:val="24"/>
        </w:rPr>
        <w:t>1985;107(3):317-29.</w:t>
      </w:r>
    </w:p>
    <w:p w:rsidR="005C592B" w:rsidRDefault="005D0206">
      <w:pPr>
        <w:pStyle w:val="PargrafodaLista"/>
        <w:numPr>
          <w:ilvl w:val="0"/>
          <w:numId w:val="5"/>
        </w:numPr>
        <w:tabs>
          <w:tab w:val="left" w:pos="921"/>
        </w:tabs>
        <w:ind w:right="851" w:firstLine="0"/>
        <w:jc w:val="both"/>
        <w:rPr>
          <w:sz w:val="24"/>
        </w:rPr>
      </w:pPr>
      <w:r w:rsidRPr="005D0206">
        <w:rPr>
          <w:sz w:val="24"/>
          <w:lang w:val="en-US"/>
        </w:rPr>
        <w:t>Rosenfield</w:t>
      </w:r>
      <w:r w:rsidRPr="005D0206">
        <w:rPr>
          <w:spacing w:val="-7"/>
          <w:sz w:val="24"/>
          <w:lang w:val="en-US"/>
        </w:rPr>
        <w:t xml:space="preserve"> </w:t>
      </w:r>
      <w:r w:rsidRPr="005D0206">
        <w:rPr>
          <w:sz w:val="24"/>
          <w:lang w:val="en-US"/>
        </w:rPr>
        <w:t>R,</w:t>
      </w:r>
      <w:r w:rsidRPr="005D0206">
        <w:rPr>
          <w:spacing w:val="-9"/>
          <w:sz w:val="24"/>
          <w:lang w:val="en-US"/>
        </w:rPr>
        <w:t xml:space="preserve"> </w:t>
      </w:r>
      <w:r w:rsidRPr="005D0206">
        <w:rPr>
          <w:sz w:val="24"/>
          <w:lang w:val="en-US"/>
        </w:rPr>
        <w:t>Tanner</w:t>
      </w:r>
      <w:r w:rsidRPr="005D0206">
        <w:rPr>
          <w:spacing w:val="-9"/>
          <w:sz w:val="24"/>
          <w:lang w:val="en-US"/>
        </w:rPr>
        <w:t xml:space="preserve"> </w:t>
      </w:r>
      <w:r w:rsidRPr="005D0206">
        <w:rPr>
          <w:sz w:val="24"/>
          <w:lang w:val="en-US"/>
        </w:rPr>
        <w:t>J,</w:t>
      </w:r>
      <w:r w:rsidRPr="005D0206">
        <w:rPr>
          <w:spacing w:val="-9"/>
          <w:sz w:val="24"/>
          <w:lang w:val="en-US"/>
        </w:rPr>
        <w:t xml:space="preserve"> </w:t>
      </w:r>
      <w:r w:rsidRPr="005D0206">
        <w:rPr>
          <w:sz w:val="24"/>
          <w:lang w:val="en-US"/>
        </w:rPr>
        <w:t>Healy</w:t>
      </w:r>
      <w:r w:rsidRPr="005D0206">
        <w:rPr>
          <w:spacing w:val="-13"/>
          <w:sz w:val="24"/>
          <w:lang w:val="en-US"/>
        </w:rPr>
        <w:t xml:space="preserve"> </w:t>
      </w:r>
      <w:r w:rsidRPr="005D0206">
        <w:rPr>
          <w:sz w:val="24"/>
          <w:lang w:val="en-US"/>
        </w:rPr>
        <w:t>M,</w:t>
      </w:r>
      <w:r w:rsidRPr="005D0206">
        <w:rPr>
          <w:spacing w:val="-6"/>
          <w:sz w:val="24"/>
          <w:lang w:val="en-US"/>
        </w:rPr>
        <w:t xml:space="preserve"> </w:t>
      </w:r>
      <w:r w:rsidRPr="005D0206">
        <w:rPr>
          <w:sz w:val="24"/>
          <w:lang w:val="en-US"/>
        </w:rPr>
        <w:t>Zachman</w:t>
      </w:r>
      <w:r w:rsidRPr="005D0206">
        <w:rPr>
          <w:spacing w:val="-9"/>
          <w:sz w:val="24"/>
          <w:lang w:val="en-US"/>
        </w:rPr>
        <w:t xml:space="preserve"> </w:t>
      </w:r>
      <w:r w:rsidRPr="005D0206">
        <w:rPr>
          <w:sz w:val="24"/>
          <w:lang w:val="en-US"/>
        </w:rPr>
        <w:t>M,</w:t>
      </w:r>
      <w:r w:rsidRPr="005D0206">
        <w:rPr>
          <w:spacing w:val="-6"/>
          <w:sz w:val="24"/>
          <w:lang w:val="en-US"/>
        </w:rPr>
        <w:t xml:space="preserve"> </w:t>
      </w:r>
      <w:r w:rsidRPr="005D0206">
        <w:rPr>
          <w:sz w:val="24"/>
          <w:lang w:val="en-US"/>
        </w:rPr>
        <w:t>Blizzard</w:t>
      </w:r>
      <w:r w:rsidRPr="005D0206">
        <w:rPr>
          <w:spacing w:val="-8"/>
          <w:sz w:val="24"/>
          <w:lang w:val="en-US"/>
        </w:rPr>
        <w:t xml:space="preserve"> </w:t>
      </w:r>
      <w:r w:rsidRPr="005D0206">
        <w:rPr>
          <w:sz w:val="24"/>
          <w:lang w:val="en-US"/>
        </w:rPr>
        <w:t>R.</w:t>
      </w:r>
      <w:r w:rsidRPr="005D0206">
        <w:rPr>
          <w:spacing w:val="-9"/>
          <w:sz w:val="24"/>
          <w:lang w:val="en-US"/>
        </w:rPr>
        <w:t xml:space="preserve"> </w:t>
      </w:r>
      <w:r w:rsidRPr="005D0206">
        <w:rPr>
          <w:sz w:val="24"/>
          <w:lang w:val="en-US"/>
        </w:rPr>
        <w:t>Height</w:t>
      </w:r>
      <w:r w:rsidRPr="005D0206">
        <w:rPr>
          <w:spacing w:val="-8"/>
          <w:sz w:val="24"/>
          <w:lang w:val="en-US"/>
        </w:rPr>
        <w:t xml:space="preserve"> </w:t>
      </w:r>
      <w:r w:rsidRPr="005D0206">
        <w:rPr>
          <w:sz w:val="24"/>
          <w:lang w:val="en-US"/>
        </w:rPr>
        <w:t>and</w:t>
      </w:r>
      <w:r w:rsidRPr="005D0206">
        <w:rPr>
          <w:spacing w:val="-9"/>
          <w:sz w:val="24"/>
          <w:lang w:val="en-US"/>
        </w:rPr>
        <w:t xml:space="preserve"> </w:t>
      </w:r>
      <w:r w:rsidRPr="005D0206">
        <w:rPr>
          <w:sz w:val="24"/>
          <w:lang w:val="en-US"/>
        </w:rPr>
        <w:t>Height</w:t>
      </w:r>
      <w:r w:rsidRPr="005D0206">
        <w:rPr>
          <w:spacing w:val="-7"/>
          <w:sz w:val="24"/>
          <w:lang w:val="en-US"/>
        </w:rPr>
        <w:t xml:space="preserve"> </w:t>
      </w:r>
      <w:r w:rsidRPr="005D0206">
        <w:rPr>
          <w:sz w:val="24"/>
          <w:lang w:val="en-US"/>
        </w:rPr>
        <w:t xml:space="preserve">Velocity [letter]. </w:t>
      </w:r>
      <w:r>
        <w:rPr>
          <w:sz w:val="24"/>
        </w:rPr>
        <w:t>5(2):8-9. Growth, Genetics &amp; Hormones; 1988;</w:t>
      </w:r>
      <w:r>
        <w:rPr>
          <w:spacing w:val="2"/>
          <w:sz w:val="24"/>
        </w:rPr>
        <w:t xml:space="preserve"> </w:t>
      </w:r>
      <w:r>
        <w:rPr>
          <w:sz w:val="24"/>
        </w:rPr>
        <w:t>5(2):8-9.</w:t>
      </w:r>
    </w:p>
    <w:p w:rsidR="005C592B" w:rsidRDefault="005D0206">
      <w:pPr>
        <w:pStyle w:val="PargrafodaLista"/>
        <w:numPr>
          <w:ilvl w:val="0"/>
          <w:numId w:val="5"/>
        </w:numPr>
        <w:tabs>
          <w:tab w:val="left" w:pos="561"/>
        </w:tabs>
        <w:ind w:left="560" w:hanging="360"/>
        <w:jc w:val="both"/>
        <w:rPr>
          <w:sz w:val="24"/>
        </w:rPr>
      </w:pPr>
      <w:r w:rsidRPr="005D0206">
        <w:rPr>
          <w:sz w:val="24"/>
          <w:lang w:val="en-US"/>
        </w:rPr>
        <w:t>Grimberg et al. PES GH/IGF-I Guide</w:t>
      </w:r>
      <w:r w:rsidRPr="005D0206">
        <w:rPr>
          <w:sz w:val="24"/>
          <w:lang w:val="en-US"/>
        </w:rPr>
        <w:t xml:space="preserve">lines. </w:t>
      </w:r>
      <w:r>
        <w:rPr>
          <w:sz w:val="24"/>
        </w:rPr>
        <w:t>Horm Res Paediatr 2016;86:</w:t>
      </w:r>
      <w:r>
        <w:rPr>
          <w:spacing w:val="-7"/>
          <w:sz w:val="24"/>
        </w:rPr>
        <w:t xml:space="preserve"> </w:t>
      </w:r>
      <w:r>
        <w:rPr>
          <w:sz w:val="24"/>
        </w:rPr>
        <w:t>361–397.</w:t>
      </w:r>
    </w:p>
    <w:p w:rsidR="005C592B" w:rsidRDefault="005D0206">
      <w:pPr>
        <w:pStyle w:val="Corpodetexto"/>
        <w:ind w:right="855"/>
      </w:pPr>
      <w:r w:rsidRPr="005D0206">
        <w:rPr>
          <w:lang w:val="en-US"/>
        </w:rPr>
        <w:t>13 Paula LP, Czepielewski MA. [Evaluating diagnosis methods on childhood GH (DGH) deficiency:</w:t>
      </w:r>
      <w:r w:rsidRPr="005D0206">
        <w:rPr>
          <w:spacing w:val="-7"/>
          <w:lang w:val="en-US"/>
        </w:rPr>
        <w:t xml:space="preserve"> </w:t>
      </w:r>
      <w:r w:rsidRPr="005D0206">
        <w:rPr>
          <w:lang w:val="en-US"/>
        </w:rPr>
        <w:t>IGFs,</w:t>
      </w:r>
      <w:r w:rsidRPr="005D0206">
        <w:rPr>
          <w:spacing w:val="-7"/>
          <w:lang w:val="en-US"/>
        </w:rPr>
        <w:t xml:space="preserve"> </w:t>
      </w:r>
      <w:r w:rsidRPr="005D0206">
        <w:rPr>
          <w:lang w:val="en-US"/>
        </w:rPr>
        <w:t>IGFBPs,</w:t>
      </w:r>
      <w:r w:rsidRPr="005D0206">
        <w:rPr>
          <w:spacing w:val="-10"/>
          <w:lang w:val="en-US"/>
        </w:rPr>
        <w:t xml:space="preserve"> </w:t>
      </w:r>
      <w:r w:rsidRPr="005D0206">
        <w:rPr>
          <w:lang w:val="en-US"/>
        </w:rPr>
        <w:t>releasing</w:t>
      </w:r>
      <w:r w:rsidRPr="005D0206">
        <w:rPr>
          <w:spacing w:val="-11"/>
          <w:lang w:val="en-US"/>
        </w:rPr>
        <w:t xml:space="preserve"> </w:t>
      </w:r>
      <w:r w:rsidRPr="005D0206">
        <w:rPr>
          <w:lang w:val="en-US"/>
        </w:rPr>
        <w:t>tests,</w:t>
      </w:r>
      <w:r w:rsidRPr="005D0206">
        <w:rPr>
          <w:spacing w:val="-10"/>
          <w:lang w:val="en-US"/>
        </w:rPr>
        <w:t xml:space="preserve"> </w:t>
      </w:r>
      <w:r w:rsidRPr="005D0206">
        <w:rPr>
          <w:lang w:val="en-US"/>
        </w:rPr>
        <w:t>GH</w:t>
      </w:r>
      <w:r w:rsidRPr="005D0206">
        <w:rPr>
          <w:spacing w:val="-10"/>
          <w:lang w:val="en-US"/>
        </w:rPr>
        <w:t xml:space="preserve"> </w:t>
      </w:r>
      <w:r w:rsidRPr="005D0206">
        <w:rPr>
          <w:lang w:val="en-US"/>
        </w:rPr>
        <w:t>rhythm</w:t>
      </w:r>
      <w:r w:rsidRPr="005D0206">
        <w:rPr>
          <w:spacing w:val="-10"/>
          <w:lang w:val="en-US"/>
        </w:rPr>
        <w:t xml:space="preserve"> </w:t>
      </w:r>
      <w:r w:rsidRPr="005D0206">
        <w:rPr>
          <w:lang w:val="en-US"/>
        </w:rPr>
        <w:t>and</w:t>
      </w:r>
      <w:r w:rsidRPr="005D0206">
        <w:rPr>
          <w:spacing w:val="-11"/>
          <w:lang w:val="en-US"/>
        </w:rPr>
        <w:t xml:space="preserve"> </w:t>
      </w:r>
      <w:r w:rsidRPr="005D0206">
        <w:rPr>
          <w:lang w:val="en-US"/>
        </w:rPr>
        <w:t>image</w:t>
      </w:r>
      <w:r w:rsidRPr="005D0206">
        <w:rPr>
          <w:spacing w:val="-10"/>
          <w:lang w:val="en-US"/>
        </w:rPr>
        <w:t xml:space="preserve"> </w:t>
      </w:r>
      <w:r w:rsidRPr="005D0206">
        <w:rPr>
          <w:lang w:val="en-US"/>
        </w:rPr>
        <w:t>exams].</w:t>
      </w:r>
      <w:r w:rsidRPr="005D0206">
        <w:rPr>
          <w:spacing w:val="-10"/>
          <w:lang w:val="en-US"/>
        </w:rPr>
        <w:t xml:space="preserve"> </w:t>
      </w:r>
      <w:r>
        <w:t>Arq</w:t>
      </w:r>
      <w:r>
        <w:rPr>
          <w:spacing w:val="-10"/>
        </w:rPr>
        <w:t xml:space="preserve"> </w:t>
      </w:r>
      <w:r>
        <w:t>Bras</w:t>
      </w:r>
      <w:r>
        <w:rPr>
          <w:spacing w:val="-10"/>
        </w:rPr>
        <w:t xml:space="preserve"> </w:t>
      </w:r>
      <w:r>
        <w:t>Endocrinol Metabol.</w:t>
      </w:r>
      <w:r>
        <w:rPr>
          <w:spacing w:val="-2"/>
        </w:rPr>
        <w:t xml:space="preserve"> </w:t>
      </w:r>
      <w:r>
        <w:t>2008;52(5):734-44.</w:t>
      </w:r>
    </w:p>
    <w:p w:rsidR="005C592B" w:rsidRDefault="005D0206">
      <w:pPr>
        <w:pStyle w:val="PargrafodaLista"/>
        <w:numPr>
          <w:ilvl w:val="0"/>
          <w:numId w:val="4"/>
        </w:numPr>
        <w:tabs>
          <w:tab w:val="left" w:pos="921"/>
        </w:tabs>
        <w:ind w:right="853" w:firstLine="0"/>
        <w:jc w:val="both"/>
        <w:rPr>
          <w:sz w:val="24"/>
        </w:rPr>
      </w:pPr>
      <w:r w:rsidRPr="005D0206">
        <w:rPr>
          <w:sz w:val="24"/>
          <w:lang w:val="en-US"/>
        </w:rPr>
        <w:t xml:space="preserve">Growth Hormone Research Society. Consensus guidelines for the diagnosis and treatment of growth hormone (GH) deficiency in childhood and adolescence: summary statement of the GH Research Society. </w:t>
      </w:r>
      <w:r>
        <w:rPr>
          <w:sz w:val="24"/>
        </w:rPr>
        <w:t>J Clin Endocrinol Metab.</w:t>
      </w:r>
      <w:r>
        <w:rPr>
          <w:spacing w:val="-4"/>
          <w:sz w:val="24"/>
        </w:rPr>
        <w:t xml:space="preserve"> </w:t>
      </w:r>
      <w:r>
        <w:rPr>
          <w:sz w:val="24"/>
        </w:rPr>
        <w:t>2000;85(11):3990-3.</w:t>
      </w:r>
    </w:p>
    <w:p w:rsidR="005C592B" w:rsidRDefault="005C592B">
      <w:pPr>
        <w:jc w:val="both"/>
        <w:rPr>
          <w:sz w:val="24"/>
        </w:rPr>
        <w:sectPr w:rsidR="005C592B">
          <w:pgSz w:w="11900" w:h="16850"/>
          <w:pgMar w:top="1360" w:right="580" w:bottom="280" w:left="1240" w:header="720" w:footer="720" w:gutter="0"/>
          <w:cols w:space="720"/>
        </w:sectPr>
      </w:pPr>
    </w:p>
    <w:p w:rsidR="005C592B" w:rsidRDefault="005D0206">
      <w:pPr>
        <w:pStyle w:val="PargrafodaLista"/>
        <w:numPr>
          <w:ilvl w:val="0"/>
          <w:numId w:val="4"/>
        </w:numPr>
        <w:tabs>
          <w:tab w:val="left" w:pos="921"/>
        </w:tabs>
        <w:spacing w:before="71"/>
        <w:ind w:right="854" w:firstLine="0"/>
        <w:jc w:val="both"/>
        <w:rPr>
          <w:sz w:val="24"/>
        </w:rPr>
      </w:pPr>
      <w:r w:rsidRPr="005D0206">
        <w:rPr>
          <w:sz w:val="24"/>
          <w:lang w:val="en-US"/>
        </w:rPr>
        <w:lastRenderedPageBreak/>
        <w:t xml:space="preserve">Shalet SM, Toogood A, Rahim A, Brennan BM. The diagnosis of growth hormone deficiency in children and adults. </w:t>
      </w:r>
      <w:r>
        <w:rPr>
          <w:sz w:val="24"/>
        </w:rPr>
        <w:t>Endocr Rev.</w:t>
      </w:r>
      <w:r>
        <w:rPr>
          <w:spacing w:val="-5"/>
          <w:sz w:val="24"/>
        </w:rPr>
        <w:t xml:space="preserve"> </w:t>
      </w:r>
      <w:r>
        <w:rPr>
          <w:sz w:val="24"/>
        </w:rPr>
        <w:t>1998;19(2):203-23.</w:t>
      </w:r>
    </w:p>
    <w:p w:rsidR="005C592B" w:rsidRPr="005D0206" w:rsidRDefault="005D0206">
      <w:pPr>
        <w:pStyle w:val="PargrafodaLista"/>
        <w:numPr>
          <w:ilvl w:val="0"/>
          <w:numId w:val="4"/>
        </w:numPr>
        <w:tabs>
          <w:tab w:val="left" w:pos="921"/>
        </w:tabs>
        <w:ind w:right="852" w:firstLine="0"/>
        <w:jc w:val="both"/>
        <w:rPr>
          <w:sz w:val="24"/>
          <w:lang w:val="en-US"/>
        </w:rPr>
      </w:pPr>
      <w:r w:rsidRPr="005D0206">
        <w:rPr>
          <w:sz w:val="24"/>
          <w:lang w:val="en-US"/>
        </w:rPr>
        <w:t>Tauber M. Growth hormone testing in KIGS. In: Ranke MB, Price DA, Reiter EO, editors.</w:t>
      </w:r>
      <w:r w:rsidRPr="005D0206">
        <w:rPr>
          <w:spacing w:val="-8"/>
          <w:sz w:val="24"/>
          <w:lang w:val="en-US"/>
        </w:rPr>
        <w:t xml:space="preserve"> </w:t>
      </w:r>
      <w:r w:rsidRPr="005D0206">
        <w:rPr>
          <w:sz w:val="24"/>
          <w:lang w:val="en-US"/>
        </w:rPr>
        <w:t>Growth</w:t>
      </w:r>
      <w:r w:rsidRPr="005D0206">
        <w:rPr>
          <w:spacing w:val="-6"/>
          <w:sz w:val="24"/>
          <w:lang w:val="en-US"/>
        </w:rPr>
        <w:t xml:space="preserve"> </w:t>
      </w:r>
      <w:r w:rsidRPr="005D0206">
        <w:rPr>
          <w:sz w:val="24"/>
          <w:lang w:val="en-US"/>
        </w:rPr>
        <w:t>hormone</w:t>
      </w:r>
      <w:r w:rsidRPr="005D0206">
        <w:rPr>
          <w:spacing w:val="-4"/>
          <w:sz w:val="24"/>
          <w:lang w:val="en-US"/>
        </w:rPr>
        <w:t xml:space="preserve"> </w:t>
      </w:r>
      <w:r w:rsidRPr="005D0206">
        <w:rPr>
          <w:sz w:val="24"/>
          <w:lang w:val="en-US"/>
        </w:rPr>
        <w:t>therapy</w:t>
      </w:r>
      <w:r w:rsidRPr="005D0206">
        <w:rPr>
          <w:spacing w:val="-11"/>
          <w:sz w:val="24"/>
          <w:lang w:val="en-US"/>
        </w:rPr>
        <w:t xml:space="preserve"> </w:t>
      </w:r>
      <w:r w:rsidRPr="005D0206">
        <w:rPr>
          <w:sz w:val="24"/>
          <w:lang w:val="en-US"/>
        </w:rPr>
        <w:t>in</w:t>
      </w:r>
      <w:r w:rsidRPr="005D0206">
        <w:rPr>
          <w:spacing w:val="-6"/>
          <w:sz w:val="24"/>
          <w:lang w:val="en-US"/>
        </w:rPr>
        <w:t xml:space="preserve"> </w:t>
      </w:r>
      <w:r w:rsidRPr="005D0206">
        <w:rPr>
          <w:sz w:val="24"/>
          <w:lang w:val="en-US"/>
        </w:rPr>
        <w:t>ped</w:t>
      </w:r>
      <w:r w:rsidRPr="005D0206">
        <w:rPr>
          <w:sz w:val="24"/>
          <w:lang w:val="en-US"/>
        </w:rPr>
        <w:t>iatrics</w:t>
      </w:r>
      <w:r w:rsidRPr="005D0206">
        <w:rPr>
          <w:spacing w:val="-6"/>
          <w:sz w:val="24"/>
          <w:lang w:val="en-US"/>
        </w:rPr>
        <w:t xml:space="preserve"> </w:t>
      </w:r>
      <w:r w:rsidRPr="005D0206">
        <w:rPr>
          <w:sz w:val="24"/>
          <w:lang w:val="en-US"/>
        </w:rPr>
        <w:t>–</w:t>
      </w:r>
      <w:r w:rsidRPr="005D0206">
        <w:rPr>
          <w:spacing w:val="-6"/>
          <w:sz w:val="24"/>
          <w:lang w:val="en-US"/>
        </w:rPr>
        <w:t xml:space="preserve"> </w:t>
      </w:r>
      <w:r w:rsidRPr="005D0206">
        <w:rPr>
          <w:sz w:val="24"/>
          <w:lang w:val="en-US"/>
        </w:rPr>
        <w:t>20</w:t>
      </w:r>
      <w:r w:rsidRPr="005D0206">
        <w:rPr>
          <w:spacing w:val="-5"/>
          <w:sz w:val="24"/>
          <w:lang w:val="en-US"/>
        </w:rPr>
        <w:t xml:space="preserve"> </w:t>
      </w:r>
      <w:r w:rsidRPr="005D0206">
        <w:rPr>
          <w:sz w:val="24"/>
          <w:lang w:val="en-US"/>
        </w:rPr>
        <w:t>years</w:t>
      </w:r>
      <w:r w:rsidRPr="005D0206">
        <w:rPr>
          <w:spacing w:val="-6"/>
          <w:sz w:val="24"/>
          <w:lang w:val="en-US"/>
        </w:rPr>
        <w:t xml:space="preserve"> </w:t>
      </w:r>
      <w:r w:rsidRPr="005D0206">
        <w:rPr>
          <w:sz w:val="24"/>
          <w:lang w:val="en-US"/>
        </w:rPr>
        <w:t>of</w:t>
      </w:r>
      <w:r w:rsidRPr="005D0206">
        <w:rPr>
          <w:spacing w:val="-7"/>
          <w:sz w:val="24"/>
          <w:lang w:val="en-US"/>
        </w:rPr>
        <w:t xml:space="preserve"> </w:t>
      </w:r>
      <w:r w:rsidRPr="005D0206">
        <w:rPr>
          <w:sz w:val="24"/>
          <w:lang w:val="en-US"/>
        </w:rPr>
        <w:t>KIGS.</w:t>
      </w:r>
      <w:r w:rsidRPr="005D0206">
        <w:rPr>
          <w:spacing w:val="-3"/>
          <w:sz w:val="24"/>
          <w:lang w:val="en-US"/>
        </w:rPr>
        <w:t xml:space="preserve"> </w:t>
      </w:r>
      <w:r w:rsidRPr="005D0206">
        <w:rPr>
          <w:sz w:val="24"/>
          <w:lang w:val="en-US"/>
        </w:rPr>
        <w:t>Basel:</w:t>
      </w:r>
      <w:r w:rsidRPr="005D0206">
        <w:rPr>
          <w:spacing w:val="-3"/>
          <w:sz w:val="24"/>
          <w:lang w:val="en-US"/>
        </w:rPr>
        <w:t xml:space="preserve"> </w:t>
      </w:r>
      <w:r w:rsidRPr="005D0206">
        <w:rPr>
          <w:sz w:val="24"/>
          <w:lang w:val="en-US"/>
        </w:rPr>
        <w:t>Karger;</w:t>
      </w:r>
      <w:r w:rsidRPr="005D0206">
        <w:rPr>
          <w:spacing w:val="-6"/>
          <w:sz w:val="24"/>
          <w:lang w:val="en-US"/>
        </w:rPr>
        <w:t xml:space="preserve"> </w:t>
      </w:r>
      <w:r w:rsidRPr="005D0206">
        <w:rPr>
          <w:sz w:val="24"/>
          <w:lang w:val="en-US"/>
        </w:rPr>
        <w:t>2007.</w:t>
      </w:r>
      <w:r w:rsidRPr="005D0206">
        <w:rPr>
          <w:spacing w:val="-6"/>
          <w:sz w:val="24"/>
          <w:lang w:val="en-US"/>
        </w:rPr>
        <w:t xml:space="preserve"> </w:t>
      </w:r>
      <w:r w:rsidRPr="005D0206">
        <w:rPr>
          <w:sz w:val="24"/>
          <w:lang w:val="en-US"/>
        </w:rPr>
        <w:t>p.</w:t>
      </w:r>
      <w:r w:rsidRPr="005D0206">
        <w:rPr>
          <w:spacing w:val="-7"/>
          <w:sz w:val="24"/>
          <w:lang w:val="en-US"/>
        </w:rPr>
        <w:t xml:space="preserve"> </w:t>
      </w:r>
      <w:r w:rsidRPr="005D0206">
        <w:rPr>
          <w:sz w:val="24"/>
          <w:lang w:val="en-US"/>
        </w:rPr>
        <w:t>54- 85.</w:t>
      </w:r>
    </w:p>
    <w:p w:rsidR="005C592B" w:rsidRPr="005D0206" w:rsidRDefault="005D0206">
      <w:pPr>
        <w:pStyle w:val="PargrafodaLista"/>
        <w:numPr>
          <w:ilvl w:val="0"/>
          <w:numId w:val="4"/>
        </w:numPr>
        <w:tabs>
          <w:tab w:val="left" w:pos="921"/>
        </w:tabs>
        <w:ind w:right="853" w:firstLine="0"/>
        <w:jc w:val="both"/>
        <w:rPr>
          <w:sz w:val="24"/>
          <w:lang w:val="en-US"/>
        </w:rPr>
      </w:pPr>
      <w:r w:rsidRPr="005D0206">
        <w:rPr>
          <w:sz w:val="24"/>
          <w:lang w:val="en-US"/>
        </w:rPr>
        <w:t>Tanner JM. Growth at adolescence. 2nd ed. Oxford: Blackwell field, IL: Charles C Thomas; 1962.</w:t>
      </w:r>
    </w:p>
    <w:p w:rsidR="005C592B" w:rsidRPr="005D0206" w:rsidRDefault="005D0206">
      <w:pPr>
        <w:pStyle w:val="PargrafodaLista"/>
        <w:numPr>
          <w:ilvl w:val="0"/>
          <w:numId w:val="4"/>
        </w:numPr>
        <w:tabs>
          <w:tab w:val="left" w:pos="921"/>
        </w:tabs>
        <w:ind w:right="853" w:firstLine="0"/>
        <w:jc w:val="both"/>
        <w:rPr>
          <w:sz w:val="24"/>
          <w:lang w:val="en-US"/>
        </w:rPr>
      </w:pPr>
      <w:r w:rsidRPr="005D0206">
        <w:rPr>
          <w:sz w:val="24"/>
          <w:lang w:val="en-US"/>
        </w:rPr>
        <w:t>Carel JC, Léger J. Clinical practice. Precocious puberty. N Engl J Med. 2008;358(22):2366-77.</w:t>
      </w:r>
    </w:p>
    <w:p w:rsidR="005C592B" w:rsidRDefault="005D0206">
      <w:pPr>
        <w:pStyle w:val="PargrafodaLista"/>
        <w:numPr>
          <w:ilvl w:val="0"/>
          <w:numId w:val="4"/>
        </w:numPr>
        <w:tabs>
          <w:tab w:val="left" w:pos="921"/>
        </w:tabs>
        <w:ind w:right="856" w:firstLine="0"/>
        <w:jc w:val="both"/>
        <w:rPr>
          <w:sz w:val="24"/>
        </w:rPr>
      </w:pPr>
      <w:r>
        <w:rPr>
          <w:sz w:val="24"/>
        </w:rPr>
        <w:t>Martine</w:t>
      </w:r>
      <w:r>
        <w:rPr>
          <w:sz w:val="24"/>
        </w:rPr>
        <w:t xml:space="preserve">z AS, Domené HM, Ropelato MG, Jasper HG, Pennisi PA, Escobar ME, et al. </w:t>
      </w:r>
      <w:r w:rsidRPr="005D0206">
        <w:rPr>
          <w:sz w:val="24"/>
          <w:lang w:val="en-US"/>
        </w:rPr>
        <w:t xml:space="preserve">Estrogen priming effect on growth hormone (GH) provocative test: a useful tool for the diagnosis of GH deficiency. </w:t>
      </w:r>
      <w:r>
        <w:rPr>
          <w:sz w:val="24"/>
        </w:rPr>
        <w:t>J Clin Endocrinol Metab.</w:t>
      </w:r>
      <w:r>
        <w:rPr>
          <w:spacing w:val="-2"/>
          <w:sz w:val="24"/>
        </w:rPr>
        <w:t xml:space="preserve"> </w:t>
      </w:r>
      <w:r>
        <w:rPr>
          <w:sz w:val="24"/>
        </w:rPr>
        <w:t>2000;85(11):4168-72.</w:t>
      </w:r>
    </w:p>
    <w:p w:rsidR="005C592B" w:rsidRDefault="005D0206">
      <w:pPr>
        <w:pStyle w:val="PargrafodaLista"/>
        <w:numPr>
          <w:ilvl w:val="0"/>
          <w:numId w:val="4"/>
        </w:numPr>
        <w:tabs>
          <w:tab w:val="left" w:pos="921"/>
        </w:tabs>
        <w:spacing w:before="1"/>
        <w:ind w:right="855" w:firstLine="0"/>
        <w:jc w:val="both"/>
        <w:rPr>
          <w:sz w:val="24"/>
        </w:rPr>
      </w:pPr>
      <w:r w:rsidRPr="005D0206">
        <w:rPr>
          <w:sz w:val="24"/>
          <w:lang w:val="en-US"/>
        </w:rPr>
        <w:t>Reed ML, Merriam GR, Ka</w:t>
      </w:r>
      <w:r w:rsidRPr="005D0206">
        <w:rPr>
          <w:sz w:val="24"/>
          <w:lang w:val="en-US"/>
        </w:rPr>
        <w:t xml:space="preserve">rgi AY. Adult growth hormone deficiency - benefits, side effects, and risks of growth hormone replacement. </w:t>
      </w:r>
      <w:r>
        <w:rPr>
          <w:sz w:val="24"/>
        </w:rPr>
        <w:t>Front Endocrinol (Lausanne).</w:t>
      </w:r>
      <w:r>
        <w:rPr>
          <w:spacing w:val="-8"/>
          <w:sz w:val="24"/>
        </w:rPr>
        <w:t xml:space="preserve"> </w:t>
      </w:r>
      <w:r>
        <w:rPr>
          <w:sz w:val="24"/>
        </w:rPr>
        <w:t>2013;4:64.</w:t>
      </w:r>
    </w:p>
    <w:p w:rsidR="005C592B" w:rsidRDefault="005D0206">
      <w:pPr>
        <w:pStyle w:val="PargrafodaLista"/>
        <w:numPr>
          <w:ilvl w:val="0"/>
          <w:numId w:val="4"/>
        </w:numPr>
        <w:tabs>
          <w:tab w:val="left" w:pos="921"/>
        </w:tabs>
        <w:ind w:right="846" w:firstLine="0"/>
        <w:jc w:val="both"/>
        <w:rPr>
          <w:sz w:val="24"/>
        </w:rPr>
      </w:pPr>
      <w:r w:rsidRPr="005D0206">
        <w:rPr>
          <w:sz w:val="24"/>
          <w:lang w:val="en-US"/>
        </w:rPr>
        <w:t xml:space="preserve">Guidelines for the use of growth hormone in children with short stature. A report </w:t>
      </w:r>
      <w:r w:rsidRPr="005D0206">
        <w:rPr>
          <w:spacing w:val="4"/>
          <w:sz w:val="24"/>
          <w:lang w:val="en-US"/>
        </w:rPr>
        <w:t xml:space="preserve">by </w:t>
      </w:r>
      <w:r w:rsidRPr="005D0206">
        <w:rPr>
          <w:sz w:val="24"/>
          <w:lang w:val="en-US"/>
        </w:rPr>
        <w:t xml:space="preserve">the Drug and Therapeutics Committee of the Lawson Wilkins Pediatric Endocrine Society. </w:t>
      </w:r>
      <w:r>
        <w:rPr>
          <w:sz w:val="24"/>
        </w:rPr>
        <w:t>J Pediatr.</w:t>
      </w:r>
      <w:r>
        <w:rPr>
          <w:spacing w:val="-1"/>
          <w:sz w:val="24"/>
        </w:rPr>
        <w:t xml:space="preserve"> </w:t>
      </w:r>
      <w:r>
        <w:rPr>
          <w:sz w:val="24"/>
        </w:rPr>
        <w:t>1995;127(6):857-67.</w:t>
      </w:r>
    </w:p>
    <w:p w:rsidR="005C592B" w:rsidRDefault="005D0206">
      <w:pPr>
        <w:pStyle w:val="PargrafodaLista"/>
        <w:numPr>
          <w:ilvl w:val="0"/>
          <w:numId w:val="4"/>
        </w:numPr>
        <w:tabs>
          <w:tab w:val="left" w:pos="921"/>
        </w:tabs>
        <w:ind w:right="853" w:firstLine="0"/>
        <w:jc w:val="both"/>
        <w:rPr>
          <w:sz w:val="24"/>
        </w:rPr>
      </w:pPr>
      <w:r w:rsidRPr="005D0206">
        <w:rPr>
          <w:sz w:val="24"/>
          <w:lang w:val="en-US"/>
        </w:rPr>
        <w:t xml:space="preserve">Blethen SL, Allen DB, Graves D, August G, Moshang T, Rosenfeld R. Safety of recombinant deoxyribonucleic acid-derived growth hormone: The </w:t>
      </w:r>
      <w:r w:rsidRPr="005D0206">
        <w:rPr>
          <w:sz w:val="24"/>
          <w:lang w:val="en-US"/>
        </w:rPr>
        <w:t xml:space="preserve">National Cooperative Growth Study experience. </w:t>
      </w:r>
      <w:r>
        <w:rPr>
          <w:sz w:val="24"/>
        </w:rPr>
        <w:t>J Clin Endocrinol Metab.</w:t>
      </w:r>
      <w:r>
        <w:rPr>
          <w:spacing w:val="-6"/>
          <w:sz w:val="24"/>
        </w:rPr>
        <w:t xml:space="preserve"> </w:t>
      </w:r>
      <w:r>
        <w:rPr>
          <w:sz w:val="24"/>
        </w:rPr>
        <w:t>1996;81(5):1704-10.</w:t>
      </w:r>
    </w:p>
    <w:p w:rsidR="005C592B" w:rsidRDefault="005D0206">
      <w:pPr>
        <w:pStyle w:val="PargrafodaLista"/>
        <w:numPr>
          <w:ilvl w:val="0"/>
          <w:numId w:val="4"/>
        </w:numPr>
        <w:tabs>
          <w:tab w:val="left" w:pos="599"/>
        </w:tabs>
        <w:ind w:right="849" w:firstLine="0"/>
        <w:jc w:val="both"/>
        <w:rPr>
          <w:sz w:val="24"/>
        </w:rPr>
      </w:pPr>
      <w:r w:rsidRPr="005D0206">
        <w:rPr>
          <w:sz w:val="24"/>
          <w:lang w:val="en-US"/>
        </w:rPr>
        <w:t>Vuralli D, Gonc EN, Ozon ZA, Alikasifoglu A, Kandemir N. Clinical and laboratory parameters predicting a requirement for the reevaluation of growth hormone status du</w:t>
      </w:r>
      <w:r w:rsidRPr="005D0206">
        <w:rPr>
          <w:sz w:val="24"/>
          <w:lang w:val="en-US"/>
        </w:rPr>
        <w:t xml:space="preserve">ring growth hormone treatment: Retesting early in the course of GH treatment. </w:t>
      </w:r>
      <w:r>
        <w:rPr>
          <w:sz w:val="24"/>
        </w:rPr>
        <w:t>Growth Horm IGF Res. 2017</w:t>
      </w:r>
      <w:r>
        <w:rPr>
          <w:spacing w:val="-1"/>
          <w:sz w:val="24"/>
        </w:rPr>
        <w:t xml:space="preserve"> </w:t>
      </w:r>
      <w:r>
        <w:rPr>
          <w:sz w:val="24"/>
        </w:rPr>
        <w:t>Jun;34:31-37</w:t>
      </w:r>
    </w:p>
    <w:p w:rsidR="005C592B" w:rsidRDefault="005D0206">
      <w:pPr>
        <w:pStyle w:val="PargrafodaLista"/>
        <w:numPr>
          <w:ilvl w:val="0"/>
          <w:numId w:val="4"/>
        </w:numPr>
        <w:tabs>
          <w:tab w:val="left" w:pos="921"/>
        </w:tabs>
        <w:spacing w:before="1"/>
        <w:ind w:right="851" w:firstLine="0"/>
        <w:jc w:val="both"/>
        <w:rPr>
          <w:sz w:val="24"/>
        </w:rPr>
      </w:pPr>
      <w:r w:rsidRPr="005D0206">
        <w:rPr>
          <w:sz w:val="24"/>
          <w:lang w:val="en-US"/>
        </w:rPr>
        <w:t xml:space="preserve">Hintz RL. The prismatic case of Creutzfeldt-Jakob disease associated with pituitary growth hormone treatment. </w:t>
      </w:r>
      <w:r>
        <w:rPr>
          <w:sz w:val="24"/>
        </w:rPr>
        <w:t>J Clin Endocrinol Metab.</w:t>
      </w:r>
      <w:r>
        <w:rPr>
          <w:spacing w:val="-3"/>
          <w:sz w:val="24"/>
        </w:rPr>
        <w:t xml:space="preserve"> </w:t>
      </w:r>
      <w:r>
        <w:rPr>
          <w:sz w:val="24"/>
        </w:rPr>
        <w:t>1995;80(8):2298-301.</w:t>
      </w:r>
    </w:p>
    <w:p w:rsidR="005C592B" w:rsidRDefault="005D0206">
      <w:pPr>
        <w:pStyle w:val="PargrafodaLista"/>
        <w:numPr>
          <w:ilvl w:val="0"/>
          <w:numId w:val="4"/>
        </w:numPr>
        <w:tabs>
          <w:tab w:val="left" w:pos="921"/>
        </w:tabs>
        <w:ind w:right="855" w:firstLine="0"/>
        <w:jc w:val="both"/>
        <w:rPr>
          <w:sz w:val="24"/>
        </w:rPr>
      </w:pPr>
      <w:r w:rsidRPr="005D0206">
        <w:rPr>
          <w:sz w:val="24"/>
          <w:lang w:val="en-US"/>
        </w:rPr>
        <w:t xml:space="preserve">Vance ML, Mauras N. Growth hormone therapy in adults and children. </w:t>
      </w:r>
      <w:r>
        <w:rPr>
          <w:sz w:val="24"/>
        </w:rPr>
        <w:t>N Engl J</w:t>
      </w:r>
      <w:r>
        <w:rPr>
          <w:spacing w:val="-19"/>
          <w:sz w:val="24"/>
        </w:rPr>
        <w:t xml:space="preserve"> </w:t>
      </w:r>
      <w:r>
        <w:rPr>
          <w:sz w:val="24"/>
        </w:rPr>
        <w:t>Med. 1999;341(16):1206-16.</w:t>
      </w:r>
    </w:p>
    <w:p w:rsidR="005C592B" w:rsidRDefault="005D0206">
      <w:pPr>
        <w:pStyle w:val="PargrafodaLista"/>
        <w:numPr>
          <w:ilvl w:val="0"/>
          <w:numId w:val="4"/>
        </w:numPr>
        <w:tabs>
          <w:tab w:val="left" w:pos="921"/>
        </w:tabs>
        <w:ind w:right="852" w:firstLine="0"/>
        <w:jc w:val="both"/>
        <w:rPr>
          <w:sz w:val="24"/>
        </w:rPr>
      </w:pPr>
      <w:r w:rsidRPr="005D0206">
        <w:rPr>
          <w:sz w:val="24"/>
          <w:lang w:val="en-US"/>
        </w:rPr>
        <w:t>Takeda A, Cooper K, Bird A, Baxter L, Frampton GK, Gospodarevskaya E, et al. Recombinant human growth hormone for the treatment of g</w:t>
      </w:r>
      <w:r w:rsidRPr="005D0206">
        <w:rPr>
          <w:sz w:val="24"/>
          <w:lang w:val="en-US"/>
        </w:rPr>
        <w:t>rowth disorders in children: a systematic</w:t>
      </w:r>
      <w:r w:rsidRPr="005D0206">
        <w:rPr>
          <w:spacing w:val="-10"/>
          <w:sz w:val="24"/>
          <w:lang w:val="en-US"/>
        </w:rPr>
        <w:t xml:space="preserve"> </w:t>
      </w:r>
      <w:r w:rsidRPr="005D0206">
        <w:rPr>
          <w:sz w:val="24"/>
          <w:lang w:val="en-US"/>
        </w:rPr>
        <w:t>review</w:t>
      </w:r>
      <w:r w:rsidRPr="005D0206">
        <w:rPr>
          <w:spacing w:val="-7"/>
          <w:sz w:val="24"/>
          <w:lang w:val="en-US"/>
        </w:rPr>
        <w:t xml:space="preserve"> </w:t>
      </w:r>
      <w:r w:rsidRPr="005D0206">
        <w:rPr>
          <w:sz w:val="24"/>
          <w:lang w:val="en-US"/>
        </w:rPr>
        <w:t>and</w:t>
      </w:r>
      <w:r w:rsidRPr="005D0206">
        <w:rPr>
          <w:spacing w:val="-9"/>
          <w:sz w:val="24"/>
          <w:lang w:val="en-US"/>
        </w:rPr>
        <w:t xml:space="preserve"> </w:t>
      </w:r>
      <w:r w:rsidRPr="005D0206">
        <w:rPr>
          <w:sz w:val="24"/>
          <w:lang w:val="en-US"/>
        </w:rPr>
        <w:t>economic</w:t>
      </w:r>
      <w:r w:rsidRPr="005D0206">
        <w:rPr>
          <w:spacing w:val="-10"/>
          <w:sz w:val="24"/>
          <w:lang w:val="en-US"/>
        </w:rPr>
        <w:t xml:space="preserve"> </w:t>
      </w:r>
      <w:r w:rsidRPr="005D0206">
        <w:rPr>
          <w:sz w:val="24"/>
          <w:lang w:val="en-US"/>
        </w:rPr>
        <w:t>evaluation.</w:t>
      </w:r>
      <w:r w:rsidRPr="005D0206">
        <w:rPr>
          <w:spacing w:val="-8"/>
          <w:sz w:val="24"/>
          <w:lang w:val="en-US"/>
        </w:rPr>
        <w:t xml:space="preserve"> </w:t>
      </w:r>
      <w:r>
        <w:rPr>
          <w:sz w:val="24"/>
        </w:rPr>
        <w:t>Health</w:t>
      </w:r>
      <w:r>
        <w:rPr>
          <w:spacing w:val="-9"/>
          <w:sz w:val="24"/>
        </w:rPr>
        <w:t xml:space="preserve"> </w:t>
      </w:r>
      <w:r>
        <w:rPr>
          <w:sz w:val="24"/>
        </w:rPr>
        <w:t>Technol</w:t>
      </w:r>
      <w:r>
        <w:rPr>
          <w:spacing w:val="-8"/>
          <w:sz w:val="24"/>
        </w:rPr>
        <w:t xml:space="preserve"> </w:t>
      </w:r>
      <w:r>
        <w:rPr>
          <w:sz w:val="24"/>
        </w:rPr>
        <w:t>Assess.</w:t>
      </w:r>
      <w:r>
        <w:rPr>
          <w:spacing w:val="-9"/>
          <w:sz w:val="24"/>
        </w:rPr>
        <w:t xml:space="preserve"> </w:t>
      </w:r>
      <w:r>
        <w:rPr>
          <w:sz w:val="24"/>
        </w:rPr>
        <w:t>2010;14(42):1-209,</w:t>
      </w:r>
      <w:r>
        <w:rPr>
          <w:spacing w:val="-8"/>
          <w:sz w:val="24"/>
        </w:rPr>
        <w:t xml:space="preserve"> </w:t>
      </w:r>
      <w:r>
        <w:rPr>
          <w:sz w:val="24"/>
        </w:rPr>
        <w:t>iii-iv.</w:t>
      </w:r>
    </w:p>
    <w:p w:rsidR="005C592B" w:rsidRDefault="005D0206">
      <w:pPr>
        <w:pStyle w:val="PargrafodaLista"/>
        <w:numPr>
          <w:ilvl w:val="0"/>
          <w:numId w:val="4"/>
        </w:numPr>
        <w:tabs>
          <w:tab w:val="left" w:pos="921"/>
        </w:tabs>
        <w:ind w:right="852" w:firstLine="0"/>
        <w:jc w:val="both"/>
        <w:rPr>
          <w:sz w:val="24"/>
        </w:rPr>
      </w:pPr>
      <w:r w:rsidRPr="005D0206">
        <w:rPr>
          <w:sz w:val="24"/>
          <w:lang w:val="en-US"/>
        </w:rPr>
        <w:t>Soliman AT, abdul Khadir MM. Growth parameters and predictors of growth in short children with and without growth hormone (GH) defic</w:t>
      </w:r>
      <w:r w:rsidRPr="005D0206">
        <w:rPr>
          <w:sz w:val="24"/>
          <w:lang w:val="en-US"/>
        </w:rPr>
        <w:t xml:space="preserve">iency treated with human GH: a randomized controlled study. </w:t>
      </w:r>
      <w:r>
        <w:rPr>
          <w:sz w:val="24"/>
        </w:rPr>
        <w:t>J Trop Pediatr.</w:t>
      </w:r>
      <w:r>
        <w:rPr>
          <w:spacing w:val="1"/>
          <w:sz w:val="24"/>
        </w:rPr>
        <w:t xml:space="preserve"> </w:t>
      </w:r>
      <w:r>
        <w:rPr>
          <w:sz w:val="24"/>
        </w:rPr>
        <w:t>1996;42(5):281-6.</w:t>
      </w:r>
    </w:p>
    <w:p w:rsidR="005C592B" w:rsidRDefault="005D0206">
      <w:pPr>
        <w:pStyle w:val="PargrafodaLista"/>
        <w:numPr>
          <w:ilvl w:val="0"/>
          <w:numId w:val="4"/>
        </w:numPr>
        <w:tabs>
          <w:tab w:val="left" w:pos="921"/>
        </w:tabs>
        <w:ind w:right="854" w:firstLine="0"/>
        <w:jc w:val="both"/>
        <w:rPr>
          <w:sz w:val="24"/>
        </w:rPr>
      </w:pPr>
      <w:r w:rsidRPr="005D0206">
        <w:rPr>
          <w:sz w:val="24"/>
          <w:lang w:val="en-US"/>
        </w:rPr>
        <w:t>Sas TC, de Ridder MA, Wit JM, Rotteveel J, Oostdijk W, Reeser HM, et al. Adult height</w:t>
      </w:r>
      <w:r w:rsidRPr="005D0206">
        <w:rPr>
          <w:spacing w:val="-11"/>
          <w:sz w:val="24"/>
          <w:lang w:val="en-US"/>
        </w:rPr>
        <w:t xml:space="preserve"> </w:t>
      </w:r>
      <w:r w:rsidRPr="005D0206">
        <w:rPr>
          <w:sz w:val="24"/>
          <w:lang w:val="en-US"/>
        </w:rPr>
        <w:t>in</w:t>
      </w:r>
      <w:r w:rsidRPr="005D0206">
        <w:rPr>
          <w:spacing w:val="-11"/>
          <w:sz w:val="24"/>
          <w:lang w:val="en-US"/>
        </w:rPr>
        <w:t xml:space="preserve"> </w:t>
      </w:r>
      <w:r w:rsidRPr="005D0206">
        <w:rPr>
          <w:sz w:val="24"/>
          <w:lang w:val="en-US"/>
        </w:rPr>
        <w:t>children</w:t>
      </w:r>
      <w:r w:rsidRPr="005D0206">
        <w:rPr>
          <w:spacing w:val="-10"/>
          <w:sz w:val="24"/>
          <w:lang w:val="en-US"/>
        </w:rPr>
        <w:t xml:space="preserve"> </w:t>
      </w:r>
      <w:r w:rsidRPr="005D0206">
        <w:rPr>
          <w:sz w:val="24"/>
          <w:lang w:val="en-US"/>
        </w:rPr>
        <w:t>with</w:t>
      </w:r>
      <w:r w:rsidRPr="005D0206">
        <w:rPr>
          <w:spacing w:val="-11"/>
          <w:sz w:val="24"/>
          <w:lang w:val="en-US"/>
        </w:rPr>
        <w:t xml:space="preserve"> </w:t>
      </w:r>
      <w:r w:rsidRPr="005D0206">
        <w:rPr>
          <w:sz w:val="24"/>
          <w:lang w:val="en-US"/>
        </w:rPr>
        <w:t>growth</w:t>
      </w:r>
      <w:r w:rsidRPr="005D0206">
        <w:rPr>
          <w:spacing w:val="-10"/>
          <w:sz w:val="24"/>
          <w:lang w:val="en-US"/>
        </w:rPr>
        <w:t xml:space="preserve"> </w:t>
      </w:r>
      <w:r w:rsidRPr="005D0206">
        <w:rPr>
          <w:sz w:val="24"/>
          <w:lang w:val="en-US"/>
        </w:rPr>
        <w:t>hormone</w:t>
      </w:r>
      <w:r w:rsidRPr="005D0206">
        <w:rPr>
          <w:spacing w:val="-12"/>
          <w:sz w:val="24"/>
          <w:lang w:val="en-US"/>
        </w:rPr>
        <w:t xml:space="preserve"> </w:t>
      </w:r>
      <w:r w:rsidRPr="005D0206">
        <w:rPr>
          <w:sz w:val="24"/>
          <w:lang w:val="en-US"/>
        </w:rPr>
        <w:t>deficiency:</w:t>
      </w:r>
      <w:r w:rsidRPr="005D0206">
        <w:rPr>
          <w:spacing w:val="-10"/>
          <w:sz w:val="24"/>
          <w:lang w:val="en-US"/>
        </w:rPr>
        <w:t xml:space="preserve"> </w:t>
      </w:r>
      <w:r w:rsidRPr="005D0206">
        <w:rPr>
          <w:sz w:val="24"/>
          <w:lang w:val="en-US"/>
        </w:rPr>
        <w:t>a</w:t>
      </w:r>
      <w:r w:rsidRPr="005D0206">
        <w:rPr>
          <w:spacing w:val="-12"/>
          <w:sz w:val="24"/>
          <w:lang w:val="en-US"/>
        </w:rPr>
        <w:t xml:space="preserve"> </w:t>
      </w:r>
      <w:r w:rsidRPr="005D0206">
        <w:rPr>
          <w:sz w:val="24"/>
          <w:lang w:val="en-US"/>
        </w:rPr>
        <w:t>randomized,</w:t>
      </w:r>
      <w:r w:rsidRPr="005D0206">
        <w:rPr>
          <w:spacing w:val="-10"/>
          <w:sz w:val="24"/>
          <w:lang w:val="en-US"/>
        </w:rPr>
        <w:t xml:space="preserve"> </w:t>
      </w:r>
      <w:r w:rsidRPr="005D0206">
        <w:rPr>
          <w:sz w:val="24"/>
          <w:lang w:val="en-US"/>
        </w:rPr>
        <w:t>controlled,</w:t>
      </w:r>
      <w:r w:rsidRPr="005D0206">
        <w:rPr>
          <w:spacing w:val="-9"/>
          <w:sz w:val="24"/>
          <w:lang w:val="en-US"/>
        </w:rPr>
        <w:t xml:space="preserve"> </w:t>
      </w:r>
      <w:r w:rsidRPr="005D0206">
        <w:rPr>
          <w:sz w:val="24"/>
          <w:lang w:val="en-US"/>
        </w:rPr>
        <w:t>growth</w:t>
      </w:r>
      <w:r w:rsidRPr="005D0206">
        <w:rPr>
          <w:spacing w:val="-10"/>
          <w:sz w:val="24"/>
          <w:lang w:val="en-US"/>
        </w:rPr>
        <w:t xml:space="preserve"> </w:t>
      </w:r>
      <w:r w:rsidRPr="005D0206">
        <w:rPr>
          <w:sz w:val="24"/>
          <w:lang w:val="en-US"/>
        </w:rPr>
        <w:t xml:space="preserve">hormone dose-response trial. </w:t>
      </w:r>
      <w:r>
        <w:rPr>
          <w:sz w:val="24"/>
        </w:rPr>
        <w:t>Horm Res Paediatr.</w:t>
      </w:r>
      <w:r>
        <w:rPr>
          <w:spacing w:val="-1"/>
          <w:sz w:val="24"/>
        </w:rPr>
        <w:t xml:space="preserve"> </w:t>
      </w:r>
      <w:r>
        <w:rPr>
          <w:sz w:val="24"/>
        </w:rPr>
        <w:t>2010;74(3):172-81.</w:t>
      </w:r>
    </w:p>
    <w:p w:rsidR="005C592B" w:rsidRDefault="005D0206">
      <w:pPr>
        <w:pStyle w:val="PargrafodaLista"/>
        <w:numPr>
          <w:ilvl w:val="0"/>
          <w:numId w:val="4"/>
        </w:numPr>
        <w:tabs>
          <w:tab w:val="left" w:pos="921"/>
        </w:tabs>
        <w:spacing w:before="1"/>
        <w:ind w:right="853" w:firstLine="0"/>
        <w:jc w:val="both"/>
        <w:rPr>
          <w:sz w:val="24"/>
        </w:rPr>
      </w:pPr>
      <w:r w:rsidRPr="005D0206">
        <w:rPr>
          <w:sz w:val="24"/>
          <w:lang w:val="en-US"/>
        </w:rPr>
        <w:t xml:space="preserve">Cutfield W, Lindberg A, Albertsson Wikland K, Chatelain P, Ranke MB, Wilton P. Final height in idiopathic growth hormone deficiency: the KIGS experience. </w:t>
      </w:r>
      <w:r>
        <w:rPr>
          <w:sz w:val="24"/>
        </w:rPr>
        <w:t>KIGS International Board. Acta Pae</w:t>
      </w:r>
      <w:r>
        <w:rPr>
          <w:sz w:val="24"/>
        </w:rPr>
        <w:t>diatr Suppl.</w:t>
      </w:r>
      <w:r>
        <w:rPr>
          <w:spacing w:val="5"/>
          <w:sz w:val="24"/>
        </w:rPr>
        <w:t xml:space="preserve"> </w:t>
      </w:r>
      <w:r>
        <w:rPr>
          <w:sz w:val="24"/>
        </w:rPr>
        <w:t>1999;88(428):72-5.</w:t>
      </w:r>
    </w:p>
    <w:p w:rsidR="005C592B" w:rsidRDefault="005D0206">
      <w:pPr>
        <w:pStyle w:val="PargrafodaLista"/>
        <w:numPr>
          <w:ilvl w:val="0"/>
          <w:numId w:val="4"/>
        </w:numPr>
        <w:tabs>
          <w:tab w:val="left" w:pos="921"/>
        </w:tabs>
        <w:ind w:right="852" w:firstLine="0"/>
        <w:jc w:val="both"/>
        <w:rPr>
          <w:sz w:val="24"/>
        </w:rPr>
      </w:pPr>
      <w:r w:rsidRPr="005D0206">
        <w:rPr>
          <w:sz w:val="24"/>
          <w:lang w:val="en-US"/>
        </w:rPr>
        <w:t xml:space="preserve">August GP, Julius JR, Blethen SL. Adult height in children with growth hormone deficiency who are treated with biosynthetic growth hormone: the National Cooperative Growth Study experience. </w:t>
      </w:r>
      <w:r>
        <w:rPr>
          <w:sz w:val="24"/>
        </w:rPr>
        <w:t>Pediatrics. 1998;102(2 Pt</w:t>
      </w:r>
      <w:r>
        <w:rPr>
          <w:spacing w:val="-6"/>
          <w:sz w:val="24"/>
        </w:rPr>
        <w:t xml:space="preserve"> </w:t>
      </w:r>
      <w:r>
        <w:rPr>
          <w:sz w:val="24"/>
        </w:rPr>
        <w:t>3):512-6.</w:t>
      </w:r>
    </w:p>
    <w:p w:rsidR="005C592B" w:rsidRDefault="005D0206">
      <w:pPr>
        <w:pStyle w:val="PargrafodaLista"/>
        <w:numPr>
          <w:ilvl w:val="0"/>
          <w:numId w:val="4"/>
        </w:numPr>
        <w:tabs>
          <w:tab w:val="left" w:pos="921"/>
        </w:tabs>
        <w:ind w:right="852" w:firstLine="0"/>
        <w:jc w:val="both"/>
        <w:rPr>
          <w:sz w:val="24"/>
        </w:rPr>
      </w:pPr>
      <w:r w:rsidRPr="005D0206">
        <w:rPr>
          <w:sz w:val="24"/>
          <w:lang w:val="en-US"/>
        </w:rPr>
        <w:t xml:space="preserve">NICE - National Institute for Clinical Excellence [Internet]. Guidance on the use of human growth hormone (somatropin) in children with growth failure. </w:t>
      </w:r>
      <w:r>
        <w:rPr>
          <w:sz w:val="24"/>
        </w:rPr>
        <w:t>Technology Appraisal Guidance No. 42 [acesso em 07/05/2010]. Disponível em:</w:t>
      </w:r>
      <w:r>
        <w:rPr>
          <w:color w:val="0000FF"/>
          <w:spacing w:val="1"/>
          <w:sz w:val="24"/>
        </w:rPr>
        <w:t xml:space="preserve"> </w:t>
      </w:r>
      <w:hyperlink r:id="rId7">
        <w:r>
          <w:rPr>
            <w:color w:val="0000FF"/>
            <w:sz w:val="24"/>
            <w:u w:val="single" w:color="0000FF"/>
          </w:rPr>
          <w:t>www.nice.org.uk</w:t>
        </w:r>
        <w:r>
          <w:rPr>
            <w:sz w:val="24"/>
          </w:rPr>
          <w:t>.</w:t>
        </w:r>
      </w:hyperlink>
    </w:p>
    <w:p w:rsidR="005C592B" w:rsidRDefault="005D0206">
      <w:pPr>
        <w:pStyle w:val="PargrafodaLista"/>
        <w:numPr>
          <w:ilvl w:val="0"/>
          <w:numId w:val="4"/>
        </w:numPr>
        <w:tabs>
          <w:tab w:val="left" w:pos="502"/>
        </w:tabs>
        <w:ind w:right="855" w:firstLine="0"/>
        <w:jc w:val="both"/>
        <w:rPr>
          <w:sz w:val="24"/>
        </w:rPr>
      </w:pPr>
      <w:r w:rsidRPr="005D0206">
        <w:rPr>
          <w:sz w:val="24"/>
          <w:lang w:val="en-US"/>
        </w:rPr>
        <w:t xml:space="preserve">Molitch ME, Clemmons DR, Malozowski S, Merriam GR, Vance ML. Evaluation and treatment of adult growth hormone deficiency: an Endocrine Society clinical practice guideline. </w:t>
      </w:r>
      <w:r>
        <w:rPr>
          <w:sz w:val="24"/>
        </w:rPr>
        <w:t>J Clin Endocrinol Metab.</w:t>
      </w:r>
      <w:r>
        <w:rPr>
          <w:spacing w:val="-1"/>
          <w:sz w:val="24"/>
        </w:rPr>
        <w:t xml:space="preserve"> </w:t>
      </w:r>
      <w:r>
        <w:rPr>
          <w:sz w:val="24"/>
        </w:rPr>
        <w:t>2011;96(6):1587-6</w:t>
      </w:r>
      <w:r>
        <w:rPr>
          <w:sz w:val="24"/>
        </w:rPr>
        <w:t>09.</w:t>
      </w:r>
    </w:p>
    <w:p w:rsidR="005C592B" w:rsidRDefault="005C592B">
      <w:pPr>
        <w:jc w:val="both"/>
        <w:rPr>
          <w:sz w:val="24"/>
        </w:rPr>
        <w:sectPr w:rsidR="005C592B">
          <w:pgSz w:w="11900" w:h="16850"/>
          <w:pgMar w:top="1360" w:right="580" w:bottom="280" w:left="1240" w:header="720" w:footer="720" w:gutter="0"/>
          <w:cols w:space="720"/>
        </w:sectPr>
      </w:pPr>
    </w:p>
    <w:p w:rsidR="005C592B" w:rsidRDefault="005D0206">
      <w:pPr>
        <w:pStyle w:val="PargrafodaLista"/>
        <w:numPr>
          <w:ilvl w:val="0"/>
          <w:numId w:val="4"/>
        </w:numPr>
        <w:tabs>
          <w:tab w:val="left" w:pos="502"/>
        </w:tabs>
        <w:spacing w:before="71"/>
        <w:ind w:right="851" w:firstLine="0"/>
        <w:jc w:val="both"/>
        <w:rPr>
          <w:sz w:val="24"/>
        </w:rPr>
      </w:pPr>
      <w:r>
        <w:rPr>
          <w:sz w:val="24"/>
        </w:rPr>
        <w:lastRenderedPageBreak/>
        <w:t>Barake</w:t>
      </w:r>
      <w:r>
        <w:rPr>
          <w:spacing w:val="-9"/>
          <w:sz w:val="24"/>
        </w:rPr>
        <w:t xml:space="preserve"> </w:t>
      </w:r>
      <w:r>
        <w:rPr>
          <w:sz w:val="24"/>
        </w:rPr>
        <w:t>M,</w:t>
      </w:r>
      <w:r>
        <w:rPr>
          <w:spacing w:val="-9"/>
          <w:sz w:val="24"/>
        </w:rPr>
        <w:t xml:space="preserve"> </w:t>
      </w:r>
      <w:r>
        <w:rPr>
          <w:sz w:val="24"/>
        </w:rPr>
        <w:t>Klibanski</w:t>
      </w:r>
      <w:r>
        <w:rPr>
          <w:spacing w:val="-5"/>
          <w:sz w:val="24"/>
        </w:rPr>
        <w:t xml:space="preserve"> </w:t>
      </w:r>
      <w:r>
        <w:rPr>
          <w:sz w:val="24"/>
        </w:rPr>
        <w:t>A,</w:t>
      </w:r>
      <w:r>
        <w:rPr>
          <w:spacing w:val="-9"/>
          <w:sz w:val="24"/>
        </w:rPr>
        <w:t xml:space="preserve"> </w:t>
      </w:r>
      <w:r>
        <w:rPr>
          <w:sz w:val="24"/>
        </w:rPr>
        <w:t>Tritos</w:t>
      </w:r>
      <w:r>
        <w:rPr>
          <w:spacing w:val="-8"/>
          <w:sz w:val="24"/>
        </w:rPr>
        <w:t xml:space="preserve"> </w:t>
      </w:r>
      <w:r>
        <w:rPr>
          <w:sz w:val="24"/>
        </w:rPr>
        <w:t>NA.</w:t>
      </w:r>
      <w:r>
        <w:rPr>
          <w:spacing w:val="-9"/>
          <w:sz w:val="24"/>
        </w:rPr>
        <w:t xml:space="preserve"> </w:t>
      </w:r>
      <w:r w:rsidRPr="005D0206">
        <w:rPr>
          <w:sz w:val="24"/>
          <w:lang w:val="en-US"/>
        </w:rPr>
        <w:t>Effects</w:t>
      </w:r>
      <w:r w:rsidRPr="005D0206">
        <w:rPr>
          <w:spacing w:val="-7"/>
          <w:sz w:val="24"/>
          <w:lang w:val="en-US"/>
        </w:rPr>
        <w:t xml:space="preserve"> </w:t>
      </w:r>
      <w:r w:rsidRPr="005D0206">
        <w:rPr>
          <w:sz w:val="24"/>
          <w:lang w:val="en-US"/>
        </w:rPr>
        <w:t>of</w:t>
      </w:r>
      <w:r w:rsidRPr="005D0206">
        <w:rPr>
          <w:spacing w:val="-7"/>
          <w:sz w:val="24"/>
          <w:lang w:val="en-US"/>
        </w:rPr>
        <w:t xml:space="preserve"> </w:t>
      </w:r>
      <w:r w:rsidRPr="005D0206">
        <w:rPr>
          <w:sz w:val="24"/>
          <w:lang w:val="en-US"/>
        </w:rPr>
        <w:t>recombinant</w:t>
      </w:r>
      <w:r w:rsidRPr="005D0206">
        <w:rPr>
          <w:spacing w:val="-8"/>
          <w:sz w:val="24"/>
          <w:lang w:val="en-US"/>
        </w:rPr>
        <w:t xml:space="preserve"> </w:t>
      </w:r>
      <w:r w:rsidRPr="005D0206">
        <w:rPr>
          <w:sz w:val="24"/>
          <w:lang w:val="en-US"/>
        </w:rPr>
        <w:t>human</w:t>
      </w:r>
      <w:r w:rsidRPr="005D0206">
        <w:rPr>
          <w:spacing w:val="-6"/>
          <w:sz w:val="24"/>
          <w:lang w:val="en-US"/>
        </w:rPr>
        <w:t xml:space="preserve"> </w:t>
      </w:r>
      <w:r w:rsidRPr="005D0206">
        <w:rPr>
          <w:sz w:val="24"/>
          <w:lang w:val="en-US"/>
        </w:rPr>
        <w:t>growth</w:t>
      </w:r>
      <w:r w:rsidRPr="005D0206">
        <w:rPr>
          <w:spacing w:val="-8"/>
          <w:sz w:val="24"/>
          <w:lang w:val="en-US"/>
        </w:rPr>
        <w:t xml:space="preserve"> </w:t>
      </w:r>
      <w:r w:rsidRPr="005D0206">
        <w:rPr>
          <w:sz w:val="24"/>
          <w:lang w:val="en-US"/>
        </w:rPr>
        <w:t>hormone</w:t>
      </w:r>
      <w:r w:rsidRPr="005D0206">
        <w:rPr>
          <w:spacing w:val="-8"/>
          <w:sz w:val="24"/>
          <w:lang w:val="en-US"/>
        </w:rPr>
        <w:t xml:space="preserve"> </w:t>
      </w:r>
      <w:r w:rsidRPr="005D0206">
        <w:rPr>
          <w:sz w:val="24"/>
          <w:lang w:val="en-US"/>
        </w:rPr>
        <w:t xml:space="preserve">therapy on bone mineral density in adults with growth hormone deficiency: a meta-analysis. </w:t>
      </w:r>
      <w:r>
        <w:rPr>
          <w:sz w:val="24"/>
        </w:rPr>
        <w:t>J Clin Endocrinol Metab.</w:t>
      </w:r>
      <w:r>
        <w:rPr>
          <w:spacing w:val="-1"/>
          <w:sz w:val="24"/>
        </w:rPr>
        <w:t xml:space="preserve"> </w:t>
      </w:r>
      <w:r>
        <w:rPr>
          <w:sz w:val="24"/>
        </w:rPr>
        <w:t>2014;99(3):852-60.</w:t>
      </w:r>
    </w:p>
    <w:p w:rsidR="005C592B" w:rsidRDefault="005D0206">
      <w:pPr>
        <w:pStyle w:val="PargrafodaLista"/>
        <w:numPr>
          <w:ilvl w:val="0"/>
          <w:numId w:val="4"/>
        </w:numPr>
        <w:tabs>
          <w:tab w:val="left" w:pos="502"/>
        </w:tabs>
        <w:ind w:right="853" w:firstLine="0"/>
        <w:jc w:val="both"/>
        <w:rPr>
          <w:sz w:val="24"/>
        </w:rPr>
      </w:pPr>
      <w:r>
        <w:rPr>
          <w:sz w:val="24"/>
        </w:rPr>
        <w:t xml:space="preserve">Appelman-Dijkstra NM, Claessen KM, Roelfsema F, Pereira AM, Biermasz NR. </w:t>
      </w:r>
      <w:r w:rsidRPr="005D0206">
        <w:rPr>
          <w:sz w:val="24"/>
          <w:lang w:val="en-US"/>
        </w:rPr>
        <w:t>Long- term</w:t>
      </w:r>
      <w:r w:rsidRPr="005D0206">
        <w:rPr>
          <w:spacing w:val="-12"/>
          <w:sz w:val="24"/>
          <w:lang w:val="en-US"/>
        </w:rPr>
        <w:t xml:space="preserve"> </w:t>
      </w:r>
      <w:r w:rsidRPr="005D0206">
        <w:rPr>
          <w:sz w:val="24"/>
          <w:lang w:val="en-US"/>
        </w:rPr>
        <w:t>effects</w:t>
      </w:r>
      <w:r w:rsidRPr="005D0206">
        <w:rPr>
          <w:spacing w:val="-10"/>
          <w:sz w:val="24"/>
          <w:lang w:val="en-US"/>
        </w:rPr>
        <w:t xml:space="preserve"> </w:t>
      </w:r>
      <w:r w:rsidRPr="005D0206">
        <w:rPr>
          <w:sz w:val="24"/>
          <w:lang w:val="en-US"/>
        </w:rPr>
        <w:t>of</w:t>
      </w:r>
      <w:r w:rsidRPr="005D0206">
        <w:rPr>
          <w:spacing w:val="-13"/>
          <w:sz w:val="24"/>
          <w:lang w:val="en-US"/>
        </w:rPr>
        <w:t xml:space="preserve"> </w:t>
      </w:r>
      <w:r w:rsidRPr="005D0206">
        <w:rPr>
          <w:sz w:val="24"/>
          <w:lang w:val="en-US"/>
        </w:rPr>
        <w:t>recombinant</w:t>
      </w:r>
      <w:r w:rsidRPr="005D0206">
        <w:rPr>
          <w:spacing w:val="-9"/>
          <w:sz w:val="24"/>
          <w:lang w:val="en-US"/>
        </w:rPr>
        <w:t xml:space="preserve"> </w:t>
      </w:r>
      <w:r w:rsidRPr="005D0206">
        <w:rPr>
          <w:sz w:val="24"/>
          <w:lang w:val="en-US"/>
        </w:rPr>
        <w:t>human</w:t>
      </w:r>
      <w:r w:rsidRPr="005D0206">
        <w:rPr>
          <w:spacing w:val="-11"/>
          <w:sz w:val="24"/>
          <w:lang w:val="en-US"/>
        </w:rPr>
        <w:t xml:space="preserve"> </w:t>
      </w:r>
      <w:r w:rsidRPr="005D0206">
        <w:rPr>
          <w:sz w:val="24"/>
          <w:lang w:val="en-US"/>
        </w:rPr>
        <w:t>GH</w:t>
      </w:r>
      <w:r w:rsidRPr="005D0206">
        <w:rPr>
          <w:spacing w:val="-13"/>
          <w:sz w:val="24"/>
          <w:lang w:val="en-US"/>
        </w:rPr>
        <w:t xml:space="preserve"> </w:t>
      </w:r>
      <w:r w:rsidRPr="005D0206">
        <w:rPr>
          <w:sz w:val="24"/>
          <w:lang w:val="en-US"/>
        </w:rPr>
        <w:t>replacement</w:t>
      </w:r>
      <w:r w:rsidRPr="005D0206">
        <w:rPr>
          <w:spacing w:val="-10"/>
          <w:sz w:val="24"/>
          <w:lang w:val="en-US"/>
        </w:rPr>
        <w:t xml:space="preserve"> </w:t>
      </w:r>
      <w:r w:rsidRPr="005D0206">
        <w:rPr>
          <w:sz w:val="24"/>
          <w:lang w:val="en-US"/>
        </w:rPr>
        <w:t>in</w:t>
      </w:r>
      <w:r w:rsidRPr="005D0206">
        <w:rPr>
          <w:spacing w:val="-11"/>
          <w:sz w:val="24"/>
          <w:lang w:val="en-US"/>
        </w:rPr>
        <w:t xml:space="preserve"> </w:t>
      </w:r>
      <w:r w:rsidRPr="005D0206">
        <w:rPr>
          <w:sz w:val="24"/>
          <w:lang w:val="en-US"/>
        </w:rPr>
        <w:t>adults</w:t>
      </w:r>
      <w:r w:rsidRPr="005D0206">
        <w:rPr>
          <w:spacing w:val="-12"/>
          <w:sz w:val="24"/>
          <w:lang w:val="en-US"/>
        </w:rPr>
        <w:t xml:space="preserve"> </w:t>
      </w:r>
      <w:r w:rsidRPr="005D0206">
        <w:rPr>
          <w:sz w:val="24"/>
          <w:lang w:val="en-US"/>
        </w:rPr>
        <w:t>with</w:t>
      </w:r>
      <w:r w:rsidRPr="005D0206">
        <w:rPr>
          <w:spacing w:val="-10"/>
          <w:sz w:val="24"/>
          <w:lang w:val="en-US"/>
        </w:rPr>
        <w:t xml:space="preserve"> </w:t>
      </w:r>
      <w:r w:rsidRPr="005D0206">
        <w:rPr>
          <w:sz w:val="24"/>
          <w:lang w:val="en-US"/>
        </w:rPr>
        <w:t>GH</w:t>
      </w:r>
      <w:r w:rsidRPr="005D0206">
        <w:rPr>
          <w:spacing w:val="-12"/>
          <w:sz w:val="24"/>
          <w:lang w:val="en-US"/>
        </w:rPr>
        <w:t xml:space="preserve"> </w:t>
      </w:r>
      <w:r w:rsidRPr="005D0206">
        <w:rPr>
          <w:sz w:val="24"/>
          <w:lang w:val="en-US"/>
        </w:rPr>
        <w:t>deficiency:</w:t>
      </w:r>
      <w:r w:rsidRPr="005D0206">
        <w:rPr>
          <w:spacing w:val="-11"/>
          <w:sz w:val="24"/>
          <w:lang w:val="en-US"/>
        </w:rPr>
        <w:t xml:space="preserve"> </w:t>
      </w:r>
      <w:r w:rsidRPr="005D0206">
        <w:rPr>
          <w:sz w:val="24"/>
          <w:lang w:val="en-US"/>
        </w:rPr>
        <w:t>a</w:t>
      </w:r>
      <w:r w:rsidRPr="005D0206">
        <w:rPr>
          <w:spacing w:val="-12"/>
          <w:sz w:val="24"/>
          <w:lang w:val="en-US"/>
        </w:rPr>
        <w:t xml:space="preserve"> </w:t>
      </w:r>
      <w:r w:rsidRPr="005D0206">
        <w:rPr>
          <w:sz w:val="24"/>
          <w:lang w:val="en-US"/>
        </w:rPr>
        <w:t xml:space="preserve">systematic review. </w:t>
      </w:r>
      <w:r>
        <w:rPr>
          <w:sz w:val="24"/>
        </w:rPr>
        <w:t>Eur J Endocrinol. 2013;169(1):R1-14.</w:t>
      </w:r>
    </w:p>
    <w:p w:rsidR="005C592B" w:rsidRDefault="005D0206">
      <w:pPr>
        <w:pStyle w:val="PargrafodaLista"/>
        <w:numPr>
          <w:ilvl w:val="0"/>
          <w:numId w:val="4"/>
        </w:numPr>
        <w:tabs>
          <w:tab w:val="left" w:pos="502"/>
        </w:tabs>
        <w:ind w:right="853" w:firstLine="0"/>
        <w:jc w:val="both"/>
        <w:rPr>
          <w:sz w:val="24"/>
        </w:rPr>
      </w:pPr>
      <w:r w:rsidRPr="005D0206">
        <w:rPr>
          <w:sz w:val="24"/>
          <w:lang w:val="en-US"/>
        </w:rPr>
        <w:t xml:space="preserve">Xue P, Wang Y, Yang J, </w:t>
      </w:r>
      <w:r w:rsidRPr="005D0206">
        <w:rPr>
          <w:spacing w:val="-3"/>
          <w:sz w:val="24"/>
          <w:lang w:val="en-US"/>
        </w:rPr>
        <w:t xml:space="preserve">Li </w:t>
      </w:r>
      <w:r w:rsidRPr="005D0206">
        <w:rPr>
          <w:sz w:val="24"/>
          <w:lang w:val="en-US"/>
        </w:rPr>
        <w:t xml:space="preserve">Y. Effects of growth hormone replacement therapy on bone mineral density in growth hormone deficient adults: a meta-analysis. </w:t>
      </w:r>
      <w:r>
        <w:rPr>
          <w:sz w:val="24"/>
        </w:rPr>
        <w:t>Int J Endocrinol. 2013;2013:216107.</w:t>
      </w:r>
    </w:p>
    <w:p w:rsidR="005C592B" w:rsidRDefault="005D0206">
      <w:pPr>
        <w:pStyle w:val="PargrafodaLista"/>
        <w:numPr>
          <w:ilvl w:val="0"/>
          <w:numId w:val="4"/>
        </w:numPr>
        <w:tabs>
          <w:tab w:val="left" w:pos="502"/>
        </w:tabs>
        <w:ind w:right="854" w:firstLine="0"/>
        <w:jc w:val="both"/>
        <w:rPr>
          <w:sz w:val="24"/>
        </w:rPr>
      </w:pPr>
      <w:r>
        <w:rPr>
          <w:sz w:val="24"/>
        </w:rPr>
        <w:t>Hazem</w:t>
      </w:r>
      <w:r>
        <w:rPr>
          <w:spacing w:val="-15"/>
          <w:sz w:val="24"/>
        </w:rPr>
        <w:t xml:space="preserve"> </w:t>
      </w:r>
      <w:r>
        <w:rPr>
          <w:sz w:val="24"/>
        </w:rPr>
        <w:t>A,</w:t>
      </w:r>
      <w:r>
        <w:rPr>
          <w:spacing w:val="-15"/>
          <w:sz w:val="24"/>
        </w:rPr>
        <w:t xml:space="preserve"> </w:t>
      </w:r>
      <w:r>
        <w:rPr>
          <w:sz w:val="24"/>
        </w:rPr>
        <w:t>Elamin</w:t>
      </w:r>
      <w:r>
        <w:rPr>
          <w:spacing w:val="-15"/>
          <w:sz w:val="24"/>
        </w:rPr>
        <w:t xml:space="preserve"> </w:t>
      </w:r>
      <w:r>
        <w:rPr>
          <w:sz w:val="24"/>
        </w:rPr>
        <w:t>MB,</w:t>
      </w:r>
      <w:r>
        <w:rPr>
          <w:spacing w:val="-15"/>
          <w:sz w:val="24"/>
        </w:rPr>
        <w:t xml:space="preserve"> </w:t>
      </w:r>
      <w:r>
        <w:rPr>
          <w:sz w:val="24"/>
        </w:rPr>
        <w:t>Bancos</w:t>
      </w:r>
      <w:r>
        <w:rPr>
          <w:spacing w:val="-11"/>
          <w:sz w:val="24"/>
        </w:rPr>
        <w:t xml:space="preserve"> </w:t>
      </w:r>
      <w:r>
        <w:rPr>
          <w:sz w:val="24"/>
        </w:rPr>
        <w:t>I,</w:t>
      </w:r>
      <w:r>
        <w:rPr>
          <w:spacing w:val="-15"/>
          <w:sz w:val="24"/>
        </w:rPr>
        <w:t xml:space="preserve"> </w:t>
      </w:r>
      <w:r>
        <w:rPr>
          <w:sz w:val="24"/>
        </w:rPr>
        <w:t>Malaga</w:t>
      </w:r>
      <w:r>
        <w:rPr>
          <w:spacing w:val="-13"/>
          <w:sz w:val="24"/>
        </w:rPr>
        <w:t xml:space="preserve"> </w:t>
      </w:r>
      <w:r>
        <w:rPr>
          <w:sz w:val="24"/>
        </w:rPr>
        <w:t>G,</w:t>
      </w:r>
      <w:r>
        <w:rPr>
          <w:spacing w:val="-15"/>
          <w:sz w:val="24"/>
        </w:rPr>
        <w:t xml:space="preserve"> </w:t>
      </w:r>
      <w:r>
        <w:rPr>
          <w:sz w:val="24"/>
        </w:rPr>
        <w:t>Prutsky</w:t>
      </w:r>
      <w:r>
        <w:rPr>
          <w:spacing w:val="-20"/>
          <w:sz w:val="24"/>
        </w:rPr>
        <w:t xml:space="preserve"> </w:t>
      </w:r>
      <w:r>
        <w:rPr>
          <w:sz w:val="24"/>
        </w:rPr>
        <w:t>G,</w:t>
      </w:r>
      <w:r>
        <w:rPr>
          <w:spacing w:val="-12"/>
          <w:sz w:val="24"/>
        </w:rPr>
        <w:t xml:space="preserve"> </w:t>
      </w:r>
      <w:r>
        <w:rPr>
          <w:sz w:val="24"/>
        </w:rPr>
        <w:t>Domecq</w:t>
      </w:r>
      <w:r>
        <w:rPr>
          <w:spacing w:val="-15"/>
          <w:sz w:val="24"/>
        </w:rPr>
        <w:t xml:space="preserve"> </w:t>
      </w:r>
      <w:r>
        <w:rPr>
          <w:sz w:val="24"/>
        </w:rPr>
        <w:t>JP,</w:t>
      </w:r>
      <w:r>
        <w:rPr>
          <w:spacing w:val="-14"/>
          <w:sz w:val="24"/>
        </w:rPr>
        <w:t xml:space="preserve"> </w:t>
      </w:r>
      <w:r>
        <w:rPr>
          <w:sz w:val="24"/>
        </w:rPr>
        <w:t>et</w:t>
      </w:r>
      <w:r>
        <w:rPr>
          <w:spacing w:val="-15"/>
          <w:sz w:val="24"/>
        </w:rPr>
        <w:t xml:space="preserve"> </w:t>
      </w:r>
      <w:r>
        <w:rPr>
          <w:sz w:val="24"/>
        </w:rPr>
        <w:t>al.</w:t>
      </w:r>
      <w:r>
        <w:rPr>
          <w:spacing w:val="-10"/>
          <w:sz w:val="24"/>
        </w:rPr>
        <w:t xml:space="preserve"> </w:t>
      </w:r>
      <w:r w:rsidRPr="005D0206">
        <w:rPr>
          <w:sz w:val="24"/>
          <w:lang w:val="en-US"/>
        </w:rPr>
        <w:t>Body</w:t>
      </w:r>
      <w:r w:rsidRPr="005D0206">
        <w:rPr>
          <w:spacing w:val="-18"/>
          <w:sz w:val="24"/>
          <w:lang w:val="en-US"/>
        </w:rPr>
        <w:t xml:space="preserve"> </w:t>
      </w:r>
      <w:r w:rsidRPr="005D0206">
        <w:rPr>
          <w:sz w:val="24"/>
          <w:lang w:val="en-US"/>
        </w:rPr>
        <w:t>composition and qual</w:t>
      </w:r>
      <w:r w:rsidRPr="005D0206">
        <w:rPr>
          <w:sz w:val="24"/>
          <w:lang w:val="en-US"/>
        </w:rPr>
        <w:t xml:space="preserve">ity of life in adults treated with GH therapy: A systematic review and meta-analysis. </w:t>
      </w:r>
      <w:r>
        <w:rPr>
          <w:sz w:val="24"/>
        </w:rPr>
        <w:t>European Journal of Endocrinology.</w:t>
      </w:r>
      <w:r>
        <w:rPr>
          <w:spacing w:val="-1"/>
          <w:sz w:val="24"/>
        </w:rPr>
        <w:t xml:space="preserve"> </w:t>
      </w:r>
      <w:r>
        <w:rPr>
          <w:sz w:val="24"/>
        </w:rPr>
        <w:t>2012;166(1):13-20.</w:t>
      </w:r>
    </w:p>
    <w:p w:rsidR="005C592B" w:rsidRDefault="005D0206">
      <w:pPr>
        <w:pStyle w:val="PargrafodaLista"/>
        <w:numPr>
          <w:ilvl w:val="0"/>
          <w:numId w:val="4"/>
        </w:numPr>
        <w:tabs>
          <w:tab w:val="left" w:pos="587"/>
        </w:tabs>
        <w:spacing w:before="1"/>
        <w:ind w:right="853" w:firstLine="0"/>
        <w:jc w:val="both"/>
        <w:rPr>
          <w:sz w:val="24"/>
        </w:rPr>
      </w:pPr>
      <w:r w:rsidRPr="005D0206">
        <w:rPr>
          <w:sz w:val="24"/>
          <w:lang w:val="en-US"/>
        </w:rPr>
        <w:t>van Bunderen CC, Deijen JB, Drent ML. Effect of low-normal and high-normal IGF-1 levels on memory and wellbeing duri</w:t>
      </w:r>
      <w:r w:rsidRPr="005D0206">
        <w:rPr>
          <w:sz w:val="24"/>
          <w:lang w:val="en-US"/>
        </w:rPr>
        <w:t xml:space="preserve">ng growth hormone replacement therapy: a randomized clinical trial in adult growth hormone deficiency.Health Qual Life Outcomes. </w:t>
      </w:r>
      <w:r>
        <w:rPr>
          <w:sz w:val="24"/>
        </w:rPr>
        <w:t>2018 Jul 6;16(1):135.</w:t>
      </w:r>
    </w:p>
    <w:p w:rsidR="005C592B" w:rsidRDefault="005D0206">
      <w:pPr>
        <w:pStyle w:val="PargrafodaLista"/>
        <w:numPr>
          <w:ilvl w:val="0"/>
          <w:numId w:val="4"/>
        </w:numPr>
        <w:tabs>
          <w:tab w:val="left" w:pos="575"/>
        </w:tabs>
        <w:ind w:right="855" w:firstLine="0"/>
        <w:jc w:val="both"/>
        <w:rPr>
          <w:sz w:val="24"/>
        </w:rPr>
      </w:pPr>
      <w:r w:rsidRPr="005D0206">
        <w:rPr>
          <w:sz w:val="24"/>
          <w:lang w:val="en-US"/>
        </w:rPr>
        <w:t>van Bunderen CC1, Lips P2, Kramer MH3, Drent ML2. Comparison of low-normal and high-normal IGF-1 target l</w:t>
      </w:r>
      <w:r w:rsidRPr="005D0206">
        <w:rPr>
          <w:sz w:val="24"/>
          <w:lang w:val="en-US"/>
        </w:rPr>
        <w:t xml:space="preserve">evels during growth hormone replacement therapy: A randomized clinical trial in adult growth hormone deficiency. </w:t>
      </w:r>
      <w:r>
        <w:rPr>
          <w:sz w:val="24"/>
        </w:rPr>
        <w:t>Eur J Intern Med. 2016</w:t>
      </w:r>
      <w:r>
        <w:rPr>
          <w:spacing w:val="-5"/>
          <w:sz w:val="24"/>
        </w:rPr>
        <w:t xml:space="preserve"> </w:t>
      </w:r>
      <w:r>
        <w:rPr>
          <w:sz w:val="24"/>
        </w:rPr>
        <w:t>Jun;31:88-93.</w:t>
      </w:r>
    </w:p>
    <w:p w:rsidR="005C592B" w:rsidRDefault="005D0206">
      <w:pPr>
        <w:pStyle w:val="PargrafodaLista"/>
        <w:numPr>
          <w:ilvl w:val="0"/>
          <w:numId w:val="4"/>
        </w:numPr>
        <w:tabs>
          <w:tab w:val="left" w:pos="559"/>
        </w:tabs>
        <w:ind w:right="855" w:firstLine="0"/>
        <w:jc w:val="both"/>
        <w:rPr>
          <w:sz w:val="24"/>
        </w:rPr>
      </w:pPr>
      <w:r w:rsidRPr="005D0206">
        <w:rPr>
          <w:spacing w:val="-3"/>
          <w:sz w:val="24"/>
          <w:lang w:val="en-US"/>
        </w:rPr>
        <w:t>Li</w:t>
      </w:r>
      <w:r w:rsidRPr="005D0206">
        <w:rPr>
          <w:spacing w:val="-4"/>
          <w:sz w:val="24"/>
          <w:lang w:val="en-US"/>
        </w:rPr>
        <w:t xml:space="preserve"> </w:t>
      </w:r>
      <w:r w:rsidRPr="005D0206">
        <w:rPr>
          <w:sz w:val="24"/>
          <w:lang w:val="en-US"/>
        </w:rPr>
        <w:t>Z,</w:t>
      </w:r>
      <w:r w:rsidRPr="005D0206">
        <w:rPr>
          <w:spacing w:val="-4"/>
          <w:sz w:val="24"/>
          <w:lang w:val="en-US"/>
        </w:rPr>
        <w:t xml:space="preserve"> </w:t>
      </w:r>
      <w:r w:rsidRPr="005D0206">
        <w:rPr>
          <w:sz w:val="24"/>
          <w:lang w:val="en-US"/>
        </w:rPr>
        <w:t>Zhou</w:t>
      </w:r>
      <w:r w:rsidRPr="005D0206">
        <w:rPr>
          <w:spacing w:val="-6"/>
          <w:sz w:val="24"/>
          <w:lang w:val="en-US"/>
        </w:rPr>
        <w:t xml:space="preserve"> </w:t>
      </w:r>
      <w:r w:rsidRPr="005D0206">
        <w:rPr>
          <w:sz w:val="24"/>
          <w:lang w:val="en-US"/>
        </w:rPr>
        <w:t>Q,</w:t>
      </w:r>
      <w:r w:rsidRPr="005D0206">
        <w:rPr>
          <w:spacing w:val="-3"/>
          <w:sz w:val="24"/>
          <w:lang w:val="en-US"/>
        </w:rPr>
        <w:t xml:space="preserve"> </w:t>
      </w:r>
      <w:r w:rsidRPr="005D0206">
        <w:rPr>
          <w:sz w:val="24"/>
          <w:lang w:val="en-US"/>
        </w:rPr>
        <w:t>Li</w:t>
      </w:r>
      <w:r w:rsidRPr="005D0206">
        <w:rPr>
          <w:spacing w:val="-7"/>
          <w:sz w:val="24"/>
          <w:lang w:val="en-US"/>
        </w:rPr>
        <w:t xml:space="preserve"> </w:t>
      </w:r>
      <w:r w:rsidRPr="005D0206">
        <w:rPr>
          <w:sz w:val="24"/>
          <w:lang w:val="en-US"/>
        </w:rPr>
        <w:t>Y,</w:t>
      </w:r>
      <w:r w:rsidRPr="005D0206">
        <w:rPr>
          <w:spacing w:val="-4"/>
          <w:sz w:val="24"/>
          <w:lang w:val="en-US"/>
        </w:rPr>
        <w:t xml:space="preserve"> </w:t>
      </w:r>
      <w:r w:rsidRPr="005D0206">
        <w:rPr>
          <w:sz w:val="24"/>
          <w:lang w:val="en-US"/>
        </w:rPr>
        <w:t>Fu</w:t>
      </w:r>
      <w:r w:rsidRPr="005D0206">
        <w:rPr>
          <w:spacing w:val="-6"/>
          <w:sz w:val="24"/>
          <w:lang w:val="en-US"/>
        </w:rPr>
        <w:t xml:space="preserve"> </w:t>
      </w:r>
      <w:r w:rsidRPr="005D0206">
        <w:rPr>
          <w:sz w:val="24"/>
          <w:lang w:val="en-US"/>
        </w:rPr>
        <w:t>J,</w:t>
      </w:r>
      <w:r w:rsidRPr="005D0206">
        <w:rPr>
          <w:spacing w:val="-6"/>
          <w:sz w:val="24"/>
          <w:lang w:val="en-US"/>
        </w:rPr>
        <w:t xml:space="preserve"> </w:t>
      </w:r>
      <w:r w:rsidRPr="005D0206">
        <w:rPr>
          <w:sz w:val="24"/>
          <w:lang w:val="en-US"/>
        </w:rPr>
        <w:t>Huang</w:t>
      </w:r>
      <w:r w:rsidRPr="005D0206">
        <w:rPr>
          <w:spacing w:val="-9"/>
          <w:sz w:val="24"/>
          <w:lang w:val="en-US"/>
        </w:rPr>
        <w:t xml:space="preserve"> </w:t>
      </w:r>
      <w:r w:rsidRPr="005D0206">
        <w:rPr>
          <w:sz w:val="24"/>
          <w:lang w:val="en-US"/>
        </w:rPr>
        <w:t>X,</w:t>
      </w:r>
      <w:r w:rsidRPr="005D0206">
        <w:rPr>
          <w:spacing w:val="-6"/>
          <w:sz w:val="24"/>
          <w:lang w:val="en-US"/>
        </w:rPr>
        <w:t xml:space="preserve"> </w:t>
      </w:r>
      <w:r w:rsidRPr="005D0206">
        <w:rPr>
          <w:sz w:val="24"/>
          <w:lang w:val="en-US"/>
        </w:rPr>
        <w:t>Shen</w:t>
      </w:r>
      <w:r w:rsidRPr="005D0206">
        <w:rPr>
          <w:spacing w:val="-4"/>
          <w:sz w:val="24"/>
          <w:lang w:val="en-US"/>
        </w:rPr>
        <w:t xml:space="preserve"> </w:t>
      </w:r>
      <w:r w:rsidRPr="005D0206">
        <w:rPr>
          <w:sz w:val="24"/>
          <w:lang w:val="en-US"/>
        </w:rPr>
        <w:t>L.</w:t>
      </w:r>
      <w:r w:rsidRPr="005D0206">
        <w:rPr>
          <w:spacing w:val="-6"/>
          <w:sz w:val="24"/>
          <w:lang w:val="en-US"/>
        </w:rPr>
        <w:t xml:space="preserve"> </w:t>
      </w:r>
      <w:r w:rsidRPr="005D0206">
        <w:rPr>
          <w:sz w:val="24"/>
          <w:lang w:val="en-US"/>
        </w:rPr>
        <w:t>Growth</w:t>
      </w:r>
      <w:r w:rsidRPr="005D0206">
        <w:rPr>
          <w:spacing w:val="-6"/>
          <w:sz w:val="24"/>
          <w:lang w:val="en-US"/>
        </w:rPr>
        <w:t xml:space="preserve"> </w:t>
      </w:r>
      <w:r w:rsidRPr="005D0206">
        <w:rPr>
          <w:sz w:val="24"/>
          <w:lang w:val="en-US"/>
        </w:rPr>
        <w:t>hormone</w:t>
      </w:r>
      <w:r w:rsidRPr="005D0206">
        <w:rPr>
          <w:spacing w:val="-7"/>
          <w:sz w:val="24"/>
          <w:lang w:val="en-US"/>
        </w:rPr>
        <w:t xml:space="preserve"> </w:t>
      </w:r>
      <w:r w:rsidRPr="005D0206">
        <w:rPr>
          <w:sz w:val="24"/>
          <w:lang w:val="en-US"/>
        </w:rPr>
        <w:t>replacement</w:t>
      </w:r>
      <w:r w:rsidRPr="005D0206">
        <w:rPr>
          <w:spacing w:val="-5"/>
          <w:sz w:val="24"/>
          <w:lang w:val="en-US"/>
        </w:rPr>
        <w:t xml:space="preserve"> </w:t>
      </w:r>
      <w:r w:rsidRPr="005D0206">
        <w:rPr>
          <w:sz w:val="24"/>
          <w:lang w:val="en-US"/>
        </w:rPr>
        <w:t>therapy</w:t>
      </w:r>
      <w:r w:rsidRPr="005D0206">
        <w:rPr>
          <w:spacing w:val="-10"/>
          <w:sz w:val="24"/>
          <w:lang w:val="en-US"/>
        </w:rPr>
        <w:t xml:space="preserve"> </w:t>
      </w:r>
      <w:r w:rsidRPr="005D0206">
        <w:rPr>
          <w:sz w:val="24"/>
          <w:lang w:val="en-US"/>
        </w:rPr>
        <w:t xml:space="preserve">reduces risk of cancer in adult with growth hormone deficiency: A meta-analysis. </w:t>
      </w:r>
      <w:r>
        <w:rPr>
          <w:sz w:val="24"/>
        </w:rPr>
        <w:t>Oncotarget. 2016 Dec</w:t>
      </w:r>
      <w:r>
        <w:rPr>
          <w:spacing w:val="-1"/>
          <w:sz w:val="24"/>
        </w:rPr>
        <w:t xml:space="preserve"> </w:t>
      </w:r>
      <w:r>
        <w:rPr>
          <w:sz w:val="24"/>
        </w:rPr>
        <w:t>6;7(49):81862-81869.</w:t>
      </w:r>
    </w:p>
    <w:p w:rsidR="005C592B" w:rsidRDefault="005D0206">
      <w:pPr>
        <w:pStyle w:val="PargrafodaLista"/>
        <w:numPr>
          <w:ilvl w:val="0"/>
          <w:numId w:val="4"/>
        </w:numPr>
        <w:tabs>
          <w:tab w:val="left" w:pos="502"/>
        </w:tabs>
        <w:ind w:right="853" w:firstLine="0"/>
        <w:jc w:val="both"/>
        <w:rPr>
          <w:sz w:val="24"/>
        </w:rPr>
      </w:pPr>
      <w:r w:rsidRPr="005D0206">
        <w:rPr>
          <w:sz w:val="24"/>
          <w:lang w:val="en-US"/>
        </w:rPr>
        <w:t>van</w:t>
      </w:r>
      <w:r w:rsidRPr="005D0206">
        <w:rPr>
          <w:spacing w:val="-6"/>
          <w:sz w:val="24"/>
          <w:lang w:val="en-US"/>
        </w:rPr>
        <w:t xml:space="preserve"> </w:t>
      </w:r>
      <w:r w:rsidRPr="005D0206">
        <w:rPr>
          <w:sz w:val="24"/>
          <w:lang w:val="en-US"/>
        </w:rPr>
        <w:t>Bunderen</w:t>
      </w:r>
      <w:r w:rsidRPr="005D0206">
        <w:rPr>
          <w:spacing w:val="-4"/>
          <w:sz w:val="24"/>
          <w:lang w:val="en-US"/>
        </w:rPr>
        <w:t xml:space="preserve"> </w:t>
      </w:r>
      <w:r w:rsidRPr="005D0206">
        <w:rPr>
          <w:sz w:val="24"/>
          <w:lang w:val="en-US"/>
        </w:rPr>
        <w:t>CC,</w:t>
      </w:r>
      <w:r w:rsidRPr="005D0206">
        <w:rPr>
          <w:spacing w:val="-6"/>
          <w:sz w:val="24"/>
          <w:lang w:val="en-US"/>
        </w:rPr>
        <w:t xml:space="preserve"> </w:t>
      </w:r>
      <w:r w:rsidRPr="005D0206">
        <w:rPr>
          <w:sz w:val="24"/>
          <w:lang w:val="en-US"/>
        </w:rPr>
        <w:t>van</w:t>
      </w:r>
      <w:r w:rsidRPr="005D0206">
        <w:rPr>
          <w:spacing w:val="-5"/>
          <w:sz w:val="24"/>
          <w:lang w:val="en-US"/>
        </w:rPr>
        <w:t xml:space="preserve"> </w:t>
      </w:r>
      <w:r w:rsidRPr="005D0206">
        <w:rPr>
          <w:sz w:val="24"/>
          <w:lang w:val="en-US"/>
        </w:rPr>
        <w:t>Varsseveld</w:t>
      </w:r>
      <w:r w:rsidRPr="005D0206">
        <w:rPr>
          <w:spacing w:val="-5"/>
          <w:sz w:val="24"/>
          <w:lang w:val="en-US"/>
        </w:rPr>
        <w:t xml:space="preserve"> </w:t>
      </w:r>
      <w:r w:rsidRPr="005D0206">
        <w:rPr>
          <w:sz w:val="24"/>
          <w:lang w:val="en-US"/>
        </w:rPr>
        <w:t>NC,</w:t>
      </w:r>
      <w:r w:rsidRPr="005D0206">
        <w:rPr>
          <w:spacing w:val="-6"/>
          <w:sz w:val="24"/>
          <w:lang w:val="en-US"/>
        </w:rPr>
        <w:t xml:space="preserve"> </w:t>
      </w:r>
      <w:r w:rsidRPr="005D0206">
        <w:rPr>
          <w:sz w:val="24"/>
          <w:lang w:val="en-US"/>
        </w:rPr>
        <w:t>Erfurth</w:t>
      </w:r>
      <w:r w:rsidRPr="005D0206">
        <w:rPr>
          <w:spacing w:val="-4"/>
          <w:sz w:val="24"/>
          <w:lang w:val="en-US"/>
        </w:rPr>
        <w:t xml:space="preserve"> </w:t>
      </w:r>
      <w:r w:rsidRPr="005D0206">
        <w:rPr>
          <w:sz w:val="24"/>
          <w:lang w:val="en-US"/>
        </w:rPr>
        <w:t>EM,</w:t>
      </w:r>
      <w:r w:rsidRPr="005D0206">
        <w:rPr>
          <w:spacing w:val="-5"/>
          <w:sz w:val="24"/>
          <w:lang w:val="en-US"/>
        </w:rPr>
        <w:t xml:space="preserve"> </w:t>
      </w:r>
      <w:r w:rsidRPr="005D0206">
        <w:rPr>
          <w:sz w:val="24"/>
          <w:lang w:val="en-US"/>
        </w:rPr>
        <w:t>Ket</w:t>
      </w:r>
      <w:r w:rsidRPr="005D0206">
        <w:rPr>
          <w:spacing w:val="-6"/>
          <w:sz w:val="24"/>
          <w:lang w:val="en-US"/>
        </w:rPr>
        <w:t xml:space="preserve"> </w:t>
      </w:r>
      <w:r w:rsidRPr="005D0206">
        <w:rPr>
          <w:sz w:val="24"/>
          <w:lang w:val="en-US"/>
        </w:rPr>
        <w:t>JC,</w:t>
      </w:r>
      <w:r w:rsidRPr="005D0206">
        <w:rPr>
          <w:spacing w:val="-5"/>
          <w:sz w:val="24"/>
          <w:lang w:val="en-US"/>
        </w:rPr>
        <w:t xml:space="preserve"> </w:t>
      </w:r>
      <w:r w:rsidRPr="005D0206">
        <w:rPr>
          <w:sz w:val="24"/>
          <w:lang w:val="en-US"/>
        </w:rPr>
        <w:t>Drent</w:t>
      </w:r>
      <w:r w:rsidRPr="005D0206">
        <w:rPr>
          <w:spacing w:val="-5"/>
          <w:sz w:val="24"/>
          <w:lang w:val="en-US"/>
        </w:rPr>
        <w:t xml:space="preserve"> </w:t>
      </w:r>
      <w:r w:rsidRPr="005D0206">
        <w:rPr>
          <w:sz w:val="24"/>
          <w:lang w:val="en-US"/>
        </w:rPr>
        <w:t>ML.</w:t>
      </w:r>
      <w:r w:rsidRPr="005D0206">
        <w:rPr>
          <w:spacing w:val="-4"/>
          <w:sz w:val="24"/>
          <w:lang w:val="en-US"/>
        </w:rPr>
        <w:t xml:space="preserve"> </w:t>
      </w:r>
      <w:r w:rsidRPr="005D0206">
        <w:rPr>
          <w:sz w:val="24"/>
          <w:lang w:val="en-US"/>
        </w:rPr>
        <w:t>Efficacy</w:t>
      </w:r>
      <w:r w:rsidRPr="005D0206">
        <w:rPr>
          <w:spacing w:val="-10"/>
          <w:sz w:val="24"/>
          <w:lang w:val="en-US"/>
        </w:rPr>
        <w:t xml:space="preserve"> </w:t>
      </w:r>
      <w:r w:rsidRPr="005D0206">
        <w:rPr>
          <w:sz w:val="24"/>
          <w:lang w:val="en-US"/>
        </w:rPr>
        <w:t>and</w:t>
      </w:r>
      <w:r w:rsidRPr="005D0206">
        <w:rPr>
          <w:spacing w:val="-3"/>
          <w:sz w:val="24"/>
          <w:lang w:val="en-US"/>
        </w:rPr>
        <w:t xml:space="preserve"> </w:t>
      </w:r>
      <w:r w:rsidRPr="005D0206">
        <w:rPr>
          <w:sz w:val="24"/>
          <w:lang w:val="en-US"/>
        </w:rPr>
        <w:t>safety of growth hormone treatment in adults with grow</w:t>
      </w:r>
      <w:r w:rsidRPr="005D0206">
        <w:rPr>
          <w:sz w:val="24"/>
          <w:lang w:val="en-US"/>
        </w:rPr>
        <w:t xml:space="preserve">th hormone deficiency: a systematic review of studies on morbidity. </w:t>
      </w:r>
      <w:r>
        <w:rPr>
          <w:sz w:val="24"/>
        </w:rPr>
        <w:t>Clin Endocrinol. 2014;81(1):1-14.</w:t>
      </w:r>
    </w:p>
    <w:p w:rsidR="005C592B" w:rsidRDefault="005D0206">
      <w:pPr>
        <w:pStyle w:val="PargrafodaLista"/>
        <w:numPr>
          <w:ilvl w:val="0"/>
          <w:numId w:val="4"/>
        </w:numPr>
        <w:tabs>
          <w:tab w:val="left" w:pos="502"/>
        </w:tabs>
        <w:spacing w:before="1"/>
        <w:ind w:right="853" w:firstLine="0"/>
        <w:jc w:val="both"/>
        <w:rPr>
          <w:sz w:val="24"/>
        </w:rPr>
      </w:pPr>
      <w:r w:rsidRPr="005D0206">
        <w:rPr>
          <w:sz w:val="24"/>
          <w:lang w:val="en-US"/>
        </w:rPr>
        <w:t>Consensus guidelines for the diagnosis and treatment of adults with growth hormone deficiency:</w:t>
      </w:r>
      <w:r w:rsidRPr="005D0206">
        <w:rPr>
          <w:spacing w:val="-3"/>
          <w:sz w:val="24"/>
          <w:lang w:val="en-US"/>
        </w:rPr>
        <w:t xml:space="preserve"> </w:t>
      </w:r>
      <w:r w:rsidRPr="005D0206">
        <w:rPr>
          <w:sz w:val="24"/>
          <w:lang w:val="en-US"/>
        </w:rPr>
        <w:t>summary</w:t>
      </w:r>
      <w:r w:rsidRPr="005D0206">
        <w:rPr>
          <w:spacing w:val="-8"/>
          <w:sz w:val="24"/>
          <w:lang w:val="en-US"/>
        </w:rPr>
        <w:t xml:space="preserve"> </w:t>
      </w:r>
      <w:r w:rsidRPr="005D0206">
        <w:rPr>
          <w:sz w:val="24"/>
          <w:lang w:val="en-US"/>
        </w:rPr>
        <w:t>statement</w:t>
      </w:r>
      <w:r w:rsidRPr="005D0206">
        <w:rPr>
          <w:spacing w:val="-4"/>
          <w:sz w:val="24"/>
          <w:lang w:val="en-US"/>
        </w:rPr>
        <w:t xml:space="preserve"> </w:t>
      </w:r>
      <w:r w:rsidRPr="005D0206">
        <w:rPr>
          <w:sz w:val="24"/>
          <w:lang w:val="en-US"/>
        </w:rPr>
        <w:t>of</w:t>
      </w:r>
      <w:r w:rsidRPr="005D0206">
        <w:rPr>
          <w:spacing w:val="-5"/>
          <w:sz w:val="24"/>
          <w:lang w:val="en-US"/>
        </w:rPr>
        <w:t xml:space="preserve"> </w:t>
      </w:r>
      <w:r w:rsidRPr="005D0206">
        <w:rPr>
          <w:sz w:val="24"/>
          <w:lang w:val="en-US"/>
        </w:rPr>
        <w:t>the</w:t>
      </w:r>
      <w:r w:rsidRPr="005D0206">
        <w:rPr>
          <w:spacing w:val="-4"/>
          <w:sz w:val="24"/>
          <w:lang w:val="en-US"/>
        </w:rPr>
        <w:t xml:space="preserve"> </w:t>
      </w:r>
      <w:r w:rsidRPr="005D0206">
        <w:rPr>
          <w:sz w:val="24"/>
          <w:lang w:val="en-US"/>
        </w:rPr>
        <w:t>Growth</w:t>
      </w:r>
      <w:r w:rsidRPr="005D0206">
        <w:rPr>
          <w:spacing w:val="-2"/>
          <w:sz w:val="24"/>
          <w:lang w:val="en-US"/>
        </w:rPr>
        <w:t xml:space="preserve"> </w:t>
      </w:r>
      <w:r w:rsidRPr="005D0206">
        <w:rPr>
          <w:sz w:val="24"/>
          <w:lang w:val="en-US"/>
        </w:rPr>
        <w:t>Hormone</w:t>
      </w:r>
      <w:r w:rsidRPr="005D0206">
        <w:rPr>
          <w:spacing w:val="-4"/>
          <w:sz w:val="24"/>
          <w:lang w:val="en-US"/>
        </w:rPr>
        <w:t xml:space="preserve"> </w:t>
      </w:r>
      <w:r w:rsidRPr="005D0206">
        <w:rPr>
          <w:sz w:val="24"/>
          <w:lang w:val="en-US"/>
        </w:rPr>
        <w:t>Research</w:t>
      </w:r>
      <w:r w:rsidRPr="005D0206">
        <w:rPr>
          <w:spacing w:val="-3"/>
          <w:sz w:val="24"/>
          <w:lang w:val="en-US"/>
        </w:rPr>
        <w:t xml:space="preserve"> </w:t>
      </w:r>
      <w:r w:rsidRPr="005D0206">
        <w:rPr>
          <w:sz w:val="24"/>
          <w:lang w:val="en-US"/>
        </w:rPr>
        <w:t>Society</w:t>
      </w:r>
      <w:r w:rsidRPr="005D0206">
        <w:rPr>
          <w:spacing w:val="-8"/>
          <w:sz w:val="24"/>
          <w:lang w:val="en-US"/>
        </w:rPr>
        <w:t xml:space="preserve"> </w:t>
      </w:r>
      <w:r w:rsidRPr="005D0206">
        <w:rPr>
          <w:sz w:val="24"/>
          <w:lang w:val="en-US"/>
        </w:rPr>
        <w:t>Wo</w:t>
      </w:r>
      <w:r w:rsidRPr="005D0206">
        <w:rPr>
          <w:sz w:val="24"/>
          <w:lang w:val="en-US"/>
        </w:rPr>
        <w:t>rkshop</w:t>
      </w:r>
      <w:r w:rsidRPr="005D0206">
        <w:rPr>
          <w:spacing w:val="-4"/>
          <w:sz w:val="24"/>
          <w:lang w:val="en-US"/>
        </w:rPr>
        <w:t xml:space="preserve"> </w:t>
      </w:r>
      <w:r w:rsidRPr="005D0206">
        <w:rPr>
          <w:sz w:val="24"/>
          <w:lang w:val="en-US"/>
        </w:rPr>
        <w:t>on</w:t>
      </w:r>
      <w:r w:rsidRPr="005D0206">
        <w:rPr>
          <w:spacing w:val="-3"/>
          <w:sz w:val="24"/>
          <w:lang w:val="en-US"/>
        </w:rPr>
        <w:t xml:space="preserve"> </w:t>
      </w:r>
      <w:r w:rsidRPr="005D0206">
        <w:rPr>
          <w:sz w:val="24"/>
          <w:lang w:val="en-US"/>
        </w:rPr>
        <w:t xml:space="preserve">Adult Growth Hormone Deficiency. </w:t>
      </w:r>
      <w:r>
        <w:rPr>
          <w:sz w:val="24"/>
        </w:rPr>
        <w:t>J Clin Endocrinol Metab.</w:t>
      </w:r>
      <w:r>
        <w:rPr>
          <w:spacing w:val="-4"/>
          <w:sz w:val="24"/>
        </w:rPr>
        <w:t xml:space="preserve"> </w:t>
      </w:r>
      <w:r>
        <w:rPr>
          <w:sz w:val="24"/>
        </w:rPr>
        <w:t>1998;83(2):379-81.</w:t>
      </w:r>
    </w:p>
    <w:p w:rsidR="005C592B" w:rsidRDefault="005D0206">
      <w:pPr>
        <w:pStyle w:val="PargrafodaLista"/>
        <w:numPr>
          <w:ilvl w:val="0"/>
          <w:numId w:val="4"/>
        </w:numPr>
        <w:tabs>
          <w:tab w:val="left" w:pos="502"/>
        </w:tabs>
        <w:ind w:right="853" w:firstLine="0"/>
        <w:jc w:val="both"/>
        <w:rPr>
          <w:sz w:val="24"/>
        </w:rPr>
      </w:pPr>
      <w:r w:rsidRPr="005D0206">
        <w:rPr>
          <w:sz w:val="24"/>
          <w:lang w:val="en-US"/>
        </w:rPr>
        <w:t xml:space="preserve">Johannsson G. Treatment of growth hormone deficiency in adults. </w:t>
      </w:r>
      <w:r>
        <w:rPr>
          <w:sz w:val="24"/>
        </w:rPr>
        <w:t>Horm Res. 2009;71 Suppl 1:116-22.</w:t>
      </w:r>
    </w:p>
    <w:p w:rsidR="005C592B" w:rsidRDefault="005D0206">
      <w:pPr>
        <w:pStyle w:val="PargrafodaLista"/>
        <w:numPr>
          <w:ilvl w:val="0"/>
          <w:numId w:val="4"/>
        </w:numPr>
        <w:tabs>
          <w:tab w:val="left" w:pos="502"/>
        </w:tabs>
        <w:ind w:right="856" w:firstLine="0"/>
        <w:jc w:val="both"/>
        <w:rPr>
          <w:sz w:val="24"/>
        </w:rPr>
      </w:pPr>
      <w:r w:rsidRPr="005D0206">
        <w:rPr>
          <w:sz w:val="24"/>
          <w:lang w:val="en-US"/>
        </w:rPr>
        <w:t>Rapaport</w:t>
      </w:r>
      <w:r w:rsidRPr="005D0206">
        <w:rPr>
          <w:spacing w:val="-11"/>
          <w:sz w:val="24"/>
          <w:lang w:val="en-US"/>
        </w:rPr>
        <w:t xml:space="preserve"> </w:t>
      </w:r>
      <w:r w:rsidRPr="005D0206">
        <w:rPr>
          <w:sz w:val="24"/>
          <w:lang w:val="en-US"/>
        </w:rPr>
        <w:t>R,</w:t>
      </w:r>
      <w:r w:rsidRPr="005D0206">
        <w:rPr>
          <w:spacing w:val="-9"/>
          <w:sz w:val="24"/>
          <w:lang w:val="en-US"/>
        </w:rPr>
        <w:t xml:space="preserve"> </w:t>
      </w:r>
      <w:r w:rsidRPr="005D0206">
        <w:rPr>
          <w:sz w:val="24"/>
          <w:lang w:val="en-US"/>
        </w:rPr>
        <w:t>Bowlby</w:t>
      </w:r>
      <w:r w:rsidRPr="005D0206">
        <w:rPr>
          <w:spacing w:val="-13"/>
          <w:sz w:val="24"/>
          <w:lang w:val="en-US"/>
        </w:rPr>
        <w:t xml:space="preserve"> </w:t>
      </w:r>
      <w:r w:rsidRPr="005D0206">
        <w:rPr>
          <w:sz w:val="24"/>
          <w:lang w:val="en-US"/>
        </w:rPr>
        <w:t>D.</w:t>
      </w:r>
      <w:r w:rsidRPr="005D0206">
        <w:rPr>
          <w:spacing w:val="-11"/>
          <w:sz w:val="24"/>
          <w:lang w:val="en-US"/>
        </w:rPr>
        <w:t xml:space="preserve"> </w:t>
      </w:r>
      <w:r w:rsidRPr="005D0206">
        <w:rPr>
          <w:sz w:val="24"/>
          <w:lang w:val="en-US"/>
        </w:rPr>
        <w:t>Clinical</w:t>
      </w:r>
      <w:r w:rsidRPr="005D0206">
        <w:rPr>
          <w:spacing w:val="-10"/>
          <w:sz w:val="24"/>
          <w:lang w:val="en-US"/>
        </w:rPr>
        <w:t xml:space="preserve"> </w:t>
      </w:r>
      <w:r w:rsidRPr="005D0206">
        <w:rPr>
          <w:sz w:val="24"/>
          <w:lang w:val="en-US"/>
        </w:rPr>
        <w:t>Aspects</w:t>
      </w:r>
      <w:r w:rsidRPr="005D0206">
        <w:rPr>
          <w:spacing w:val="-10"/>
          <w:sz w:val="24"/>
          <w:lang w:val="en-US"/>
        </w:rPr>
        <w:t xml:space="preserve"> </w:t>
      </w:r>
      <w:r w:rsidRPr="005D0206">
        <w:rPr>
          <w:sz w:val="24"/>
          <w:lang w:val="en-US"/>
        </w:rPr>
        <w:t>of</w:t>
      </w:r>
      <w:r w:rsidRPr="005D0206">
        <w:rPr>
          <w:spacing w:val="-9"/>
          <w:sz w:val="24"/>
          <w:lang w:val="en-US"/>
        </w:rPr>
        <w:t xml:space="preserve"> </w:t>
      </w:r>
      <w:r w:rsidRPr="005D0206">
        <w:rPr>
          <w:sz w:val="24"/>
          <w:lang w:val="en-US"/>
        </w:rPr>
        <w:t>Gowth</w:t>
      </w:r>
      <w:r w:rsidRPr="005D0206">
        <w:rPr>
          <w:spacing w:val="-10"/>
          <w:sz w:val="24"/>
          <w:lang w:val="en-US"/>
        </w:rPr>
        <w:t xml:space="preserve"> </w:t>
      </w:r>
      <w:r w:rsidRPr="005D0206">
        <w:rPr>
          <w:sz w:val="24"/>
          <w:lang w:val="en-US"/>
        </w:rPr>
        <w:t>and</w:t>
      </w:r>
      <w:r w:rsidRPr="005D0206">
        <w:rPr>
          <w:spacing w:val="-11"/>
          <w:sz w:val="24"/>
          <w:lang w:val="en-US"/>
        </w:rPr>
        <w:t xml:space="preserve"> </w:t>
      </w:r>
      <w:r w:rsidRPr="005D0206">
        <w:rPr>
          <w:sz w:val="24"/>
          <w:lang w:val="en-US"/>
        </w:rPr>
        <w:t>Gowth</w:t>
      </w:r>
      <w:r w:rsidRPr="005D0206">
        <w:rPr>
          <w:spacing w:val="-10"/>
          <w:sz w:val="24"/>
          <w:lang w:val="en-US"/>
        </w:rPr>
        <w:t xml:space="preserve"> </w:t>
      </w:r>
      <w:r w:rsidRPr="005D0206">
        <w:rPr>
          <w:sz w:val="24"/>
          <w:lang w:val="en-US"/>
        </w:rPr>
        <w:t>Disorders.</w:t>
      </w:r>
      <w:r w:rsidRPr="005D0206">
        <w:rPr>
          <w:spacing w:val="-8"/>
          <w:sz w:val="24"/>
          <w:lang w:val="en-US"/>
        </w:rPr>
        <w:t xml:space="preserve"> </w:t>
      </w:r>
      <w:r w:rsidRPr="005D0206">
        <w:rPr>
          <w:sz w:val="24"/>
          <w:lang w:val="en-US"/>
        </w:rPr>
        <w:t>In:</w:t>
      </w:r>
      <w:r w:rsidRPr="005D0206">
        <w:rPr>
          <w:spacing w:val="-11"/>
          <w:sz w:val="24"/>
          <w:lang w:val="en-US"/>
        </w:rPr>
        <w:t xml:space="preserve"> </w:t>
      </w:r>
      <w:r w:rsidRPr="005D0206">
        <w:rPr>
          <w:sz w:val="24"/>
          <w:lang w:val="en-US"/>
        </w:rPr>
        <w:t>Pescovitz</w:t>
      </w:r>
      <w:r w:rsidRPr="005D0206">
        <w:rPr>
          <w:spacing w:val="-9"/>
          <w:sz w:val="24"/>
          <w:lang w:val="en-US"/>
        </w:rPr>
        <w:t xml:space="preserve"> </w:t>
      </w:r>
      <w:r w:rsidRPr="005D0206">
        <w:rPr>
          <w:sz w:val="24"/>
          <w:lang w:val="en-US"/>
        </w:rPr>
        <w:t xml:space="preserve">OH, Eugster EA, editors. Pediatric endocrinology: mechanisms, manifestations, and management. </w:t>
      </w:r>
      <w:r>
        <w:rPr>
          <w:sz w:val="24"/>
        </w:rPr>
        <w:t>Philadelphia: Lippincott Williams &amp; Willkins; 2004. p.</w:t>
      </w:r>
      <w:r>
        <w:rPr>
          <w:spacing w:val="3"/>
          <w:sz w:val="24"/>
        </w:rPr>
        <w:t xml:space="preserve"> </w:t>
      </w:r>
      <w:r>
        <w:rPr>
          <w:sz w:val="24"/>
        </w:rPr>
        <w:t>172-90.</w:t>
      </w:r>
    </w:p>
    <w:p w:rsidR="005C592B" w:rsidRDefault="005D0206">
      <w:pPr>
        <w:pStyle w:val="PargrafodaLista"/>
        <w:numPr>
          <w:ilvl w:val="0"/>
          <w:numId w:val="4"/>
        </w:numPr>
        <w:tabs>
          <w:tab w:val="left" w:pos="563"/>
        </w:tabs>
        <w:ind w:right="851" w:firstLine="0"/>
        <w:jc w:val="both"/>
        <w:rPr>
          <w:sz w:val="24"/>
        </w:rPr>
      </w:pPr>
      <w:r>
        <w:rPr>
          <w:sz w:val="24"/>
        </w:rPr>
        <w:t xml:space="preserve">Appelman-Dijkstra NM, Rijndorp M, Biermasz NR, Dekkers OM, Pereira AM. </w:t>
      </w:r>
      <w:r w:rsidRPr="005D0206">
        <w:rPr>
          <w:sz w:val="24"/>
          <w:lang w:val="en-US"/>
        </w:rPr>
        <w:t>Effects of discontinuation of growth hormone replacement in adult GH-deficient patients: a cohort</w:t>
      </w:r>
      <w:r w:rsidRPr="005D0206">
        <w:rPr>
          <w:spacing w:val="-19"/>
          <w:sz w:val="24"/>
          <w:lang w:val="en-US"/>
        </w:rPr>
        <w:t xml:space="preserve"> </w:t>
      </w:r>
      <w:r w:rsidRPr="005D0206">
        <w:rPr>
          <w:sz w:val="24"/>
          <w:lang w:val="en-US"/>
        </w:rPr>
        <w:t xml:space="preserve">study and a systematic review of the literature. </w:t>
      </w:r>
      <w:r>
        <w:rPr>
          <w:sz w:val="24"/>
        </w:rPr>
        <w:t>Eur J Endocrinol. 2016</w:t>
      </w:r>
      <w:r>
        <w:rPr>
          <w:spacing w:val="-6"/>
          <w:sz w:val="24"/>
        </w:rPr>
        <w:t xml:space="preserve"> </w:t>
      </w:r>
      <w:r>
        <w:rPr>
          <w:sz w:val="24"/>
        </w:rPr>
        <w:t>Jun;174(6):705-</w:t>
      </w:r>
      <w:r>
        <w:rPr>
          <w:sz w:val="24"/>
        </w:rPr>
        <w:t>16.</w:t>
      </w:r>
    </w:p>
    <w:p w:rsidR="005C592B" w:rsidRPr="005D0206" w:rsidRDefault="005D0206">
      <w:pPr>
        <w:pStyle w:val="PargrafodaLista"/>
        <w:numPr>
          <w:ilvl w:val="0"/>
          <w:numId w:val="4"/>
        </w:numPr>
        <w:tabs>
          <w:tab w:val="left" w:pos="502"/>
        </w:tabs>
        <w:spacing w:before="1"/>
        <w:ind w:left="501" w:hanging="301"/>
        <w:jc w:val="both"/>
        <w:rPr>
          <w:sz w:val="24"/>
          <w:lang w:val="en-US"/>
        </w:rPr>
      </w:pPr>
      <w:r w:rsidRPr="005D0206">
        <w:rPr>
          <w:sz w:val="24"/>
          <w:lang w:val="en-US"/>
        </w:rPr>
        <w:t>Drug Facts and Comparisons. 61th ed. St Louis: Facts and Comparisons; 2007.</w:t>
      </w:r>
    </w:p>
    <w:p w:rsidR="005C592B" w:rsidRDefault="005D0206">
      <w:pPr>
        <w:pStyle w:val="PargrafodaLista"/>
        <w:numPr>
          <w:ilvl w:val="0"/>
          <w:numId w:val="4"/>
        </w:numPr>
        <w:tabs>
          <w:tab w:val="left" w:pos="502"/>
        </w:tabs>
        <w:ind w:right="853" w:firstLine="0"/>
        <w:jc w:val="both"/>
        <w:rPr>
          <w:sz w:val="24"/>
        </w:rPr>
      </w:pPr>
      <w:r w:rsidRPr="005D0206">
        <w:rPr>
          <w:sz w:val="24"/>
          <w:lang w:val="en-US"/>
        </w:rPr>
        <w:t>Clayton</w:t>
      </w:r>
      <w:r w:rsidRPr="005D0206">
        <w:rPr>
          <w:spacing w:val="-6"/>
          <w:sz w:val="24"/>
          <w:lang w:val="en-US"/>
        </w:rPr>
        <w:t xml:space="preserve"> </w:t>
      </w:r>
      <w:r w:rsidRPr="005D0206">
        <w:rPr>
          <w:sz w:val="24"/>
          <w:lang w:val="en-US"/>
        </w:rPr>
        <w:t>PE,</w:t>
      </w:r>
      <w:r w:rsidRPr="005D0206">
        <w:rPr>
          <w:spacing w:val="-6"/>
          <w:sz w:val="24"/>
          <w:lang w:val="en-US"/>
        </w:rPr>
        <w:t xml:space="preserve"> </w:t>
      </w:r>
      <w:r w:rsidRPr="005D0206">
        <w:rPr>
          <w:sz w:val="24"/>
          <w:lang w:val="en-US"/>
        </w:rPr>
        <w:t>Cuneo</w:t>
      </w:r>
      <w:r w:rsidRPr="005D0206">
        <w:rPr>
          <w:spacing w:val="-5"/>
          <w:sz w:val="24"/>
          <w:lang w:val="en-US"/>
        </w:rPr>
        <w:t xml:space="preserve"> </w:t>
      </w:r>
      <w:r w:rsidRPr="005D0206">
        <w:rPr>
          <w:sz w:val="24"/>
          <w:lang w:val="en-US"/>
        </w:rPr>
        <w:t>RC,</w:t>
      </w:r>
      <w:r w:rsidRPr="005D0206">
        <w:rPr>
          <w:spacing w:val="-8"/>
          <w:sz w:val="24"/>
          <w:lang w:val="en-US"/>
        </w:rPr>
        <w:t xml:space="preserve"> </w:t>
      </w:r>
      <w:r w:rsidRPr="005D0206">
        <w:rPr>
          <w:sz w:val="24"/>
          <w:lang w:val="en-US"/>
        </w:rPr>
        <w:t>Juul</w:t>
      </w:r>
      <w:r w:rsidRPr="005D0206">
        <w:rPr>
          <w:spacing w:val="-6"/>
          <w:sz w:val="24"/>
          <w:lang w:val="en-US"/>
        </w:rPr>
        <w:t xml:space="preserve"> </w:t>
      </w:r>
      <w:r w:rsidRPr="005D0206">
        <w:rPr>
          <w:sz w:val="24"/>
          <w:lang w:val="en-US"/>
        </w:rPr>
        <w:t>A,</w:t>
      </w:r>
      <w:r w:rsidRPr="005D0206">
        <w:rPr>
          <w:spacing w:val="-9"/>
          <w:sz w:val="24"/>
          <w:lang w:val="en-US"/>
        </w:rPr>
        <w:t xml:space="preserve"> </w:t>
      </w:r>
      <w:r w:rsidRPr="005D0206">
        <w:rPr>
          <w:sz w:val="24"/>
          <w:lang w:val="en-US"/>
        </w:rPr>
        <w:t>Monson</w:t>
      </w:r>
      <w:r w:rsidRPr="005D0206">
        <w:rPr>
          <w:spacing w:val="-8"/>
          <w:sz w:val="24"/>
          <w:lang w:val="en-US"/>
        </w:rPr>
        <w:t xml:space="preserve"> </w:t>
      </w:r>
      <w:r w:rsidRPr="005D0206">
        <w:rPr>
          <w:sz w:val="24"/>
          <w:lang w:val="en-US"/>
        </w:rPr>
        <w:t>JP,</w:t>
      </w:r>
      <w:r w:rsidRPr="005D0206">
        <w:rPr>
          <w:spacing w:val="-9"/>
          <w:sz w:val="24"/>
          <w:lang w:val="en-US"/>
        </w:rPr>
        <w:t xml:space="preserve"> </w:t>
      </w:r>
      <w:r w:rsidRPr="005D0206">
        <w:rPr>
          <w:sz w:val="24"/>
          <w:lang w:val="en-US"/>
        </w:rPr>
        <w:t>Shalet</w:t>
      </w:r>
      <w:r w:rsidRPr="005D0206">
        <w:rPr>
          <w:spacing w:val="-6"/>
          <w:sz w:val="24"/>
          <w:lang w:val="en-US"/>
        </w:rPr>
        <w:t xml:space="preserve"> </w:t>
      </w:r>
      <w:r w:rsidRPr="005D0206">
        <w:rPr>
          <w:sz w:val="24"/>
          <w:lang w:val="en-US"/>
        </w:rPr>
        <w:t>SM,</w:t>
      </w:r>
      <w:r w:rsidRPr="005D0206">
        <w:rPr>
          <w:spacing w:val="-6"/>
          <w:sz w:val="24"/>
          <w:lang w:val="en-US"/>
        </w:rPr>
        <w:t xml:space="preserve"> </w:t>
      </w:r>
      <w:r w:rsidRPr="005D0206">
        <w:rPr>
          <w:sz w:val="24"/>
          <w:lang w:val="en-US"/>
        </w:rPr>
        <w:t>Tauber</w:t>
      </w:r>
      <w:r w:rsidRPr="005D0206">
        <w:rPr>
          <w:spacing w:val="-6"/>
          <w:sz w:val="24"/>
          <w:lang w:val="en-US"/>
        </w:rPr>
        <w:t xml:space="preserve"> </w:t>
      </w:r>
      <w:r w:rsidRPr="005D0206">
        <w:rPr>
          <w:sz w:val="24"/>
          <w:lang w:val="en-US"/>
        </w:rPr>
        <w:t>M.</w:t>
      </w:r>
      <w:r w:rsidRPr="005D0206">
        <w:rPr>
          <w:spacing w:val="-6"/>
          <w:sz w:val="24"/>
          <w:lang w:val="en-US"/>
        </w:rPr>
        <w:t xml:space="preserve"> </w:t>
      </w:r>
      <w:r w:rsidRPr="005D0206">
        <w:rPr>
          <w:sz w:val="24"/>
          <w:lang w:val="en-US"/>
        </w:rPr>
        <w:t>Consensus</w:t>
      </w:r>
      <w:r w:rsidRPr="005D0206">
        <w:rPr>
          <w:spacing w:val="-6"/>
          <w:sz w:val="24"/>
          <w:lang w:val="en-US"/>
        </w:rPr>
        <w:t xml:space="preserve"> </w:t>
      </w:r>
      <w:r w:rsidRPr="005D0206">
        <w:rPr>
          <w:sz w:val="24"/>
          <w:lang w:val="en-US"/>
        </w:rPr>
        <w:t>statement</w:t>
      </w:r>
      <w:r w:rsidRPr="005D0206">
        <w:rPr>
          <w:spacing w:val="-7"/>
          <w:sz w:val="24"/>
          <w:lang w:val="en-US"/>
        </w:rPr>
        <w:t xml:space="preserve"> </w:t>
      </w:r>
      <w:r w:rsidRPr="005D0206">
        <w:rPr>
          <w:sz w:val="24"/>
          <w:lang w:val="en-US"/>
        </w:rPr>
        <w:t xml:space="preserve">on the management of the GH-treated adolescent in the transition to adult care. </w:t>
      </w:r>
      <w:r>
        <w:rPr>
          <w:sz w:val="24"/>
        </w:rPr>
        <w:t>Eur J Endocrin</w:t>
      </w:r>
      <w:r>
        <w:rPr>
          <w:sz w:val="24"/>
        </w:rPr>
        <w:t>ol. 2005;152(2):165-70.</w:t>
      </w:r>
    </w:p>
    <w:p w:rsidR="005C592B" w:rsidRDefault="005D0206">
      <w:pPr>
        <w:pStyle w:val="PargrafodaLista"/>
        <w:numPr>
          <w:ilvl w:val="0"/>
          <w:numId w:val="4"/>
        </w:numPr>
        <w:tabs>
          <w:tab w:val="left" w:pos="502"/>
        </w:tabs>
        <w:ind w:right="854" w:firstLine="0"/>
        <w:jc w:val="both"/>
        <w:rPr>
          <w:sz w:val="24"/>
        </w:rPr>
      </w:pPr>
      <w:r w:rsidRPr="005D0206">
        <w:rPr>
          <w:sz w:val="24"/>
          <w:lang w:val="en-US"/>
        </w:rPr>
        <w:t xml:space="preserve">Molitch ME, Clemmons DR, Malozowski S, Merriam GR, Shalet SM, Vance ML. Evaluation and treatment of adult growth hormone deficiency: an Endocrine Society Clinical Practice Guideline. </w:t>
      </w:r>
      <w:r>
        <w:rPr>
          <w:sz w:val="24"/>
        </w:rPr>
        <w:t>J Clin Endocrinol Metab. 2006;91(5):1621-34.</w:t>
      </w:r>
    </w:p>
    <w:p w:rsidR="005C592B" w:rsidRDefault="005D0206">
      <w:pPr>
        <w:pStyle w:val="PargrafodaLista"/>
        <w:numPr>
          <w:ilvl w:val="0"/>
          <w:numId w:val="4"/>
        </w:numPr>
        <w:tabs>
          <w:tab w:val="left" w:pos="502"/>
        </w:tabs>
        <w:ind w:right="854" w:firstLine="0"/>
        <w:jc w:val="both"/>
        <w:rPr>
          <w:sz w:val="24"/>
        </w:rPr>
      </w:pPr>
      <w:r w:rsidRPr="005D0206">
        <w:rPr>
          <w:sz w:val="24"/>
          <w:lang w:val="en-US"/>
        </w:rPr>
        <w:t>Bonf</w:t>
      </w:r>
      <w:r w:rsidRPr="005D0206">
        <w:rPr>
          <w:sz w:val="24"/>
          <w:lang w:val="en-US"/>
        </w:rPr>
        <w:t>ig W, Bechtold S, Bachmann S, Putzker S, Fuchs O, Pagel P, et al. Reassessment of the optimal growth hormone cut-off level in insulin tolerance testing for growth hormone secretion in patients with childhood-onset growth hormone deficiency during transitio</w:t>
      </w:r>
      <w:r w:rsidRPr="005D0206">
        <w:rPr>
          <w:sz w:val="24"/>
          <w:lang w:val="en-US"/>
        </w:rPr>
        <w:t xml:space="preserve">n to adulthood. </w:t>
      </w:r>
      <w:r>
        <w:rPr>
          <w:sz w:val="24"/>
        </w:rPr>
        <w:t>J Pediatr Endocrinol Metab. 2008;21(11):1049-56.</w:t>
      </w:r>
    </w:p>
    <w:p w:rsidR="005C592B" w:rsidRDefault="005D0206">
      <w:pPr>
        <w:pStyle w:val="PargrafodaLista"/>
        <w:numPr>
          <w:ilvl w:val="0"/>
          <w:numId w:val="4"/>
        </w:numPr>
        <w:tabs>
          <w:tab w:val="left" w:pos="607"/>
        </w:tabs>
        <w:ind w:right="854" w:firstLine="0"/>
        <w:jc w:val="both"/>
        <w:rPr>
          <w:sz w:val="24"/>
        </w:rPr>
      </w:pPr>
      <w:r>
        <w:rPr>
          <w:sz w:val="24"/>
        </w:rPr>
        <w:t>Secretaria de Ciência, Tecnologia e Insumos Estratégicos/Ministério da Saúde. Torna pública a decisão de incorporar as apresentações do medicamento somatropina, nas concentrações de 15UI, 16U</w:t>
      </w:r>
      <w:r>
        <w:rPr>
          <w:sz w:val="24"/>
        </w:rPr>
        <w:t>I, 18UI, 24UI e 30UI, para o tratamento da Síndrome de Turner</w:t>
      </w:r>
      <w:r>
        <w:rPr>
          <w:spacing w:val="1"/>
          <w:sz w:val="24"/>
        </w:rPr>
        <w:t xml:space="preserve"> </w:t>
      </w:r>
      <w:r>
        <w:rPr>
          <w:sz w:val="24"/>
        </w:rPr>
        <w:t>e</w:t>
      </w:r>
    </w:p>
    <w:p w:rsidR="005C592B" w:rsidRDefault="005C592B">
      <w:pPr>
        <w:jc w:val="both"/>
        <w:rPr>
          <w:sz w:val="24"/>
        </w:rPr>
        <w:sectPr w:rsidR="005C592B">
          <w:pgSz w:w="11900" w:h="16850"/>
          <w:pgMar w:top="1360" w:right="580" w:bottom="280" w:left="1240" w:header="720" w:footer="720" w:gutter="0"/>
          <w:cols w:space="720"/>
        </w:sectPr>
      </w:pPr>
    </w:p>
    <w:p w:rsidR="005C592B" w:rsidRDefault="005D0206">
      <w:pPr>
        <w:pStyle w:val="Corpodetexto"/>
        <w:spacing w:before="71"/>
        <w:ind w:right="756"/>
        <w:jc w:val="left"/>
      </w:pPr>
      <w:r>
        <w:lastRenderedPageBreak/>
        <w:t>Deficiência do Hormônio do Crescimento-Hipopituitarismo no âmbito do Sistema Único de Saúde – SUS. Portaria n° 47, de 1 de novembro de 2017.</w:t>
      </w:r>
    </w:p>
    <w:p w:rsidR="005C592B" w:rsidRDefault="005C592B">
      <w:pPr>
        <w:sectPr w:rsidR="005C592B">
          <w:pgSz w:w="11900" w:h="16850"/>
          <w:pgMar w:top="1360" w:right="580" w:bottom="280" w:left="1240" w:header="720" w:footer="720" w:gutter="0"/>
          <w:cols w:space="720"/>
        </w:sectPr>
      </w:pPr>
    </w:p>
    <w:p w:rsidR="005C592B" w:rsidRDefault="005D0206">
      <w:pPr>
        <w:pStyle w:val="Corpodetexto"/>
        <w:spacing w:before="74" w:line="448" w:lineRule="auto"/>
        <w:ind w:right="3793"/>
        <w:jc w:val="left"/>
      </w:pPr>
      <w:r>
        <w:lastRenderedPageBreak/>
        <w:t>TERMO DE ESCLARECIMENTO E RESPONSABILIDADE SOMATROPINA</w:t>
      </w:r>
    </w:p>
    <w:p w:rsidR="005C592B" w:rsidRDefault="005D0206">
      <w:pPr>
        <w:pStyle w:val="Corpodetexto"/>
        <w:tabs>
          <w:tab w:val="left" w:pos="6984"/>
        </w:tabs>
        <w:spacing w:before="175" w:line="360" w:lineRule="auto"/>
        <w:ind w:right="851" w:firstLine="566"/>
      </w:pPr>
      <w:r>
        <w:t>Eu,</w:t>
      </w:r>
      <w:r>
        <w:rPr>
          <w:u w:val="single"/>
        </w:rPr>
        <w:t xml:space="preserve"> </w:t>
      </w:r>
      <w:r>
        <w:rPr>
          <w:u w:val="single"/>
        </w:rPr>
        <w:tab/>
      </w:r>
      <w:r>
        <w:t xml:space="preserve">(nome do(a) paciente), declaro ter sido informado(a) claramente sobre os benefícios, riscos, contraindicações e principais efeitos adversos relacionados ao uso do medicamento </w:t>
      </w:r>
      <w:r>
        <w:rPr>
          <w:b/>
        </w:rPr>
        <w:t>somatropina</w:t>
      </w:r>
      <w:r>
        <w:t>, indicado</w:t>
      </w:r>
      <w:r>
        <w:t xml:space="preserve"> para o tratamento da </w:t>
      </w:r>
      <w:r>
        <w:rPr>
          <w:b/>
        </w:rPr>
        <w:t>deficiência de hormônio do</w:t>
      </w:r>
      <w:r>
        <w:rPr>
          <w:b/>
          <w:spacing w:val="-2"/>
        </w:rPr>
        <w:t xml:space="preserve"> </w:t>
      </w:r>
      <w:r>
        <w:rPr>
          <w:b/>
        </w:rPr>
        <w:t>crescimento</w:t>
      </w:r>
      <w:r>
        <w:t>.</w:t>
      </w:r>
    </w:p>
    <w:p w:rsidR="005C592B" w:rsidRDefault="005D0206">
      <w:pPr>
        <w:pStyle w:val="Corpodetexto"/>
        <w:tabs>
          <w:tab w:val="left" w:pos="5885"/>
        </w:tabs>
        <w:spacing w:line="360" w:lineRule="auto"/>
        <w:ind w:right="856" w:firstLine="566"/>
      </w:pPr>
      <w:r>
        <w:t>Os termos médicos foram explicados e todas as minhas dúvidas foram resolvidas pelo médico</w:t>
      </w:r>
      <w:r>
        <w:rPr>
          <w:u w:val="single"/>
        </w:rPr>
        <w:t xml:space="preserve"> </w:t>
      </w:r>
      <w:r>
        <w:rPr>
          <w:u w:val="single"/>
        </w:rPr>
        <w:tab/>
      </w:r>
      <w:r>
        <w:t>(nome do médico que</w:t>
      </w:r>
      <w:r>
        <w:rPr>
          <w:spacing w:val="-2"/>
        </w:rPr>
        <w:t xml:space="preserve"> </w:t>
      </w:r>
      <w:r>
        <w:t>prescreve).</w:t>
      </w:r>
    </w:p>
    <w:p w:rsidR="005C592B" w:rsidRDefault="005D0206">
      <w:pPr>
        <w:pStyle w:val="Corpodetexto"/>
        <w:spacing w:line="360" w:lineRule="auto"/>
        <w:ind w:right="852" w:firstLine="566"/>
      </w:pPr>
      <w:r>
        <w:t>Assim, declaro que fui claramente informado(a) de que o medicamento que passo a receber pode trazer os seguintes benefícios:</w:t>
      </w:r>
    </w:p>
    <w:p w:rsidR="005C592B" w:rsidRDefault="005D0206">
      <w:pPr>
        <w:pStyle w:val="PargrafodaLista"/>
        <w:numPr>
          <w:ilvl w:val="0"/>
          <w:numId w:val="3"/>
        </w:numPr>
        <w:tabs>
          <w:tab w:val="left" w:pos="906"/>
        </w:tabs>
        <w:spacing w:before="1"/>
        <w:jc w:val="left"/>
        <w:rPr>
          <w:sz w:val="24"/>
        </w:rPr>
      </w:pPr>
      <w:r>
        <w:rPr>
          <w:sz w:val="24"/>
        </w:rPr>
        <w:t>aumento da altura e da velocidade de crescimento em</w:t>
      </w:r>
      <w:r>
        <w:rPr>
          <w:spacing w:val="-5"/>
          <w:sz w:val="24"/>
        </w:rPr>
        <w:t xml:space="preserve"> </w:t>
      </w:r>
      <w:r>
        <w:rPr>
          <w:sz w:val="24"/>
        </w:rPr>
        <w:t>crianças;</w:t>
      </w:r>
    </w:p>
    <w:p w:rsidR="005C592B" w:rsidRDefault="005D0206">
      <w:pPr>
        <w:pStyle w:val="PargrafodaLista"/>
        <w:numPr>
          <w:ilvl w:val="0"/>
          <w:numId w:val="3"/>
        </w:numPr>
        <w:tabs>
          <w:tab w:val="left" w:pos="906"/>
        </w:tabs>
        <w:spacing w:before="136"/>
        <w:jc w:val="left"/>
        <w:rPr>
          <w:sz w:val="24"/>
        </w:rPr>
      </w:pPr>
      <w:r>
        <w:rPr>
          <w:sz w:val="24"/>
        </w:rPr>
        <w:t>aumento da densidade mineral óssea em adultos;</w:t>
      </w:r>
    </w:p>
    <w:p w:rsidR="005C592B" w:rsidRDefault="005D0206">
      <w:pPr>
        <w:pStyle w:val="PargrafodaLista"/>
        <w:numPr>
          <w:ilvl w:val="0"/>
          <w:numId w:val="3"/>
        </w:numPr>
        <w:tabs>
          <w:tab w:val="left" w:pos="906"/>
        </w:tabs>
        <w:spacing w:before="140"/>
        <w:jc w:val="left"/>
        <w:rPr>
          <w:sz w:val="24"/>
        </w:rPr>
      </w:pPr>
      <w:r>
        <w:rPr>
          <w:sz w:val="24"/>
        </w:rPr>
        <w:t>melhora da dislipidemi</w:t>
      </w:r>
      <w:r>
        <w:rPr>
          <w:sz w:val="24"/>
        </w:rPr>
        <w:t>a em</w:t>
      </w:r>
      <w:r>
        <w:rPr>
          <w:spacing w:val="-4"/>
          <w:sz w:val="24"/>
        </w:rPr>
        <w:t xml:space="preserve"> </w:t>
      </w:r>
      <w:r>
        <w:rPr>
          <w:sz w:val="24"/>
        </w:rPr>
        <w:t>adultos.</w:t>
      </w:r>
    </w:p>
    <w:p w:rsidR="005C592B" w:rsidRDefault="005D0206">
      <w:pPr>
        <w:pStyle w:val="Corpodetexto"/>
        <w:spacing w:before="136" w:line="360" w:lineRule="auto"/>
        <w:ind w:right="856" w:firstLine="566"/>
      </w:pPr>
      <w:r>
        <w:t>Fui também claramente informado (a) a respeito dos seguintes potenciais efeitos adversos, contraindicações e riscos:</w:t>
      </w:r>
    </w:p>
    <w:p w:rsidR="005C592B" w:rsidRDefault="005D0206">
      <w:pPr>
        <w:pStyle w:val="Corpodetexto"/>
        <w:spacing w:before="1" w:line="360" w:lineRule="auto"/>
        <w:ind w:right="853" w:firstLine="566"/>
      </w:pPr>
      <w:r>
        <w:rPr>
          <w:b/>
        </w:rPr>
        <w:t xml:space="preserve">- somatropina: </w:t>
      </w:r>
      <w:r>
        <w:t>medicamento classificado na gestação como categoria C quando utilizado no primeiro e segundo trimestres de ges</w:t>
      </w:r>
      <w:r>
        <w:t>tação (estudos em animais mostraram anormalidades nos descendentes, mas não há estudos em humanos; o risco para o bebê não pode ser descartado, mas um benefício potencial pode ser maior do que os riscos);</w:t>
      </w:r>
    </w:p>
    <w:p w:rsidR="005C592B" w:rsidRDefault="005D0206">
      <w:pPr>
        <w:pStyle w:val="Corpodetexto"/>
        <w:spacing w:line="360" w:lineRule="auto"/>
        <w:ind w:right="855" w:firstLine="566"/>
      </w:pPr>
      <w:r>
        <w:t>- a segurança para o uso da somatropina durante a a</w:t>
      </w:r>
      <w:r>
        <w:t>mamentação ainda não foi estabelecida;</w:t>
      </w:r>
    </w:p>
    <w:p w:rsidR="005C592B" w:rsidRDefault="005D0206">
      <w:pPr>
        <w:pStyle w:val="Corpodetexto"/>
        <w:spacing w:line="360" w:lineRule="auto"/>
        <w:ind w:right="854" w:firstLine="566"/>
      </w:pPr>
      <w:r>
        <w:rPr>
          <w:b/>
        </w:rPr>
        <w:t xml:space="preserve">- os efeitos adversos da somatropina: </w:t>
      </w:r>
      <w:r>
        <w:t>reações no local da injeção, como dor, inchaço</w:t>
      </w:r>
      <w:r>
        <w:rPr>
          <w:spacing w:val="-35"/>
        </w:rPr>
        <w:t xml:space="preserve"> </w:t>
      </w:r>
      <w:r>
        <w:t>e inflamação. Algumas reações mais raras incluem dor de cabeça, dor nos músculos, fraqueza, aumento</w:t>
      </w:r>
      <w:r>
        <w:rPr>
          <w:spacing w:val="-6"/>
        </w:rPr>
        <w:t xml:space="preserve"> </w:t>
      </w:r>
      <w:r>
        <w:t>da</w:t>
      </w:r>
      <w:r>
        <w:rPr>
          <w:spacing w:val="-2"/>
        </w:rPr>
        <w:t xml:space="preserve"> </w:t>
      </w:r>
      <w:r>
        <w:t>glicose</w:t>
      </w:r>
      <w:r>
        <w:rPr>
          <w:spacing w:val="-6"/>
        </w:rPr>
        <w:t xml:space="preserve"> </w:t>
      </w:r>
      <w:r>
        <w:t>no</w:t>
      </w:r>
      <w:r>
        <w:rPr>
          <w:spacing w:val="-3"/>
        </w:rPr>
        <w:t xml:space="preserve"> </w:t>
      </w:r>
      <w:r>
        <w:t>sangue,</w:t>
      </w:r>
      <w:r>
        <w:rPr>
          <w:spacing w:val="-4"/>
        </w:rPr>
        <w:t xml:space="preserve"> </w:t>
      </w:r>
      <w:r>
        <w:t>resistênci</w:t>
      </w:r>
      <w:r>
        <w:t>a</w:t>
      </w:r>
      <w:r>
        <w:rPr>
          <w:spacing w:val="-4"/>
        </w:rPr>
        <w:t xml:space="preserve"> </w:t>
      </w:r>
      <w:r>
        <w:t>à</w:t>
      </w:r>
      <w:r>
        <w:rPr>
          <w:spacing w:val="-7"/>
        </w:rPr>
        <w:t xml:space="preserve"> </w:t>
      </w:r>
      <w:r>
        <w:t>insulina,</w:t>
      </w:r>
      <w:r>
        <w:rPr>
          <w:spacing w:val="-6"/>
        </w:rPr>
        <w:t xml:space="preserve"> </w:t>
      </w:r>
      <w:r>
        <w:t>dor</w:t>
      </w:r>
      <w:r>
        <w:rPr>
          <w:spacing w:val="-5"/>
        </w:rPr>
        <w:t xml:space="preserve"> </w:t>
      </w:r>
      <w:r>
        <w:t>no</w:t>
      </w:r>
      <w:r>
        <w:rPr>
          <w:spacing w:val="-6"/>
        </w:rPr>
        <w:t xml:space="preserve"> </w:t>
      </w:r>
      <w:r>
        <w:t>quadril</w:t>
      </w:r>
      <w:r>
        <w:rPr>
          <w:spacing w:val="-5"/>
        </w:rPr>
        <w:t xml:space="preserve"> </w:t>
      </w:r>
      <w:r>
        <w:t>ou</w:t>
      </w:r>
      <w:r>
        <w:rPr>
          <w:spacing w:val="-6"/>
        </w:rPr>
        <w:t xml:space="preserve"> </w:t>
      </w:r>
      <w:r>
        <w:t>nos</w:t>
      </w:r>
      <w:r>
        <w:rPr>
          <w:spacing w:val="-4"/>
        </w:rPr>
        <w:t xml:space="preserve"> </w:t>
      </w:r>
      <w:r>
        <w:t>joelhos,</w:t>
      </w:r>
      <w:r>
        <w:rPr>
          <w:spacing w:val="-6"/>
        </w:rPr>
        <w:t xml:space="preserve"> </w:t>
      </w:r>
      <w:r>
        <w:t>leucemia</w:t>
      </w:r>
      <w:r>
        <w:rPr>
          <w:spacing w:val="-3"/>
        </w:rPr>
        <w:t xml:space="preserve"> </w:t>
      </w:r>
      <w:r>
        <w:t>e hipotireoidismo;</w:t>
      </w:r>
    </w:p>
    <w:p w:rsidR="005C592B" w:rsidRDefault="005D0206">
      <w:pPr>
        <w:pStyle w:val="PargrafodaLista"/>
        <w:numPr>
          <w:ilvl w:val="0"/>
          <w:numId w:val="2"/>
        </w:numPr>
        <w:tabs>
          <w:tab w:val="left" w:pos="906"/>
        </w:tabs>
        <w:spacing w:before="1" w:line="360" w:lineRule="auto"/>
        <w:ind w:right="857" w:firstLine="566"/>
        <w:rPr>
          <w:sz w:val="24"/>
        </w:rPr>
      </w:pPr>
      <w:r>
        <w:rPr>
          <w:sz w:val="24"/>
        </w:rPr>
        <w:t>o medicamento está contraindicado em casos de hipersensibilidade (alergia)</w:t>
      </w:r>
      <w:r>
        <w:rPr>
          <w:spacing w:val="-23"/>
          <w:sz w:val="24"/>
        </w:rPr>
        <w:t xml:space="preserve"> </w:t>
      </w:r>
      <w:r>
        <w:rPr>
          <w:sz w:val="24"/>
        </w:rPr>
        <w:t>conhecida ao</w:t>
      </w:r>
      <w:r>
        <w:rPr>
          <w:spacing w:val="-1"/>
          <w:sz w:val="24"/>
        </w:rPr>
        <w:t xml:space="preserve"> </w:t>
      </w:r>
      <w:r>
        <w:rPr>
          <w:sz w:val="24"/>
        </w:rPr>
        <w:t>fármaco;</w:t>
      </w:r>
    </w:p>
    <w:p w:rsidR="005C592B" w:rsidRDefault="005D0206">
      <w:pPr>
        <w:pStyle w:val="PargrafodaLista"/>
        <w:numPr>
          <w:ilvl w:val="0"/>
          <w:numId w:val="2"/>
        </w:numPr>
        <w:tabs>
          <w:tab w:val="left" w:pos="906"/>
        </w:tabs>
        <w:ind w:firstLine="566"/>
        <w:jc w:val="left"/>
        <w:rPr>
          <w:sz w:val="24"/>
        </w:rPr>
      </w:pPr>
      <w:r>
        <w:rPr>
          <w:sz w:val="24"/>
        </w:rPr>
        <w:t>o risco da ocorrência de efeitos adversos aumenta com a</w:t>
      </w:r>
      <w:r>
        <w:rPr>
          <w:spacing w:val="-3"/>
          <w:sz w:val="24"/>
        </w:rPr>
        <w:t xml:space="preserve"> </w:t>
      </w:r>
      <w:r>
        <w:rPr>
          <w:sz w:val="24"/>
        </w:rPr>
        <w:t>superdosagem.</w:t>
      </w:r>
    </w:p>
    <w:p w:rsidR="005C592B" w:rsidRDefault="005D0206">
      <w:pPr>
        <w:pStyle w:val="Corpodetexto"/>
        <w:spacing w:before="139" w:line="360" w:lineRule="auto"/>
        <w:ind w:right="852" w:firstLine="566"/>
      </w:pPr>
      <w:r>
        <w:t>Estou ciente de que este medicamento somente pode ser utilizado por mim, comprometendo-me a devolvê-lo caso não queira ou não possa utilizá-lo, ou se o tratamento for interrompido. Sei também que continuarei a ser atendido (a), inclusive em caso de eu desi</w:t>
      </w:r>
      <w:r>
        <w:t>stir de usar o medicamento.</w:t>
      </w:r>
    </w:p>
    <w:p w:rsidR="005C592B" w:rsidRDefault="005C592B">
      <w:pPr>
        <w:spacing w:line="360" w:lineRule="auto"/>
        <w:sectPr w:rsidR="005C592B">
          <w:pgSz w:w="11900" w:h="16850"/>
          <w:pgMar w:top="1360" w:right="580" w:bottom="280" w:left="1240" w:header="720" w:footer="720" w:gutter="0"/>
          <w:cols w:space="720"/>
        </w:sectPr>
      </w:pPr>
    </w:p>
    <w:p w:rsidR="005C592B" w:rsidRDefault="005D0206">
      <w:pPr>
        <w:pStyle w:val="Corpodetexto"/>
        <w:spacing w:before="74" w:after="6" w:line="360" w:lineRule="auto"/>
        <w:ind w:right="858" w:firstLine="566"/>
      </w:pPr>
      <w:r>
        <w:lastRenderedPageBreak/>
        <w:t>Autorizo o Ministério da Saúde e as Secretarias de Saúde a fazer uso de informações relativas ao meu tratamento, desde que assegurado o anonimato. ( ) Sim ( ) Não</w:t>
      </w: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1"/>
        <w:gridCol w:w="2158"/>
        <w:gridCol w:w="2883"/>
      </w:tblGrid>
      <w:tr w:rsidR="005C592B">
        <w:trPr>
          <w:trHeight w:val="450"/>
        </w:trPr>
        <w:tc>
          <w:tcPr>
            <w:tcW w:w="9542" w:type="dxa"/>
            <w:gridSpan w:val="3"/>
            <w:shd w:val="clear" w:color="auto" w:fill="CED6E7"/>
          </w:tcPr>
          <w:p w:rsidR="005C592B" w:rsidRDefault="005D0206">
            <w:pPr>
              <w:pStyle w:val="TableParagraph"/>
              <w:tabs>
                <w:tab w:val="left" w:pos="5912"/>
              </w:tabs>
              <w:spacing w:before="71"/>
              <w:rPr>
                <w:sz w:val="24"/>
              </w:rPr>
            </w:pPr>
            <w:r>
              <w:rPr>
                <w:sz w:val="24"/>
              </w:rPr>
              <w:t>Local:</w:t>
            </w:r>
            <w:r>
              <w:rPr>
                <w:sz w:val="24"/>
              </w:rPr>
              <w:tab/>
              <w:t>Data:</w:t>
            </w:r>
          </w:p>
        </w:tc>
      </w:tr>
      <w:tr w:rsidR="005C592B">
        <w:trPr>
          <w:trHeight w:val="448"/>
        </w:trPr>
        <w:tc>
          <w:tcPr>
            <w:tcW w:w="9542" w:type="dxa"/>
            <w:gridSpan w:val="3"/>
            <w:shd w:val="clear" w:color="auto" w:fill="CED6E7"/>
          </w:tcPr>
          <w:p w:rsidR="005C592B" w:rsidRDefault="005D0206">
            <w:pPr>
              <w:pStyle w:val="TableParagraph"/>
              <w:spacing w:before="71"/>
              <w:rPr>
                <w:sz w:val="24"/>
              </w:rPr>
            </w:pPr>
            <w:r>
              <w:rPr>
                <w:sz w:val="24"/>
              </w:rPr>
              <w:t>Nome do paciente:</w:t>
            </w:r>
          </w:p>
        </w:tc>
      </w:tr>
      <w:tr w:rsidR="005C592B">
        <w:trPr>
          <w:trHeight w:val="450"/>
        </w:trPr>
        <w:tc>
          <w:tcPr>
            <w:tcW w:w="9542" w:type="dxa"/>
            <w:gridSpan w:val="3"/>
            <w:shd w:val="clear" w:color="auto" w:fill="CED6E7"/>
          </w:tcPr>
          <w:p w:rsidR="005C592B" w:rsidRDefault="005D0206">
            <w:pPr>
              <w:pStyle w:val="TableParagraph"/>
              <w:spacing w:before="73"/>
              <w:rPr>
                <w:sz w:val="24"/>
              </w:rPr>
            </w:pPr>
            <w:r>
              <w:rPr>
                <w:sz w:val="24"/>
              </w:rPr>
              <w:t>Cartão Nacional de Saúde:</w:t>
            </w:r>
          </w:p>
        </w:tc>
      </w:tr>
      <w:tr w:rsidR="005C592B">
        <w:trPr>
          <w:trHeight w:val="450"/>
        </w:trPr>
        <w:tc>
          <w:tcPr>
            <w:tcW w:w="9542" w:type="dxa"/>
            <w:gridSpan w:val="3"/>
            <w:shd w:val="clear" w:color="auto" w:fill="CED6E7"/>
          </w:tcPr>
          <w:p w:rsidR="005C592B" w:rsidRDefault="005D0206">
            <w:pPr>
              <w:pStyle w:val="TableParagraph"/>
              <w:spacing w:before="71"/>
              <w:rPr>
                <w:sz w:val="24"/>
              </w:rPr>
            </w:pPr>
            <w:r>
              <w:rPr>
                <w:sz w:val="24"/>
              </w:rPr>
              <w:t>Nome do responsável legal:</w:t>
            </w:r>
          </w:p>
        </w:tc>
      </w:tr>
      <w:tr w:rsidR="005C592B">
        <w:trPr>
          <w:trHeight w:val="448"/>
        </w:trPr>
        <w:tc>
          <w:tcPr>
            <w:tcW w:w="9542" w:type="dxa"/>
            <w:gridSpan w:val="3"/>
            <w:shd w:val="clear" w:color="auto" w:fill="CED6E7"/>
          </w:tcPr>
          <w:p w:rsidR="005C592B" w:rsidRDefault="005D0206">
            <w:pPr>
              <w:pStyle w:val="TableParagraph"/>
              <w:spacing w:before="71"/>
              <w:rPr>
                <w:sz w:val="24"/>
              </w:rPr>
            </w:pPr>
            <w:r>
              <w:rPr>
                <w:sz w:val="24"/>
              </w:rPr>
              <w:t>Documento de identificação do responsável legal:</w:t>
            </w:r>
          </w:p>
        </w:tc>
      </w:tr>
      <w:tr w:rsidR="005C592B">
        <w:trPr>
          <w:trHeight w:val="1010"/>
        </w:trPr>
        <w:tc>
          <w:tcPr>
            <w:tcW w:w="9542" w:type="dxa"/>
            <w:gridSpan w:val="3"/>
            <w:shd w:val="clear" w:color="auto" w:fill="CED6E7"/>
          </w:tcPr>
          <w:p w:rsidR="005C592B" w:rsidRDefault="005C592B">
            <w:pPr>
              <w:pStyle w:val="TableParagraph"/>
              <w:ind w:left="0"/>
              <w:rPr>
                <w:sz w:val="20"/>
              </w:rPr>
            </w:pPr>
          </w:p>
          <w:p w:rsidR="005C592B" w:rsidRDefault="005C592B">
            <w:pPr>
              <w:pStyle w:val="TableParagraph"/>
              <w:ind w:left="0"/>
              <w:rPr>
                <w:sz w:val="20"/>
              </w:rPr>
            </w:pPr>
          </w:p>
          <w:p w:rsidR="005C592B" w:rsidRDefault="005C592B">
            <w:pPr>
              <w:pStyle w:val="TableParagraph"/>
              <w:spacing w:before="5"/>
              <w:ind w:left="0"/>
              <w:rPr>
                <w:sz w:val="15"/>
              </w:rPr>
            </w:pPr>
          </w:p>
          <w:p w:rsidR="005C592B" w:rsidRDefault="005D0206">
            <w:pPr>
              <w:pStyle w:val="TableParagraph"/>
              <w:spacing w:line="20" w:lineRule="exact"/>
              <w:ind w:left="74"/>
              <w:rPr>
                <w:sz w:val="2"/>
              </w:rPr>
            </w:pPr>
            <w:r>
              <w:rPr>
                <w:sz w:val="2"/>
              </w:rPr>
            </w:r>
            <w:r>
              <w:rPr>
                <w:sz w:val="2"/>
              </w:rPr>
              <w:pict>
                <v:group id="_x0000_s1028" style="width:222pt;height:.5pt;mso-position-horizontal-relative:char;mso-position-vertical-relative:line" coordsize="4440,10">
                  <v:line id="_x0000_s1029" style="position:absolute" from="0,5" to="4440,5" strokeweight=".48pt"/>
                  <w10:wrap type="none"/>
                  <w10:anchorlock/>
                </v:group>
              </w:pict>
            </w:r>
          </w:p>
          <w:p w:rsidR="005C592B" w:rsidRDefault="005D0206">
            <w:pPr>
              <w:pStyle w:val="TableParagraph"/>
              <w:rPr>
                <w:sz w:val="24"/>
              </w:rPr>
            </w:pPr>
            <w:r>
              <w:rPr>
                <w:sz w:val="24"/>
              </w:rPr>
              <w:t>Assinatura do paciente ou do responsável legal</w:t>
            </w:r>
          </w:p>
        </w:tc>
      </w:tr>
      <w:tr w:rsidR="005C592B">
        <w:trPr>
          <w:trHeight w:val="450"/>
        </w:trPr>
        <w:tc>
          <w:tcPr>
            <w:tcW w:w="4501" w:type="dxa"/>
            <w:shd w:val="clear" w:color="auto" w:fill="CED6E7"/>
          </w:tcPr>
          <w:p w:rsidR="005C592B" w:rsidRDefault="005D0206">
            <w:pPr>
              <w:pStyle w:val="TableParagraph"/>
              <w:spacing w:before="73"/>
              <w:rPr>
                <w:sz w:val="24"/>
              </w:rPr>
            </w:pPr>
            <w:r>
              <w:rPr>
                <w:sz w:val="24"/>
              </w:rPr>
              <w:t>Médico responsável:</w:t>
            </w:r>
          </w:p>
        </w:tc>
        <w:tc>
          <w:tcPr>
            <w:tcW w:w="2158" w:type="dxa"/>
            <w:shd w:val="clear" w:color="auto" w:fill="CED6E7"/>
          </w:tcPr>
          <w:p w:rsidR="005C592B" w:rsidRDefault="005D0206">
            <w:pPr>
              <w:pStyle w:val="TableParagraph"/>
              <w:spacing w:before="73"/>
              <w:ind w:left="78"/>
              <w:rPr>
                <w:sz w:val="24"/>
              </w:rPr>
            </w:pPr>
            <w:r>
              <w:rPr>
                <w:sz w:val="24"/>
              </w:rPr>
              <w:t>CRM:</w:t>
            </w:r>
          </w:p>
        </w:tc>
        <w:tc>
          <w:tcPr>
            <w:tcW w:w="2883" w:type="dxa"/>
            <w:shd w:val="clear" w:color="auto" w:fill="CED6E7"/>
          </w:tcPr>
          <w:p w:rsidR="005C592B" w:rsidRDefault="005D0206">
            <w:pPr>
              <w:pStyle w:val="TableParagraph"/>
              <w:spacing w:before="73"/>
              <w:ind w:left="81"/>
              <w:rPr>
                <w:sz w:val="24"/>
              </w:rPr>
            </w:pPr>
            <w:r>
              <w:rPr>
                <w:sz w:val="24"/>
              </w:rPr>
              <w:t>UF:</w:t>
            </w:r>
          </w:p>
        </w:tc>
      </w:tr>
      <w:tr w:rsidR="005C592B">
        <w:trPr>
          <w:trHeight w:val="1540"/>
        </w:trPr>
        <w:tc>
          <w:tcPr>
            <w:tcW w:w="9542" w:type="dxa"/>
            <w:gridSpan w:val="3"/>
            <w:shd w:val="clear" w:color="auto" w:fill="CED6E7"/>
          </w:tcPr>
          <w:p w:rsidR="005C592B" w:rsidRDefault="005C592B">
            <w:pPr>
              <w:pStyle w:val="TableParagraph"/>
              <w:ind w:left="0"/>
              <w:rPr>
                <w:sz w:val="20"/>
              </w:rPr>
            </w:pPr>
          </w:p>
          <w:p w:rsidR="005C592B" w:rsidRDefault="005C592B">
            <w:pPr>
              <w:pStyle w:val="TableParagraph"/>
              <w:ind w:left="0"/>
              <w:rPr>
                <w:sz w:val="20"/>
              </w:rPr>
            </w:pPr>
          </w:p>
          <w:p w:rsidR="005C592B" w:rsidRDefault="005C592B">
            <w:pPr>
              <w:pStyle w:val="TableParagraph"/>
              <w:spacing w:before="3"/>
              <w:ind w:left="0"/>
              <w:rPr>
                <w:sz w:val="13"/>
              </w:rPr>
            </w:pPr>
          </w:p>
          <w:p w:rsidR="005C592B" w:rsidRDefault="005D0206">
            <w:pPr>
              <w:pStyle w:val="TableParagraph"/>
              <w:spacing w:line="20" w:lineRule="exact"/>
              <w:ind w:left="74"/>
              <w:rPr>
                <w:sz w:val="2"/>
              </w:rPr>
            </w:pPr>
            <w:r>
              <w:rPr>
                <w:sz w:val="2"/>
              </w:rPr>
            </w:r>
            <w:r>
              <w:rPr>
                <w:sz w:val="2"/>
              </w:rPr>
              <w:pict>
                <v:group id="_x0000_s1026" style="width:162pt;height:.5pt;mso-position-horizontal-relative:char;mso-position-vertical-relative:line" coordsize="3240,10">
                  <v:line id="_x0000_s1027" style="position:absolute" from="0,5" to="3240,5" strokeweight=".48pt"/>
                  <w10:wrap type="none"/>
                  <w10:anchorlock/>
                </v:group>
              </w:pict>
            </w:r>
          </w:p>
          <w:p w:rsidR="005C592B" w:rsidRDefault="005C592B">
            <w:pPr>
              <w:pStyle w:val="TableParagraph"/>
              <w:spacing w:before="1"/>
              <w:ind w:left="0"/>
              <w:rPr>
                <w:sz w:val="23"/>
              </w:rPr>
            </w:pPr>
          </w:p>
          <w:p w:rsidR="005C592B" w:rsidRDefault="005D0206">
            <w:pPr>
              <w:pStyle w:val="TableParagraph"/>
              <w:tabs>
                <w:tab w:val="left" w:pos="3054"/>
              </w:tabs>
              <w:ind w:right="6344"/>
              <w:rPr>
                <w:sz w:val="24"/>
              </w:rPr>
            </w:pPr>
            <w:r>
              <w:rPr>
                <w:sz w:val="24"/>
              </w:rPr>
              <w:t>Assinatura e carimbo do médico Data:</w:t>
            </w:r>
            <w:r>
              <w:rPr>
                <w:sz w:val="24"/>
                <w:u w:val="single"/>
              </w:rPr>
              <w:t xml:space="preserve"> </w:t>
            </w:r>
            <w:r>
              <w:rPr>
                <w:sz w:val="24"/>
                <w:u w:val="single"/>
              </w:rPr>
              <w:tab/>
            </w:r>
          </w:p>
        </w:tc>
      </w:tr>
    </w:tbl>
    <w:p w:rsidR="005C592B" w:rsidRDefault="005C592B">
      <w:pPr>
        <w:pStyle w:val="Corpodetexto"/>
        <w:ind w:left="0"/>
        <w:jc w:val="left"/>
        <w:rPr>
          <w:sz w:val="26"/>
        </w:rPr>
      </w:pPr>
    </w:p>
    <w:p w:rsidR="005C592B" w:rsidRDefault="005C592B">
      <w:pPr>
        <w:pStyle w:val="Corpodetexto"/>
        <w:spacing w:before="3"/>
        <w:ind w:left="0"/>
        <w:jc w:val="left"/>
        <w:rPr>
          <w:sz w:val="21"/>
        </w:rPr>
      </w:pPr>
    </w:p>
    <w:p w:rsidR="005C592B" w:rsidRDefault="005D0206">
      <w:pPr>
        <w:pStyle w:val="Corpodetexto"/>
        <w:spacing w:before="1"/>
        <w:ind w:right="855" w:firstLine="120"/>
      </w:pPr>
      <w:r>
        <w:t>Nota: Verificar na Relação Nacional de Medicamentos Essenciais (RENAME) vigente em qual componente da Assistência Farmacêutica se encontra o medicamento preconizado neste Protocolo.</w:t>
      </w:r>
    </w:p>
    <w:p w:rsidR="005C592B" w:rsidRDefault="005C592B">
      <w:pPr>
        <w:pStyle w:val="Corpodetexto"/>
        <w:ind w:left="0"/>
        <w:jc w:val="left"/>
        <w:rPr>
          <w:sz w:val="26"/>
        </w:rPr>
      </w:pPr>
    </w:p>
    <w:p w:rsidR="005C592B" w:rsidRDefault="005C592B">
      <w:pPr>
        <w:pStyle w:val="Corpodetexto"/>
        <w:ind w:left="0"/>
        <w:jc w:val="left"/>
        <w:rPr>
          <w:sz w:val="37"/>
        </w:rPr>
      </w:pPr>
    </w:p>
    <w:p w:rsidR="005C592B" w:rsidRDefault="005D0206">
      <w:pPr>
        <w:pStyle w:val="Ttulo1"/>
        <w:ind w:left="200"/>
      </w:pPr>
      <w:r>
        <w:t>APÊNDICE 1</w:t>
      </w:r>
    </w:p>
    <w:p w:rsidR="005C592B" w:rsidRDefault="005C592B">
      <w:pPr>
        <w:pStyle w:val="Corpodetexto"/>
        <w:ind w:left="0"/>
        <w:jc w:val="left"/>
        <w:rPr>
          <w:b/>
          <w:sz w:val="26"/>
        </w:rPr>
      </w:pPr>
    </w:p>
    <w:p w:rsidR="005C592B" w:rsidRDefault="005C592B">
      <w:pPr>
        <w:pStyle w:val="Corpodetexto"/>
        <w:spacing w:before="7"/>
        <w:ind w:left="0"/>
        <w:jc w:val="left"/>
        <w:rPr>
          <w:b/>
          <w:sz w:val="21"/>
        </w:rPr>
      </w:pPr>
    </w:p>
    <w:p w:rsidR="005C592B" w:rsidRDefault="005D0206">
      <w:pPr>
        <w:pStyle w:val="Corpodetexto"/>
        <w:jc w:val="left"/>
      </w:pPr>
      <w:r>
        <w:t>METODOLOGIA DE BUSCA E AVALIAÇÃO DA LITERATURA</w:t>
      </w:r>
    </w:p>
    <w:p w:rsidR="005C592B" w:rsidRDefault="005C592B">
      <w:pPr>
        <w:pStyle w:val="Corpodetexto"/>
        <w:ind w:left="0"/>
        <w:jc w:val="left"/>
        <w:rPr>
          <w:sz w:val="26"/>
        </w:rPr>
      </w:pPr>
    </w:p>
    <w:p w:rsidR="005C592B" w:rsidRDefault="005C592B">
      <w:pPr>
        <w:pStyle w:val="Corpodetexto"/>
        <w:ind w:left="0"/>
        <w:jc w:val="left"/>
        <w:rPr>
          <w:sz w:val="22"/>
        </w:rPr>
      </w:pPr>
    </w:p>
    <w:p w:rsidR="005C592B" w:rsidRDefault="005D0206">
      <w:pPr>
        <w:pStyle w:val="Corpodetexto"/>
        <w:spacing w:line="360" w:lineRule="auto"/>
        <w:ind w:right="852" w:firstLine="566"/>
      </w:pPr>
      <w:r>
        <w:t>Para a aná</w:t>
      </w:r>
      <w:r>
        <w:t>lise do tratamento de hipopituitarismo em crianças em fase de crescimento e em</w:t>
      </w:r>
      <w:r>
        <w:rPr>
          <w:spacing w:val="-7"/>
        </w:rPr>
        <w:t xml:space="preserve"> </w:t>
      </w:r>
      <w:r>
        <w:t>adultos</w:t>
      </w:r>
      <w:r>
        <w:rPr>
          <w:spacing w:val="-6"/>
        </w:rPr>
        <w:t xml:space="preserve"> </w:t>
      </w:r>
      <w:r>
        <w:t>deficientes</w:t>
      </w:r>
      <w:r>
        <w:rPr>
          <w:spacing w:val="-5"/>
        </w:rPr>
        <w:t xml:space="preserve"> </w:t>
      </w:r>
      <w:r>
        <w:t>de</w:t>
      </w:r>
      <w:r>
        <w:rPr>
          <w:spacing w:val="-5"/>
        </w:rPr>
        <w:t xml:space="preserve"> </w:t>
      </w:r>
      <w:r>
        <w:t>hormônio</w:t>
      </w:r>
      <w:r>
        <w:rPr>
          <w:spacing w:val="-6"/>
        </w:rPr>
        <w:t xml:space="preserve"> </w:t>
      </w:r>
      <w:r>
        <w:t>do</w:t>
      </w:r>
      <w:r>
        <w:rPr>
          <w:spacing w:val="-6"/>
        </w:rPr>
        <w:t xml:space="preserve"> </w:t>
      </w:r>
      <w:r>
        <w:t>crescimento</w:t>
      </w:r>
      <w:r>
        <w:rPr>
          <w:spacing w:val="-5"/>
        </w:rPr>
        <w:t xml:space="preserve"> </w:t>
      </w:r>
      <w:r>
        <w:t>(em</w:t>
      </w:r>
      <w:r>
        <w:rPr>
          <w:spacing w:val="-7"/>
        </w:rPr>
        <w:t xml:space="preserve"> </w:t>
      </w:r>
      <w:r>
        <w:t>inglês,</w:t>
      </w:r>
      <w:r>
        <w:rPr>
          <w:spacing w:val="-6"/>
        </w:rPr>
        <w:t xml:space="preserve"> </w:t>
      </w:r>
      <w:r>
        <w:rPr>
          <w:i/>
        </w:rPr>
        <w:t>growth</w:t>
      </w:r>
      <w:r>
        <w:rPr>
          <w:i/>
          <w:spacing w:val="-6"/>
        </w:rPr>
        <w:t xml:space="preserve"> </w:t>
      </w:r>
      <w:r>
        <w:rPr>
          <w:i/>
        </w:rPr>
        <w:t>hormone</w:t>
      </w:r>
      <w:r>
        <w:rPr>
          <w:i/>
          <w:spacing w:val="-7"/>
        </w:rPr>
        <w:t xml:space="preserve"> </w:t>
      </w:r>
      <w:r>
        <w:t>–</w:t>
      </w:r>
      <w:r>
        <w:rPr>
          <w:spacing w:val="-6"/>
        </w:rPr>
        <w:t xml:space="preserve"> </w:t>
      </w:r>
      <w:r>
        <w:t>GH),</w:t>
      </w:r>
      <w:r>
        <w:rPr>
          <w:spacing w:val="-7"/>
        </w:rPr>
        <w:t xml:space="preserve"> </w:t>
      </w:r>
      <w:r>
        <w:t>foram realizadas buscas nas bases descritas abaixo até a data limite de 15/08/2009. Por se trata</w:t>
      </w:r>
      <w:r>
        <w:t xml:space="preserve">r de tratamento de reposição hormonal, são escassos os estudos randomizados, controlados e duplos-cegos. Foram avaliados os estudos mais relevantes disponíveis em bases, </w:t>
      </w:r>
      <w:r>
        <w:rPr>
          <w:i/>
        </w:rPr>
        <w:t xml:space="preserve">guidelines </w:t>
      </w:r>
      <w:r>
        <w:t>e consensos.</w:t>
      </w:r>
    </w:p>
    <w:p w:rsidR="005C592B" w:rsidRDefault="005D0206">
      <w:pPr>
        <w:pStyle w:val="Corpodetexto"/>
        <w:spacing w:before="1" w:line="360" w:lineRule="auto"/>
        <w:ind w:right="849" w:firstLine="566"/>
      </w:pPr>
      <w:r>
        <w:t>Na base MEDLINE/PubMed foram utilizadas as seguintes palavras-chave: "growth hormone deficiency"; “growth hormone deficiency in children”; “growth hormone deficiency in adults”; “growth hormone deficiency in children” and “diagnosis”; “growth hormone</w:t>
      </w:r>
    </w:p>
    <w:p w:rsidR="005C592B" w:rsidRDefault="005C592B">
      <w:pPr>
        <w:spacing w:line="360" w:lineRule="auto"/>
        <w:sectPr w:rsidR="005C592B">
          <w:pgSz w:w="11900" w:h="16850"/>
          <w:pgMar w:top="1360" w:right="580" w:bottom="280" w:left="1240" w:header="720" w:footer="720" w:gutter="0"/>
          <w:cols w:space="720"/>
        </w:sectPr>
      </w:pPr>
    </w:p>
    <w:p w:rsidR="005C592B" w:rsidRDefault="005D0206">
      <w:pPr>
        <w:pStyle w:val="Corpodetexto"/>
        <w:spacing w:before="74" w:line="360" w:lineRule="auto"/>
        <w:ind w:right="1451"/>
        <w:jc w:val="left"/>
      </w:pPr>
      <w:r>
        <w:lastRenderedPageBreak/>
        <w:t>deficiency in adults” and “diagnosis”; “growth hormone deficiency in children” and “treatment”; “growth hormone deficiency in adults” and “treatment”.</w:t>
      </w:r>
    </w:p>
    <w:p w:rsidR="005C592B" w:rsidRDefault="005D0206">
      <w:pPr>
        <w:pStyle w:val="Corpodetexto"/>
        <w:spacing w:line="360" w:lineRule="auto"/>
        <w:ind w:left="766" w:right="2009"/>
        <w:jc w:val="left"/>
      </w:pPr>
      <w:r>
        <w:t xml:space="preserve">Na base Embase: 'growth hormone deficiency'/exp AND 'drug therapy'/exp. Na base Cochrane: </w:t>
      </w:r>
      <w:r>
        <w:t>“growth hormone deficiency".</w:t>
      </w:r>
    </w:p>
    <w:p w:rsidR="005C592B" w:rsidRDefault="005D0206">
      <w:pPr>
        <w:pStyle w:val="Corpodetexto"/>
        <w:spacing w:line="360" w:lineRule="auto"/>
        <w:ind w:right="853" w:firstLine="566"/>
      </w:pPr>
      <w:r>
        <w:t>No site da Organização Mundial da Saúde (OMS): "growth charts"; "growth velocity charts".</w:t>
      </w:r>
    </w:p>
    <w:p w:rsidR="005C592B" w:rsidRDefault="005D0206">
      <w:pPr>
        <w:spacing w:line="360" w:lineRule="auto"/>
        <w:ind w:left="200" w:right="858" w:firstLine="566"/>
        <w:jc w:val="both"/>
        <w:rPr>
          <w:sz w:val="24"/>
        </w:rPr>
      </w:pPr>
      <w:r>
        <w:rPr>
          <w:sz w:val="24"/>
        </w:rPr>
        <w:t xml:space="preserve">No site do </w:t>
      </w:r>
      <w:r>
        <w:rPr>
          <w:i/>
          <w:sz w:val="24"/>
        </w:rPr>
        <w:t xml:space="preserve">Centers for Disease Control and Prevention/National Center for Health Statistics </w:t>
      </w:r>
      <w:r>
        <w:rPr>
          <w:sz w:val="24"/>
        </w:rPr>
        <w:t>(CDC/NCHS): "growth charts"; "growth velocity</w:t>
      </w:r>
      <w:r>
        <w:rPr>
          <w:sz w:val="24"/>
        </w:rPr>
        <w:t xml:space="preserve"> charts".</w:t>
      </w:r>
    </w:p>
    <w:p w:rsidR="005C592B" w:rsidRDefault="005D0206">
      <w:pPr>
        <w:pStyle w:val="Corpodetexto"/>
        <w:spacing w:before="1" w:line="360" w:lineRule="auto"/>
        <w:ind w:right="854" w:firstLine="566"/>
      </w:pPr>
      <w:r>
        <w:t>Em 19/01/2016, foi realizada uma atualização da busca na literatura com os critérios de inclusão originalmente empregados.</w:t>
      </w:r>
    </w:p>
    <w:p w:rsidR="005C592B" w:rsidRDefault="005D0206">
      <w:pPr>
        <w:pStyle w:val="Corpodetexto"/>
        <w:spacing w:line="360" w:lineRule="auto"/>
        <w:ind w:right="855" w:firstLine="566"/>
      </w:pPr>
      <w:r>
        <w:t>Na base MEDLINE/PubMed, foi realizada busca com os termos “Growth Hormone Deficiency With Pituitary Anomalies" [Supplementa</w:t>
      </w:r>
      <w:r>
        <w:t>ry Concept]) or "Dwarfism, Pituitary"[Mesh]. Nessa busca, foram ativados os filtros ensaio clínico, ensaio clínico randomizado,</w:t>
      </w:r>
      <w:r>
        <w:rPr>
          <w:spacing w:val="-12"/>
        </w:rPr>
        <w:t xml:space="preserve"> </w:t>
      </w:r>
      <w:r>
        <w:t>meta-análise,</w:t>
      </w:r>
      <w:r>
        <w:rPr>
          <w:spacing w:val="-11"/>
        </w:rPr>
        <w:t xml:space="preserve"> </w:t>
      </w:r>
      <w:r>
        <w:t>revisão</w:t>
      </w:r>
      <w:r>
        <w:rPr>
          <w:spacing w:val="-9"/>
        </w:rPr>
        <w:t xml:space="preserve"> </w:t>
      </w:r>
      <w:r>
        <w:t>sistemática,</w:t>
      </w:r>
      <w:r>
        <w:rPr>
          <w:spacing w:val="-10"/>
        </w:rPr>
        <w:t xml:space="preserve"> </w:t>
      </w:r>
      <w:r>
        <w:t>humanos.</w:t>
      </w:r>
      <w:r>
        <w:rPr>
          <w:spacing w:val="-11"/>
        </w:rPr>
        <w:t xml:space="preserve"> </w:t>
      </w:r>
      <w:r>
        <w:t>Foram</w:t>
      </w:r>
      <w:r>
        <w:rPr>
          <w:spacing w:val="-10"/>
        </w:rPr>
        <w:t xml:space="preserve"> </w:t>
      </w:r>
      <w:r>
        <w:t>localizados</w:t>
      </w:r>
      <w:r>
        <w:rPr>
          <w:spacing w:val="-10"/>
        </w:rPr>
        <w:t xml:space="preserve"> </w:t>
      </w:r>
      <w:r>
        <w:t>20</w:t>
      </w:r>
      <w:r>
        <w:rPr>
          <w:spacing w:val="-11"/>
        </w:rPr>
        <w:t xml:space="preserve"> </w:t>
      </w:r>
      <w:r>
        <w:t>estudos,</w:t>
      </w:r>
      <w:r>
        <w:rPr>
          <w:spacing w:val="-10"/>
        </w:rPr>
        <w:t xml:space="preserve"> </w:t>
      </w:r>
      <w:r>
        <w:t>e</w:t>
      </w:r>
      <w:r>
        <w:rPr>
          <w:spacing w:val="-12"/>
        </w:rPr>
        <w:t xml:space="preserve"> </w:t>
      </w:r>
      <w:r>
        <w:t>três foram incluídos neste Protocolo Clínico e Diretrizes Terapêuticas</w:t>
      </w:r>
      <w:r>
        <w:rPr>
          <w:spacing w:val="-3"/>
        </w:rPr>
        <w:t xml:space="preserve"> </w:t>
      </w:r>
      <w:r>
        <w:t>(PCDT).</w:t>
      </w:r>
    </w:p>
    <w:p w:rsidR="005C592B" w:rsidRDefault="005D0206">
      <w:pPr>
        <w:pStyle w:val="Corpodetexto"/>
        <w:spacing w:line="360" w:lineRule="auto"/>
        <w:ind w:right="852" w:firstLine="566"/>
      </w:pPr>
      <w:r>
        <w:t>Na base Embase, também foi realizada busca com a estratégia 'growth hormone deficiency'/exp 'growth hormone deficiency'/exp and ([cochrane review]/lim OR [systematic review]/lim</w:t>
      </w:r>
      <w:r>
        <w:t xml:space="preserve"> OR [controlled clinical trial]/lim or [randomized controlled trial]/lim OR [meta analysis]/lim) AND [humans]/lim and [15-8-2009]/sd. Nessa busca, foram identificados 153 estudos,</w:t>
      </w:r>
      <w:r>
        <w:rPr>
          <w:spacing w:val="-14"/>
        </w:rPr>
        <w:t xml:space="preserve"> </w:t>
      </w:r>
      <w:r>
        <w:t>e</w:t>
      </w:r>
      <w:r>
        <w:rPr>
          <w:spacing w:val="-14"/>
        </w:rPr>
        <w:t xml:space="preserve"> </w:t>
      </w:r>
      <w:r>
        <w:t>outros</w:t>
      </w:r>
      <w:r>
        <w:rPr>
          <w:spacing w:val="-13"/>
        </w:rPr>
        <w:t xml:space="preserve"> </w:t>
      </w:r>
      <w:r>
        <w:t>cinco</w:t>
      </w:r>
      <w:r>
        <w:rPr>
          <w:spacing w:val="-13"/>
        </w:rPr>
        <w:t xml:space="preserve"> </w:t>
      </w:r>
      <w:r>
        <w:t>estudos</w:t>
      </w:r>
      <w:r>
        <w:rPr>
          <w:spacing w:val="-13"/>
        </w:rPr>
        <w:t xml:space="preserve"> </w:t>
      </w:r>
      <w:r>
        <w:t>foram</w:t>
      </w:r>
      <w:r>
        <w:rPr>
          <w:spacing w:val="-13"/>
        </w:rPr>
        <w:t xml:space="preserve"> </w:t>
      </w:r>
      <w:r>
        <w:t>incluídos</w:t>
      </w:r>
      <w:r>
        <w:rPr>
          <w:spacing w:val="-12"/>
        </w:rPr>
        <w:t xml:space="preserve"> </w:t>
      </w:r>
      <w:r>
        <w:t>no</w:t>
      </w:r>
      <w:r>
        <w:rPr>
          <w:spacing w:val="-17"/>
        </w:rPr>
        <w:t xml:space="preserve"> </w:t>
      </w:r>
      <w:r>
        <w:t>PCDT.</w:t>
      </w:r>
      <w:r>
        <w:rPr>
          <w:spacing w:val="-13"/>
        </w:rPr>
        <w:t xml:space="preserve"> </w:t>
      </w:r>
      <w:r>
        <w:t>Um</w:t>
      </w:r>
      <w:r>
        <w:rPr>
          <w:spacing w:val="-13"/>
        </w:rPr>
        <w:t xml:space="preserve"> </w:t>
      </w:r>
      <w:r>
        <w:t>estudo</w:t>
      </w:r>
      <w:r>
        <w:rPr>
          <w:spacing w:val="-12"/>
        </w:rPr>
        <w:t xml:space="preserve"> </w:t>
      </w:r>
      <w:r>
        <w:t>que</w:t>
      </w:r>
      <w:r>
        <w:rPr>
          <w:spacing w:val="-14"/>
        </w:rPr>
        <w:t xml:space="preserve"> </w:t>
      </w:r>
      <w:r>
        <w:t>foi</w:t>
      </w:r>
      <w:r>
        <w:rPr>
          <w:spacing w:val="-13"/>
        </w:rPr>
        <w:t xml:space="preserve"> </w:t>
      </w:r>
      <w:r>
        <w:t>identifica</w:t>
      </w:r>
      <w:r>
        <w:t>do</w:t>
      </w:r>
      <w:r>
        <w:rPr>
          <w:spacing w:val="-13"/>
        </w:rPr>
        <w:t xml:space="preserve"> </w:t>
      </w:r>
      <w:r>
        <w:t>nessa busca já havia sido incluído por meio da busca realizada na</w:t>
      </w:r>
      <w:r>
        <w:rPr>
          <w:spacing w:val="-6"/>
        </w:rPr>
        <w:t xml:space="preserve"> </w:t>
      </w:r>
      <w:r>
        <w:t>PubMed.</w:t>
      </w:r>
    </w:p>
    <w:p w:rsidR="005C592B" w:rsidRDefault="005D0206">
      <w:pPr>
        <w:pStyle w:val="Corpodetexto"/>
        <w:spacing w:line="360" w:lineRule="auto"/>
        <w:ind w:right="855" w:firstLine="566"/>
      </w:pPr>
      <w:r>
        <w:t>Também</w:t>
      </w:r>
      <w:r>
        <w:rPr>
          <w:spacing w:val="-9"/>
        </w:rPr>
        <w:t xml:space="preserve"> </w:t>
      </w:r>
      <w:r>
        <w:t>foi</w:t>
      </w:r>
      <w:r>
        <w:rPr>
          <w:spacing w:val="-7"/>
        </w:rPr>
        <w:t xml:space="preserve"> </w:t>
      </w:r>
      <w:r>
        <w:t>realizada</w:t>
      </w:r>
      <w:r>
        <w:rPr>
          <w:spacing w:val="-8"/>
        </w:rPr>
        <w:t xml:space="preserve"> </w:t>
      </w:r>
      <w:r>
        <w:t>busca</w:t>
      </w:r>
      <w:r>
        <w:rPr>
          <w:spacing w:val="-9"/>
        </w:rPr>
        <w:t xml:space="preserve"> </w:t>
      </w:r>
      <w:r>
        <w:t>por</w:t>
      </w:r>
      <w:r>
        <w:rPr>
          <w:spacing w:val="-6"/>
        </w:rPr>
        <w:t xml:space="preserve"> </w:t>
      </w:r>
      <w:r>
        <w:t>revisões</w:t>
      </w:r>
      <w:r>
        <w:rPr>
          <w:spacing w:val="-7"/>
        </w:rPr>
        <w:t xml:space="preserve"> </w:t>
      </w:r>
      <w:r>
        <w:t>sistemáticas</w:t>
      </w:r>
      <w:r>
        <w:rPr>
          <w:spacing w:val="-7"/>
        </w:rPr>
        <w:t xml:space="preserve"> </w:t>
      </w:r>
      <w:r>
        <w:t>da</w:t>
      </w:r>
      <w:r>
        <w:rPr>
          <w:spacing w:val="-9"/>
        </w:rPr>
        <w:t xml:space="preserve"> </w:t>
      </w:r>
      <w:r>
        <w:t>Cochrane</w:t>
      </w:r>
      <w:r>
        <w:rPr>
          <w:spacing w:val="-8"/>
        </w:rPr>
        <w:t xml:space="preserve"> </w:t>
      </w:r>
      <w:r>
        <w:t>com</w:t>
      </w:r>
      <w:r>
        <w:rPr>
          <w:spacing w:val="-7"/>
        </w:rPr>
        <w:t xml:space="preserve"> </w:t>
      </w:r>
      <w:r>
        <w:t>o</w:t>
      </w:r>
      <w:r>
        <w:rPr>
          <w:spacing w:val="-8"/>
        </w:rPr>
        <w:t xml:space="preserve"> </w:t>
      </w:r>
      <w:r>
        <w:t>termo</w:t>
      </w:r>
      <w:r>
        <w:rPr>
          <w:spacing w:val="-8"/>
        </w:rPr>
        <w:t xml:space="preserve"> </w:t>
      </w:r>
      <w:r>
        <w:t>"growth hormone deficiency", mas não foi encontrada nenhuma revisão</w:t>
      </w:r>
      <w:r>
        <w:rPr>
          <w:spacing w:val="-6"/>
        </w:rPr>
        <w:t xml:space="preserve"> </w:t>
      </w:r>
      <w:r>
        <w:t>completa.</w:t>
      </w:r>
    </w:p>
    <w:p w:rsidR="005C592B" w:rsidRDefault="005D0206">
      <w:pPr>
        <w:pStyle w:val="Corpodetexto"/>
        <w:spacing w:line="360" w:lineRule="auto"/>
        <w:ind w:right="852" w:firstLine="566"/>
      </w:pPr>
      <w:r>
        <w:t>Foram</w:t>
      </w:r>
      <w:r>
        <w:rPr>
          <w:spacing w:val="-4"/>
        </w:rPr>
        <w:t xml:space="preserve"> </w:t>
      </w:r>
      <w:r>
        <w:t>excluídos</w:t>
      </w:r>
      <w:r>
        <w:rPr>
          <w:spacing w:val="-4"/>
        </w:rPr>
        <w:t xml:space="preserve"> </w:t>
      </w:r>
      <w:r>
        <w:t>estudos</w:t>
      </w:r>
      <w:r>
        <w:rPr>
          <w:spacing w:val="-6"/>
        </w:rPr>
        <w:t xml:space="preserve"> </w:t>
      </w:r>
      <w:r>
        <w:t>com</w:t>
      </w:r>
      <w:r>
        <w:rPr>
          <w:spacing w:val="-4"/>
        </w:rPr>
        <w:t xml:space="preserve"> </w:t>
      </w:r>
      <w:r>
        <w:t>desfechos</w:t>
      </w:r>
      <w:r>
        <w:rPr>
          <w:spacing w:val="-3"/>
        </w:rPr>
        <w:t xml:space="preserve"> </w:t>
      </w:r>
      <w:r>
        <w:t>não</w:t>
      </w:r>
      <w:r>
        <w:rPr>
          <w:spacing w:val="-5"/>
        </w:rPr>
        <w:t xml:space="preserve"> </w:t>
      </w:r>
      <w:r>
        <w:t>clínicos,</w:t>
      </w:r>
      <w:r>
        <w:rPr>
          <w:spacing w:val="-3"/>
        </w:rPr>
        <w:t xml:space="preserve"> </w:t>
      </w:r>
      <w:r>
        <w:t>estudos</w:t>
      </w:r>
      <w:r>
        <w:rPr>
          <w:spacing w:val="-4"/>
        </w:rPr>
        <w:t xml:space="preserve"> </w:t>
      </w:r>
      <w:r>
        <w:t>que</w:t>
      </w:r>
      <w:r>
        <w:rPr>
          <w:spacing w:val="-5"/>
        </w:rPr>
        <w:t xml:space="preserve"> </w:t>
      </w:r>
      <w:r>
        <w:t>avaliaram</w:t>
      </w:r>
      <w:r>
        <w:rPr>
          <w:spacing w:val="-4"/>
        </w:rPr>
        <w:t xml:space="preserve"> </w:t>
      </w:r>
      <w:r>
        <w:t>métodos</w:t>
      </w:r>
      <w:r>
        <w:rPr>
          <w:spacing w:val="-3"/>
        </w:rPr>
        <w:t xml:space="preserve"> </w:t>
      </w:r>
      <w:r>
        <w:t>de tratamento alternativos ou técnicas ou produtos não aprovados no Brasil, estudos com graves problemas</w:t>
      </w:r>
      <w:r>
        <w:rPr>
          <w:spacing w:val="-14"/>
        </w:rPr>
        <w:t xml:space="preserve"> </w:t>
      </w:r>
      <w:r>
        <w:t>metodológicos</w:t>
      </w:r>
      <w:r>
        <w:rPr>
          <w:spacing w:val="-12"/>
        </w:rPr>
        <w:t xml:space="preserve"> </w:t>
      </w:r>
      <w:r>
        <w:t>e</w:t>
      </w:r>
      <w:r>
        <w:rPr>
          <w:spacing w:val="-13"/>
        </w:rPr>
        <w:t xml:space="preserve"> </w:t>
      </w:r>
      <w:r>
        <w:t>estudos</w:t>
      </w:r>
      <w:r>
        <w:rPr>
          <w:spacing w:val="-11"/>
        </w:rPr>
        <w:t xml:space="preserve"> </w:t>
      </w:r>
      <w:r>
        <w:t>com</w:t>
      </w:r>
      <w:r>
        <w:rPr>
          <w:spacing w:val="-13"/>
        </w:rPr>
        <w:t xml:space="preserve"> </w:t>
      </w:r>
      <w:r>
        <w:t>resultados</w:t>
      </w:r>
      <w:r>
        <w:rPr>
          <w:spacing w:val="-11"/>
        </w:rPr>
        <w:t xml:space="preserve"> </w:t>
      </w:r>
      <w:r>
        <w:t>inconclusivos</w:t>
      </w:r>
      <w:r>
        <w:rPr>
          <w:spacing w:val="-12"/>
        </w:rPr>
        <w:t xml:space="preserve"> </w:t>
      </w:r>
      <w:r>
        <w:t>ou</w:t>
      </w:r>
      <w:r>
        <w:rPr>
          <w:spacing w:val="-12"/>
        </w:rPr>
        <w:t xml:space="preserve"> </w:t>
      </w:r>
      <w:r>
        <w:t>insuficientes</w:t>
      </w:r>
      <w:r>
        <w:rPr>
          <w:spacing w:val="-13"/>
        </w:rPr>
        <w:t xml:space="preserve"> </w:t>
      </w:r>
      <w:r>
        <w:t>para</w:t>
      </w:r>
      <w:r>
        <w:rPr>
          <w:spacing w:val="-14"/>
        </w:rPr>
        <w:t xml:space="preserve"> </w:t>
      </w:r>
      <w:r>
        <w:t>resultar em</w:t>
      </w:r>
      <w:r>
        <w:rPr>
          <w:spacing w:val="-6"/>
        </w:rPr>
        <w:t xml:space="preserve"> </w:t>
      </w:r>
      <w:r>
        <w:t>nova</w:t>
      </w:r>
      <w:r>
        <w:rPr>
          <w:spacing w:val="-5"/>
        </w:rPr>
        <w:t xml:space="preserve"> </w:t>
      </w:r>
      <w:r>
        <w:t>recomendação.</w:t>
      </w:r>
      <w:r>
        <w:rPr>
          <w:spacing w:val="-3"/>
        </w:rPr>
        <w:t xml:space="preserve"> </w:t>
      </w:r>
      <w:r>
        <w:t>Foi</w:t>
      </w:r>
      <w:r>
        <w:rPr>
          <w:spacing w:val="-5"/>
        </w:rPr>
        <w:t xml:space="preserve"> </w:t>
      </w:r>
      <w:r>
        <w:t>ainda</w:t>
      </w:r>
      <w:r>
        <w:rPr>
          <w:spacing w:val="-4"/>
        </w:rPr>
        <w:t xml:space="preserve"> </w:t>
      </w:r>
      <w:r>
        <w:t>consultada</w:t>
      </w:r>
      <w:r>
        <w:rPr>
          <w:spacing w:val="-5"/>
        </w:rPr>
        <w:t xml:space="preserve"> </w:t>
      </w:r>
      <w:r>
        <w:t>a</w:t>
      </w:r>
      <w:r>
        <w:rPr>
          <w:spacing w:val="-4"/>
        </w:rPr>
        <w:t xml:space="preserve"> </w:t>
      </w:r>
      <w:r>
        <w:t>base</w:t>
      </w:r>
      <w:r>
        <w:rPr>
          <w:spacing w:val="-7"/>
        </w:rPr>
        <w:t xml:space="preserve"> </w:t>
      </w:r>
      <w:r>
        <w:t>de</w:t>
      </w:r>
      <w:r>
        <w:rPr>
          <w:spacing w:val="-7"/>
        </w:rPr>
        <w:t xml:space="preserve"> </w:t>
      </w:r>
      <w:r>
        <w:t>dados</w:t>
      </w:r>
      <w:r>
        <w:rPr>
          <w:spacing w:val="-5"/>
        </w:rPr>
        <w:t xml:space="preserve"> </w:t>
      </w:r>
      <w:r>
        <w:t>UpToDate,</w:t>
      </w:r>
      <w:r>
        <w:rPr>
          <w:spacing w:val="-3"/>
        </w:rPr>
        <w:t xml:space="preserve"> </w:t>
      </w:r>
      <w:r>
        <w:t>versão</w:t>
      </w:r>
      <w:r>
        <w:rPr>
          <w:spacing w:val="-6"/>
        </w:rPr>
        <w:t xml:space="preserve"> </w:t>
      </w:r>
      <w:r>
        <w:t>19.3,</w:t>
      </w:r>
      <w:r>
        <w:rPr>
          <w:spacing w:val="-2"/>
        </w:rPr>
        <w:t xml:space="preserve"> </w:t>
      </w:r>
      <w:r>
        <w:t>estudos com delineamentos observacionais, guidelines e revisões narrativas sobre o</w:t>
      </w:r>
      <w:r>
        <w:rPr>
          <w:spacing w:val="-1"/>
        </w:rPr>
        <w:t xml:space="preserve"> </w:t>
      </w:r>
      <w:r>
        <w:t>tema.</w:t>
      </w:r>
    </w:p>
    <w:p w:rsidR="005C592B" w:rsidRDefault="005D0206">
      <w:pPr>
        <w:pStyle w:val="Corpodetexto"/>
        <w:spacing w:before="1" w:line="360" w:lineRule="auto"/>
        <w:ind w:right="855" w:firstLine="566"/>
      </w:pPr>
      <w:r>
        <w:t xml:space="preserve">Em 01/11/2017, após a publicação da incorporação das apresentações de 15UI, 16UI, 18UI, 24UI </w:t>
      </w:r>
      <w:r>
        <w:t>e 30UI de somatropina (49), o texto foi revisado e uma referência incluída no PCDT.</w:t>
      </w:r>
    </w:p>
    <w:p w:rsidR="005C592B" w:rsidRDefault="005D0206">
      <w:pPr>
        <w:pStyle w:val="Corpodetexto"/>
        <w:spacing w:line="362" w:lineRule="auto"/>
        <w:ind w:right="858" w:firstLine="566"/>
      </w:pPr>
      <w:r>
        <w:t>Em 16/10/2018 foi atualizada a busca utilizando as mesmas estratégias, conforme o Quadro 1.</w:t>
      </w:r>
    </w:p>
    <w:p w:rsidR="005C592B" w:rsidRDefault="005C592B">
      <w:pPr>
        <w:spacing w:line="362" w:lineRule="auto"/>
        <w:sectPr w:rsidR="005C592B">
          <w:pgSz w:w="11900" w:h="16850"/>
          <w:pgMar w:top="1360" w:right="580" w:bottom="280" w:left="1240" w:header="720" w:footer="720" w:gutter="0"/>
          <w:cols w:space="720"/>
        </w:sectPr>
      </w:pPr>
    </w:p>
    <w:p w:rsidR="005C592B" w:rsidRDefault="005D0206">
      <w:pPr>
        <w:pStyle w:val="Corpodetexto"/>
        <w:spacing w:before="74"/>
        <w:jc w:val="left"/>
      </w:pPr>
      <w:r>
        <w:rPr>
          <w:b/>
        </w:rPr>
        <w:lastRenderedPageBreak/>
        <w:t xml:space="preserve">Quadro 1 </w:t>
      </w:r>
      <w:r>
        <w:t>- Buscas sobre intervenções terapêuticas</w:t>
      </w:r>
    </w:p>
    <w:p w:rsidR="005C592B" w:rsidRDefault="005C592B">
      <w:pPr>
        <w:pStyle w:val="Corpodetexto"/>
        <w:spacing w:before="4"/>
        <w:ind w:left="0"/>
        <w:jc w:val="left"/>
        <w:rPr>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7"/>
        <w:gridCol w:w="3968"/>
        <w:gridCol w:w="1275"/>
        <w:gridCol w:w="2876"/>
      </w:tblGrid>
      <w:tr w:rsidR="005C592B">
        <w:trPr>
          <w:trHeight w:val="796"/>
        </w:trPr>
        <w:tc>
          <w:tcPr>
            <w:tcW w:w="1087" w:type="dxa"/>
            <w:shd w:val="clear" w:color="auto" w:fill="CED6E7"/>
          </w:tcPr>
          <w:p w:rsidR="005C592B" w:rsidRDefault="005D0206">
            <w:pPr>
              <w:pStyle w:val="TableParagraph"/>
              <w:spacing w:before="80"/>
              <w:rPr>
                <w:b/>
                <w:sz w:val="24"/>
              </w:rPr>
            </w:pPr>
            <w:r>
              <w:rPr>
                <w:b/>
                <w:sz w:val="24"/>
              </w:rPr>
              <w:t>Base</w:t>
            </w:r>
          </w:p>
        </w:tc>
        <w:tc>
          <w:tcPr>
            <w:tcW w:w="3968" w:type="dxa"/>
            <w:shd w:val="clear" w:color="auto" w:fill="CED6E7"/>
          </w:tcPr>
          <w:p w:rsidR="005C592B" w:rsidRDefault="005D0206">
            <w:pPr>
              <w:pStyle w:val="TableParagraph"/>
              <w:spacing w:before="80"/>
              <w:rPr>
                <w:b/>
                <w:sz w:val="24"/>
              </w:rPr>
            </w:pPr>
            <w:r>
              <w:rPr>
                <w:b/>
                <w:sz w:val="24"/>
              </w:rPr>
              <w:t>Estratégia</w:t>
            </w:r>
          </w:p>
        </w:tc>
        <w:tc>
          <w:tcPr>
            <w:tcW w:w="1275" w:type="dxa"/>
            <w:shd w:val="clear" w:color="auto" w:fill="CED6E7"/>
          </w:tcPr>
          <w:p w:rsidR="005C592B" w:rsidRDefault="005D0206">
            <w:pPr>
              <w:pStyle w:val="TableParagraph"/>
              <w:spacing w:before="80" w:line="276" w:lineRule="auto"/>
              <w:ind w:right="166"/>
              <w:rPr>
                <w:b/>
                <w:sz w:val="24"/>
              </w:rPr>
            </w:pPr>
            <w:r>
              <w:rPr>
                <w:b/>
                <w:sz w:val="24"/>
              </w:rPr>
              <w:t>Localizad os</w:t>
            </w:r>
          </w:p>
        </w:tc>
        <w:tc>
          <w:tcPr>
            <w:tcW w:w="2876" w:type="dxa"/>
            <w:shd w:val="clear" w:color="auto" w:fill="CED6E7"/>
          </w:tcPr>
          <w:p w:rsidR="005C592B" w:rsidRDefault="005D0206">
            <w:pPr>
              <w:pStyle w:val="TableParagraph"/>
              <w:spacing w:before="80"/>
              <w:rPr>
                <w:b/>
                <w:sz w:val="24"/>
              </w:rPr>
            </w:pPr>
            <w:r>
              <w:rPr>
                <w:b/>
                <w:sz w:val="24"/>
              </w:rPr>
              <w:t>Selecionados</w:t>
            </w:r>
          </w:p>
        </w:tc>
      </w:tr>
      <w:tr w:rsidR="005C592B">
        <w:trPr>
          <w:trHeight w:val="2921"/>
        </w:trPr>
        <w:tc>
          <w:tcPr>
            <w:tcW w:w="1087" w:type="dxa"/>
            <w:shd w:val="clear" w:color="auto" w:fill="CED6E7"/>
          </w:tcPr>
          <w:p w:rsidR="005C592B" w:rsidRDefault="005D0206">
            <w:pPr>
              <w:pStyle w:val="TableParagraph"/>
              <w:spacing w:before="71"/>
              <w:ind w:right="84"/>
              <w:rPr>
                <w:sz w:val="24"/>
              </w:rPr>
            </w:pPr>
            <w:r>
              <w:rPr>
                <w:sz w:val="24"/>
              </w:rPr>
              <w:t>Medline (via PubMed)</w:t>
            </w:r>
          </w:p>
        </w:tc>
        <w:tc>
          <w:tcPr>
            <w:tcW w:w="3968" w:type="dxa"/>
            <w:shd w:val="clear" w:color="auto" w:fill="CED6E7"/>
          </w:tcPr>
          <w:p w:rsidR="005C592B" w:rsidRDefault="005D0206">
            <w:pPr>
              <w:pStyle w:val="TableParagraph"/>
              <w:tabs>
                <w:tab w:val="left" w:pos="1157"/>
                <w:tab w:val="left" w:pos="1699"/>
                <w:tab w:val="left" w:pos="2770"/>
                <w:tab w:val="left" w:pos="3368"/>
                <w:tab w:val="left" w:pos="3821"/>
              </w:tabs>
              <w:spacing w:before="71"/>
              <w:ind w:right="66"/>
              <w:jc w:val="both"/>
              <w:rPr>
                <w:sz w:val="24"/>
              </w:rPr>
            </w:pPr>
            <w:r>
              <w:rPr>
                <w:sz w:val="24"/>
              </w:rPr>
              <w:t>"Growth Hormone Deficiency With Pituitary Anomalies"[Supplementary Concept]</w:t>
            </w:r>
            <w:r>
              <w:rPr>
                <w:sz w:val="24"/>
              </w:rPr>
              <w:tab/>
            </w:r>
            <w:r>
              <w:rPr>
                <w:sz w:val="24"/>
              </w:rPr>
              <w:tab/>
              <w:t>OR</w:t>
            </w:r>
            <w:r>
              <w:rPr>
                <w:sz w:val="24"/>
              </w:rPr>
              <w:tab/>
              <w:t>"Dwarfism, Pituitary"[Mesh] AND ((Clinical Trial[ptyp] OR Meta-Analysis[ptyp] OR Randomized Controlled Trial[ptyp] OR</w:t>
            </w:r>
            <w:r>
              <w:rPr>
                <w:sz w:val="24"/>
              </w:rPr>
              <w:tab/>
            </w:r>
            <w:r>
              <w:rPr>
                <w:sz w:val="24"/>
              </w:rPr>
              <w:t>systematic[sb])</w:t>
            </w:r>
            <w:r>
              <w:rPr>
                <w:sz w:val="24"/>
              </w:rPr>
              <w:tab/>
            </w:r>
            <w:r>
              <w:rPr>
                <w:sz w:val="24"/>
              </w:rPr>
              <w:tab/>
              <w:t>AND ("2016/01/20"[PDAT]</w:t>
            </w:r>
            <w:r>
              <w:rPr>
                <w:sz w:val="24"/>
              </w:rPr>
              <w:tab/>
            </w:r>
            <w:r>
              <w:rPr>
                <w:sz w:val="24"/>
              </w:rPr>
              <w:tab/>
            </w:r>
            <w:r>
              <w:rPr>
                <w:sz w:val="24"/>
              </w:rPr>
              <w:tab/>
              <w:t>:</w:t>
            </w:r>
          </w:p>
          <w:p w:rsidR="005C592B" w:rsidRDefault="005D0206">
            <w:pPr>
              <w:pStyle w:val="TableParagraph"/>
              <w:tabs>
                <w:tab w:val="left" w:pos="3368"/>
              </w:tabs>
              <w:jc w:val="both"/>
              <w:rPr>
                <w:sz w:val="24"/>
              </w:rPr>
            </w:pPr>
            <w:r>
              <w:rPr>
                <w:sz w:val="24"/>
              </w:rPr>
              <w:t>"2018/10/16"[PDAT])</w:t>
            </w:r>
            <w:r>
              <w:rPr>
                <w:sz w:val="24"/>
              </w:rPr>
              <w:tab/>
              <w:t>AND</w:t>
            </w:r>
          </w:p>
          <w:p w:rsidR="005C592B" w:rsidRDefault="005D0206">
            <w:pPr>
              <w:pStyle w:val="TableParagraph"/>
              <w:jc w:val="both"/>
              <w:rPr>
                <w:sz w:val="24"/>
              </w:rPr>
            </w:pPr>
            <w:r>
              <w:rPr>
                <w:sz w:val="24"/>
              </w:rPr>
              <w:t>"humans"[MeSH Terms])</w:t>
            </w:r>
          </w:p>
        </w:tc>
        <w:tc>
          <w:tcPr>
            <w:tcW w:w="1275" w:type="dxa"/>
            <w:shd w:val="clear" w:color="auto" w:fill="CED6E7"/>
          </w:tcPr>
          <w:p w:rsidR="005C592B" w:rsidRDefault="005D0206">
            <w:pPr>
              <w:pStyle w:val="TableParagraph"/>
              <w:spacing w:before="71"/>
              <w:rPr>
                <w:sz w:val="24"/>
              </w:rPr>
            </w:pPr>
            <w:r>
              <w:rPr>
                <w:sz w:val="24"/>
              </w:rPr>
              <w:t>9</w:t>
            </w:r>
          </w:p>
        </w:tc>
        <w:tc>
          <w:tcPr>
            <w:tcW w:w="2876" w:type="dxa"/>
            <w:shd w:val="clear" w:color="auto" w:fill="CED6E7"/>
          </w:tcPr>
          <w:p w:rsidR="005C592B" w:rsidRDefault="005D0206">
            <w:pPr>
              <w:pStyle w:val="TableParagraph"/>
              <w:spacing w:before="71"/>
              <w:rPr>
                <w:sz w:val="24"/>
              </w:rPr>
            </w:pPr>
            <w:r>
              <w:rPr>
                <w:sz w:val="24"/>
              </w:rPr>
              <w:t>----</w:t>
            </w:r>
          </w:p>
        </w:tc>
      </w:tr>
      <w:tr w:rsidR="005C592B">
        <w:trPr>
          <w:trHeight w:val="2659"/>
        </w:trPr>
        <w:tc>
          <w:tcPr>
            <w:tcW w:w="1087" w:type="dxa"/>
            <w:shd w:val="clear" w:color="auto" w:fill="CED6E7"/>
          </w:tcPr>
          <w:p w:rsidR="005C592B" w:rsidRDefault="005D0206">
            <w:pPr>
              <w:pStyle w:val="TableParagraph"/>
              <w:spacing w:before="71"/>
              <w:rPr>
                <w:sz w:val="24"/>
              </w:rPr>
            </w:pPr>
            <w:r>
              <w:rPr>
                <w:sz w:val="24"/>
              </w:rPr>
              <w:t>Embase</w:t>
            </w:r>
          </w:p>
        </w:tc>
        <w:tc>
          <w:tcPr>
            <w:tcW w:w="3968" w:type="dxa"/>
            <w:shd w:val="clear" w:color="auto" w:fill="CED6E7"/>
          </w:tcPr>
          <w:p w:rsidR="005C592B" w:rsidRDefault="005D0206">
            <w:pPr>
              <w:pStyle w:val="TableParagraph"/>
              <w:tabs>
                <w:tab w:val="left" w:pos="1742"/>
                <w:tab w:val="left" w:pos="3368"/>
              </w:tabs>
              <w:spacing w:before="71"/>
              <w:ind w:right="65"/>
              <w:jc w:val="both"/>
              <w:rPr>
                <w:sz w:val="24"/>
              </w:rPr>
            </w:pPr>
            <w:r>
              <w:rPr>
                <w:sz w:val="24"/>
              </w:rPr>
              <w:t>'growth hormone deficiency'/exp AND 'drug therapy'/exp AND ([cochrane review]/lim OR [systematic</w:t>
            </w:r>
            <w:r>
              <w:rPr>
                <w:spacing w:val="-43"/>
                <w:sz w:val="24"/>
              </w:rPr>
              <w:t xml:space="preserve"> </w:t>
            </w:r>
            <w:r>
              <w:rPr>
                <w:sz w:val="24"/>
              </w:rPr>
              <w:t>review]/lim OR [meta analysis]/lim OR [controlled clinical trial]/lim OR [randomized controlled</w:t>
            </w:r>
            <w:r>
              <w:rPr>
                <w:sz w:val="24"/>
              </w:rPr>
              <w:tab/>
              <w:t>trial]/lim)</w:t>
            </w:r>
            <w:r>
              <w:rPr>
                <w:sz w:val="24"/>
              </w:rPr>
              <w:tab/>
              <w:t>AND [humans]/lim AND [embase]/lim AND ([english]/lim OR [portuguese]/lim OR [spanish]/lim) AND</w:t>
            </w:r>
            <w:r>
              <w:rPr>
                <w:spacing w:val="-3"/>
                <w:sz w:val="24"/>
              </w:rPr>
              <w:t xml:space="preserve"> </w:t>
            </w:r>
            <w:r>
              <w:rPr>
                <w:sz w:val="24"/>
              </w:rPr>
              <w:t>[2016-2018]/py</w:t>
            </w:r>
          </w:p>
        </w:tc>
        <w:tc>
          <w:tcPr>
            <w:tcW w:w="1275" w:type="dxa"/>
            <w:shd w:val="clear" w:color="auto" w:fill="CED6E7"/>
          </w:tcPr>
          <w:p w:rsidR="005C592B" w:rsidRDefault="005D0206">
            <w:pPr>
              <w:pStyle w:val="TableParagraph"/>
              <w:spacing w:before="71"/>
              <w:rPr>
                <w:sz w:val="24"/>
              </w:rPr>
            </w:pPr>
            <w:r>
              <w:rPr>
                <w:sz w:val="24"/>
              </w:rPr>
              <w:t>75</w:t>
            </w:r>
          </w:p>
        </w:tc>
        <w:tc>
          <w:tcPr>
            <w:tcW w:w="2876" w:type="dxa"/>
            <w:shd w:val="clear" w:color="auto" w:fill="CED6E7"/>
          </w:tcPr>
          <w:p w:rsidR="005C592B" w:rsidRDefault="005D0206">
            <w:pPr>
              <w:pStyle w:val="TableParagraph"/>
              <w:spacing w:before="71"/>
              <w:rPr>
                <w:sz w:val="24"/>
              </w:rPr>
            </w:pPr>
            <w:r>
              <w:rPr>
                <w:sz w:val="24"/>
              </w:rPr>
              <w:t>----</w:t>
            </w:r>
          </w:p>
        </w:tc>
      </w:tr>
      <w:tr w:rsidR="005C592B">
        <w:trPr>
          <w:trHeight w:val="4025"/>
        </w:trPr>
        <w:tc>
          <w:tcPr>
            <w:tcW w:w="1087" w:type="dxa"/>
            <w:shd w:val="clear" w:color="auto" w:fill="CED6E7"/>
          </w:tcPr>
          <w:p w:rsidR="005C592B" w:rsidRDefault="005C592B">
            <w:pPr>
              <w:pStyle w:val="TableParagraph"/>
              <w:ind w:left="0"/>
              <w:rPr>
                <w:sz w:val="24"/>
              </w:rPr>
            </w:pPr>
          </w:p>
        </w:tc>
        <w:tc>
          <w:tcPr>
            <w:tcW w:w="3968" w:type="dxa"/>
            <w:shd w:val="clear" w:color="auto" w:fill="CED6E7"/>
          </w:tcPr>
          <w:p w:rsidR="005C592B" w:rsidRDefault="005D0206">
            <w:pPr>
              <w:pStyle w:val="TableParagraph"/>
              <w:spacing w:before="73"/>
              <w:rPr>
                <w:sz w:val="24"/>
              </w:rPr>
            </w:pPr>
            <w:r>
              <w:rPr>
                <w:sz w:val="24"/>
              </w:rPr>
              <w:t>Estudos repetidos (7)</w:t>
            </w:r>
          </w:p>
        </w:tc>
        <w:tc>
          <w:tcPr>
            <w:tcW w:w="1275" w:type="dxa"/>
            <w:shd w:val="clear" w:color="auto" w:fill="CED6E7"/>
          </w:tcPr>
          <w:p w:rsidR="005C592B" w:rsidRDefault="005D0206">
            <w:pPr>
              <w:pStyle w:val="TableParagraph"/>
              <w:spacing w:before="73"/>
              <w:rPr>
                <w:sz w:val="24"/>
              </w:rPr>
            </w:pPr>
            <w:r>
              <w:rPr>
                <w:sz w:val="24"/>
              </w:rPr>
              <w:t>77</w:t>
            </w:r>
          </w:p>
        </w:tc>
        <w:tc>
          <w:tcPr>
            <w:tcW w:w="2876" w:type="dxa"/>
            <w:shd w:val="clear" w:color="auto" w:fill="CED6E7"/>
          </w:tcPr>
          <w:p w:rsidR="005C592B" w:rsidRDefault="005D0206">
            <w:pPr>
              <w:pStyle w:val="TableParagraph"/>
              <w:spacing w:before="73"/>
              <w:rPr>
                <w:sz w:val="24"/>
              </w:rPr>
            </w:pPr>
            <w:r>
              <w:rPr>
                <w:sz w:val="24"/>
              </w:rPr>
              <w:t>7</w:t>
            </w:r>
          </w:p>
          <w:p w:rsidR="005C592B" w:rsidRDefault="005D0206">
            <w:pPr>
              <w:pStyle w:val="TableParagraph"/>
              <w:spacing w:before="5" w:line="274" w:lineRule="exact"/>
              <w:rPr>
                <w:b/>
                <w:sz w:val="24"/>
              </w:rPr>
            </w:pPr>
            <w:r>
              <w:rPr>
                <w:b/>
                <w:sz w:val="24"/>
              </w:rPr>
              <w:t>Motivo das exclusões:</w:t>
            </w:r>
          </w:p>
          <w:p w:rsidR="005C592B" w:rsidRDefault="005D0206">
            <w:pPr>
              <w:pStyle w:val="TableParagraph"/>
              <w:numPr>
                <w:ilvl w:val="0"/>
                <w:numId w:val="1"/>
              </w:numPr>
              <w:tabs>
                <w:tab w:val="left" w:pos="219"/>
              </w:tabs>
              <w:spacing w:line="274" w:lineRule="exact"/>
              <w:ind w:firstLine="0"/>
              <w:rPr>
                <w:sz w:val="24"/>
              </w:rPr>
            </w:pPr>
            <w:r>
              <w:rPr>
                <w:sz w:val="24"/>
              </w:rPr>
              <w:t>estudos de fase1/2</w:t>
            </w:r>
            <w:r>
              <w:rPr>
                <w:spacing w:val="-1"/>
                <w:sz w:val="24"/>
              </w:rPr>
              <w:t xml:space="preserve"> </w:t>
            </w:r>
            <w:r>
              <w:rPr>
                <w:sz w:val="24"/>
              </w:rPr>
              <w:t>(13)</w:t>
            </w:r>
          </w:p>
          <w:p w:rsidR="005C592B" w:rsidRDefault="005D0206">
            <w:pPr>
              <w:pStyle w:val="TableParagraph"/>
              <w:numPr>
                <w:ilvl w:val="0"/>
                <w:numId w:val="1"/>
              </w:numPr>
              <w:tabs>
                <w:tab w:val="left" w:pos="212"/>
              </w:tabs>
              <w:spacing w:before="2" w:line="237" w:lineRule="auto"/>
              <w:ind w:right="69" w:firstLine="0"/>
              <w:rPr>
                <w:sz w:val="24"/>
              </w:rPr>
            </w:pPr>
            <w:r>
              <w:rPr>
                <w:sz w:val="24"/>
              </w:rPr>
              <w:t>estudos de</w:t>
            </w:r>
            <w:r>
              <w:rPr>
                <w:spacing w:val="-19"/>
                <w:sz w:val="24"/>
              </w:rPr>
              <w:t xml:space="preserve"> </w:t>
            </w:r>
            <w:r>
              <w:rPr>
                <w:sz w:val="24"/>
              </w:rPr>
              <w:t>farmacocinética e farmacodinâmica</w:t>
            </w:r>
            <w:r>
              <w:rPr>
                <w:spacing w:val="-1"/>
                <w:sz w:val="24"/>
              </w:rPr>
              <w:t xml:space="preserve"> </w:t>
            </w:r>
            <w:r>
              <w:rPr>
                <w:sz w:val="24"/>
              </w:rPr>
              <w:t>(4)</w:t>
            </w:r>
          </w:p>
          <w:p w:rsidR="005C592B" w:rsidRDefault="005D0206">
            <w:pPr>
              <w:pStyle w:val="TableParagraph"/>
              <w:numPr>
                <w:ilvl w:val="0"/>
                <w:numId w:val="1"/>
              </w:numPr>
              <w:tabs>
                <w:tab w:val="left" w:pos="315"/>
              </w:tabs>
              <w:spacing w:before="1"/>
              <w:ind w:right="70" w:firstLine="0"/>
              <w:rPr>
                <w:sz w:val="24"/>
              </w:rPr>
            </w:pPr>
            <w:r>
              <w:rPr>
                <w:sz w:val="24"/>
              </w:rPr>
              <w:t>assunto fora do escopo (20)</w:t>
            </w:r>
          </w:p>
          <w:p w:rsidR="005C592B" w:rsidRDefault="005D0206">
            <w:pPr>
              <w:pStyle w:val="TableParagraph"/>
              <w:numPr>
                <w:ilvl w:val="0"/>
                <w:numId w:val="1"/>
              </w:numPr>
              <w:tabs>
                <w:tab w:val="left" w:pos="2167"/>
                <w:tab w:val="left" w:pos="2168"/>
              </w:tabs>
              <w:ind w:left="2167" w:hanging="2088"/>
              <w:rPr>
                <w:sz w:val="24"/>
              </w:rPr>
            </w:pPr>
            <w:r>
              <w:rPr>
                <w:sz w:val="24"/>
              </w:rPr>
              <w:t>estudo</w:t>
            </w:r>
          </w:p>
          <w:p w:rsidR="005C592B" w:rsidRDefault="005D0206">
            <w:pPr>
              <w:pStyle w:val="TableParagraph"/>
              <w:rPr>
                <w:sz w:val="24"/>
              </w:rPr>
            </w:pPr>
            <w:r>
              <w:rPr>
                <w:sz w:val="24"/>
              </w:rPr>
              <w:t>observacional/revisão (2)</w:t>
            </w:r>
          </w:p>
          <w:p w:rsidR="005C592B" w:rsidRDefault="005D0206">
            <w:pPr>
              <w:pStyle w:val="TableParagraph"/>
              <w:numPr>
                <w:ilvl w:val="0"/>
                <w:numId w:val="1"/>
              </w:numPr>
              <w:tabs>
                <w:tab w:val="left" w:pos="219"/>
              </w:tabs>
              <w:ind w:firstLine="0"/>
              <w:rPr>
                <w:sz w:val="24"/>
              </w:rPr>
            </w:pPr>
            <w:r>
              <w:rPr>
                <w:sz w:val="24"/>
              </w:rPr>
              <w:t>estudo retrospectivo</w:t>
            </w:r>
            <w:r>
              <w:rPr>
                <w:spacing w:val="-1"/>
                <w:sz w:val="24"/>
              </w:rPr>
              <w:t xml:space="preserve"> </w:t>
            </w:r>
            <w:r>
              <w:rPr>
                <w:sz w:val="24"/>
              </w:rPr>
              <w:t>(1)</w:t>
            </w:r>
          </w:p>
          <w:p w:rsidR="005C592B" w:rsidRDefault="005D0206">
            <w:pPr>
              <w:pStyle w:val="TableParagraph"/>
              <w:numPr>
                <w:ilvl w:val="0"/>
                <w:numId w:val="1"/>
              </w:numPr>
              <w:tabs>
                <w:tab w:val="left" w:pos="655"/>
                <w:tab w:val="left" w:pos="656"/>
                <w:tab w:val="left" w:pos="2448"/>
              </w:tabs>
              <w:ind w:right="69" w:firstLine="0"/>
              <w:rPr>
                <w:sz w:val="24"/>
              </w:rPr>
            </w:pPr>
            <w:r>
              <w:rPr>
                <w:sz w:val="24"/>
              </w:rPr>
              <w:t>medicamento</w:t>
            </w:r>
            <w:r>
              <w:rPr>
                <w:sz w:val="24"/>
              </w:rPr>
              <w:tab/>
              <w:t>não disponível no Brasil</w:t>
            </w:r>
            <w:r>
              <w:rPr>
                <w:spacing w:val="-1"/>
                <w:sz w:val="24"/>
              </w:rPr>
              <w:t xml:space="preserve"> </w:t>
            </w:r>
            <w:r>
              <w:rPr>
                <w:sz w:val="24"/>
              </w:rPr>
              <w:t>(17)</w:t>
            </w:r>
          </w:p>
          <w:p w:rsidR="005C592B" w:rsidRDefault="005D0206">
            <w:pPr>
              <w:pStyle w:val="TableParagraph"/>
              <w:numPr>
                <w:ilvl w:val="0"/>
                <w:numId w:val="1"/>
              </w:numPr>
              <w:tabs>
                <w:tab w:val="left" w:pos="219"/>
              </w:tabs>
              <w:spacing w:before="1"/>
              <w:ind w:firstLine="0"/>
              <w:rPr>
                <w:sz w:val="24"/>
              </w:rPr>
            </w:pPr>
            <w:r>
              <w:rPr>
                <w:sz w:val="24"/>
              </w:rPr>
              <w:t>outra doença</w:t>
            </w:r>
            <w:r>
              <w:rPr>
                <w:spacing w:val="-3"/>
                <w:sz w:val="24"/>
              </w:rPr>
              <w:t xml:space="preserve"> </w:t>
            </w:r>
            <w:r>
              <w:rPr>
                <w:sz w:val="24"/>
              </w:rPr>
              <w:t>(11)</w:t>
            </w:r>
          </w:p>
          <w:p w:rsidR="005C592B" w:rsidRDefault="005D0206">
            <w:pPr>
              <w:pStyle w:val="TableParagraph"/>
              <w:numPr>
                <w:ilvl w:val="0"/>
                <w:numId w:val="1"/>
              </w:numPr>
              <w:tabs>
                <w:tab w:val="left" w:pos="219"/>
              </w:tabs>
              <w:ind w:firstLine="0"/>
              <w:rPr>
                <w:sz w:val="24"/>
              </w:rPr>
            </w:pPr>
            <w:r>
              <w:rPr>
                <w:sz w:val="24"/>
              </w:rPr>
              <w:t>resumo de congresso</w:t>
            </w:r>
            <w:r>
              <w:rPr>
                <w:spacing w:val="-2"/>
                <w:sz w:val="24"/>
              </w:rPr>
              <w:t xml:space="preserve"> </w:t>
            </w:r>
            <w:r>
              <w:rPr>
                <w:sz w:val="24"/>
              </w:rPr>
              <w:t>(2)</w:t>
            </w:r>
          </w:p>
        </w:tc>
      </w:tr>
    </w:tbl>
    <w:p w:rsidR="005C592B" w:rsidRDefault="005C592B">
      <w:pPr>
        <w:pStyle w:val="Corpodetexto"/>
        <w:spacing w:before="10"/>
        <w:ind w:left="0"/>
        <w:jc w:val="left"/>
        <w:rPr>
          <w:sz w:val="23"/>
        </w:rPr>
      </w:pPr>
    </w:p>
    <w:p w:rsidR="005C592B" w:rsidRDefault="005D0206">
      <w:pPr>
        <w:pStyle w:val="Ttulo1"/>
        <w:ind w:left="3365" w:right="4020"/>
        <w:jc w:val="center"/>
      </w:pPr>
      <w:r>
        <w:t>APÊNDICE 2</w:t>
      </w:r>
    </w:p>
    <w:p w:rsidR="005C592B" w:rsidRDefault="005C592B">
      <w:pPr>
        <w:pStyle w:val="Corpodetexto"/>
        <w:spacing w:before="5"/>
        <w:ind w:left="0"/>
        <w:jc w:val="left"/>
        <w:rPr>
          <w:b/>
          <w:sz w:val="20"/>
        </w:rPr>
      </w:pPr>
    </w:p>
    <w:p w:rsidR="005C592B" w:rsidRDefault="005D0206">
      <w:pPr>
        <w:pStyle w:val="Corpodetexto"/>
        <w:spacing w:before="1"/>
        <w:ind w:left="3365" w:right="4021"/>
        <w:jc w:val="center"/>
      </w:pPr>
      <w:r>
        <w:t>CRITÉRIOS DE TANNER</w:t>
      </w:r>
    </w:p>
    <w:p w:rsidR="005C592B" w:rsidRDefault="005C592B">
      <w:pPr>
        <w:jc w:val="center"/>
        <w:sectPr w:rsidR="005C592B">
          <w:pgSz w:w="11900" w:h="16850"/>
          <w:pgMar w:top="1360" w:right="580" w:bottom="280" w:left="1240" w:header="720" w:footer="720" w:gutter="0"/>
          <w:cols w:space="720"/>
        </w:sectPr>
      </w:pPr>
    </w:p>
    <w:p w:rsidR="005C592B" w:rsidRDefault="005D0206">
      <w:pPr>
        <w:pStyle w:val="Corpodetexto"/>
        <w:ind w:left="514"/>
        <w:jc w:val="left"/>
        <w:rPr>
          <w:sz w:val="20"/>
        </w:rPr>
      </w:pPr>
      <w:r>
        <w:rPr>
          <w:noProof/>
          <w:sz w:val="20"/>
          <w:lang w:bidi="ar-SA"/>
        </w:rPr>
        <w:lastRenderedPageBreak/>
        <w:drawing>
          <wp:inline distT="0" distB="0" distL="0" distR="0">
            <wp:extent cx="5325682" cy="51968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325682" cy="5196840"/>
                    </a:xfrm>
                    <a:prstGeom prst="rect">
                      <a:avLst/>
                    </a:prstGeom>
                  </pic:spPr>
                </pic:pic>
              </a:graphicData>
            </a:graphic>
          </wp:inline>
        </w:drawing>
      </w:r>
    </w:p>
    <w:p w:rsidR="005C592B" w:rsidRDefault="005C592B">
      <w:pPr>
        <w:pStyle w:val="Corpodetexto"/>
        <w:ind w:left="0"/>
        <w:jc w:val="left"/>
        <w:rPr>
          <w:sz w:val="13"/>
        </w:rPr>
      </w:pPr>
    </w:p>
    <w:p w:rsidR="005C592B" w:rsidRDefault="005D0206">
      <w:pPr>
        <w:pStyle w:val="Corpodetexto"/>
        <w:spacing w:before="90"/>
        <w:jc w:val="left"/>
      </w:pPr>
      <w:r>
        <w:t>Fonte: Tanner (14), Carel &amp; Léger J (15)</w:t>
      </w:r>
    </w:p>
    <w:sectPr w:rsidR="005C592B">
      <w:pgSz w:w="11900" w:h="16850"/>
      <w:pgMar w:top="1440" w:right="5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588"/>
    <w:multiLevelType w:val="multilevel"/>
    <w:tmpl w:val="7930911A"/>
    <w:lvl w:ilvl="0">
      <w:start w:val="8"/>
      <w:numFmt w:val="decimal"/>
      <w:lvlText w:val="%1"/>
      <w:lvlJc w:val="left"/>
      <w:pPr>
        <w:ind w:left="766" w:hanging="360"/>
        <w:jc w:val="left"/>
      </w:pPr>
      <w:rPr>
        <w:rFonts w:hint="default"/>
        <w:lang w:val="pt-BR" w:eastAsia="pt-BR" w:bidi="pt-BR"/>
      </w:rPr>
    </w:lvl>
    <w:lvl w:ilvl="1">
      <w:start w:val="1"/>
      <w:numFmt w:val="decimal"/>
      <w:lvlText w:val="%1.%2"/>
      <w:lvlJc w:val="left"/>
      <w:pPr>
        <w:ind w:left="766" w:hanging="360"/>
        <w:jc w:val="left"/>
      </w:pPr>
      <w:rPr>
        <w:rFonts w:ascii="Times New Roman" w:eastAsia="Times New Roman" w:hAnsi="Times New Roman" w:cs="Times New Roman" w:hint="default"/>
        <w:b/>
        <w:bCs/>
        <w:spacing w:val="-3"/>
        <w:w w:val="99"/>
        <w:sz w:val="24"/>
        <w:szCs w:val="24"/>
        <w:lang w:val="pt-BR" w:eastAsia="pt-BR" w:bidi="pt-BR"/>
      </w:rPr>
    </w:lvl>
    <w:lvl w:ilvl="2">
      <w:numFmt w:val="bullet"/>
      <w:lvlText w:val="•"/>
      <w:lvlJc w:val="left"/>
      <w:pPr>
        <w:ind w:left="2623" w:hanging="360"/>
      </w:pPr>
      <w:rPr>
        <w:rFonts w:hint="default"/>
        <w:lang w:val="pt-BR" w:eastAsia="pt-BR" w:bidi="pt-BR"/>
      </w:rPr>
    </w:lvl>
    <w:lvl w:ilvl="3">
      <w:numFmt w:val="bullet"/>
      <w:lvlText w:val="•"/>
      <w:lvlJc w:val="left"/>
      <w:pPr>
        <w:ind w:left="3555" w:hanging="360"/>
      </w:pPr>
      <w:rPr>
        <w:rFonts w:hint="default"/>
        <w:lang w:val="pt-BR" w:eastAsia="pt-BR" w:bidi="pt-BR"/>
      </w:rPr>
    </w:lvl>
    <w:lvl w:ilvl="4">
      <w:numFmt w:val="bullet"/>
      <w:lvlText w:val="•"/>
      <w:lvlJc w:val="left"/>
      <w:pPr>
        <w:ind w:left="4487" w:hanging="360"/>
      </w:pPr>
      <w:rPr>
        <w:rFonts w:hint="default"/>
        <w:lang w:val="pt-BR" w:eastAsia="pt-BR" w:bidi="pt-BR"/>
      </w:rPr>
    </w:lvl>
    <w:lvl w:ilvl="5">
      <w:numFmt w:val="bullet"/>
      <w:lvlText w:val="•"/>
      <w:lvlJc w:val="left"/>
      <w:pPr>
        <w:ind w:left="5419" w:hanging="360"/>
      </w:pPr>
      <w:rPr>
        <w:rFonts w:hint="default"/>
        <w:lang w:val="pt-BR" w:eastAsia="pt-BR" w:bidi="pt-BR"/>
      </w:rPr>
    </w:lvl>
    <w:lvl w:ilvl="6">
      <w:numFmt w:val="bullet"/>
      <w:lvlText w:val="•"/>
      <w:lvlJc w:val="left"/>
      <w:pPr>
        <w:ind w:left="6351" w:hanging="360"/>
      </w:pPr>
      <w:rPr>
        <w:rFonts w:hint="default"/>
        <w:lang w:val="pt-BR" w:eastAsia="pt-BR" w:bidi="pt-BR"/>
      </w:rPr>
    </w:lvl>
    <w:lvl w:ilvl="7">
      <w:numFmt w:val="bullet"/>
      <w:lvlText w:val="•"/>
      <w:lvlJc w:val="left"/>
      <w:pPr>
        <w:ind w:left="7283" w:hanging="360"/>
      </w:pPr>
      <w:rPr>
        <w:rFonts w:hint="default"/>
        <w:lang w:val="pt-BR" w:eastAsia="pt-BR" w:bidi="pt-BR"/>
      </w:rPr>
    </w:lvl>
    <w:lvl w:ilvl="8">
      <w:numFmt w:val="bullet"/>
      <w:lvlText w:val="•"/>
      <w:lvlJc w:val="left"/>
      <w:pPr>
        <w:ind w:left="8215" w:hanging="360"/>
      </w:pPr>
      <w:rPr>
        <w:rFonts w:hint="default"/>
        <w:lang w:val="pt-BR" w:eastAsia="pt-BR" w:bidi="pt-BR"/>
      </w:rPr>
    </w:lvl>
  </w:abstractNum>
  <w:abstractNum w:abstractNumId="1">
    <w:nsid w:val="03D93DA1"/>
    <w:multiLevelType w:val="hybridMultilevel"/>
    <w:tmpl w:val="215E9C50"/>
    <w:lvl w:ilvl="0" w:tplc="37180B3A">
      <w:numFmt w:val="bullet"/>
      <w:lvlText w:val="-"/>
      <w:lvlJc w:val="left"/>
      <w:pPr>
        <w:ind w:left="79" w:hanging="140"/>
      </w:pPr>
      <w:rPr>
        <w:rFonts w:ascii="Times New Roman" w:eastAsia="Times New Roman" w:hAnsi="Times New Roman" w:cs="Times New Roman" w:hint="default"/>
        <w:w w:val="99"/>
        <w:sz w:val="24"/>
        <w:szCs w:val="24"/>
        <w:lang w:val="pt-BR" w:eastAsia="pt-BR" w:bidi="pt-BR"/>
      </w:rPr>
    </w:lvl>
    <w:lvl w:ilvl="1" w:tplc="1B0CDC3E">
      <w:numFmt w:val="bullet"/>
      <w:lvlText w:val="•"/>
      <w:lvlJc w:val="left"/>
      <w:pPr>
        <w:ind w:left="358" w:hanging="140"/>
      </w:pPr>
      <w:rPr>
        <w:rFonts w:hint="default"/>
        <w:lang w:val="pt-BR" w:eastAsia="pt-BR" w:bidi="pt-BR"/>
      </w:rPr>
    </w:lvl>
    <w:lvl w:ilvl="2" w:tplc="C95EA9B2">
      <w:numFmt w:val="bullet"/>
      <w:lvlText w:val="•"/>
      <w:lvlJc w:val="left"/>
      <w:pPr>
        <w:ind w:left="637" w:hanging="140"/>
      </w:pPr>
      <w:rPr>
        <w:rFonts w:hint="default"/>
        <w:lang w:val="pt-BR" w:eastAsia="pt-BR" w:bidi="pt-BR"/>
      </w:rPr>
    </w:lvl>
    <w:lvl w:ilvl="3" w:tplc="B7A4994E">
      <w:numFmt w:val="bullet"/>
      <w:lvlText w:val="•"/>
      <w:lvlJc w:val="left"/>
      <w:pPr>
        <w:ind w:left="915" w:hanging="140"/>
      </w:pPr>
      <w:rPr>
        <w:rFonts w:hint="default"/>
        <w:lang w:val="pt-BR" w:eastAsia="pt-BR" w:bidi="pt-BR"/>
      </w:rPr>
    </w:lvl>
    <w:lvl w:ilvl="4" w:tplc="CE60E342">
      <w:numFmt w:val="bullet"/>
      <w:lvlText w:val="•"/>
      <w:lvlJc w:val="left"/>
      <w:pPr>
        <w:ind w:left="1194" w:hanging="140"/>
      </w:pPr>
      <w:rPr>
        <w:rFonts w:hint="default"/>
        <w:lang w:val="pt-BR" w:eastAsia="pt-BR" w:bidi="pt-BR"/>
      </w:rPr>
    </w:lvl>
    <w:lvl w:ilvl="5" w:tplc="ED92953C">
      <w:numFmt w:val="bullet"/>
      <w:lvlText w:val="•"/>
      <w:lvlJc w:val="left"/>
      <w:pPr>
        <w:ind w:left="1473" w:hanging="140"/>
      </w:pPr>
      <w:rPr>
        <w:rFonts w:hint="default"/>
        <w:lang w:val="pt-BR" w:eastAsia="pt-BR" w:bidi="pt-BR"/>
      </w:rPr>
    </w:lvl>
    <w:lvl w:ilvl="6" w:tplc="C0BC6060">
      <w:numFmt w:val="bullet"/>
      <w:lvlText w:val="•"/>
      <w:lvlJc w:val="left"/>
      <w:pPr>
        <w:ind w:left="1751" w:hanging="140"/>
      </w:pPr>
      <w:rPr>
        <w:rFonts w:hint="default"/>
        <w:lang w:val="pt-BR" w:eastAsia="pt-BR" w:bidi="pt-BR"/>
      </w:rPr>
    </w:lvl>
    <w:lvl w:ilvl="7" w:tplc="B6C068AA">
      <w:numFmt w:val="bullet"/>
      <w:lvlText w:val="•"/>
      <w:lvlJc w:val="left"/>
      <w:pPr>
        <w:ind w:left="2030" w:hanging="140"/>
      </w:pPr>
      <w:rPr>
        <w:rFonts w:hint="default"/>
        <w:lang w:val="pt-BR" w:eastAsia="pt-BR" w:bidi="pt-BR"/>
      </w:rPr>
    </w:lvl>
    <w:lvl w:ilvl="8" w:tplc="A954A750">
      <w:numFmt w:val="bullet"/>
      <w:lvlText w:val="•"/>
      <w:lvlJc w:val="left"/>
      <w:pPr>
        <w:ind w:left="2308" w:hanging="140"/>
      </w:pPr>
      <w:rPr>
        <w:rFonts w:hint="default"/>
        <w:lang w:val="pt-BR" w:eastAsia="pt-BR" w:bidi="pt-BR"/>
      </w:rPr>
    </w:lvl>
  </w:abstractNum>
  <w:abstractNum w:abstractNumId="2">
    <w:nsid w:val="11CB39B4"/>
    <w:multiLevelType w:val="hybridMultilevel"/>
    <w:tmpl w:val="CEBEE020"/>
    <w:lvl w:ilvl="0" w:tplc="E72C3340">
      <w:numFmt w:val="bullet"/>
      <w:lvlText w:val=""/>
      <w:lvlJc w:val="left"/>
      <w:pPr>
        <w:ind w:left="354" w:hanging="214"/>
      </w:pPr>
      <w:rPr>
        <w:rFonts w:ascii="Symbol" w:eastAsia="Symbol" w:hAnsi="Symbol" w:cs="Symbol" w:hint="default"/>
        <w:w w:val="100"/>
        <w:sz w:val="24"/>
        <w:szCs w:val="24"/>
        <w:lang w:val="pt-BR" w:eastAsia="pt-BR" w:bidi="pt-BR"/>
      </w:rPr>
    </w:lvl>
    <w:lvl w:ilvl="1" w:tplc="855EF34C">
      <w:numFmt w:val="bullet"/>
      <w:lvlText w:val="•"/>
      <w:lvlJc w:val="left"/>
      <w:pPr>
        <w:ind w:left="1331" w:hanging="214"/>
      </w:pPr>
      <w:rPr>
        <w:rFonts w:hint="default"/>
        <w:lang w:val="pt-BR" w:eastAsia="pt-BR" w:bidi="pt-BR"/>
      </w:rPr>
    </w:lvl>
    <w:lvl w:ilvl="2" w:tplc="431A9228">
      <w:numFmt w:val="bullet"/>
      <w:lvlText w:val="•"/>
      <w:lvlJc w:val="left"/>
      <w:pPr>
        <w:ind w:left="2303" w:hanging="214"/>
      </w:pPr>
      <w:rPr>
        <w:rFonts w:hint="default"/>
        <w:lang w:val="pt-BR" w:eastAsia="pt-BR" w:bidi="pt-BR"/>
      </w:rPr>
    </w:lvl>
    <w:lvl w:ilvl="3" w:tplc="88D02EB4">
      <w:numFmt w:val="bullet"/>
      <w:lvlText w:val="•"/>
      <w:lvlJc w:val="left"/>
      <w:pPr>
        <w:ind w:left="3275" w:hanging="214"/>
      </w:pPr>
      <w:rPr>
        <w:rFonts w:hint="default"/>
        <w:lang w:val="pt-BR" w:eastAsia="pt-BR" w:bidi="pt-BR"/>
      </w:rPr>
    </w:lvl>
    <w:lvl w:ilvl="4" w:tplc="035E6E3E">
      <w:numFmt w:val="bullet"/>
      <w:lvlText w:val="•"/>
      <w:lvlJc w:val="left"/>
      <w:pPr>
        <w:ind w:left="4247" w:hanging="214"/>
      </w:pPr>
      <w:rPr>
        <w:rFonts w:hint="default"/>
        <w:lang w:val="pt-BR" w:eastAsia="pt-BR" w:bidi="pt-BR"/>
      </w:rPr>
    </w:lvl>
    <w:lvl w:ilvl="5" w:tplc="D9286374">
      <w:numFmt w:val="bullet"/>
      <w:lvlText w:val="•"/>
      <w:lvlJc w:val="left"/>
      <w:pPr>
        <w:ind w:left="5219" w:hanging="214"/>
      </w:pPr>
      <w:rPr>
        <w:rFonts w:hint="default"/>
        <w:lang w:val="pt-BR" w:eastAsia="pt-BR" w:bidi="pt-BR"/>
      </w:rPr>
    </w:lvl>
    <w:lvl w:ilvl="6" w:tplc="F34AF18A">
      <w:numFmt w:val="bullet"/>
      <w:lvlText w:val="•"/>
      <w:lvlJc w:val="left"/>
      <w:pPr>
        <w:ind w:left="6191" w:hanging="214"/>
      </w:pPr>
      <w:rPr>
        <w:rFonts w:hint="default"/>
        <w:lang w:val="pt-BR" w:eastAsia="pt-BR" w:bidi="pt-BR"/>
      </w:rPr>
    </w:lvl>
    <w:lvl w:ilvl="7" w:tplc="03EE2902">
      <w:numFmt w:val="bullet"/>
      <w:lvlText w:val="•"/>
      <w:lvlJc w:val="left"/>
      <w:pPr>
        <w:ind w:left="7163" w:hanging="214"/>
      </w:pPr>
      <w:rPr>
        <w:rFonts w:hint="default"/>
        <w:lang w:val="pt-BR" w:eastAsia="pt-BR" w:bidi="pt-BR"/>
      </w:rPr>
    </w:lvl>
    <w:lvl w:ilvl="8" w:tplc="8D2A297C">
      <w:numFmt w:val="bullet"/>
      <w:lvlText w:val="•"/>
      <w:lvlJc w:val="left"/>
      <w:pPr>
        <w:ind w:left="8135" w:hanging="214"/>
      </w:pPr>
      <w:rPr>
        <w:rFonts w:hint="default"/>
        <w:lang w:val="pt-BR" w:eastAsia="pt-BR" w:bidi="pt-BR"/>
      </w:rPr>
    </w:lvl>
  </w:abstractNum>
  <w:abstractNum w:abstractNumId="3">
    <w:nsid w:val="14040A06"/>
    <w:multiLevelType w:val="hybridMultilevel"/>
    <w:tmpl w:val="5CA0BAEE"/>
    <w:lvl w:ilvl="0" w:tplc="ADE4992C">
      <w:numFmt w:val="bullet"/>
      <w:lvlText w:val="-"/>
      <w:lvlJc w:val="left"/>
      <w:pPr>
        <w:ind w:left="200" w:hanging="140"/>
      </w:pPr>
      <w:rPr>
        <w:rFonts w:ascii="Times New Roman" w:eastAsia="Times New Roman" w:hAnsi="Times New Roman" w:cs="Times New Roman" w:hint="default"/>
        <w:w w:val="99"/>
        <w:sz w:val="24"/>
        <w:szCs w:val="24"/>
        <w:lang w:val="pt-BR" w:eastAsia="pt-BR" w:bidi="pt-BR"/>
      </w:rPr>
    </w:lvl>
    <w:lvl w:ilvl="1" w:tplc="D7101856">
      <w:numFmt w:val="bullet"/>
      <w:lvlText w:val="•"/>
      <w:lvlJc w:val="left"/>
      <w:pPr>
        <w:ind w:left="1187" w:hanging="140"/>
      </w:pPr>
      <w:rPr>
        <w:rFonts w:hint="default"/>
        <w:lang w:val="pt-BR" w:eastAsia="pt-BR" w:bidi="pt-BR"/>
      </w:rPr>
    </w:lvl>
    <w:lvl w:ilvl="2" w:tplc="1FA8BE4E">
      <w:numFmt w:val="bullet"/>
      <w:lvlText w:val="•"/>
      <w:lvlJc w:val="left"/>
      <w:pPr>
        <w:ind w:left="2175" w:hanging="140"/>
      </w:pPr>
      <w:rPr>
        <w:rFonts w:hint="default"/>
        <w:lang w:val="pt-BR" w:eastAsia="pt-BR" w:bidi="pt-BR"/>
      </w:rPr>
    </w:lvl>
    <w:lvl w:ilvl="3" w:tplc="47E201D2">
      <w:numFmt w:val="bullet"/>
      <w:lvlText w:val="•"/>
      <w:lvlJc w:val="left"/>
      <w:pPr>
        <w:ind w:left="3163" w:hanging="140"/>
      </w:pPr>
      <w:rPr>
        <w:rFonts w:hint="default"/>
        <w:lang w:val="pt-BR" w:eastAsia="pt-BR" w:bidi="pt-BR"/>
      </w:rPr>
    </w:lvl>
    <w:lvl w:ilvl="4" w:tplc="23168B24">
      <w:numFmt w:val="bullet"/>
      <w:lvlText w:val="•"/>
      <w:lvlJc w:val="left"/>
      <w:pPr>
        <w:ind w:left="4151" w:hanging="140"/>
      </w:pPr>
      <w:rPr>
        <w:rFonts w:hint="default"/>
        <w:lang w:val="pt-BR" w:eastAsia="pt-BR" w:bidi="pt-BR"/>
      </w:rPr>
    </w:lvl>
    <w:lvl w:ilvl="5" w:tplc="5958DE48">
      <w:numFmt w:val="bullet"/>
      <w:lvlText w:val="•"/>
      <w:lvlJc w:val="left"/>
      <w:pPr>
        <w:ind w:left="5139" w:hanging="140"/>
      </w:pPr>
      <w:rPr>
        <w:rFonts w:hint="default"/>
        <w:lang w:val="pt-BR" w:eastAsia="pt-BR" w:bidi="pt-BR"/>
      </w:rPr>
    </w:lvl>
    <w:lvl w:ilvl="6" w:tplc="032E4BA2">
      <w:numFmt w:val="bullet"/>
      <w:lvlText w:val="•"/>
      <w:lvlJc w:val="left"/>
      <w:pPr>
        <w:ind w:left="6127" w:hanging="140"/>
      </w:pPr>
      <w:rPr>
        <w:rFonts w:hint="default"/>
        <w:lang w:val="pt-BR" w:eastAsia="pt-BR" w:bidi="pt-BR"/>
      </w:rPr>
    </w:lvl>
    <w:lvl w:ilvl="7" w:tplc="0C0A5686">
      <w:numFmt w:val="bullet"/>
      <w:lvlText w:val="•"/>
      <w:lvlJc w:val="left"/>
      <w:pPr>
        <w:ind w:left="7115" w:hanging="140"/>
      </w:pPr>
      <w:rPr>
        <w:rFonts w:hint="default"/>
        <w:lang w:val="pt-BR" w:eastAsia="pt-BR" w:bidi="pt-BR"/>
      </w:rPr>
    </w:lvl>
    <w:lvl w:ilvl="8" w:tplc="D9E47FBA">
      <w:numFmt w:val="bullet"/>
      <w:lvlText w:val="•"/>
      <w:lvlJc w:val="left"/>
      <w:pPr>
        <w:ind w:left="8103" w:hanging="140"/>
      </w:pPr>
      <w:rPr>
        <w:rFonts w:hint="default"/>
        <w:lang w:val="pt-BR" w:eastAsia="pt-BR" w:bidi="pt-BR"/>
      </w:rPr>
    </w:lvl>
  </w:abstractNum>
  <w:abstractNum w:abstractNumId="4">
    <w:nsid w:val="15866BBA"/>
    <w:multiLevelType w:val="hybridMultilevel"/>
    <w:tmpl w:val="FC18E0B6"/>
    <w:lvl w:ilvl="0" w:tplc="24B4736C">
      <w:start w:val="1"/>
      <w:numFmt w:val="decimal"/>
      <w:lvlText w:val="%1."/>
      <w:lvlJc w:val="left"/>
      <w:pPr>
        <w:ind w:left="200" w:hanging="276"/>
        <w:jc w:val="left"/>
      </w:pPr>
      <w:rPr>
        <w:rFonts w:ascii="Times New Roman" w:eastAsia="Times New Roman" w:hAnsi="Times New Roman" w:cs="Times New Roman" w:hint="default"/>
        <w:spacing w:val="-24"/>
        <w:w w:val="99"/>
        <w:sz w:val="24"/>
        <w:szCs w:val="24"/>
        <w:lang w:val="pt-BR" w:eastAsia="pt-BR" w:bidi="pt-BR"/>
      </w:rPr>
    </w:lvl>
    <w:lvl w:ilvl="1" w:tplc="79145CA2">
      <w:numFmt w:val="bullet"/>
      <w:lvlText w:val="•"/>
      <w:lvlJc w:val="left"/>
      <w:pPr>
        <w:ind w:left="1187" w:hanging="276"/>
      </w:pPr>
      <w:rPr>
        <w:rFonts w:hint="default"/>
        <w:lang w:val="pt-BR" w:eastAsia="pt-BR" w:bidi="pt-BR"/>
      </w:rPr>
    </w:lvl>
    <w:lvl w:ilvl="2" w:tplc="08086C9C">
      <w:numFmt w:val="bullet"/>
      <w:lvlText w:val="•"/>
      <w:lvlJc w:val="left"/>
      <w:pPr>
        <w:ind w:left="2175" w:hanging="276"/>
      </w:pPr>
      <w:rPr>
        <w:rFonts w:hint="default"/>
        <w:lang w:val="pt-BR" w:eastAsia="pt-BR" w:bidi="pt-BR"/>
      </w:rPr>
    </w:lvl>
    <w:lvl w:ilvl="3" w:tplc="27BCDAE2">
      <w:numFmt w:val="bullet"/>
      <w:lvlText w:val="•"/>
      <w:lvlJc w:val="left"/>
      <w:pPr>
        <w:ind w:left="3163" w:hanging="276"/>
      </w:pPr>
      <w:rPr>
        <w:rFonts w:hint="default"/>
        <w:lang w:val="pt-BR" w:eastAsia="pt-BR" w:bidi="pt-BR"/>
      </w:rPr>
    </w:lvl>
    <w:lvl w:ilvl="4" w:tplc="BCC6A2F0">
      <w:numFmt w:val="bullet"/>
      <w:lvlText w:val="•"/>
      <w:lvlJc w:val="left"/>
      <w:pPr>
        <w:ind w:left="4151" w:hanging="276"/>
      </w:pPr>
      <w:rPr>
        <w:rFonts w:hint="default"/>
        <w:lang w:val="pt-BR" w:eastAsia="pt-BR" w:bidi="pt-BR"/>
      </w:rPr>
    </w:lvl>
    <w:lvl w:ilvl="5" w:tplc="61A0CFF0">
      <w:numFmt w:val="bullet"/>
      <w:lvlText w:val="•"/>
      <w:lvlJc w:val="left"/>
      <w:pPr>
        <w:ind w:left="5139" w:hanging="276"/>
      </w:pPr>
      <w:rPr>
        <w:rFonts w:hint="default"/>
        <w:lang w:val="pt-BR" w:eastAsia="pt-BR" w:bidi="pt-BR"/>
      </w:rPr>
    </w:lvl>
    <w:lvl w:ilvl="6" w:tplc="A0382B82">
      <w:numFmt w:val="bullet"/>
      <w:lvlText w:val="•"/>
      <w:lvlJc w:val="left"/>
      <w:pPr>
        <w:ind w:left="6127" w:hanging="276"/>
      </w:pPr>
      <w:rPr>
        <w:rFonts w:hint="default"/>
        <w:lang w:val="pt-BR" w:eastAsia="pt-BR" w:bidi="pt-BR"/>
      </w:rPr>
    </w:lvl>
    <w:lvl w:ilvl="7" w:tplc="A69C36AE">
      <w:numFmt w:val="bullet"/>
      <w:lvlText w:val="•"/>
      <w:lvlJc w:val="left"/>
      <w:pPr>
        <w:ind w:left="7115" w:hanging="276"/>
      </w:pPr>
      <w:rPr>
        <w:rFonts w:hint="default"/>
        <w:lang w:val="pt-BR" w:eastAsia="pt-BR" w:bidi="pt-BR"/>
      </w:rPr>
    </w:lvl>
    <w:lvl w:ilvl="8" w:tplc="0DE8BFA2">
      <w:numFmt w:val="bullet"/>
      <w:lvlText w:val="•"/>
      <w:lvlJc w:val="left"/>
      <w:pPr>
        <w:ind w:left="8103" w:hanging="276"/>
      </w:pPr>
      <w:rPr>
        <w:rFonts w:hint="default"/>
        <w:lang w:val="pt-BR" w:eastAsia="pt-BR" w:bidi="pt-BR"/>
      </w:rPr>
    </w:lvl>
  </w:abstractNum>
  <w:abstractNum w:abstractNumId="5">
    <w:nsid w:val="17C92810"/>
    <w:multiLevelType w:val="hybridMultilevel"/>
    <w:tmpl w:val="3EE0950C"/>
    <w:lvl w:ilvl="0" w:tplc="5B2614FA">
      <w:start w:val="1"/>
      <w:numFmt w:val="decimal"/>
      <w:lvlText w:val="%1."/>
      <w:lvlJc w:val="left"/>
      <w:pPr>
        <w:ind w:left="200" w:hanging="720"/>
        <w:jc w:val="left"/>
      </w:pPr>
      <w:rPr>
        <w:rFonts w:ascii="Times New Roman" w:eastAsia="Times New Roman" w:hAnsi="Times New Roman" w:cs="Times New Roman" w:hint="default"/>
        <w:spacing w:val="-8"/>
        <w:w w:val="99"/>
        <w:sz w:val="24"/>
        <w:szCs w:val="24"/>
        <w:lang w:val="pt-BR" w:eastAsia="pt-BR" w:bidi="pt-BR"/>
      </w:rPr>
    </w:lvl>
    <w:lvl w:ilvl="1" w:tplc="40D6DB02">
      <w:numFmt w:val="bullet"/>
      <w:lvlText w:val="•"/>
      <w:lvlJc w:val="left"/>
      <w:pPr>
        <w:ind w:left="1187" w:hanging="720"/>
      </w:pPr>
      <w:rPr>
        <w:rFonts w:hint="default"/>
        <w:lang w:val="pt-BR" w:eastAsia="pt-BR" w:bidi="pt-BR"/>
      </w:rPr>
    </w:lvl>
    <w:lvl w:ilvl="2" w:tplc="747ACC80">
      <w:numFmt w:val="bullet"/>
      <w:lvlText w:val="•"/>
      <w:lvlJc w:val="left"/>
      <w:pPr>
        <w:ind w:left="2175" w:hanging="720"/>
      </w:pPr>
      <w:rPr>
        <w:rFonts w:hint="default"/>
        <w:lang w:val="pt-BR" w:eastAsia="pt-BR" w:bidi="pt-BR"/>
      </w:rPr>
    </w:lvl>
    <w:lvl w:ilvl="3" w:tplc="CF20B232">
      <w:numFmt w:val="bullet"/>
      <w:lvlText w:val="•"/>
      <w:lvlJc w:val="left"/>
      <w:pPr>
        <w:ind w:left="3163" w:hanging="720"/>
      </w:pPr>
      <w:rPr>
        <w:rFonts w:hint="default"/>
        <w:lang w:val="pt-BR" w:eastAsia="pt-BR" w:bidi="pt-BR"/>
      </w:rPr>
    </w:lvl>
    <w:lvl w:ilvl="4" w:tplc="CC741F98">
      <w:numFmt w:val="bullet"/>
      <w:lvlText w:val="•"/>
      <w:lvlJc w:val="left"/>
      <w:pPr>
        <w:ind w:left="4151" w:hanging="720"/>
      </w:pPr>
      <w:rPr>
        <w:rFonts w:hint="default"/>
        <w:lang w:val="pt-BR" w:eastAsia="pt-BR" w:bidi="pt-BR"/>
      </w:rPr>
    </w:lvl>
    <w:lvl w:ilvl="5" w:tplc="4AAC29A2">
      <w:numFmt w:val="bullet"/>
      <w:lvlText w:val="•"/>
      <w:lvlJc w:val="left"/>
      <w:pPr>
        <w:ind w:left="5139" w:hanging="720"/>
      </w:pPr>
      <w:rPr>
        <w:rFonts w:hint="default"/>
        <w:lang w:val="pt-BR" w:eastAsia="pt-BR" w:bidi="pt-BR"/>
      </w:rPr>
    </w:lvl>
    <w:lvl w:ilvl="6" w:tplc="B6C89CD0">
      <w:numFmt w:val="bullet"/>
      <w:lvlText w:val="•"/>
      <w:lvlJc w:val="left"/>
      <w:pPr>
        <w:ind w:left="6127" w:hanging="720"/>
      </w:pPr>
      <w:rPr>
        <w:rFonts w:hint="default"/>
        <w:lang w:val="pt-BR" w:eastAsia="pt-BR" w:bidi="pt-BR"/>
      </w:rPr>
    </w:lvl>
    <w:lvl w:ilvl="7" w:tplc="4D52BE74">
      <w:numFmt w:val="bullet"/>
      <w:lvlText w:val="•"/>
      <w:lvlJc w:val="left"/>
      <w:pPr>
        <w:ind w:left="7115" w:hanging="720"/>
      </w:pPr>
      <w:rPr>
        <w:rFonts w:hint="default"/>
        <w:lang w:val="pt-BR" w:eastAsia="pt-BR" w:bidi="pt-BR"/>
      </w:rPr>
    </w:lvl>
    <w:lvl w:ilvl="8" w:tplc="FF2284D0">
      <w:numFmt w:val="bullet"/>
      <w:lvlText w:val="•"/>
      <w:lvlJc w:val="left"/>
      <w:pPr>
        <w:ind w:left="8103" w:hanging="720"/>
      </w:pPr>
      <w:rPr>
        <w:rFonts w:hint="default"/>
        <w:lang w:val="pt-BR" w:eastAsia="pt-BR" w:bidi="pt-BR"/>
      </w:rPr>
    </w:lvl>
  </w:abstractNum>
  <w:abstractNum w:abstractNumId="6">
    <w:nsid w:val="21AA25A0"/>
    <w:multiLevelType w:val="multilevel"/>
    <w:tmpl w:val="02F241A4"/>
    <w:lvl w:ilvl="0">
      <w:start w:val="3"/>
      <w:numFmt w:val="decimal"/>
      <w:lvlText w:val="%1"/>
      <w:lvlJc w:val="left"/>
      <w:pPr>
        <w:ind w:left="766" w:hanging="360"/>
        <w:jc w:val="left"/>
      </w:pPr>
      <w:rPr>
        <w:rFonts w:hint="default"/>
        <w:lang w:val="pt-BR" w:eastAsia="pt-BR" w:bidi="pt-BR"/>
      </w:rPr>
    </w:lvl>
    <w:lvl w:ilvl="1">
      <w:start w:val="2"/>
      <w:numFmt w:val="decimal"/>
      <w:lvlText w:val="%1.%2"/>
      <w:lvlJc w:val="left"/>
      <w:pPr>
        <w:ind w:left="766" w:hanging="360"/>
        <w:jc w:val="left"/>
      </w:pPr>
      <w:rPr>
        <w:rFonts w:ascii="Times New Roman" w:eastAsia="Times New Roman" w:hAnsi="Times New Roman" w:cs="Times New Roman" w:hint="default"/>
        <w:b/>
        <w:bCs/>
        <w:spacing w:val="-2"/>
        <w:w w:val="99"/>
        <w:sz w:val="24"/>
        <w:szCs w:val="24"/>
        <w:lang w:val="pt-BR" w:eastAsia="pt-BR" w:bidi="pt-BR"/>
      </w:rPr>
    </w:lvl>
    <w:lvl w:ilvl="2">
      <w:numFmt w:val="bullet"/>
      <w:lvlText w:val="•"/>
      <w:lvlJc w:val="left"/>
      <w:pPr>
        <w:ind w:left="2623" w:hanging="360"/>
      </w:pPr>
      <w:rPr>
        <w:rFonts w:hint="default"/>
        <w:lang w:val="pt-BR" w:eastAsia="pt-BR" w:bidi="pt-BR"/>
      </w:rPr>
    </w:lvl>
    <w:lvl w:ilvl="3">
      <w:numFmt w:val="bullet"/>
      <w:lvlText w:val="•"/>
      <w:lvlJc w:val="left"/>
      <w:pPr>
        <w:ind w:left="3555" w:hanging="360"/>
      </w:pPr>
      <w:rPr>
        <w:rFonts w:hint="default"/>
        <w:lang w:val="pt-BR" w:eastAsia="pt-BR" w:bidi="pt-BR"/>
      </w:rPr>
    </w:lvl>
    <w:lvl w:ilvl="4">
      <w:numFmt w:val="bullet"/>
      <w:lvlText w:val="•"/>
      <w:lvlJc w:val="left"/>
      <w:pPr>
        <w:ind w:left="4487" w:hanging="360"/>
      </w:pPr>
      <w:rPr>
        <w:rFonts w:hint="default"/>
        <w:lang w:val="pt-BR" w:eastAsia="pt-BR" w:bidi="pt-BR"/>
      </w:rPr>
    </w:lvl>
    <w:lvl w:ilvl="5">
      <w:numFmt w:val="bullet"/>
      <w:lvlText w:val="•"/>
      <w:lvlJc w:val="left"/>
      <w:pPr>
        <w:ind w:left="5419" w:hanging="360"/>
      </w:pPr>
      <w:rPr>
        <w:rFonts w:hint="default"/>
        <w:lang w:val="pt-BR" w:eastAsia="pt-BR" w:bidi="pt-BR"/>
      </w:rPr>
    </w:lvl>
    <w:lvl w:ilvl="6">
      <w:numFmt w:val="bullet"/>
      <w:lvlText w:val="•"/>
      <w:lvlJc w:val="left"/>
      <w:pPr>
        <w:ind w:left="6351" w:hanging="360"/>
      </w:pPr>
      <w:rPr>
        <w:rFonts w:hint="default"/>
        <w:lang w:val="pt-BR" w:eastAsia="pt-BR" w:bidi="pt-BR"/>
      </w:rPr>
    </w:lvl>
    <w:lvl w:ilvl="7">
      <w:numFmt w:val="bullet"/>
      <w:lvlText w:val="•"/>
      <w:lvlJc w:val="left"/>
      <w:pPr>
        <w:ind w:left="7283" w:hanging="360"/>
      </w:pPr>
      <w:rPr>
        <w:rFonts w:hint="default"/>
        <w:lang w:val="pt-BR" w:eastAsia="pt-BR" w:bidi="pt-BR"/>
      </w:rPr>
    </w:lvl>
    <w:lvl w:ilvl="8">
      <w:numFmt w:val="bullet"/>
      <w:lvlText w:val="•"/>
      <w:lvlJc w:val="left"/>
      <w:pPr>
        <w:ind w:left="8215" w:hanging="360"/>
      </w:pPr>
      <w:rPr>
        <w:rFonts w:hint="default"/>
        <w:lang w:val="pt-BR" w:eastAsia="pt-BR" w:bidi="pt-BR"/>
      </w:rPr>
    </w:lvl>
  </w:abstractNum>
  <w:abstractNum w:abstractNumId="7">
    <w:nsid w:val="334D46DB"/>
    <w:multiLevelType w:val="hybridMultilevel"/>
    <w:tmpl w:val="E8E09C8C"/>
    <w:lvl w:ilvl="0" w:tplc="2C3C58BE">
      <w:start w:val="4"/>
      <w:numFmt w:val="decimal"/>
      <w:lvlText w:val="%1."/>
      <w:lvlJc w:val="left"/>
      <w:pPr>
        <w:ind w:left="200" w:hanging="226"/>
        <w:jc w:val="left"/>
      </w:pPr>
      <w:rPr>
        <w:rFonts w:ascii="Times New Roman" w:eastAsia="Times New Roman" w:hAnsi="Times New Roman" w:cs="Times New Roman" w:hint="default"/>
        <w:w w:val="100"/>
        <w:sz w:val="24"/>
        <w:szCs w:val="24"/>
        <w:lang w:val="pt-BR" w:eastAsia="pt-BR" w:bidi="pt-BR"/>
      </w:rPr>
    </w:lvl>
    <w:lvl w:ilvl="1" w:tplc="CEFAE98C">
      <w:numFmt w:val="bullet"/>
      <w:lvlText w:val="•"/>
      <w:lvlJc w:val="left"/>
      <w:pPr>
        <w:ind w:left="1187" w:hanging="226"/>
      </w:pPr>
      <w:rPr>
        <w:rFonts w:hint="default"/>
        <w:lang w:val="pt-BR" w:eastAsia="pt-BR" w:bidi="pt-BR"/>
      </w:rPr>
    </w:lvl>
    <w:lvl w:ilvl="2" w:tplc="36049F9C">
      <w:numFmt w:val="bullet"/>
      <w:lvlText w:val="•"/>
      <w:lvlJc w:val="left"/>
      <w:pPr>
        <w:ind w:left="2175" w:hanging="226"/>
      </w:pPr>
      <w:rPr>
        <w:rFonts w:hint="default"/>
        <w:lang w:val="pt-BR" w:eastAsia="pt-BR" w:bidi="pt-BR"/>
      </w:rPr>
    </w:lvl>
    <w:lvl w:ilvl="3" w:tplc="C33A2106">
      <w:numFmt w:val="bullet"/>
      <w:lvlText w:val="•"/>
      <w:lvlJc w:val="left"/>
      <w:pPr>
        <w:ind w:left="3163" w:hanging="226"/>
      </w:pPr>
      <w:rPr>
        <w:rFonts w:hint="default"/>
        <w:lang w:val="pt-BR" w:eastAsia="pt-BR" w:bidi="pt-BR"/>
      </w:rPr>
    </w:lvl>
    <w:lvl w:ilvl="4" w:tplc="683E9A8A">
      <w:numFmt w:val="bullet"/>
      <w:lvlText w:val="•"/>
      <w:lvlJc w:val="left"/>
      <w:pPr>
        <w:ind w:left="4151" w:hanging="226"/>
      </w:pPr>
      <w:rPr>
        <w:rFonts w:hint="default"/>
        <w:lang w:val="pt-BR" w:eastAsia="pt-BR" w:bidi="pt-BR"/>
      </w:rPr>
    </w:lvl>
    <w:lvl w:ilvl="5" w:tplc="23C0F0D8">
      <w:numFmt w:val="bullet"/>
      <w:lvlText w:val="•"/>
      <w:lvlJc w:val="left"/>
      <w:pPr>
        <w:ind w:left="5139" w:hanging="226"/>
      </w:pPr>
      <w:rPr>
        <w:rFonts w:hint="default"/>
        <w:lang w:val="pt-BR" w:eastAsia="pt-BR" w:bidi="pt-BR"/>
      </w:rPr>
    </w:lvl>
    <w:lvl w:ilvl="6" w:tplc="39003594">
      <w:numFmt w:val="bullet"/>
      <w:lvlText w:val="•"/>
      <w:lvlJc w:val="left"/>
      <w:pPr>
        <w:ind w:left="6127" w:hanging="226"/>
      </w:pPr>
      <w:rPr>
        <w:rFonts w:hint="default"/>
        <w:lang w:val="pt-BR" w:eastAsia="pt-BR" w:bidi="pt-BR"/>
      </w:rPr>
    </w:lvl>
    <w:lvl w:ilvl="7" w:tplc="E28E22AE">
      <w:numFmt w:val="bullet"/>
      <w:lvlText w:val="•"/>
      <w:lvlJc w:val="left"/>
      <w:pPr>
        <w:ind w:left="7115" w:hanging="226"/>
      </w:pPr>
      <w:rPr>
        <w:rFonts w:hint="default"/>
        <w:lang w:val="pt-BR" w:eastAsia="pt-BR" w:bidi="pt-BR"/>
      </w:rPr>
    </w:lvl>
    <w:lvl w:ilvl="8" w:tplc="AEFA4FB4">
      <w:numFmt w:val="bullet"/>
      <w:lvlText w:val="•"/>
      <w:lvlJc w:val="left"/>
      <w:pPr>
        <w:ind w:left="8103" w:hanging="226"/>
      </w:pPr>
      <w:rPr>
        <w:rFonts w:hint="default"/>
        <w:lang w:val="pt-BR" w:eastAsia="pt-BR" w:bidi="pt-BR"/>
      </w:rPr>
    </w:lvl>
  </w:abstractNum>
  <w:abstractNum w:abstractNumId="8">
    <w:nsid w:val="339D4120"/>
    <w:multiLevelType w:val="hybridMultilevel"/>
    <w:tmpl w:val="46A8FA72"/>
    <w:lvl w:ilvl="0" w:tplc="7910F9A4">
      <w:numFmt w:val="bullet"/>
      <w:lvlText w:val="-"/>
      <w:lvlJc w:val="left"/>
      <w:pPr>
        <w:ind w:left="906" w:hanging="140"/>
      </w:pPr>
      <w:rPr>
        <w:rFonts w:ascii="Times New Roman" w:eastAsia="Times New Roman" w:hAnsi="Times New Roman" w:cs="Times New Roman" w:hint="default"/>
        <w:w w:val="99"/>
        <w:sz w:val="24"/>
        <w:szCs w:val="24"/>
        <w:lang w:val="pt-BR" w:eastAsia="pt-BR" w:bidi="pt-BR"/>
      </w:rPr>
    </w:lvl>
    <w:lvl w:ilvl="1" w:tplc="8EC6DF1E">
      <w:numFmt w:val="bullet"/>
      <w:lvlText w:val="•"/>
      <w:lvlJc w:val="left"/>
      <w:pPr>
        <w:ind w:left="1817" w:hanging="140"/>
      </w:pPr>
      <w:rPr>
        <w:rFonts w:hint="default"/>
        <w:lang w:val="pt-BR" w:eastAsia="pt-BR" w:bidi="pt-BR"/>
      </w:rPr>
    </w:lvl>
    <w:lvl w:ilvl="2" w:tplc="2C423B9E">
      <w:numFmt w:val="bullet"/>
      <w:lvlText w:val="•"/>
      <w:lvlJc w:val="left"/>
      <w:pPr>
        <w:ind w:left="2735" w:hanging="140"/>
      </w:pPr>
      <w:rPr>
        <w:rFonts w:hint="default"/>
        <w:lang w:val="pt-BR" w:eastAsia="pt-BR" w:bidi="pt-BR"/>
      </w:rPr>
    </w:lvl>
    <w:lvl w:ilvl="3" w:tplc="944A6EFC">
      <w:numFmt w:val="bullet"/>
      <w:lvlText w:val="•"/>
      <w:lvlJc w:val="left"/>
      <w:pPr>
        <w:ind w:left="3653" w:hanging="140"/>
      </w:pPr>
      <w:rPr>
        <w:rFonts w:hint="default"/>
        <w:lang w:val="pt-BR" w:eastAsia="pt-BR" w:bidi="pt-BR"/>
      </w:rPr>
    </w:lvl>
    <w:lvl w:ilvl="4" w:tplc="3DA43A3C">
      <w:numFmt w:val="bullet"/>
      <w:lvlText w:val="•"/>
      <w:lvlJc w:val="left"/>
      <w:pPr>
        <w:ind w:left="4571" w:hanging="140"/>
      </w:pPr>
      <w:rPr>
        <w:rFonts w:hint="default"/>
        <w:lang w:val="pt-BR" w:eastAsia="pt-BR" w:bidi="pt-BR"/>
      </w:rPr>
    </w:lvl>
    <w:lvl w:ilvl="5" w:tplc="5A60855C">
      <w:numFmt w:val="bullet"/>
      <w:lvlText w:val="•"/>
      <w:lvlJc w:val="left"/>
      <w:pPr>
        <w:ind w:left="5489" w:hanging="140"/>
      </w:pPr>
      <w:rPr>
        <w:rFonts w:hint="default"/>
        <w:lang w:val="pt-BR" w:eastAsia="pt-BR" w:bidi="pt-BR"/>
      </w:rPr>
    </w:lvl>
    <w:lvl w:ilvl="6" w:tplc="A4329E00">
      <w:numFmt w:val="bullet"/>
      <w:lvlText w:val="•"/>
      <w:lvlJc w:val="left"/>
      <w:pPr>
        <w:ind w:left="6407" w:hanging="140"/>
      </w:pPr>
      <w:rPr>
        <w:rFonts w:hint="default"/>
        <w:lang w:val="pt-BR" w:eastAsia="pt-BR" w:bidi="pt-BR"/>
      </w:rPr>
    </w:lvl>
    <w:lvl w:ilvl="7" w:tplc="CDEA06AA">
      <w:numFmt w:val="bullet"/>
      <w:lvlText w:val="•"/>
      <w:lvlJc w:val="left"/>
      <w:pPr>
        <w:ind w:left="7325" w:hanging="140"/>
      </w:pPr>
      <w:rPr>
        <w:rFonts w:hint="default"/>
        <w:lang w:val="pt-BR" w:eastAsia="pt-BR" w:bidi="pt-BR"/>
      </w:rPr>
    </w:lvl>
    <w:lvl w:ilvl="8" w:tplc="ED8C9A38">
      <w:numFmt w:val="bullet"/>
      <w:lvlText w:val="•"/>
      <w:lvlJc w:val="left"/>
      <w:pPr>
        <w:ind w:left="8243" w:hanging="140"/>
      </w:pPr>
      <w:rPr>
        <w:rFonts w:hint="default"/>
        <w:lang w:val="pt-BR" w:eastAsia="pt-BR" w:bidi="pt-BR"/>
      </w:rPr>
    </w:lvl>
  </w:abstractNum>
  <w:abstractNum w:abstractNumId="9">
    <w:nsid w:val="4C8C5361"/>
    <w:multiLevelType w:val="hybridMultilevel"/>
    <w:tmpl w:val="E6781510"/>
    <w:lvl w:ilvl="0" w:tplc="5CB2B42E">
      <w:numFmt w:val="bullet"/>
      <w:lvlText w:val=""/>
      <w:lvlJc w:val="left"/>
      <w:pPr>
        <w:ind w:left="980" w:hanging="214"/>
      </w:pPr>
      <w:rPr>
        <w:rFonts w:ascii="Symbol" w:eastAsia="Symbol" w:hAnsi="Symbol" w:cs="Symbol" w:hint="default"/>
        <w:w w:val="100"/>
        <w:sz w:val="24"/>
        <w:szCs w:val="24"/>
        <w:lang w:val="pt-BR" w:eastAsia="pt-BR" w:bidi="pt-BR"/>
      </w:rPr>
    </w:lvl>
    <w:lvl w:ilvl="1" w:tplc="F08A6394">
      <w:numFmt w:val="bullet"/>
      <w:lvlText w:val="•"/>
      <w:lvlJc w:val="left"/>
      <w:pPr>
        <w:ind w:left="1889" w:hanging="214"/>
      </w:pPr>
      <w:rPr>
        <w:rFonts w:hint="default"/>
        <w:lang w:val="pt-BR" w:eastAsia="pt-BR" w:bidi="pt-BR"/>
      </w:rPr>
    </w:lvl>
    <w:lvl w:ilvl="2" w:tplc="957C35DA">
      <w:numFmt w:val="bullet"/>
      <w:lvlText w:val="•"/>
      <w:lvlJc w:val="left"/>
      <w:pPr>
        <w:ind w:left="2799" w:hanging="214"/>
      </w:pPr>
      <w:rPr>
        <w:rFonts w:hint="default"/>
        <w:lang w:val="pt-BR" w:eastAsia="pt-BR" w:bidi="pt-BR"/>
      </w:rPr>
    </w:lvl>
    <w:lvl w:ilvl="3" w:tplc="6096CDB6">
      <w:numFmt w:val="bullet"/>
      <w:lvlText w:val="•"/>
      <w:lvlJc w:val="left"/>
      <w:pPr>
        <w:ind w:left="3709" w:hanging="214"/>
      </w:pPr>
      <w:rPr>
        <w:rFonts w:hint="default"/>
        <w:lang w:val="pt-BR" w:eastAsia="pt-BR" w:bidi="pt-BR"/>
      </w:rPr>
    </w:lvl>
    <w:lvl w:ilvl="4" w:tplc="720EF048">
      <w:numFmt w:val="bullet"/>
      <w:lvlText w:val="•"/>
      <w:lvlJc w:val="left"/>
      <w:pPr>
        <w:ind w:left="4619" w:hanging="214"/>
      </w:pPr>
      <w:rPr>
        <w:rFonts w:hint="default"/>
        <w:lang w:val="pt-BR" w:eastAsia="pt-BR" w:bidi="pt-BR"/>
      </w:rPr>
    </w:lvl>
    <w:lvl w:ilvl="5" w:tplc="8BE08FF4">
      <w:numFmt w:val="bullet"/>
      <w:lvlText w:val="•"/>
      <w:lvlJc w:val="left"/>
      <w:pPr>
        <w:ind w:left="5529" w:hanging="214"/>
      </w:pPr>
      <w:rPr>
        <w:rFonts w:hint="default"/>
        <w:lang w:val="pt-BR" w:eastAsia="pt-BR" w:bidi="pt-BR"/>
      </w:rPr>
    </w:lvl>
    <w:lvl w:ilvl="6" w:tplc="29FC2002">
      <w:numFmt w:val="bullet"/>
      <w:lvlText w:val="•"/>
      <w:lvlJc w:val="left"/>
      <w:pPr>
        <w:ind w:left="6439" w:hanging="214"/>
      </w:pPr>
      <w:rPr>
        <w:rFonts w:hint="default"/>
        <w:lang w:val="pt-BR" w:eastAsia="pt-BR" w:bidi="pt-BR"/>
      </w:rPr>
    </w:lvl>
    <w:lvl w:ilvl="7" w:tplc="2DCAE302">
      <w:numFmt w:val="bullet"/>
      <w:lvlText w:val="•"/>
      <w:lvlJc w:val="left"/>
      <w:pPr>
        <w:ind w:left="7349" w:hanging="214"/>
      </w:pPr>
      <w:rPr>
        <w:rFonts w:hint="default"/>
        <w:lang w:val="pt-BR" w:eastAsia="pt-BR" w:bidi="pt-BR"/>
      </w:rPr>
    </w:lvl>
    <w:lvl w:ilvl="8" w:tplc="86F4C646">
      <w:numFmt w:val="bullet"/>
      <w:lvlText w:val="•"/>
      <w:lvlJc w:val="left"/>
      <w:pPr>
        <w:ind w:left="8259" w:hanging="214"/>
      </w:pPr>
      <w:rPr>
        <w:rFonts w:hint="default"/>
        <w:lang w:val="pt-BR" w:eastAsia="pt-BR" w:bidi="pt-BR"/>
      </w:rPr>
    </w:lvl>
  </w:abstractNum>
  <w:abstractNum w:abstractNumId="10">
    <w:nsid w:val="522A677E"/>
    <w:multiLevelType w:val="hybridMultilevel"/>
    <w:tmpl w:val="56D24764"/>
    <w:lvl w:ilvl="0" w:tplc="387C4124">
      <w:numFmt w:val="bullet"/>
      <w:lvlText w:val=""/>
      <w:lvlJc w:val="left"/>
      <w:pPr>
        <w:ind w:left="354" w:hanging="214"/>
      </w:pPr>
      <w:rPr>
        <w:rFonts w:ascii="Symbol" w:eastAsia="Symbol" w:hAnsi="Symbol" w:cs="Symbol" w:hint="default"/>
        <w:w w:val="100"/>
        <w:sz w:val="24"/>
        <w:szCs w:val="24"/>
        <w:lang w:val="pt-BR" w:eastAsia="pt-BR" w:bidi="pt-BR"/>
      </w:rPr>
    </w:lvl>
    <w:lvl w:ilvl="1" w:tplc="4C7A3238">
      <w:numFmt w:val="bullet"/>
      <w:lvlText w:val="•"/>
      <w:lvlJc w:val="left"/>
      <w:pPr>
        <w:ind w:left="1331" w:hanging="214"/>
      </w:pPr>
      <w:rPr>
        <w:rFonts w:hint="default"/>
        <w:lang w:val="pt-BR" w:eastAsia="pt-BR" w:bidi="pt-BR"/>
      </w:rPr>
    </w:lvl>
    <w:lvl w:ilvl="2" w:tplc="031824DC">
      <w:numFmt w:val="bullet"/>
      <w:lvlText w:val="•"/>
      <w:lvlJc w:val="left"/>
      <w:pPr>
        <w:ind w:left="2303" w:hanging="214"/>
      </w:pPr>
      <w:rPr>
        <w:rFonts w:hint="default"/>
        <w:lang w:val="pt-BR" w:eastAsia="pt-BR" w:bidi="pt-BR"/>
      </w:rPr>
    </w:lvl>
    <w:lvl w:ilvl="3" w:tplc="93968880">
      <w:numFmt w:val="bullet"/>
      <w:lvlText w:val="•"/>
      <w:lvlJc w:val="left"/>
      <w:pPr>
        <w:ind w:left="3275" w:hanging="214"/>
      </w:pPr>
      <w:rPr>
        <w:rFonts w:hint="default"/>
        <w:lang w:val="pt-BR" w:eastAsia="pt-BR" w:bidi="pt-BR"/>
      </w:rPr>
    </w:lvl>
    <w:lvl w:ilvl="4" w:tplc="21202076">
      <w:numFmt w:val="bullet"/>
      <w:lvlText w:val="•"/>
      <w:lvlJc w:val="left"/>
      <w:pPr>
        <w:ind w:left="4247" w:hanging="214"/>
      </w:pPr>
      <w:rPr>
        <w:rFonts w:hint="default"/>
        <w:lang w:val="pt-BR" w:eastAsia="pt-BR" w:bidi="pt-BR"/>
      </w:rPr>
    </w:lvl>
    <w:lvl w:ilvl="5" w:tplc="CCBE1034">
      <w:numFmt w:val="bullet"/>
      <w:lvlText w:val="•"/>
      <w:lvlJc w:val="left"/>
      <w:pPr>
        <w:ind w:left="5219" w:hanging="214"/>
      </w:pPr>
      <w:rPr>
        <w:rFonts w:hint="default"/>
        <w:lang w:val="pt-BR" w:eastAsia="pt-BR" w:bidi="pt-BR"/>
      </w:rPr>
    </w:lvl>
    <w:lvl w:ilvl="6" w:tplc="07D60310">
      <w:numFmt w:val="bullet"/>
      <w:lvlText w:val="•"/>
      <w:lvlJc w:val="left"/>
      <w:pPr>
        <w:ind w:left="6191" w:hanging="214"/>
      </w:pPr>
      <w:rPr>
        <w:rFonts w:hint="default"/>
        <w:lang w:val="pt-BR" w:eastAsia="pt-BR" w:bidi="pt-BR"/>
      </w:rPr>
    </w:lvl>
    <w:lvl w:ilvl="7" w:tplc="BFA4B1A8">
      <w:numFmt w:val="bullet"/>
      <w:lvlText w:val="•"/>
      <w:lvlJc w:val="left"/>
      <w:pPr>
        <w:ind w:left="7163" w:hanging="214"/>
      </w:pPr>
      <w:rPr>
        <w:rFonts w:hint="default"/>
        <w:lang w:val="pt-BR" w:eastAsia="pt-BR" w:bidi="pt-BR"/>
      </w:rPr>
    </w:lvl>
    <w:lvl w:ilvl="8" w:tplc="F15841A8">
      <w:numFmt w:val="bullet"/>
      <w:lvlText w:val="•"/>
      <w:lvlJc w:val="left"/>
      <w:pPr>
        <w:ind w:left="8135" w:hanging="214"/>
      </w:pPr>
      <w:rPr>
        <w:rFonts w:hint="default"/>
        <w:lang w:val="pt-BR" w:eastAsia="pt-BR" w:bidi="pt-BR"/>
      </w:rPr>
    </w:lvl>
  </w:abstractNum>
  <w:abstractNum w:abstractNumId="11">
    <w:nsid w:val="5D997E30"/>
    <w:multiLevelType w:val="hybridMultilevel"/>
    <w:tmpl w:val="B19E901E"/>
    <w:lvl w:ilvl="0" w:tplc="629201CA">
      <w:start w:val="1"/>
      <w:numFmt w:val="decimal"/>
      <w:lvlText w:val="%1."/>
      <w:lvlJc w:val="left"/>
      <w:pPr>
        <w:ind w:left="200" w:hanging="240"/>
        <w:jc w:val="left"/>
      </w:pPr>
      <w:rPr>
        <w:rFonts w:ascii="Times New Roman" w:eastAsia="Times New Roman" w:hAnsi="Times New Roman" w:cs="Times New Roman" w:hint="default"/>
        <w:b/>
        <w:bCs/>
        <w:spacing w:val="-1"/>
        <w:w w:val="99"/>
        <w:sz w:val="24"/>
        <w:szCs w:val="24"/>
        <w:lang w:val="pt-BR" w:eastAsia="pt-BR" w:bidi="pt-BR"/>
      </w:rPr>
    </w:lvl>
    <w:lvl w:ilvl="1" w:tplc="E61C7186">
      <w:numFmt w:val="bullet"/>
      <w:lvlText w:val="-"/>
      <w:lvlJc w:val="left"/>
      <w:pPr>
        <w:ind w:left="200" w:hanging="140"/>
      </w:pPr>
      <w:rPr>
        <w:rFonts w:ascii="Times New Roman" w:eastAsia="Times New Roman" w:hAnsi="Times New Roman" w:cs="Times New Roman" w:hint="default"/>
        <w:w w:val="99"/>
        <w:sz w:val="24"/>
        <w:szCs w:val="24"/>
        <w:lang w:val="pt-BR" w:eastAsia="pt-BR" w:bidi="pt-BR"/>
      </w:rPr>
    </w:lvl>
    <w:lvl w:ilvl="2" w:tplc="AA96BECC">
      <w:numFmt w:val="bullet"/>
      <w:lvlText w:val="•"/>
      <w:lvlJc w:val="left"/>
      <w:pPr>
        <w:ind w:left="1795" w:hanging="140"/>
      </w:pPr>
      <w:rPr>
        <w:rFonts w:hint="default"/>
        <w:lang w:val="pt-BR" w:eastAsia="pt-BR" w:bidi="pt-BR"/>
      </w:rPr>
    </w:lvl>
    <w:lvl w:ilvl="3" w:tplc="0D721466">
      <w:numFmt w:val="bullet"/>
      <w:lvlText w:val="•"/>
      <w:lvlJc w:val="left"/>
      <w:pPr>
        <w:ind w:left="2830" w:hanging="140"/>
      </w:pPr>
      <w:rPr>
        <w:rFonts w:hint="default"/>
        <w:lang w:val="pt-BR" w:eastAsia="pt-BR" w:bidi="pt-BR"/>
      </w:rPr>
    </w:lvl>
    <w:lvl w:ilvl="4" w:tplc="ED4C3FF8">
      <w:numFmt w:val="bullet"/>
      <w:lvlText w:val="•"/>
      <w:lvlJc w:val="left"/>
      <w:pPr>
        <w:ind w:left="3866" w:hanging="140"/>
      </w:pPr>
      <w:rPr>
        <w:rFonts w:hint="default"/>
        <w:lang w:val="pt-BR" w:eastAsia="pt-BR" w:bidi="pt-BR"/>
      </w:rPr>
    </w:lvl>
    <w:lvl w:ilvl="5" w:tplc="76528D2E">
      <w:numFmt w:val="bullet"/>
      <w:lvlText w:val="•"/>
      <w:lvlJc w:val="left"/>
      <w:pPr>
        <w:ind w:left="4901" w:hanging="140"/>
      </w:pPr>
      <w:rPr>
        <w:rFonts w:hint="default"/>
        <w:lang w:val="pt-BR" w:eastAsia="pt-BR" w:bidi="pt-BR"/>
      </w:rPr>
    </w:lvl>
    <w:lvl w:ilvl="6" w:tplc="84948CE2">
      <w:numFmt w:val="bullet"/>
      <w:lvlText w:val="•"/>
      <w:lvlJc w:val="left"/>
      <w:pPr>
        <w:ind w:left="5937" w:hanging="140"/>
      </w:pPr>
      <w:rPr>
        <w:rFonts w:hint="default"/>
        <w:lang w:val="pt-BR" w:eastAsia="pt-BR" w:bidi="pt-BR"/>
      </w:rPr>
    </w:lvl>
    <w:lvl w:ilvl="7" w:tplc="63D8C792">
      <w:numFmt w:val="bullet"/>
      <w:lvlText w:val="•"/>
      <w:lvlJc w:val="left"/>
      <w:pPr>
        <w:ind w:left="6972" w:hanging="140"/>
      </w:pPr>
      <w:rPr>
        <w:rFonts w:hint="default"/>
        <w:lang w:val="pt-BR" w:eastAsia="pt-BR" w:bidi="pt-BR"/>
      </w:rPr>
    </w:lvl>
    <w:lvl w:ilvl="8" w:tplc="DB6090CE">
      <w:numFmt w:val="bullet"/>
      <w:lvlText w:val="•"/>
      <w:lvlJc w:val="left"/>
      <w:pPr>
        <w:ind w:left="8008" w:hanging="140"/>
      </w:pPr>
      <w:rPr>
        <w:rFonts w:hint="default"/>
        <w:lang w:val="pt-BR" w:eastAsia="pt-BR" w:bidi="pt-BR"/>
      </w:rPr>
    </w:lvl>
  </w:abstractNum>
  <w:abstractNum w:abstractNumId="12">
    <w:nsid w:val="681F2FBB"/>
    <w:multiLevelType w:val="hybridMultilevel"/>
    <w:tmpl w:val="AD2AA05C"/>
    <w:lvl w:ilvl="0" w:tplc="646274D4">
      <w:start w:val="14"/>
      <w:numFmt w:val="decimal"/>
      <w:lvlText w:val="%1."/>
      <w:lvlJc w:val="left"/>
      <w:pPr>
        <w:ind w:left="200" w:hanging="720"/>
        <w:jc w:val="left"/>
      </w:pPr>
      <w:rPr>
        <w:rFonts w:ascii="Times New Roman" w:eastAsia="Times New Roman" w:hAnsi="Times New Roman" w:cs="Times New Roman" w:hint="default"/>
        <w:spacing w:val="-5"/>
        <w:w w:val="99"/>
        <w:sz w:val="24"/>
        <w:szCs w:val="24"/>
        <w:lang w:val="pt-BR" w:eastAsia="pt-BR" w:bidi="pt-BR"/>
      </w:rPr>
    </w:lvl>
    <w:lvl w:ilvl="1" w:tplc="74461046">
      <w:numFmt w:val="bullet"/>
      <w:lvlText w:val="•"/>
      <w:lvlJc w:val="left"/>
      <w:pPr>
        <w:ind w:left="1187" w:hanging="720"/>
      </w:pPr>
      <w:rPr>
        <w:rFonts w:hint="default"/>
        <w:lang w:val="pt-BR" w:eastAsia="pt-BR" w:bidi="pt-BR"/>
      </w:rPr>
    </w:lvl>
    <w:lvl w:ilvl="2" w:tplc="A8ECE7FC">
      <w:numFmt w:val="bullet"/>
      <w:lvlText w:val="•"/>
      <w:lvlJc w:val="left"/>
      <w:pPr>
        <w:ind w:left="2175" w:hanging="720"/>
      </w:pPr>
      <w:rPr>
        <w:rFonts w:hint="default"/>
        <w:lang w:val="pt-BR" w:eastAsia="pt-BR" w:bidi="pt-BR"/>
      </w:rPr>
    </w:lvl>
    <w:lvl w:ilvl="3" w:tplc="5A804196">
      <w:numFmt w:val="bullet"/>
      <w:lvlText w:val="•"/>
      <w:lvlJc w:val="left"/>
      <w:pPr>
        <w:ind w:left="3163" w:hanging="720"/>
      </w:pPr>
      <w:rPr>
        <w:rFonts w:hint="default"/>
        <w:lang w:val="pt-BR" w:eastAsia="pt-BR" w:bidi="pt-BR"/>
      </w:rPr>
    </w:lvl>
    <w:lvl w:ilvl="4" w:tplc="9AD435EE">
      <w:numFmt w:val="bullet"/>
      <w:lvlText w:val="•"/>
      <w:lvlJc w:val="left"/>
      <w:pPr>
        <w:ind w:left="4151" w:hanging="720"/>
      </w:pPr>
      <w:rPr>
        <w:rFonts w:hint="default"/>
        <w:lang w:val="pt-BR" w:eastAsia="pt-BR" w:bidi="pt-BR"/>
      </w:rPr>
    </w:lvl>
    <w:lvl w:ilvl="5" w:tplc="67629EA0">
      <w:numFmt w:val="bullet"/>
      <w:lvlText w:val="•"/>
      <w:lvlJc w:val="left"/>
      <w:pPr>
        <w:ind w:left="5139" w:hanging="720"/>
      </w:pPr>
      <w:rPr>
        <w:rFonts w:hint="default"/>
        <w:lang w:val="pt-BR" w:eastAsia="pt-BR" w:bidi="pt-BR"/>
      </w:rPr>
    </w:lvl>
    <w:lvl w:ilvl="6" w:tplc="0A6E9AC0">
      <w:numFmt w:val="bullet"/>
      <w:lvlText w:val="•"/>
      <w:lvlJc w:val="left"/>
      <w:pPr>
        <w:ind w:left="6127" w:hanging="720"/>
      </w:pPr>
      <w:rPr>
        <w:rFonts w:hint="default"/>
        <w:lang w:val="pt-BR" w:eastAsia="pt-BR" w:bidi="pt-BR"/>
      </w:rPr>
    </w:lvl>
    <w:lvl w:ilvl="7" w:tplc="49662A58">
      <w:numFmt w:val="bullet"/>
      <w:lvlText w:val="•"/>
      <w:lvlJc w:val="left"/>
      <w:pPr>
        <w:ind w:left="7115" w:hanging="720"/>
      </w:pPr>
      <w:rPr>
        <w:rFonts w:hint="default"/>
        <w:lang w:val="pt-BR" w:eastAsia="pt-BR" w:bidi="pt-BR"/>
      </w:rPr>
    </w:lvl>
    <w:lvl w:ilvl="8" w:tplc="EE4EEBB6">
      <w:numFmt w:val="bullet"/>
      <w:lvlText w:val="•"/>
      <w:lvlJc w:val="left"/>
      <w:pPr>
        <w:ind w:left="8103" w:hanging="720"/>
      </w:pPr>
      <w:rPr>
        <w:rFonts w:hint="default"/>
        <w:lang w:val="pt-BR" w:eastAsia="pt-BR" w:bidi="pt-BR"/>
      </w:rPr>
    </w:lvl>
  </w:abstractNum>
  <w:abstractNum w:abstractNumId="13">
    <w:nsid w:val="71DB41A5"/>
    <w:multiLevelType w:val="hybridMultilevel"/>
    <w:tmpl w:val="4F84FCF0"/>
    <w:lvl w:ilvl="0" w:tplc="1D800B9A">
      <w:numFmt w:val="bullet"/>
      <w:lvlText w:val="-"/>
      <w:lvlJc w:val="left"/>
      <w:pPr>
        <w:ind w:left="200" w:hanging="142"/>
      </w:pPr>
      <w:rPr>
        <w:rFonts w:ascii="Times New Roman" w:eastAsia="Times New Roman" w:hAnsi="Times New Roman" w:cs="Times New Roman" w:hint="default"/>
        <w:w w:val="99"/>
        <w:sz w:val="24"/>
        <w:szCs w:val="24"/>
        <w:lang w:val="pt-BR" w:eastAsia="pt-BR" w:bidi="pt-BR"/>
      </w:rPr>
    </w:lvl>
    <w:lvl w:ilvl="1" w:tplc="639EFC7C">
      <w:numFmt w:val="bullet"/>
      <w:lvlText w:val="•"/>
      <w:lvlJc w:val="left"/>
      <w:pPr>
        <w:ind w:left="1187" w:hanging="142"/>
      </w:pPr>
      <w:rPr>
        <w:rFonts w:hint="default"/>
        <w:lang w:val="pt-BR" w:eastAsia="pt-BR" w:bidi="pt-BR"/>
      </w:rPr>
    </w:lvl>
    <w:lvl w:ilvl="2" w:tplc="D2E67DDA">
      <w:numFmt w:val="bullet"/>
      <w:lvlText w:val="•"/>
      <w:lvlJc w:val="left"/>
      <w:pPr>
        <w:ind w:left="2175" w:hanging="142"/>
      </w:pPr>
      <w:rPr>
        <w:rFonts w:hint="default"/>
        <w:lang w:val="pt-BR" w:eastAsia="pt-BR" w:bidi="pt-BR"/>
      </w:rPr>
    </w:lvl>
    <w:lvl w:ilvl="3" w:tplc="B9D23E1A">
      <w:numFmt w:val="bullet"/>
      <w:lvlText w:val="•"/>
      <w:lvlJc w:val="left"/>
      <w:pPr>
        <w:ind w:left="3163" w:hanging="142"/>
      </w:pPr>
      <w:rPr>
        <w:rFonts w:hint="default"/>
        <w:lang w:val="pt-BR" w:eastAsia="pt-BR" w:bidi="pt-BR"/>
      </w:rPr>
    </w:lvl>
    <w:lvl w:ilvl="4" w:tplc="F702A9E4">
      <w:numFmt w:val="bullet"/>
      <w:lvlText w:val="•"/>
      <w:lvlJc w:val="left"/>
      <w:pPr>
        <w:ind w:left="4151" w:hanging="142"/>
      </w:pPr>
      <w:rPr>
        <w:rFonts w:hint="default"/>
        <w:lang w:val="pt-BR" w:eastAsia="pt-BR" w:bidi="pt-BR"/>
      </w:rPr>
    </w:lvl>
    <w:lvl w:ilvl="5" w:tplc="30E2969C">
      <w:numFmt w:val="bullet"/>
      <w:lvlText w:val="•"/>
      <w:lvlJc w:val="left"/>
      <w:pPr>
        <w:ind w:left="5139" w:hanging="142"/>
      </w:pPr>
      <w:rPr>
        <w:rFonts w:hint="default"/>
        <w:lang w:val="pt-BR" w:eastAsia="pt-BR" w:bidi="pt-BR"/>
      </w:rPr>
    </w:lvl>
    <w:lvl w:ilvl="6" w:tplc="53E6179E">
      <w:numFmt w:val="bullet"/>
      <w:lvlText w:val="•"/>
      <w:lvlJc w:val="left"/>
      <w:pPr>
        <w:ind w:left="6127" w:hanging="142"/>
      </w:pPr>
      <w:rPr>
        <w:rFonts w:hint="default"/>
        <w:lang w:val="pt-BR" w:eastAsia="pt-BR" w:bidi="pt-BR"/>
      </w:rPr>
    </w:lvl>
    <w:lvl w:ilvl="7" w:tplc="569E4336">
      <w:numFmt w:val="bullet"/>
      <w:lvlText w:val="•"/>
      <w:lvlJc w:val="left"/>
      <w:pPr>
        <w:ind w:left="7115" w:hanging="142"/>
      </w:pPr>
      <w:rPr>
        <w:rFonts w:hint="default"/>
        <w:lang w:val="pt-BR" w:eastAsia="pt-BR" w:bidi="pt-BR"/>
      </w:rPr>
    </w:lvl>
    <w:lvl w:ilvl="8" w:tplc="DAF21370">
      <w:numFmt w:val="bullet"/>
      <w:lvlText w:val="•"/>
      <w:lvlJc w:val="left"/>
      <w:pPr>
        <w:ind w:left="8103" w:hanging="142"/>
      </w:pPr>
      <w:rPr>
        <w:rFonts w:hint="default"/>
        <w:lang w:val="pt-BR" w:eastAsia="pt-BR" w:bidi="pt-BR"/>
      </w:rPr>
    </w:lvl>
  </w:abstractNum>
  <w:abstractNum w:abstractNumId="14">
    <w:nsid w:val="769D3BC9"/>
    <w:multiLevelType w:val="hybridMultilevel"/>
    <w:tmpl w:val="A62EB292"/>
    <w:lvl w:ilvl="0" w:tplc="07DE5462">
      <w:numFmt w:val="bullet"/>
      <w:lvlText w:val="-"/>
      <w:lvlJc w:val="left"/>
      <w:pPr>
        <w:ind w:left="920" w:hanging="154"/>
      </w:pPr>
      <w:rPr>
        <w:rFonts w:ascii="Arial" w:eastAsia="Arial" w:hAnsi="Arial" w:cs="Arial" w:hint="default"/>
        <w:w w:val="99"/>
        <w:sz w:val="24"/>
        <w:szCs w:val="24"/>
        <w:lang w:val="pt-BR" w:eastAsia="pt-BR" w:bidi="pt-BR"/>
      </w:rPr>
    </w:lvl>
    <w:lvl w:ilvl="1" w:tplc="9C3409BC">
      <w:numFmt w:val="bullet"/>
      <w:lvlText w:val="•"/>
      <w:lvlJc w:val="left"/>
      <w:pPr>
        <w:ind w:left="1835" w:hanging="154"/>
      </w:pPr>
      <w:rPr>
        <w:rFonts w:hint="default"/>
        <w:lang w:val="pt-BR" w:eastAsia="pt-BR" w:bidi="pt-BR"/>
      </w:rPr>
    </w:lvl>
    <w:lvl w:ilvl="2" w:tplc="DC8A56A2">
      <w:numFmt w:val="bullet"/>
      <w:lvlText w:val="•"/>
      <w:lvlJc w:val="left"/>
      <w:pPr>
        <w:ind w:left="2751" w:hanging="154"/>
      </w:pPr>
      <w:rPr>
        <w:rFonts w:hint="default"/>
        <w:lang w:val="pt-BR" w:eastAsia="pt-BR" w:bidi="pt-BR"/>
      </w:rPr>
    </w:lvl>
    <w:lvl w:ilvl="3" w:tplc="10D2B898">
      <w:numFmt w:val="bullet"/>
      <w:lvlText w:val="•"/>
      <w:lvlJc w:val="left"/>
      <w:pPr>
        <w:ind w:left="3667" w:hanging="154"/>
      </w:pPr>
      <w:rPr>
        <w:rFonts w:hint="default"/>
        <w:lang w:val="pt-BR" w:eastAsia="pt-BR" w:bidi="pt-BR"/>
      </w:rPr>
    </w:lvl>
    <w:lvl w:ilvl="4" w:tplc="3FE0DE4E">
      <w:numFmt w:val="bullet"/>
      <w:lvlText w:val="•"/>
      <w:lvlJc w:val="left"/>
      <w:pPr>
        <w:ind w:left="4583" w:hanging="154"/>
      </w:pPr>
      <w:rPr>
        <w:rFonts w:hint="default"/>
        <w:lang w:val="pt-BR" w:eastAsia="pt-BR" w:bidi="pt-BR"/>
      </w:rPr>
    </w:lvl>
    <w:lvl w:ilvl="5" w:tplc="1A1C2AAA">
      <w:numFmt w:val="bullet"/>
      <w:lvlText w:val="•"/>
      <w:lvlJc w:val="left"/>
      <w:pPr>
        <w:ind w:left="5499" w:hanging="154"/>
      </w:pPr>
      <w:rPr>
        <w:rFonts w:hint="default"/>
        <w:lang w:val="pt-BR" w:eastAsia="pt-BR" w:bidi="pt-BR"/>
      </w:rPr>
    </w:lvl>
    <w:lvl w:ilvl="6" w:tplc="20524C10">
      <w:numFmt w:val="bullet"/>
      <w:lvlText w:val="•"/>
      <w:lvlJc w:val="left"/>
      <w:pPr>
        <w:ind w:left="6415" w:hanging="154"/>
      </w:pPr>
      <w:rPr>
        <w:rFonts w:hint="default"/>
        <w:lang w:val="pt-BR" w:eastAsia="pt-BR" w:bidi="pt-BR"/>
      </w:rPr>
    </w:lvl>
    <w:lvl w:ilvl="7" w:tplc="97CE3724">
      <w:numFmt w:val="bullet"/>
      <w:lvlText w:val="•"/>
      <w:lvlJc w:val="left"/>
      <w:pPr>
        <w:ind w:left="7331" w:hanging="154"/>
      </w:pPr>
      <w:rPr>
        <w:rFonts w:hint="default"/>
        <w:lang w:val="pt-BR" w:eastAsia="pt-BR" w:bidi="pt-BR"/>
      </w:rPr>
    </w:lvl>
    <w:lvl w:ilvl="8" w:tplc="E4645D46">
      <w:numFmt w:val="bullet"/>
      <w:lvlText w:val="•"/>
      <w:lvlJc w:val="left"/>
      <w:pPr>
        <w:ind w:left="8247" w:hanging="154"/>
      </w:pPr>
      <w:rPr>
        <w:rFonts w:hint="default"/>
        <w:lang w:val="pt-BR" w:eastAsia="pt-BR" w:bidi="pt-BR"/>
      </w:rPr>
    </w:lvl>
  </w:abstractNum>
  <w:num w:numId="1">
    <w:abstractNumId w:val="1"/>
  </w:num>
  <w:num w:numId="2">
    <w:abstractNumId w:val="3"/>
  </w:num>
  <w:num w:numId="3">
    <w:abstractNumId w:val="8"/>
  </w:num>
  <w:num w:numId="4">
    <w:abstractNumId w:val="12"/>
  </w:num>
  <w:num w:numId="5">
    <w:abstractNumId w:val="7"/>
  </w:num>
  <w:num w:numId="6">
    <w:abstractNumId w:val="5"/>
  </w:num>
  <w:num w:numId="7">
    <w:abstractNumId w:val="9"/>
  </w:num>
  <w:num w:numId="8">
    <w:abstractNumId w:val="0"/>
  </w:num>
  <w:num w:numId="9">
    <w:abstractNumId w:val="10"/>
  </w:num>
  <w:num w:numId="10">
    <w:abstractNumId w:val="2"/>
  </w:num>
  <w:num w:numId="11">
    <w:abstractNumId w:val="14"/>
  </w:num>
  <w:num w:numId="12">
    <w:abstractNumId w:val="13"/>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5C592B"/>
    <w:rsid w:val="005C592B"/>
    <w:rsid w:val="005D02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766"/>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00"/>
      <w:jc w:val="both"/>
    </w:pPr>
    <w:rPr>
      <w:sz w:val="24"/>
      <w:szCs w:val="24"/>
    </w:rPr>
  </w:style>
  <w:style w:type="paragraph" w:styleId="PargrafodaLista">
    <w:name w:val="List Paragraph"/>
    <w:basedOn w:val="Normal"/>
    <w:uiPriority w:val="1"/>
    <w:qFormat/>
    <w:pPr>
      <w:ind w:left="200"/>
      <w:jc w:val="both"/>
    </w:pPr>
  </w:style>
  <w:style w:type="paragraph" w:customStyle="1" w:styleId="TableParagraph">
    <w:name w:val="Table Paragraph"/>
    <w:basedOn w:val="Normal"/>
    <w:uiPriority w:val="1"/>
    <w:qFormat/>
    <w:pPr>
      <w:ind w:left="79"/>
    </w:pPr>
  </w:style>
  <w:style w:type="paragraph" w:styleId="Textodebalo">
    <w:name w:val="Balloon Text"/>
    <w:basedOn w:val="Normal"/>
    <w:link w:val="TextodebaloChar"/>
    <w:uiPriority w:val="99"/>
    <w:semiHidden/>
    <w:unhideWhenUsed/>
    <w:rsid w:val="005D0206"/>
    <w:rPr>
      <w:rFonts w:ascii="Tahoma" w:hAnsi="Tahoma" w:cs="Tahoma"/>
      <w:sz w:val="16"/>
      <w:szCs w:val="16"/>
    </w:rPr>
  </w:style>
  <w:style w:type="character" w:customStyle="1" w:styleId="TextodebaloChar">
    <w:name w:val="Texto de balão Char"/>
    <w:basedOn w:val="Fontepargpadro"/>
    <w:link w:val="Textodebalo"/>
    <w:uiPriority w:val="99"/>
    <w:semiHidden/>
    <w:rsid w:val="005D0206"/>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n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7121</Words>
  <Characters>38457</Characters>
  <Application>Microsoft Office Word</Application>
  <DocSecurity>0</DocSecurity>
  <Lines>320</Lines>
  <Paragraphs>90</Paragraphs>
  <ScaleCrop>false</ScaleCrop>
  <Company/>
  <LinksUpToDate>false</LinksUpToDate>
  <CharactersWithSpaces>45488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Dornelles Picon</dc:creator>
  <cp:lastModifiedBy>VANESSA ALVES DE OLIVEIRA</cp:lastModifiedBy>
  <cp:revision>2</cp:revision>
  <dcterms:created xsi:type="dcterms:W3CDTF">2019-07-19T13:32:00Z</dcterms:created>
  <dcterms:modified xsi:type="dcterms:W3CDTF">2019-07-19T13:33:00Z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2013</vt:lpwstr>
  </property>
  <property fmtid="{D5CDD505-2E9C-101B-9397-08002B2CF9AE}" pid="4" name="LastSaved">
    <vt:filetime>2019-07-19T00:00:00Z</vt:filetime>
  </property>
</Properties>
</file>