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B" w:rsidRDefault="00332A4B"/>
    <w:p w:rsidR="00332A4B" w:rsidRDefault="008930C8" w:rsidP="008930C8">
      <w:pPr>
        <w:pStyle w:val="Corpodetexto"/>
        <w:spacing w:before="62"/>
        <w:ind w:right="3940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4C7B3C5E" wp14:editId="2EC7BBD7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ANEXO</w:t>
      </w:r>
    </w:p>
    <w:p w:rsidR="00332A4B" w:rsidRDefault="00332A4B">
      <w:pPr>
        <w:pStyle w:val="Corpodetexto"/>
        <w:spacing w:before="11"/>
        <w:ind w:left="0"/>
        <w:rPr>
          <w:sz w:val="23"/>
        </w:rPr>
      </w:pPr>
    </w:p>
    <w:p w:rsidR="00332A4B" w:rsidRDefault="008930C8">
      <w:pPr>
        <w:pStyle w:val="Corpodetexto"/>
        <w:ind w:left="1290" w:right="1308"/>
        <w:jc w:val="center"/>
      </w:pPr>
      <w:r>
        <w:t>PROTOCOLO DE USO DA RADIAÇÃO PARA CROSS-LINKING CORNEANO NO TRATAMENTO DO CERATOCONE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Corpodetexto"/>
        <w:ind w:left="666"/>
      </w:pPr>
      <w:r>
        <w:t>INTRODUÇÃO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Corpodetexto"/>
        <w:ind w:right="115" w:firstLine="566"/>
        <w:jc w:val="both"/>
      </w:pPr>
      <w:r>
        <w:t xml:space="preserve">O </w:t>
      </w:r>
      <w:proofErr w:type="spellStart"/>
      <w:r>
        <w:t>ceratocone</w:t>
      </w:r>
      <w:proofErr w:type="spellEnd"/>
      <w:r>
        <w:t xml:space="preserve"> consiste em doença degenerativa do olho que ocasiona deformidade da córnea, levando ao</w:t>
      </w:r>
      <w:r>
        <w:rPr>
          <w:spacing w:val="-16"/>
        </w:rPr>
        <w:t xml:space="preserve"> </w:t>
      </w:r>
      <w:r>
        <w:t>seu</w:t>
      </w:r>
      <w:r>
        <w:rPr>
          <w:spacing w:val="-16"/>
        </w:rPr>
        <w:t xml:space="preserve"> </w:t>
      </w:r>
      <w:r>
        <w:t>afinamento,</w:t>
      </w:r>
      <w:r>
        <w:rPr>
          <w:spacing w:val="-16"/>
        </w:rPr>
        <w:t xml:space="preserve"> </w:t>
      </w:r>
      <w:r>
        <w:t>abaulamento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enfraquecimento.</w:t>
      </w:r>
      <w:r>
        <w:rPr>
          <w:spacing w:val="-14"/>
        </w:rPr>
        <w:t xml:space="preserve"> </w:t>
      </w:r>
      <w:r>
        <w:t>Causa</w:t>
      </w:r>
      <w:r>
        <w:rPr>
          <w:spacing w:val="-17"/>
        </w:rPr>
        <w:t xml:space="preserve"> </w:t>
      </w:r>
      <w:r>
        <w:t>piora</w:t>
      </w:r>
      <w:r>
        <w:rPr>
          <w:spacing w:val="-17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acuidade</w:t>
      </w:r>
      <w:r>
        <w:rPr>
          <w:spacing w:val="-14"/>
        </w:rPr>
        <w:t xml:space="preserve"> </w:t>
      </w:r>
      <w:r>
        <w:t>visual,</w:t>
      </w:r>
      <w:r>
        <w:rPr>
          <w:spacing w:val="-16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impacto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qualidade de</w:t>
      </w:r>
      <w:r>
        <w:rPr>
          <w:spacing w:val="-5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paciente,</w:t>
      </w:r>
      <w:r>
        <w:rPr>
          <w:spacing w:val="-1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sintomas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gravidade,</w:t>
      </w:r>
      <w:r>
        <w:rPr>
          <w:spacing w:val="-1"/>
        </w:rPr>
        <w:t xml:space="preserve"> </w:t>
      </w:r>
      <w:r>
        <w:t>tais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irritação</w:t>
      </w:r>
      <w:r>
        <w:rPr>
          <w:spacing w:val="-4"/>
        </w:rPr>
        <w:t xml:space="preserve"> </w:t>
      </w:r>
      <w:r>
        <w:t>ocular,</w:t>
      </w:r>
      <w:r>
        <w:rPr>
          <w:spacing w:val="-4"/>
        </w:rPr>
        <w:t xml:space="preserve"> </w:t>
      </w:r>
      <w:r>
        <w:t>halos</w:t>
      </w:r>
      <w:r>
        <w:rPr>
          <w:spacing w:val="-3"/>
        </w:rPr>
        <w:t xml:space="preserve"> </w:t>
      </w:r>
      <w:r>
        <w:t>luminosos e</w:t>
      </w:r>
      <w:r>
        <w:rPr>
          <w:spacing w:val="-17"/>
        </w:rPr>
        <w:t xml:space="preserve"> </w:t>
      </w:r>
      <w:proofErr w:type="spellStart"/>
      <w:r>
        <w:t>fotossensibilidade</w:t>
      </w:r>
      <w:proofErr w:type="spellEnd"/>
      <w:r>
        <w:t>.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literatura</w:t>
      </w:r>
      <w:r>
        <w:rPr>
          <w:spacing w:val="-16"/>
        </w:rPr>
        <w:t xml:space="preserve"> </w:t>
      </w:r>
      <w:r>
        <w:t>relata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incidência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proofErr w:type="spellStart"/>
      <w:r>
        <w:t>ceratocone</w:t>
      </w:r>
      <w:proofErr w:type="spellEnd"/>
      <w:r>
        <w:rPr>
          <w:spacing w:val="-16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baixa.</w:t>
      </w:r>
      <w:r>
        <w:rPr>
          <w:spacing w:val="-15"/>
        </w:rPr>
        <w:t xml:space="preserve"> </w:t>
      </w:r>
      <w:r>
        <w:t>Um</w:t>
      </w:r>
      <w:r>
        <w:rPr>
          <w:spacing w:val="-16"/>
        </w:rPr>
        <w:t xml:space="preserve"> </w:t>
      </w:r>
      <w:r>
        <w:t>estudo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 xml:space="preserve">acompanhamento populacional, ao longo de 48 anos, identificou uma incidência de </w:t>
      </w:r>
      <w:proofErr w:type="gramStart"/>
      <w:r>
        <w:t>2</w:t>
      </w:r>
      <w:proofErr w:type="gramEnd"/>
      <w:r>
        <w:t xml:space="preserve"> casos por 100.000 habitantes/ano e prevalência média de 54,5 casos por 100.000 habitantes(1). Outros recentes relatam incidência de aproximadamente um caso a cada 2.000</w:t>
      </w:r>
      <w:r>
        <w:rPr>
          <w:spacing w:val="-4"/>
        </w:rPr>
        <w:t xml:space="preserve"> </w:t>
      </w:r>
      <w:proofErr w:type="gramStart"/>
      <w:r>
        <w:t>pesso</w:t>
      </w:r>
      <w:r>
        <w:t>as(</w:t>
      </w:r>
      <w:proofErr w:type="gramEnd"/>
      <w:r>
        <w:t>2).</w:t>
      </w:r>
    </w:p>
    <w:p w:rsidR="00332A4B" w:rsidRDefault="008930C8">
      <w:pPr>
        <w:pStyle w:val="Corpodetexto"/>
        <w:spacing w:before="1"/>
        <w:ind w:right="119" w:firstLine="708"/>
        <w:jc w:val="both"/>
      </w:pPr>
      <w:r>
        <w:t>Frequentemente,</w:t>
      </w:r>
      <w:r>
        <w:rPr>
          <w:spacing w:val="-14"/>
        </w:rPr>
        <w:t xml:space="preserve"> </w:t>
      </w:r>
      <w:r>
        <w:t>manifesta-se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t>bilateral,</w:t>
      </w:r>
      <w:r>
        <w:rPr>
          <w:spacing w:val="-15"/>
        </w:rPr>
        <w:t xml:space="preserve"> </w:t>
      </w:r>
      <w:r>
        <w:t>porém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assimétrica.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faixa</w:t>
      </w:r>
      <w:r>
        <w:rPr>
          <w:spacing w:val="-17"/>
        </w:rPr>
        <w:t xml:space="preserve"> </w:t>
      </w:r>
      <w:r>
        <w:t>etária</w:t>
      </w:r>
      <w:r>
        <w:rPr>
          <w:spacing w:val="-14"/>
        </w:rPr>
        <w:t xml:space="preserve"> </w:t>
      </w:r>
      <w:r>
        <w:t>prevalente dos</w:t>
      </w:r>
      <w:r>
        <w:rPr>
          <w:spacing w:val="-13"/>
        </w:rPr>
        <w:t xml:space="preserve"> </w:t>
      </w:r>
      <w:r>
        <w:t>pacientes</w:t>
      </w:r>
      <w:r>
        <w:rPr>
          <w:spacing w:val="-12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puberdade,</w:t>
      </w:r>
      <w:r>
        <w:rPr>
          <w:spacing w:val="-12"/>
        </w:rPr>
        <w:t xml:space="preserve"> </w:t>
      </w:r>
      <w:r>
        <w:t>porém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quadro</w:t>
      </w:r>
      <w:r>
        <w:rPr>
          <w:spacing w:val="-14"/>
        </w:rPr>
        <w:t xml:space="preserve"> </w:t>
      </w:r>
      <w:r>
        <w:t>pode</w:t>
      </w:r>
      <w:r>
        <w:rPr>
          <w:spacing w:val="-11"/>
        </w:rPr>
        <w:t xml:space="preserve"> </w:t>
      </w:r>
      <w:r>
        <w:t>evoluir</w:t>
      </w:r>
      <w:r>
        <w:rPr>
          <w:spacing w:val="-13"/>
        </w:rPr>
        <w:t xml:space="preserve"> </w:t>
      </w:r>
      <w:r>
        <w:t>principalmente</w:t>
      </w:r>
      <w:r>
        <w:rPr>
          <w:spacing w:val="-13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segunda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terceira</w:t>
      </w:r>
      <w:r>
        <w:rPr>
          <w:spacing w:val="-14"/>
        </w:rPr>
        <w:t xml:space="preserve"> </w:t>
      </w:r>
      <w:r>
        <w:t>décadas de</w:t>
      </w:r>
      <w:r>
        <w:rPr>
          <w:spacing w:val="-10"/>
        </w:rPr>
        <w:t xml:space="preserve"> </w:t>
      </w:r>
      <w:r>
        <w:t>vida,</w:t>
      </w:r>
      <w:r>
        <w:rPr>
          <w:spacing w:val="-6"/>
        </w:rPr>
        <w:t xml:space="preserve"> </w:t>
      </w:r>
      <w:r>
        <w:t>excepcionalmente</w:t>
      </w:r>
      <w:r>
        <w:rPr>
          <w:spacing w:val="-9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quinta</w:t>
      </w:r>
      <w:r>
        <w:rPr>
          <w:spacing w:val="-6"/>
        </w:rPr>
        <w:t xml:space="preserve"> </w:t>
      </w:r>
      <w:r>
        <w:t>década.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progressão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proofErr w:type="spellStart"/>
      <w:r>
        <w:t>ceratocone</w:t>
      </w:r>
      <w:proofErr w:type="spellEnd"/>
      <w:r>
        <w:rPr>
          <w:spacing w:val="-6"/>
        </w:rPr>
        <w:t xml:space="preserve"> </w:t>
      </w:r>
      <w:r>
        <w:t>varia</w:t>
      </w:r>
      <w:r>
        <w:rPr>
          <w:spacing w:val="-6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no mesmo indivíduo ao longo do tempo, tendo evolução mais agressiva em pacientes</w:t>
      </w:r>
      <w:r>
        <w:rPr>
          <w:spacing w:val="-4"/>
        </w:rPr>
        <w:t xml:space="preserve"> </w:t>
      </w:r>
      <w:proofErr w:type="gramStart"/>
      <w:r>
        <w:t>jovens(</w:t>
      </w:r>
      <w:proofErr w:type="gramEnd"/>
      <w:r>
        <w:t>3-5).</w:t>
      </w:r>
    </w:p>
    <w:p w:rsidR="00332A4B" w:rsidRDefault="008930C8">
      <w:pPr>
        <w:pStyle w:val="Corpodetexto"/>
        <w:ind w:right="116" w:firstLine="566"/>
        <w:jc w:val="both"/>
      </w:pPr>
      <w:r>
        <w:t xml:space="preserve">Inexiste alteração na incidência de </w:t>
      </w:r>
      <w:proofErr w:type="spellStart"/>
      <w:r>
        <w:t>ceratocone</w:t>
      </w:r>
      <w:proofErr w:type="spellEnd"/>
      <w:r>
        <w:t xml:space="preserve"> conforme gênero e raça, porém tem sido ass</w:t>
      </w:r>
      <w:r>
        <w:t xml:space="preserve">ociado a doenças oculares prévias, tais como </w:t>
      </w:r>
      <w:proofErr w:type="spellStart"/>
      <w:r>
        <w:t>ceratoconjuntivite</w:t>
      </w:r>
      <w:proofErr w:type="spellEnd"/>
      <w:r>
        <w:t xml:space="preserve"> alérgica, </w:t>
      </w:r>
      <w:proofErr w:type="spellStart"/>
      <w:r>
        <w:t>retinitepigmentosa</w:t>
      </w:r>
      <w:proofErr w:type="spellEnd"/>
      <w:r>
        <w:t xml:space="preserve"> e </w:t>
      </w:r>
      <w:proofErr w:type="spellStart"/>
      <w:r>
        <w:t>amaurose</w:t>
      </w:r>
      <w:proofErr w:type="spellEnd"/>
      <w:r>
        <w:t xml:space="preserve"> congênita de </w:t>
      </w:r>
      <w:proofErr w:type="spellStart"/>
      <w:r>
        <w:t>Leber</w:t>
      </w:r>
      <w:proofErr w:type="spellEnd"/>
      <w:r>
        <w:t xml:space="preserve">. Supõe-se também associação com doenças sistêmicas e do tecido conjuntivo. Fatores predisponentes incluem história de </w:t>
      </w:r>
      <w:proofErr w:type="spellStart"/>
      <w:r>
        <w:t>atopia</w:t>
      </w:r>
      <w:proofErr w:type="spellEnd"/>
      <w:r>
        <w:t>, especia</w:t>
      </w:r>
      <w:r>
        <w:t xml:space="preserve">lmente alergia ocular, uso de lentes de contato rígidas e fricção ocular vigorosa. Em torno de 13% dos casos têm história familiar da </w:t>
      </w:r>
      <w:proofErr w:type="gramStart"/>
      <w:r>
        <w:t>doença(</w:t>
      </w:r>
      <w:proofErr w:type="gramEnd"/>
      <w:r>
        <w:t>5).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Corpodetexto"/>
        <w:ind w:left="460"/>
      </w:pPr>
      <w:r>
        <w:t>DIAGNÓSTICO</w:t>
      </w:r>
    </w:p>
    <w:p w:rsidR="00332A4B" w:rsidRDefault="00332A4B">
      <w:pPr>
        <w:pStyle w:val="Corpodetexto"/>
        <w:spacing w:before="1"/>
        <w:ind w:left="0"/>
      </w:pPr>
    </w:p>
    <w:p w:rsidR="00332A4B" w:rsidRDefault="008930C8">
      <w:pPr>
        <w:pStyle w:val="Corpodetexto"/>
        <w:ind w:left="666"/>
      </w:pPr>
      <w:r>
        <w:t>Sintomas: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Corpodetexto"/>
        <w:ind w:right="104" w:firstLine="708"/>
      </w:pPr>
      <w:r>
        <w:t xml:space="preserve">Comprometimento unilateral da visão devido à miopia progressiva e astigmatismo; ocasionalmente, a apresentação inicial é com </w:t>
      </w:r>
      <w:proofErr w:type="spellStart"/>
      <w:r>
        <w:t>hidropsia</w:t>
      </w:r>
      <w:proofErr w:type="spellEnd"/>
      <w:r>
        <w:t xml:space="preserve"> aguda.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Corpodetexto"/>
        <w:ind w:left="666"/>
      </w:pPr>
      <w:r>
        <w:t>Sinais: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48"/>
        </w:tabs>
        <w:ind w:firstLine="708"/>
        <w:rPr>
          <w:sz w:val="24"/>
        </w:rPr>
      </w:pPr>
      <w:r>
        <w:rPr>
          <w:sz w:val="24"/>
        </w:rPr>
        <w:t>Oftalmoscopia direta a uma distância de meio metro revela reflexo em “gota de</w:t>
      </w:r>
      <w:r>
        <w:rPr>
          <w:spacing w:val="-6"/>
          <w:sz w:val="24"/>
        </w:rPr>
        <w:t xml:space="preserve"> </w:t>
      </w:r>
      <w:r>
        <w:rPr>
          <w:sz w:val="24"/>
        </w:rPr>
        <w:t>óleo”.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48"/>
        </w:tabs>
        <w:ind w:firstLine="708"/>
        <w:rPr>
          <w:sz w:val="24"/>
        </w:rPr>
      </w:pPr>
      <w:proofErr w:type="spellStart"/>
      <w:r>
        <w:rPr>
          <w:sz w:val="24"/>
        </w:rPr>
        <w:t>Retinoscopia</w:t>
      </w:r>
      <w:proofErr w:type="spellEnd"/>
      <w:r>
        <w:rPr>
          <w:sz w:val="24"/>
        </w:rPr>
        <w:t xml:space="preserve"> revela </w:t>
      </w:r>
      <w:r>
        <w:rPr>
          <w:sz w:val="24"/>
        </w:rPr>
        <w:t>reflexo irregular “em</w:t>
      </w:r>
      <w:r>
        <w:rPr>
          <w:spacing w:val="-1"/>
          <w:sz w:val="24"/>
        </w:rPr>
        <w:t xml:space="preserve"> </w:t>
      </w:r>
      <w:r>
        <w:rPr>
          <w:sz w:val="24"/>
        </w:rPr>
        <w:t>tesoura”.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60"/>
        </w:tabs>
        <w:ind w:right="121" w:firstLine="708"/>
        <w:rPr>
          <w:sz w:val="24"/>
        </w:rPr>
      </w:pPr>
      <w:proofErr w:type="spellStart"/>
      <w:r>
        <w:rPr>
          <w:sz w:val="24"/>
        </w:rPr>
        <w:t>Biomicroscopia</w:t>
      </w:r>
      <w:proofErr w:type="spellEnd"/>
      <w:r>
        <w:rPr>
          <w:sz w:val="24"/>
        </w:rPr>
        <w:t xml:space="preserve"> com lâmpada de fenda revela estrias </w:t>
      </w:r>
      <w:proofErr w:type="spellStart"/>
      <w:r>
        <w:rPr>
          <w:sz w:val="24"/>
        </w:rPr>
        <w:t>estromais</w:t>
      </w:r>
      <w:proofErr w:type="spellEnd"/>
      <w:r>
        <w:rPr>
          <w:sz w:val="24"/>
        </w:rPr>
        <w:t>, verticais, finas e profundas (linhas de Vogt) que desaparecem ao se exercer pressão no globo</w:t>
      </w:r>
      <w:r>
        <w:rPr>
          <w:spacing w:val="-4"/>
          <w:sz w:val="24"/>
        </w:rPr>
        <w:t xml:space="preserve"> </w:t>
      </w:r>
      <w:r>
        <w:rPr>
          <w:sz w:val="24"/>
        </w:rPr>
        <w:t>ocular.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48"/>
        </w:tabs>
        <w:ind w:firstLine="708"/>
        <w:rPr>
          <w:sz w:val="24"/>
        </w:rPr>
      </w:pPr>
      <w:r>
        <w:rPr>
          <w:sz w:val="24"/>
        </w:rPr>
        <w:t>Depósitos epiteliais de ferro, visualizados com filtro azul d</w:t>
      </w:r>
      <w:r>
        <w:rPr>
          <w:sz w:val="24"/>
        </w:rPr>
        <w:t xml:space="preserve">e </w:t>
      </w:r>
      <w:proofErr w:type="spellStart"/>
      <w:r>
        <w:rPr>
          <w:sz w:val="24"/>
        </w:rPr>
        <w:t>cobaldo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cincundando</w:t>
      </w:r>
      <w:proofErr w:type="spellEnd"/>
      <w:r>
        <w:rPr>
          <w:sz w:val="24"/>
        </w:rPr>
        <w:t xml:space="preserve"> a base do</w:t>
      </w:r>
      <w:r>
        <w:rPr>
          <w:spacing w:val="-16"/>
          <w:sz w:val="24"/>
        </w:rPr>
        <w:t xml:space="preserve"> </w:t>
      </w:r>
      <w:r>
        <w:rPr>
          <w:sz w:val="24"/>
        </w:rPr>
        <w:t>cone.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48"/>
        </w:tabs>
        <w:ind w:firstLine="708"/>
        <w:rPr>
          <w:sz w:val="24"/>
        </w:rPr>
      </w:pPr>
      <w:r>
        <w:rPr>
          <w:sz w:val="24"/>
        </w:rPr>
        <w:t xml:space="preserve">Progressiva protrusão </w:t>
      </w:r>
      <w:proofErr w:type="spellStart"/>
      <w:r>
        <w:rPr>
          <w:sz w:val="24"/>
        </w:rPr>
        <w:t>corneana</w:t>
      </w:r>
      <w:proofErr w:type="spellEnd"/>
      <w:r>
        <w:rPr>
          <w:sz w:val="24"/>
        </w:rPr>
        <w:t xml:space="preserve"> na forma de cone, com afinamento </w:t>
      </w:r>
      <w:proofErr w:type="spellStart"/>
      <w:r>
        <w:rPr>
          <w:sz w:val="24"/>
        </w:rPr>
        <w:t>estromal</w:t>
      </w:r>
      <w:proofErr w:type="spellEnd"/>
      <w:r>
        <w:rPr>
          <w:sz w:val="24"/>
        </w:rPr>
        <w:t xml:space="preserve"> máximo </w:t>
      </w:r>
      <w:proofErr w:type="spellStart"/>
      <w:r>
        <w:rPr>
          <w:sz w:val="24"/>
        </w:rPr>
        <w:t>emseu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ápice.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48"/>
        </w:tabs>
        <w:spacing w:before="1"/>
        <w:ind w:firstLine="708"/>
        <w:rPr>
          <w:sz w:val="24"/>
        </w:rPr>
      </w:pPr>
      <w:r>
        <w:rPr>
          <w:sz w:val="24"/>
        </w:rPr>
        <w:t>Abaulamento da pálpebra inferior na mirada para baixo (Sinal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Munson</w:t>
      </w:r>
      <w:proofErr w:type="spellEnd"/>
      <w:r>
        <w:rPr>
          <w:sz w:val="24"/>
        </w:rPr>
        <w:t>).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55"/>
        </w:tabs>
        <w:ind w:right="116" w:firstLine="708"/>
        <w:jc w:val="both"/>
        <w:rPr>
          <w:sz w:val="24"/>
        </w:rPr>
      </w:pPr>
      <w:proofErr w:type="spellStart"/>
      <w:r>
        <w:rPr>
          <w:sz w:val="24"/>
        </w:rPr>
        <w:t>Hidropsia</w:t>
      </w:r>
      <w:proofErr w:type="spellEnd"/>
      <w:r>
        <w:rPr>
          <w:sz w:val="24"/>
        </w:rPr>
        <w:t xml:space="preserve"> aguda é causada pela ruptura da membrana de </w:t>
      </w:r>
      <w:proofErr w:type="spellStart"/>
      <w:r>
        <w:rPr>
          <w:sz w:val="24"/>
        </w:rPr>
        <w:t>Descemet</w:t>
      </w:r>
      <w:proofErr w:type="spellEnd"/>
      <w:r>
        <w:rPr>
          <w:sz w:val="24"/>
        </w:rPr>
        <w:t xml:space="preserve">, permitindo o influxo de humor aquoso para o estroma </w:t>
      </w:r>
      <w:proofErr w:type="spellStart"/>
      <w:r>
        <w:rPr>
          <w:sz w:val="24"/>
        </w:rPr>
        <w:t>corneano</w:t>
      </w:r>
      <w:proofErr w:type="spellEnd"/>
      <w:r>
        <w:rPr>
          <w:sz w:val="24"/>
        </w:rPr>
        <w:t>. Promove uma súbita redução da acuidade visual associado a desconforto, fotofobia, dor e</w:t>
      </w:r>
      <w:r>
        <w:rPr>
          <w:spacing w:val="-4"/>
          <w:sz w:val="24"/>
        </w:rPr>
        <w:t xml:space="preserve"> </w:t>
      </w:r>
      <w:r>
        <w:rPr>
          <w:sz w:val="24"/>
        </w:rPr>
        <w:t>lacrimejamento.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48"/>
        </w:tabs>
        <w:ind w:firstLine="708"/>
        <w:rPr>
          <w:sz w:val="24"/>
        </w:rPr>
      </w:pPr>
      <w:proofErr w:type="spellStart"/>
      <w:r>
        <w:rPr>
          <w:sz w:val="24"/>
        </w:rPr>
        <w:t>Ceratometria</w:t>
      </w:r>
      <w:proofErr w:type="spellEnd"/>
      <w:r>
        <w:rPr>
          <w:sz w:val="24"/>
        </w:rPr>
        <w:t>: Leituras com</w:t>
      </w:r>
      <w:r>
        <w:rPr>
          <w:sz w:val="24"/>
        </w:rPr>
        <w:t xml:space="preserve"> aumento progressivo da curvatura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corneana</w:t>
      </w:r>
      <w:proofErr w:type="spellEnd"/>
      <w:r>
        <w:rPr>
          <w:sz w:val="24"/>
        </w:rPr>
        <w:t>.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70"/>
        </w:tabs>
        <w:ind w:right="113" w:firstLine="708"/>
        <w:rPr>
          <w:sz w:val="24"/>
        </w:rPr>
      </w:pPr>
      <w:r>
        <w:rPr>
          <w:sz w:val="24"/>
        </w:rPr>
        <w:t xml:space="preserve">Topografia </w:t>
      </w:r>
      <w:proofErr w:type="spellStart"/>
      <w:proofErr w:type="gramStart"/>
      <w:r>
        <w:rPr>
          <w:sz w:val="24"/>
        </w:rPr>
        <w:t>Corneana:</w:t>
      </w:r>
      <w:proofErr w:type="gramEnd"/>
      <w:r>
        <w:rPr>
          <w:sz w:val="24"/>
        </w:rPr>
        <w:t>Astigmatismo</w:t>
      </w:r>
      <w:proofErr w:type="spellEnd"/>
      <w:r>
        <w:rPr>
          <w:sz w:val="24"/>
        </w:rPr>
        <w:t xml:space="preserve"> que varia de simétrico para assimétrico ínfero-temporalmente (Parte abaixo da córnea (ínfero) temporalmente (que está ao lado do osso temporal) oposto do osso</w:t>
      </w:r>
      <w:r>
        <w:rPr>
          <w:spacing w:val="-11"/>
          <w:sz w:val="24"/>
        </w:rPr>
        <w:t xml:space="preserve"> </w:t>
      </w:r>
      <w:r>
        <w:rPr>
          <w:sz w:val="24"/>
        </w:rPr>
        <w:t>nasal).</w:t>
      </w:r>
    </w:p>
    <w:p w:rsidR="00332A4B" w:rsidRDefault="008930C8">
      <w:pPr>
        <w:pStyle w:val="Corpodetexto"/>
        <w:ind w:left="808"/>
      </w:pPr>
      <w:r>
        <w:t>Os métodos m</w:t>
      </w:r>
      <w:r>
        <w:t xml:space="preserve">ais frequentemente utilizados para avaliar a progressão do </w:t>
      </w:r>
      <w:proofErr w:type="spellStart"/>
      <w:r>
        <w:t>ceratocone</w:t>
      </w:r>
      <w:proofErr w:type="spellEnd"/>
      <w:r>
        <w:t xml:space="preserve"> são: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1006"/>
        </w:tabs>
        <w:ind w:right="120" w:firstLine="708"/>
        <w:jc w:val="both"/>
        <w:rPr>
          <w:sz w:val="24"/>
        </w:rPr>
      </w:pPr>
      <w:r>
        <w:rPr>
          <w:sz w:val="24"/>
        </w:rPr>
        <w:t>Acuidade visual - frequentemente analisada pela melhor acuidade visual corrigida (BCVA) e acuidade</w:t>
      </w:r>
      <w:r>
        <w:rPr>
          <w:spacing w:val="-8"/>
          <w:sz w:val="24"/>
        </w:rPr>
        <w:t xml:space="preserve"> </w:t>
      </w:r>
      <w:r>
        <w:rPr>
          <w:sz w:val="24"/>
        </w:rPr>
        <w:t>visual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corrigida</w:t>
      </w:r>
      <w:r>
        <w:rPr>
          <w:spacing w:val="-7"/>
          <w:sz w:val="24"/>
        </w:rPr>
        <w:t xml:space="preserve"> </w:t>
      </w:r>
      <w:r>
        <w:rPr>
          <w:sz w:val="24"/>
        </w:rPr>
        <w:t>(UDVA),</w:t>
      </w:r>
      <w:r>
        <w:rPr>
          <w:spacing w:val="-7"/>
          <w:sz w:val="24"/>
        </w:rPr>
        <w:t xml:space="preserve"> </w:t>
      </w:r>
      <w:r>
        <w:rPr>
          <w:sz w:val="24"/>
        </w:rPr>
        <w:t>medida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logaritmo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ângulo</w:t>
      </w:r>
      <w:r>
        <w:rPr>
          <w:spacing w:val="-4"/>
          <w:sz w:val="24"/>
        </w:rPr>
        <w:t xml:space="preserve"> </w:t>
      </w:r>
      <w:r>
        <w:rPr>
          <w:sz w:val="24"/>
        </w:rPr>
        <w:t>mínimo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LogMAR</w:t>
      </w:r>
      <w:proofErr w:type="spellEnd"/>
      <w:proofErr w:type="gramEnd"/>
      <w:r>
        <w:rPr>
          <w:sz w:val="24"/>
        </w:rPr>
        <w:t>) ou por linhas do teste 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Snellen</w:t>
      </w:r>
      <w:proofErr w:type="spellEnd"/>
      <w:r>
        <w:rPr>
          <w:sz w:val="24"/>
        </w:rPr>
        <w:t>.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48"/>
        </w:tabs>
        <w:spacing w:line="274" w:lineRule="exact"/>
        <w:ind w:firstLine="708"/>
        <w:rPr>
          <w:sz w:val="24"/>
        </w:rPr>
      </w:pPr>
      <w:proofErr w:type="spellStart"/>
      <w:r>
        <w:rPr>
          <w:sz w:val="24"/>
        </w:rPr>
        <w:t>Ceratometria</w:t>
      </w:r>
      <w:proofErr w:type="spellEnd"/>
      <w:r>
        <w:rPr>
          <w:sz w:val="24"/>
        </w:rPr>
        <w:t>: medida da curvatura da córnea em dioptrias ou</w:t>
      </w:r>
      <w:r>
        <w:rPr>
          <w:spacing w:val="-3"/>
          <w:sz w:val="24"/>
        </w:rPr>
        <w:t xml:space="preserve"> </w:t>
      </w:r>
      <w:r>
        <w:rPr>
          <w:sz w:val="24"/>
        </w:rPr>
        <w:t>milímetros.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67"/>
        </w:tabs>
        <w:ind w:right="113" w:firstLine="708"/>
        <w:rPr>
          <w:sz w:val="24"/>
        </w:rPr>
      </w:pPr>
      <w:r>
        <w:rPr>
          <w:sz w:val="24"/>
        </w:rPr>
        <w:lastRenderedPageBreak/>
        <w:t xml:space="preserve">Topografia da córnea - medida da curvatura da córnea por três análises da </w:t>
      </w:r>
      <w:proofErr w:type="spellStart"/>
      <w:r>
        <w:rPr>
          <w:sz w:val="24"/>
        </w:rPr>
        <w:t>ceratometria</w:t>
      </w:r>
      <w:proofErr w:type="spellEnd"/>
      <w:r>
        <w:rPr>
          <w:sz w:val="24"/>
        </w:rPr>
        <w:t xml:space="preserve"> - máxima (</w:t>
      </w:r>
      <w:proofErr w:type="spellStart"/>
      <w:r>
        <w:rPr>
          <w:sz w:val="24"/>
        </w:rPr>
        <w:t>Kmax</w:t>
      </w:r>
      <w:proofErr w:type="spellEnd"/>
      <w:r>
        <w:rPr>
          <w:sz w:val="24"/>
        </w:rPr>
        <w:t>), média (</w:t>
      </w:r>
      <w:proofErr w:type="spellStart"/>
      <w:r>
        <w:rPr>
          <w:sz w:val="24"/>
        </w:rPr>
        <w:t>Kmed</w:t>
      </w:r>
      <w:proofErr w:type="spellEnd"/>
      <w:r>
        <w:rPr>
          <w:sz w:val="24"/>
        </w:rPr>
        <w:t>) e mínima (</w:t>
      </w:r>
      <w:proofErr w:type="spellStart"/>
      <w:r>
        <w:rPr>
          <w:sz w:val="24"/>
        </w:rPr>
        <w:t>Kmin</w:t>
      </w:r>
      <w:proofErr w:type="spellEnd"/>
      <w:r>
        <w:rPr>
          <w:sz w:val="24"/>
        </w:rPr>
        <w:t>) - em dioptria</w:t>
      </w:r>
      <w:r>
        <w:rPr>
          <w:spacing w:val="-1"/>
          <w:sz w:val="24"/>
        </w:rPr>
        <w:t xml:space="preserve"> </w:t>
      </w:r>
      <w:r>
        <w:rPr>
          <w:sz w:val="24"/>
        </w:rPr>
        <w:t>(D).</w:t>
      </w:r>
    </w:p>
    <w:p w:rsidR="00332A4B" w:rsidRDefault="00332A4B">
      <w:pPr>
        <w:rPr>
          <w:sz w:val="24"/>
        </w:rPr>
        <w:sectPr w:rsidR="00332A4B">
          <w:pgSz w:w="11910" w:h="16840"/>
          <w:pgMar w:top="1460" w:right="600" w:bottom="280" w:left="620" w:header="720" w:footer="720" w:gutter="0"/>
          <w:cols w:space="720"/>
        </w:sectPr>
      </w:pP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48"/>
        </w:tabs>
        <w:spacing w:before="73"/>
        <w:ind w:firstLine="708"/>
        <w:rPr>
          <w:sz w:val="24"/>
        </w:rPr>
      </w:pPr>
      <w:proofErr w:type="spellStart"/>
      <w:r>
        <w:rPr>
          <w:sz w:val="24"/>
        </w:rPr>
        <w:lastRenderedPageBreak/>
        <w:t>Paquimetria</w:t>
      </w:r>
      <w:proofErr w:type="spellEnd"/>
      <w:r>
        <w:rPr>
          <w:sz w:val="24"/>
        </w:rPr>
        <w:t xml:space="preserve"> - medida da espessura da córnea em micra</w:t>
      </w:r>
      <w:r>
        <w:rPr>
          <w:spacing w:val="-3"/>
          <w:sz w:val="24"/>
        </w:rPr>
        <w:t xml:space="preserve"> </w:t>
      </w:r>
      <w:r>
        <w:rPr>
          <w:sz w:val="24"/>
        </w:rPr>
        <w:t>(km).</w:t>
      </w:r>
    </w:p>
    <w:p w:rsidR="00332A4B" w:rsidRDefault="008930C8">
      <w:pPr>
        <w:pStyle w:val="Corpodetexto"/>
        <w:ind w:right="104" w:firstLine="708"/>
      </w:pPr>
      <w:r>
        <w:t>Os instrumentos utilizados para</w:t>
      </w:r>
      <w:r>
        <w:t xml:space="preserve"> essas medidas são: </w:t>
      </w:r>
      <w:proofErr w:type="spellStart"/>
      <w:r>
        <w:t>ceratômetro</w:t>
      </w:r>
      <w:proofErr w:type="spellEnd"/>
      <w:r>
        <w:t>, topógrafo, paquímetro e tomógrafo de córnea.</w:t>
      </w:r>
    </w:p>
    <w:p w:rsidR="00332A4B" w:rsidRDefault="008930C8">
      <w:pPr>
        <w:pStyle w:val="Corpodetexto"/>
        <w:spacing w:before="1"/>
        <w:ind w:firstLine="708"/>
      </w:pPr>
      <w:r>
        <w:t xml:space="preserve">Há vários sistemas de classificação da evolução do </w:t>
      </w:r>
      <w:proofErr w:type="spellStart"/>
      <w:r>
        <w:t>ceratocone</w:t>
      </w:r>
      <w:proofErr w:type="spellEnd"/>
      <w:r>
        <w:t xml:space="preserve">. A mais aceita consiste em alterações, </w:t>
      </w:r>
      <w:proofErr w:type="spellStart"/>
      <w:r>
        <w:t>àreavaliação</w:t>
      </w:r>
      <w:proofErr w:type="spellEnd"/>
      <w:r>
        <w:t xml:space="preserve"> do paciente no máximo em um ano, com: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48"/>
        </w:tabs>
        <w:ind w:firstLine="708"/>
        <w:rPr>
          <w:sz w:val="24"/>
        </w:rPr>
      </w:pPr>
      <w:r>
        <w:rPr>
          <w:sz w:val="24"/>
        </w:rPr>
        <w:t xml:space="preserve">Aumento do astigmatismo </w:t>
      </w:r>
      <w:proofErr w:type="spellStart"/>
      <w:r>
        <w:rPr>
          <w:sz w:val="24"/>
        </w:rPr>
        <w:t>co</w:t>
      </w:r>
      <w:r>
        <w:rPr>
          <w:sz w:val="24"/>
        </w:rPr>
        <w:t>rneal</w:t>
      </w:r>
      <w:proofErr w:type="spellEnd"/>
      <w:r>
        <w:rPr>
          <w:sz w:val="24"/>
        </w:rPr>
        <w:t xml:space="preserve"> central de 1.00D ou mais;</w:t>
      </w:r>
    </w:p>
    <w:p w:rsidR="00332A4B" w:rsidRDefault="008930C8">
      <w:pPr>
        <w:pStyle w:val="PargrafodaLista"/>
        <w:numPr>
          <w:ilvl w:val="0"/>
          <w:numId w:val="4"/>
        </w:numPr>
        <w:tabs>
          <w:tab w:val="left" w:pos="948"/>
        </w:tabs>
        <w:ind w:firstLine="708"/>
        <w:rPr>
          <w:sz w:val="24"/>
        </w:rPr>
      </w:pPr>
      <w:r>
        <w:rPr>
          <w:sz w:val="24"/>
        </w:rPr>
        <w:t xml:space="preserve">Aumento da </w:t>
      </w:r>
      <w:proofErr w:type="spellStart"/>
      <w:r>
        <w:rPr>
          <w:sz w:val="24"/>
        </w:rPr>
        <w:t>ceratometria</w:t>
      </w:r>
      <w:proofErr w:type="spellEnd"/>
      <w:r>
        <w:rPr>
          <w:sz w:val="24"/>
        </w:rPr>
        <w:t xml:space="preserve"> máxima (</w:t>
      </w:r>
      <w:proofErr w:type="spellStart"/>
      <w:r>
        <w:rPr>
          <w:sz w:val="24"/>
        </w:rPr>
        <w:t>Kmax</w:t>
      </w:r>
      <w:proofErr w:type="spellEnd"/>
      <w:r>
        <w:rPr>
          <w:sz w:val="24"/>
        </w:rPr>
        <w:t>) de 1.00D ou</w:t>
      </w:r>
      <w:r>
        <w:rPr>
          <w:spacing w:val="-5"/>
          <w:sz w:val="24"/>
        </w:rPr>
        <w:t xml:space="preserve"> </w:t>
      </w:r>
      <w:r>
        <w:rPr>
          <w:sz w:val="24"/>
        </w:rPr>
        <w:t>mais;</w:t>
      </w:r>
    </w:p>
    <w:p w:rsidR="00332A4B" w:rsidRDefault="008930C8">
      <w:pPr>
        <w:pStyle w:val="Corpodetexto"/>
        <w:ind w:left="666"/>
      </w:pPr>
      <w:r>
        <w:t xml:space="preserve">- Aumento na refração subjetiva de 1.00DC ou </w:t>
      </w:r>
      <w:proofErr w:type="gramStart"/>
      <w:r>
        <w:t>mais(</w:t>
      </w:r>
      <w:proofErr w:type="gramEnd"/>
      <w:r>
        <w:t>6-9).</w:t>
      </w:r>
    </w:p>
    <w:p w:rsidR="00332A4B" w:rsidRDefault="008930C8">
      <w:pPr>
        <w:pStyle w:val="Corpodetexto"/>
        <w:ind w:right="116" w:firstLine="566"/>
        <w:jc w:val="both"/>
      </w:pPr>
      <w:r>
        <w:t xml:space="preserve">A estabilização do </w:t>
      </w:r>
      <w:proofErr w:type="spellStart"/>
      <w:r>
        <w:t>ceratocone</w:t>
      </w:r>
      <w:proofErr w:type="spellEnd"/>
      <w:r>
        <w:t xml:space="preserve"> é medida pela manutenção ou regressão dos valores de </w:t>
      </w:r>
      <w:proofErr w:type="spellStart"/>
      <w:r>
        <w:t>ceratometria</w:t>
      </w:r>
      <w:proofErr w:type="spellEnd"/>
      <w:r>
        <w:t xml:space="preserve"> (</w:t>
      </w:r>
      <w:proofErr w:type="spellStart"/>
      <w:r>
        <w:t>Kmax</w:t>
      </w:r>
      <w:proofErr w:type="spellEnd"/>
      <w:r>
        <w:t xml:space="preserve">, </w:t>
      </w:r>
      <w:proofErr w:type="spellStart"/>
      <w:r>
        <w:t>Kmed</w:t>
      </w:r>
      <w:proofErr w:type="spellEnd"/>
      <w:r>
        <w:t>) em,</w:t>
      </w:r>
      <w:r>
        <w:t xml:space="preserve"> pelo menos, um ano. Pode haver melhora nas medidas de acuidade, entretanto esta não é o objetivo do tratamento.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Corpodetexto"/>
        <w:ind w:left="666"/>
      </w:pPr>
      <w:r>
        <w:t>INDICAÇÃO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Corpodetexto"/>
        <w:ind w:right="115" w:firstLine="566"/>
        <w:jc w:val="both"/>
      </w:pPr>
      <w:r>
        <w:t xml:space="preserve">O principal objetivo do uso do </w:t>
      </w:r>
      <w:proofErr w:type="spellStart"/>
      <w:r>
        <w:t>cross-linking</w:t>
      </w:r>
      <w:proofErr w:type="spellEnd"/>
      <w:r>
        <w:t xml:space="preserve"> é conter a progressão do </w:t>
      </w:r>
      <w:proofErr w:type="spellStart"/>
      <w:r>
        <w:t>ceratocone</w:t>
      </w:r>
      <w:proofErr w:type="spellEnd"/>
      <w:r>
        <w:t>. Logo, o melhor candidato ao tratamento é o indiví</w:t>
      </w:r>
      <w:r>
        <w:t xml:space="preserve">duo com sinais claros de progressão da doença. Atualmente, não existem critérios definitivos para a progressão do </w:t>
      </w:r>
      <w:proofErr w:type="spellStart"/>
      <w:r>
        <w:t>ceratocone</w:t>
      </w:r>
      <w:proofErr w:type="spellEnd"/>
      <w:r>
        <w:t>, porém os parâmetros a serem considerados são a mudança do erro refrativo, piora da acuidade visual, bem como progressão nos valore</w:t>
      </w:r>
      <w:r>
        <w:t>s encontrados nas topografias e tomografias da córnea.</w:t>
      </w:r>
    </w:p>
    <w:p w:rsidR="00332A4B" w:rsidRDefault="008930C8">
      <w:pPr>
        <w:pStyle w:val="Corpodetexto"/>
        <w:spacing w:before="1"/>
        <w:ind w:right="116" w:firstLine="566"/>
        <w:jc w:val="both"/>
      </w:pPr>
      <w:r>
        <w:t>Estudos</w:t>
      </w:r>
      <w:r>
        <w:rPr>
          <w:spacing w:val="-3"/>
        </w:rPr>
        <w:t xml:space="preserve"> </w:t>
      </w:r>
      <w:r>
        <w:t>mostram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cross-linking</w:t>
      </w:r>
      <w:proofErr w:type="spellEnd"/>
      <w:r>
        <w:rPr>
          <w:spacing w:val="-6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eficaz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faixa</w:t>
      </w:r>
      <w:r>
        <w:rPr>
          <w:spacing w:val="-5"/>
        </w:rPr>
        <w:t xml:space="preserve"> </w:t>
      </w:r>
      <w:r>
        <w:t>etária</w:t>
      </w:r>
      <w:r>
        <w:rPr>
          <w:spacing w:val="-4"/>
        </w:rPr>
        <w:t xml:space="preserve"> </w:t>
      </w:r>
      <w:r>
        <w:t>pediátrica</w:t>
      </w:r>
      <w:r>
        <w:rPr>
          <w:spacing w:val="-5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anos)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naqueles</w:t>
      </w:r>
      <w:r>
        <w:rPr>
          <w:spacing w:val="-3"/>
        </w:rPr>
        <w:t xml:space="preserve"> </w:t>
      </w:r>
      <w:r>
        <w:t>com menos de 26 anos de idade em comparação com aqueles com mais idade. Idade acima de 35 anos e acuidade visual com correção pré-operatória melhor que 20/25 foram identificados como fatores de risco para complicação (perda de duas ou mais linhas de</w:t>
      </w:r>
      <w:r>
        <w:rPr>
          <w:spacing w:val="-3"/>
        </w:rPr>
        <w:t xml:space="preserve"> </w:t>
      </w:r>
      <w:proofErr w:type="spellStart"/>
      <w:r>
        <w:t>Snelle</w:t>
      </w:r>
      <w:r>
        <w:t>n</w:t>
      </w:r>
      <w:proofErr w:type="spellEnd"/>
      <w:r>
        <w:t>).</w:t>
      </w:r>
    </w:p>
    <w:p w:rsidR="00332A4B" w:rsidRDefault="008930C8">
      <w:pPr>
        <w:pStyle w:val="Corpodetexto"/>
        <w:ind w:left="808"/>
      </w:pPr>
      <w:r>
        <w:t>Nenhum estudo encontrado cita mais de uma aplicação por paciente.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Corpodetexto"/>
        <w:ind w:left="666"/>
      </w:pPr>
      <w:r>
        <w:t>CONTRA INDICAÇÃO</w:t>
      </w:r>
    </w:p>
    <w:p w:rsidR="00332A4B" w:rsidRDefault="008930C8">
      <w:pPr>
        <w:pStyle w:val="PargrafodaLista"/>
        <w:numPr>
          <w:ilvl w:val="0"/>
          <w:numId w:val="3"/>
        </w:numPr>
        <w:tabs>
          <w:tab w:val="left" w:pos="948"/>
        </w:tabs>
        <w:ind w:firstLine="142"/>
        <w:rPr>
          <w:sz w:val="24"/>
        </w:rPr>
      </w:pPr>
      <w:r>
        <w:rPr>
          <w:sz w:val="24"/>
        </w:rPr>
        <w:t xml:space="preserve">Espessura </w:t>
      </w:r>
      <w:proofErr w:type="spellStart"/>
      <w:r>
        <w:rPr>
          <w:sz w:val="24"/>
        </w:rPr>
        <w:t>corneana</w:t>
      </w:r>
      <w:proofErr w:type="spellEnd"/>
      <w:r>
        <w:rPr>
          <w:sz w:val="24"/>
        </w:rPr>
        <w:t xml:space="preserve"> menor que 400 micrômetros para uso do protocolo</w:t>
      </w:r>
      <w:r>
        <w:rPr>
          <w:spacing w:val="-3"/>
          <w:sz w:val="24"/>
        </w:rPr>
        <w:t xml:space="preserve"> </w:t>
      </w:r>
      <w:r>
        <w:rPr>
          <w:sz w:val="24"/>
        </w:rPr>
        <w:t>clássico;</w:t>
      </w:r>
    </w:p>
    <w:p w:rsidR="00332A4B" w:rsidRDefault="008930C8">
      <w:pPr>
        <w:pStyle w:val="PargrafodaLista"/>
        <w:numPr>
          <w:ilvl w:val="0"/>
          <w:numId w:val="3"/>
        </w:numPr>
        <w:tabs>
          <w:tab w:val="left" w:pos="951"/>
        </w:tabs>
        <w:ind w:left="950" w:hanging="142"/>
        <w:rPr>
          <w:sz w:val="24"/>
        </w:rPr>
      </w:pPr>
      <w:r>
        <w:rPr>
          <w:sz w:val="24"/>
        </w:rPr>
        <w:t>Infecção herpética</w:t>
      </w:r>
      <w:r>
        <w:rPr>
          <w:spacing w:val="-2"/>
          <w:sz w:val="24"/>
        </w:rPr>
        <w:t xml:space="preserve"> </w:t>
      </w:r>
      <w:r>
        <w:rPr>
          <w:sz w:val="24"/>
        </w:rPr>
        <w:t>prévia;</w:t>
      </w:r>
    </w:p>
    <w:p w:rsidR="00332A4B" w:rsidRDefault="008930C8">
      <w:pPr>
        <w:pStyle w:val="PargrafodaLista"/>
        <w:numPr>
          <w:ilvl w:val="0"/>
          <w:numId w:val="3"/>
        </w:numPr>
        <w:tabs>
          <w:tab w:val="left" w:pos="951"/>
        </w:tabs>
        <w:ind w:left="950" w:hanging="142"/>
        <w:rPr>
          <w:sz w:val="24"/>
        </w:rPr>
      </w:pPr>
      <w:r>
        <w:rPr>
          <w:sz w:val="24"/>
        </w:rPr>
        <w:t>Infecção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concomitante;</w:t>
      </w:r>
    </w:p>
    <w:p w:rsidR="00332A4B" w:rsidRDefault="008930C8">
      <w:pPr>
        <w:pStyle w:val="PargrafodaLista"/>
        <w:numPr>
          <w:ilvl w:val="0"/>
          <w:numId w:val="3"/>
        </w:numPr>
        <w:tabs>
          <w:tab w:val="left" w:pos="948"/>
        </w:tabs>
        <w:ind w:firstLine="142"/>
        <w:rPr>
          <w:sz w:val="24"/>
        </w:rPr>
      </w:pPr>
      <w:r>
        <w:rPr>
          <w:sz w:val="24"/>
        </w:rPr>
        <w:t xml:space="preserve">Cicatriz </w:t>
      </w:r>
      <w:proofErr w:type="spellStart"/>
      <w:r>
        <w:rPr>
          <w:sz w:val="24"/>
        </w:rPr>
        <w:t>corneana</w:t>
      </w:r>
      <w:proofErr w:type="spellEnd"/>
      <w:r>
        <w:rPr>
          <w:sz w:val="24"/>
        </w:rPr>
        <w:t xml:space="preserve"> grave ou </w:t>
      </w:r>
      <w:proofErr w:type="spellStart"/>
      <w:r>
        <w:rPr>
          <w:sz w:val="24"/>
        </w:rPr>
        <w:t>opacificação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c</w:t>
      </w:r>
      <w:r>
        <w:rPr>
          <w:sz w:val="24"/>
        </w:rPr>
        <w:t>orneana</w:t>
      </w:r>
      <w:proofErr w:type="spellEnd"/>
      <w:r>
        <w:rPr>
          <w:sz w:val="24"/>
        </w:rPr>
        <w:t>;</w:t>
      </w:r>
    </w:p>
    <w:p w:rsidR="00332A4B" w:rsidRDefault="008930C8">
      <w:pPr>
        <w:pStyle w:val="PargrafodaLista"/>
        <w:numPr>
          <w:ilvl w:val="0"/>
          <w:numId w:val="3"/>
        </w:numPr>
        <w:tabs>
          <w:tab w:val="left" w:pos="948"/>
        </w:tabs>
        <w:ind w:firstLine="142"/>
        <w:rPr>
          <w:sz w:val="24"/>
        </w:rPr>
      </w:pPr>
      <w:r>
        <w:rPr>
          <w:sz w:val="24"/>
        </w:rPr>
        <w:t>Doença de superfície ocular grave;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ou</w:t>
      </w:r>
      <w:proofErr w:type="gramEnd"/>
    </w:p>
    <w:p w:rsidR="00332A4B" w:rsidRDefault="008930C8">
      <w:pPr>
        <w:pStyle w:val="PargrafodaLista"/>
        <w:numPr>
          <w:ilvl w:val="0"/>
          <w:numId w:val="3"/>
        </w:numPr>
        <w:tabs>
          <w:tab w:val="left" w:pos="948"/>
        </w:tabs>
        <w:spacing w:line="480" w:lineRule="auto"/>
        <w:ind w:right="7792" w:firstLine="142"/>
        <w:rPr>
          <w:sz w:val="24"/>
        </w:rPr>
      </w:pPr>
      <w:r>
        <w:rPr>
          <w:sz w:val="24"/>
        </w:rPr>
        <w:t xml:space="preserve">Doença </w:t>
      </w:r>
      <w:proofErr w:type="spellStart"/>
      <w:proofErr w:type="gramStart"/>
      <w:r>
        <w:rPr>
          <w:sz w:val="24"/>
        </w:rPr>
        <w:t>auto-imune</w:t>
      </w:r>
      <w:proofErr w:type="spellEnd"/>
      <w:proofErr w:type="gramEnd"/>
      <w:r>
        <w:rPr>
          <w:sz w:val="24"/>
        </w:rPr>
        <w:t>. TÉCNICAS</w:t>
      </w:r>
    </w:p>
    <w:p w:rsidR="00332A4B" w:rsidRDefault="008930C8">
      <w:pPr>
        <w:pStyle w:val="Corpodetexto"/>
        <w:ind w:right="113" w:firstLine="566"/>
        <w:jc w:val="both"/>
      </w:pPr>
      <w:r>
        <w:t xml:space="preserve">O </w:t>
      </w:r>
      <w:proofErr w:type="spellStart"/>
      <w:r>
        <w:t>cross-linking</w:t>
      </w:r>
      <w:proofErr w:type="spellEnd"/>
      <w:r>
        <w:t xml:space="preserve"> consiste em procedimento terapêutico minimamente invasivo que visa a bloquear a evolução do </w:t>
      </w:r>
      <w:proofErr w:type="spellStart"/>
      <w:r>
        <w:t>ceratocone</w:t>
      </w:r>
      <w:proofErr w:type="spellEnd"/>
      <w:r>
        <w:t>, por meio do aumento da força biomecânica, levando ao enrijeci</w:t>
      </w:r>
      <w:r>
        <w:t xml:space="preserve">mento do tecido da córnea. Este fenômeno ocorre pela criação adicional de ligações químicas no estroma </w:t>
      </w:r>
      <w:proofErr w:type="spellStart"/>
      <w:r>
        <w:t>corneal</w:t>
      </w:r>
      <w:proofErr w:type="spellEnd"/>
      <w:r>
        <w:t xml:space="preserve">, por meio de </w:t>
      </w:r>
      <w:proofErr w:type="spellStart"/>
      <w:r>
        <w:t>fotopolimerização</w:t>
      </w:r>
      <w:proofErr w:type="spellEnd"/>
      <w:r>
        <w:t xml:space="preserve"> altamente localizada que minimiza a exposição de estruturas adjacentes do olho. Esta metodologia foi desenvolvida </w:t>
      </w:r>
      <w:r>
        <w:t>em meados dos anos 1990, por pesquisadores da Universidade de Dresden, Alemanha,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observado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fisiológico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cross-linking</w:t>
      </w:r>
      <w:proofErr w:type="spellEnd"/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tecido</w:t>
      </w:r>
      <w:r>
        <w:rPr>
          <w:spacing w:val="-3"/>
        </w:rPr>
        <w:t xml:space="preserve"> </w:t>
      </w:r>
      <w:r>
        <w:t>conectivo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 xml:space="preserve">pacientes com diabete </w:t>
      </w:r>
      <w:proofErr w:type="spellStart"/>
      <w:r>
        <w:t>mélito</w:t>
      </w:r>
      <w:proofErr w:type="spellEnd"/>
      <w:r>
        <w:t xml:space="preserve"> e angina. Na córnea, com o avanço da idade do indivíduo, as fibras de colágeno desenvolvem naturalmente quantidade superior de ligações covalentes, o que explica a estabilização do </w:t>
      </w:r>
      <w:proofErr w:type="spellStart"/>
      <w:r>
        <w:t>ceratocone</w:t>
      </w:r>
      <w:proofErr w:type="spellEnd"/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paciente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maior</w:t>
      </w:r>
      <w:r>
        <w:rPr>
          <w:spacing w:val="-7"/>
        </w:rPr>
        <w:t xml:space="preserve"> </w:t>
      </w:r>
      <w:proofErr w:type="gramStart"/>
      <w:r>
        <w:t>idade(</w:t>
      </w:r>
      <w:proofErr w:type="gramEnd"/>
      <w:r>
        <w:t>9,10).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clássica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proofErr w:type="spellStart"/>
      <w:r>
        <w:t>cross-linking</w:t>
      </w:r>
      <w:proofErr w:type="spellEnd"/>
      <w:r>
        <w:rPr>
          <w:spacing w:val="-7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realizada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 xml:space="preserve">ou sem remoção do epitélio </w:t>
      </w:r>
      <w:proofErr w:type="spellStart"/>
      <w:r>
        <w:t>corneal</w:t>
      </w:r>
      <w:proofErr w:type="spellEnd"/>
      <w:r>
        <w:t xml:space="preserve"> (cerca de </w:t>
      </w:r>
      <w:proofErr w:type="gramStart"/>
      <w:r>
        <w:t>7mm</w:t>
      </w:r>
      <w:proofErr w:type="gramEnd"/>
      <w:r>
        <w:t xml:space="preserve"> de diâmetro), mediante anestesia tópica. Utiliza solução de riboflavina</w:t>
      </w:r>
      <w:r>
        <w:rPr>
          <w:spacing w:val="-10"/>
        </w:rPr>
        <w:t xml:space="preserve"> </w:t>
      </w:r>
      <w:r>
        <w:t>(vitamina</w:t>
      </w:r>
      <w:r>
        <w:rPr>
          <w:spacing w:val="-10"/>
        </w:rPr>
        <w:t xml:space="preserve"> </w:t>
      </w:r>
      <w:r>
        <w:t>B2)</w:t>
      </w:r>
      <w:r>
        <w:rPr>
          <w:spacing w:val="-7"/>
        </w:rPr>
        <w:t xml:space="preserve"> </w:t>
      </w:r>
      <w:r>
        <w:t>isotônica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0,1%,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tópica,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cinco</w:t>
      </w:r>
      <w:r>
        <w:rPr>
          <w:spacing w:val="-9"/>
        </w:rPr>
        <w:t xml:space="preserve"> </w:t>
      </w:r>
      <w:r>
        <w:t>minut</w:t>
      </w:r>
      <w:r>
        <w:t>os,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longo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meia hora, para saturar o estroma </w:t>
      </w:r>
      <w:proofErr w:type="spellStart"/>
      <w:r>
        <w:t>corneal</w:t>
      </w:r>
      <w:proofErr w:type="spellEnd"/>
      <w:r>
        <w:t xml:space="preserve">. A riboflavina age como um </w:t>
      </w:r>
      <w:proofErr w:type="spellStart"/>
      <w:r>
        <w:t>fotossensibilizador</w:t>
      </w:r>
      <w:proofErr w:type="spellEnd"/>
      <w:r>
        <w:t xml:space="preserve"> que aumenta a absorção da</w:t>
      </w:r>
      <w:r>
        <w:rPr>
          <w:spacing w:val="-5"/>
        </w:rPr>
        <w:t xml:space="preserve"> </w:t>
      </w:r>
      <w:r>
        <w:t>luz</w:t>
      </w:r>
      <w:r>
        <w:rPr>
          <w:spacing w:val="-2"/>
        </w:rPr>
        <w:t xml:space="preserve"> </w:t>
      </w:r>
      <w:r>
        <w:t>ultravioleta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córnea.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radiação</w:t>
      </w:r>
      <w:r>
        <w:rPr>
          <w:spacing w:val="-4"/>
        </w:rPr>
        <w:t xml:space="preserve"> </w:t>
      </w:r>
      <w:r>
        <w:t>ultravioleta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aplicada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365nm,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minutos,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5</w:t>
      </w:r>
      <w:proofErr w:type="gramEnd"/>
      <w:r>
        <w:rPr>
          <w:spacing w:val="-4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 xml:space="preserve">da córnea. Após a irradiação, o olho é enxaguado com solução fisiológica, aplicado colírio antibiótico e </w:t>
      </w:r>
      <w:proofErr w:type="spellStart"/>
      <w:r>
        <w:t>anti</w:t>
      </w:r>
      <w:proofErr w:type="spellEnd"/>
      <w:r>
        <w:t>- inflamatório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colocada</w:t>
      </w:r>
      <w:r>
        <w:rPr>
          <w:spacing w:val="-12"/>
        </w:rPr>
        <w:t xml:space="preserve"> </w:t>
      </w:r>
      <w:r>
        <w:t>lente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contatoprotetora</w:t>
      </w:r>
      <w:proofErr w:type="spellEnd"/>
      <w:r>
        <w:t>.</w:t>
      </w:r>
      <w:r>
        <w:rPr>
          <w:spacing w:val="-8"/>
        </w:rPr>
        <w:t xml:space="preserve"> </w:t>
      </w:r>
      <w:r>
        <w:t>Estes</w:t>
      </w:r>
      <w:r>
        <w:rPr>
          <w:spacing w:val="-10"/>
        </w:rPr>
        <w:t xml:space="preserve"> </w:t>
      </w:r>
      <w:r>
        <w:t>colírios,</w:t>
      </w:r>
      <w:r>
        <w:rPr>
          <w:spacing w:val="-11"/>
        </w:rPr>
        <w:t xml:space="preserve"> </w:t>
      </w:r>
      <w:r>
        <w:t>além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lubrificante</w:t>
      </w:r>
      <w:r>
        <w:rPr>
          <w:spacing w:val="-8"/>
        </w:rPr>
        <w:t xml:space="preserve"> </w:t>
      </w:r>
      <w:r>
        <w:t>ocular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analgésicos,</w:t>
      </w:r>
      <w:r>
        <w:rPr>
          <w:spacing w:val="-10"/>
        </w:rPr>
        <w:t xml:space="preserve"> </w:t>
      </w:r>
      <w:r>
        <w:t xml:space="preserve">são mantidos no </w:t>
      </w:r>
      <w:proofErr w:type="spellStart"/>
      <w:r>
        <w:t>pósoperatório</w:t>
      </w:r>
      <w:proofErr w:type="spellEnd"/>
      <w:r>
        <w:t xml:space="preserve"> por </w:t>
      </w:r>
      <w:proofErr w:type="gramStart"/>
      <w:r>
        <w:t>1</w:t>
      </w:r>
      <w:proofErr w:type="gramEnd"/>
      <w:r>
        <w:t xml:space="preserve"> semana. Neste período o paciente pode apresentar dor, lacrimejamento e </w:t>
      </w:r>
      <w:proofErr w:type="spellStart"/>
      <w:r>
        <w:t>embaçamento</w:t>
      </w:r>
      <w:proofErr w:type="spellEnd"/>
      <w:r>
        <w:t xml:space="preserve"> visual. Há também descrição na literatura de variações da técnica clássica, em geral, por meio de equipamentos que possibilitam a redução do tempo do</w:t>
      </w:r>
      <w:r>
        <w:rPr>
          <w:spacing w:val="-4"/>
        </w:rPr>
        <w:t xml:space="preserve"> </w:t>
      </w:r>
      <w:proofErr w:type="gramStart"/>
      <w:r>
        <w:t>procedimento(</w:t>
      </w:r>
      <w:proofErr w:type="gramEnd"/>
      <w:r>
        <w:t>6).</w:t>
      </w:r>
    </w:p>
    <w:p w:rsidR="00332A4B" w:rsidRDefault="00332A4B">
      <w:pPr>
        <w:pStyle w:val="Corpodetexto"/>
        <w:spacing w:before="11"/>
        <w:ind w:left="0"/>
        <w:rPr>
          <w:sz w:val="23"/>
        </w:rPr>
      </w:pPr>
    </w:p>
    <w:p w:rsidR="00332A4B" w:rsidRDefault="008930C8">
      <w:pPr>
        <w:pStyle w:val="Corpodetexto"/>
        <w:ind w:left="666"/>
      </w:pPr>
      <w:r>
        <w:t>COMP</w:t>
      </w:r>
      <w:r>
        <w:t>LICAÇÕES</w:t>
      </w:r>
    </w:p>
    <w:p w:rsidR="00332A4B" w:rsidRDefault="00332A4B">
      <w:pPr>
        <w:sectPr w:rsidR="00332A4B">
          <w:pgSz w:w="11910" w:h="16840"/>
          <w:pgMar w:top="620" w:right="600" w:bottom="280" w:left="620" w:header="720" w:footer="720" w:gutter="0"/>
          <w:cols w:space="720"/>
        </w:sectPr>
      </w:pPr>
    </w:p>
    <w:p w:rsidR="00332A4B" w:rsidRDefault="008930C8">
      <w:pPr>
        <w:pStyle w:val="Corpodetexto"/>
        <w:spacing w:before="69"/>
        <w:ind w:right="119" w:firstLine="566"/>
        <w:jc w:val="both"/>
      </w:pPr>
      <w:r>
        <w:lastRenderedPageBreak/>
        <w:t xml:space="preserve">O risco </w:t>
      </w:r>
      <w:proofErr w:type="spellStart"/>
      <w:r>
        <w:t>per-operatório</w:t>
      </w:r>
      <w:proofErr w:type="spellEnd"/>
      <w:r>
        <w:t xml:space="preserve"> e de complicações pós-operatórias é menor que 1%, e, dos casos publicados, a infecção pós-operatória foi resolvida com tratamento clínico, sendo que nenhum paciente perdeu a visão irreversivelmente (11).</w:t>
      </w:r>
    </w:p>
    <w:p w:rsidR="00332A4B" w:rsidRDefault="00332A4B">
      <w:pPr>
        <w:pStyle w:val="Corpodetexto"/>
        <w:spacing w:before="1"/>
        <w:ind w:left="0"/>
      </w:pPr>
    </w:p>
    <w:p w:rsidR="00332A4B" w:rsidRDefault="008930C8">
      <w:pPr>
        <w:pStyle w:val="Corpodetexto"/>
        <w:ind w:left="666"/>
      </w:pPr>
      <w:r>
        <w:t>REGULAÇÃO, CONTROLE E AVALIAÇÃO PELO GESTOR.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Corpodetexto"/>
        <w:ind w:right="114" w:firstLine="566"/>
        <w:jc w:val="both"/>
      </w:pPr>
      <w:r>
        <w:t>Doentes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indicação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radiação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proofErr w:type="spellStart"/>
      <w:r>
        <w:t>cross-linking</w:t>
      </w:r>
      <w:proofErr w:type="spellEnd"/>
      <w:r>
        <w:rPr>
          <w:spacing w:val="-6"/>
        </w:rPr>
        <w:t xml:space="preserve"> </w:t>
      </w:r>
      <w:proofErr w:type="spellStart"/>
      <w:r>
        <w:t>corneano</w:t>
      </w:r>
      <w:proofErr w:type="spellEnd"/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r>
        <w:t>ceratocone</w:t>
      </w:r>
      <w:proofErr w:type="spellEnd"/>
      <w:r>
        <w:rPr>
          <w:spacing w:val="-5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ser atendidos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especializados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oftalmologia,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definido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288/SAS/MS,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 de maio de 2008, e com porte tecnológico suficiente para avaliar e realizar o procedimento e o acompanhamento dos indivíduos tratados, para o adequado atendimento e obtenção dos resultados terapêuticos</w:t>
      </w:r>
      <w:r>
        <w:rPr>
          <w:spacing w:val="1"/>
        </w:rPr>
        <w:t xml:space="preserve"> </w:t>
      </w:r>
      <w:r>
        <w:t>esperados.</w:t>
      </w:r>
    </w:p>
    <w:p w:rsidR="00332A4B" w:rsidRDefault="008930C8">
      <w:pPr>
        <w:pStyle w:val="Corpodetexto"/>
        <w:ind w:right="114" w:firstLine="566"/>
        <w:jc w:val="both"/>
      </w:pPr>
      <w:r>
        <w:t>A regulação do acesso é um componente es</w:t>
      </w:r>
      <w:r>
        <w:t>sencial da gestão para a organização da rede assistencial e garantia do atendimento dos doentes, e muito facilita as ações de controle e avaliação. Estas incluem, entre outras: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manutenção</w:t>
      </w:r>
      <w:r>
        <w:rPr>
          <w:spacing w:val="-5"/>
        </w:rPr>
        <w:t xml:space="preserve"> </w:t>
      </w:r>
      <w:r>
        <w:t>atualizada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Estabelecimentos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(CNE</w:t>
      </w:r>
      <w:r>
        <w:t>S);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autorização prévia dos procedimentos; o monitoramento da produção dos procedimentos (por exemplo, frequência apresentada versus autorizada, valores apresentados versus autorizados versus ressarcidos), entre outras. Ações de auditoria devem verificar </w:t>
      </w:r>
      <w:r>
        <w:t>in loco, por exemplo, a observância deste Protocolo; regulação do acesso assistencial;</w:t>
      </w:r>
      <w:r>
        <w:rPr>
          <w:spacing w:val="-7"/>
        </w:rPr>
        <w:t xml:space="preserve"> </w:t>
      </w:r>
      <w:r>
        <w:t>qualidade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autorização;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conformidade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indicação,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acompanhamento; compatibilidade do procedimento codificado com o diagnóstico; a compatibilida</w:t>
      </w:r>
      <w:r>
        <w:t>de da cobrança com os serviços executados; a abrangência e a integralidade assistenciais; e o grau de satisfação dos</w:t>
      </w:r>
      <w:r>
        <w:rPr>
          <w:spacing w:val="-8"/>
        </w:rPr>
        <w:t xml:space="preserve"> </w:t>
      </w:r>
      <w:r>
        <w:t>doentes.</w:t>
      </w:r>
    </w:p>
    <w:p w:rsidR="00332A4B" w:rsidRDefault="008930C8">
      <w:pPr>
        <w:pStyle w:val="Corpodetexto"/>
        <w:spacing w:before="1"/>
        <w:ind w:right="104" w:firstLine="566"/>
      </w:pPr>
      <w:r>
        <w:t xml:space="preserve">Constam da Tabela de Procedimentos, Medicamentos, Órteses, Próteses e Materiais Especiais do SUS os seguintes </w:t>
      </w:r>
      <w:proofErr w:type="spellStart"/>
      <w:r>
        <w:t>procedimentosespecíf</w:t>
      </w:r>
      <w:r>
        <w:t>icos</w:t>
      </w:r>
      <w:proofErr w:type="spellEnd"/>
      <w:r>
        <w:t xml:space="preserve"> para o tratamento do </w:t>
      </w:r>
      <w:proofErr w:type="spellStart"/>
      <w:r>
        <w:t>ceratocone</w:t>
      </w:r>
      <w:proofErr w:type="spellEnd"/>
      <w:r>
        <w:t>, excludentes entre si:</w:t>
      </w:r>
    </w:p>
    <w:p w:rsidR="00332A4B" w:rsidRDefault="008930C8">
      <w:pPr>
        <w:pStyle w:val="Corpodetexto"/>
        <w:ind w:left="666"/>
      </w:pPr>
      <w:r>
        <w:t>04.05.05.014-3-IMPLANTE INTRAESTROMAL e</w:t>
      </w:r>
    </w:p>
    <w:p w:rsidR="00332A4B" w:rsidRDefault="008930C8">
      <w:pPr>
        <w:pStyle w:val="Corpodetexto"/>
        <w:ind w:left="666"/>
      </w:pPr>
      <w:r>
        <w:t>04.05.05.040-2 - RADIAÇÃO PARA CROSS-LINKING CORNEANO.</w:t>
      </w:r>
    </w:p>
    <w:p w:rsidR="00332A4B" w:rsidRDefault="008930C8">
      <w:pPr>
        <w:pStyle w:val="Corpodetexto"/>
        <w:ind w:right="116" w:firstLine="566"/>
        <w:jc w:val="both"/>
      </w:pPr>
      <w:r>
        <w:t xml:space="preserve">Ressalta-se que o procedimento 04.05.05.040-2 - Radiação para </w:t>
      </w:r>
      <w:proofErr w:type="spellStart"/>
      <w:r>
        <w:t>cross-linkingcorneano</w:t>
      </w:r>
      <w:proofErr w:type="spellEnd"/>
      <w:r>
        <w:t xml:space="preserve"> inclui o colírio necessário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procedimento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transplante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córnea</w:t>
      </w:r>
      <w:r>
        <w:rPr>
          <w:spacing w:val="-11"/>
        </w:rPr>
        <w:t xml:space="preserve"> </w:t>
      </w:r>
      <w:r>
        <w:t>continua</w:t>
      </w:r>
      <w:r>
        <w:rPr>
          <w:spacing w:val="-8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convencional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casos graves, que é indicado em cerca de 10% a 20% do</w:t>
      </w:r>
      <w:r>
        <w:t>s casos de</w:t>
      </w:r>
      <w:r>
        <w:rPr>
          <w:spacing w:val="-2"/>
        </w:rPr>
        <w:t xml:space="preserve"> </w:t>
      </w:r>
      <w:proofErr w:type="spellStart"/>
      <w:r>
        <w:t>ceratocone</w:t>
      </w:r>
      <w:proofErr w:type="spellEnd"/>
      <w:r>
        <w:t>.</w:t>
      </w:r>
    </w:p>
    <w:p w:rsidR="00332A4B" w:rsidRDefault="008930C8">
      <w:pPr>
        <w:pStyle w:val="Corpodetexto"/>
        <w:ind w:right="113" w:firstLine="708"/>
        <w:jc w:val="both"/>
      </w:pPr>
      <w:r>
        <w:t>Relativamente</w:t>
      </w:r>
      <w:r>
        <w:rPr>
          <w:spacing w:val="-15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transplante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córnea,</w:t>
      </w:r>
      <w:r>
        <w:rPr>
          <w:spacing w:val="-13"/>
        </w:rPr>
        <w:t xml:space="preserve"> </w:t>
      </w:r>
      <w:r>
        <w:t>constam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Tabela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Procedimentos,</w:t>
      </w:r>
      <w:r>
        <w:rPr>
          <w:spacing w:val="-13"/>
        </w:rPr>
        <w:t xml:space="preserve"> </w:t>
      </w:r>
      <w:r>
        <w:t>Medicamentos,</w:t>
      </w:r>
      <w:r>
        <w:rPr>
          <w:spacing w:val="-10"/>
        </w:rPr>
        <w:t xml:space="preserve"> </w:t>
      </w:r>
      <w:r>
        <w:t>Órteses, Próteses e Materiais Especiais do SUS os seguintes</w:t>
      </w:r>
      <w:r>
        <w:rPr>
          <w:spacing w:val="-3"/>
        </w:rPr>
        <w:t xml:space="preserve"> </w:t>
      </w:r>
      <w:r>
        <w:t>procedimentos:</w:t>
      </w:r>
    </w:p>
    <w:p w:rsidR="00332A4B" w:rsidRDefault="008930C8">
      <w:pPr>
        <w:pStyle w:val="Corpodetexto"/>
        <w:ind w:left="666"/>
      </w:pPr>
      <w:r>
        <w:t xml:space="preserve">05.05.01.009-7 - </w:t>
      </w:r>
      <w:proofErr w:type="gramStart"/>
      <w:r>
        <w:t>TRANSPLANTE</w:t>
      </w:r>
      <w:proofErr w:type="gramEnd"/>
      <w:r>
        <w:t xml:space="preserve"> DE CÓRNEA,</w:t>
      </w:r>
    </w:p>
    <w:p w:rsidR="00332A4B" w:rsidRDefault="008930C8">
      <w:pPr>
        <w:pStyle w:val="Corpodetexto"/>
        <w:ind w:left="666"/>
      </w:pPr>
      <w:r>
        <w:t>05.05.01.010-0 - TRANSPLANTE</w:t>
      </w:r>
      <w:r>
        <w:t xml:space="preserve"> DE CÓRNEA (EM CIRURGIAS COMBINADAS),</w:t>
      </w:r>
    </w:p>
    <w:p w:rsidR="00332A4B" w:rsidRDefault="008930C8">
      <w:pPr>
        <w:pStyle w:val="Corpodetexto"/>
        <w:ind w:left="666"/>
      </w:pPr>
      <w:r>
        <w:t xml:space="preserve">05.05.01.011-9 - </w:t>
      </w:r>
      <w:proofErr w:type="gramStart"/>
      <w:r>
        <w:t>TRANSPLANTE</w:t>
      </w:r>
      <w:proofErr w:type="gramEnd"/>
      <w:r>
        <w:t xml:space="preserve"> DE CÓRNEA (EM REOPERAÇÕES) e</w:t>
      </w:r>
    </w:p>
    <w:p w:rsidR="00332A4B" w:rsidRDefault="008930C8">
      <w:pPr>
        <w:pStyle w:val="Corpodetexto"/>
        <w:ind w:left="666"/>
      </w:pPr>
      <w:r>
        <w:t>05.06.01.001-5 - ACOMPANHAMENTO DE PACIENTE PÓS-TRANSPLANTE DE CÓRNEA.</w:t>
      </w:r>
    </w:p>
    <w:p w:rsidR="00332A4B" w:rsidRDefault="008930C8">
      <w:pPr>
        <w:pStyle w:val="Corpodetexto"/>
        <w:ind w:right="122" w:firstLine="708"/>
        <w:jc w:val="both"/>
      </w:pPr>
      <w:r>
        <w:t xml:space="preserve">Cada serviço deve coletar rotineiramente seus dados e computar os resultados, detectando </w:t>
      </w:r>
      <w:r>
        <w:t>possíveis nichos suspeitos de resultados piores para análise detalhada de suas causas, pois os dados negativos podem apenas sugerir um pior resultado associado, por exemplo, a um perfil assistencial a pacientes mais graves.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Corpodetexto"/>
        <w:spacing w:before="1"/>
        <w:ind w:left="666"/>
      </w:pPr>
      <w:r>
        <w:t>TERMO DE ESCLARECIMENTO E RESPO</w:t>
      </w:r>
      <w:r>
        <w:t>NSABILIDADE</w:t>
      </w:r>
    </w:p>
    <w:p w:rsidR="00332A4B" w:rsidRDefault="008930C8">
      <w:pPr>
        <w:pStyle w:val="Corpodetexto"/>
        <w:ind w:right="112" w:firstLine="566"/>
        <w:jc w:val="both"/>
      </w:pPr>
      <w:r>
        <w:t xml:space="preserve">É obrigatória a informação ao paciente, ou a seu responsável legal, dos potenciais riscos, benefícios e eventos adversos relacionados à radiação para </w:t>
      </w:r>
      <w:proofErr w:type="spellStart"/>
      <w:r>
        <w:t>cross-linking</w:t>
      </w:r>
      <w:proofErr w:type="spellEnd"/>
      <w:r>
        <w:t xml:space="preserve"> </w:t>
      </w:r>
      <w:proofErr w:type="spellStart"/>
      <w:r>
        <w:t>corneano</w:t>
      </w:r>
      <w:proofErr w:type="spellEnd"/>
      <w:r>
        <w:t xml:space="preserve"> no tratamento do </w:t>
      </w:r>
      <w:proofErr w:type="spellStart"/>
      <w:r>
        <w:t>ceratocone</w:t>
      </w:r>
      <w:proofErr w:type="spellEnd"/>
      <w:r>
        <w:t>, o que poderá ser formalizado por meio da assinatura de</w:t>
      </w:r>
      <w:r>
        <w:t xml:space="preserve"> Termo de Esclarecimento e Responsabilidade.</w:t>
      </w:r>
    </w:p>
    <w:p w:rsidR="00332A4B" w:rsidRDefault="00332A4B">
      <w:pPr>
        <w:pStyle w:val="Corpodetexto"/>
        <w:ind w:left="0"/>
        <w:rPr>
          <w:sz w:val="26"/>
        </w:rPr>
      </w:pPr>
    </w:p>
    <w:p w:rsidR="00332A4B" w:rsidRDefault="00332A4B">
      <w:pPr>
        <w:pStyle w:val="Corpodetexto"/>
        <w:ind w:left="0"/>
        <w:rPr>
          <w:sz w:val="22"/>
        </w:rPr>
      </w:pPr>
    </w:p>
    <w:p w:rsidR="00332A4B" w:rsidRDefault="008930C8">
      <w:pPr>
        <w:pStyle w:val="Corpodetexto"/>
        <w:ind w:left="666"/>
      </w:pPr>
      <w:r>
        <w:t>REFERÊNCIAS</w:t>
      </w:r>
    </w:p>
    <w:p w:rsidR="00332A4B" w:rsidRDefault="00332A4B">
      <w:pPr>
        <w:pStyle w:val="Corpodetexto"/>
        <w:ind w:left="0"/>
      </w:pPr>
    </w:p>
    <w:p w:rsidR="00332A4B" w:rsidRDefault="008930C8">
      <w:pPr>
        <w:pStyle w:val="PargrafodaLista"/>
        <w:numPr>
          <w:ilvl w:val="0"/>
          <w:numId w:val="2"/>
        </w:numPr>
        <w:tabs>
          <w:tab w:val="left" w:pos="924"/>
        </w:tabs>
        <w:ind w:right="118" w:firstLine="566"/>
        <w:rPr>
          <w:sz w:val="24"/>
        </w:rPr>
      </w:pPr>
      <w:r w:rsidRPr="008930C8">
        <w:rPr>
          <w:sz w:val="24"/>
          <w:lang w:val="en-US"/>
        </w:rPr>
        <w:t>Kennedy</w:t>
      </w:r>
      <w:r w:rsidRPr="008930C8">
        <w:rPr>
          <w:spacing w:val="-9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RH,</w:t>
      </w:r>
      <w:r w:rsidRPr="008930C8">
        <w:rPr>
          <w:spacing w:val="-3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Bourne</w:t>
      </w:r>
      <w:r w:rsidRPr="008930C8">
        <w:rPr>
          <w:spacing w:val="-5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WM,</w:t>
      </w:r>
      <w:r w:rsidRPr="008930C8">
        <w:rPr>
          <w:spacing w:val="-3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Dyer</w:t>
      </w:r>
      <w:r w:rsidRPr="008930C8">
        <w:rPr>
          <w:spacing w:val="-5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JA.</w:t>
      </w:r>
      <w:r w:rsidRPr="008930C8">
        <w:rPr>
          <w:spacing w:val="-3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A</w:t>
      </w:r>
      <w:r w:rsidRPr="008930C8">
        <w:rPr>
          <w:spacing w:val="-4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48-year</w:t>
      </w:r>
      <w:r w:rsidRPr="008930C8">
        <w:rPr>
          <w:spacing w:val="-1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clinical</w:t>
      </w:r>
      <w:r w:rsidRPr="008930C8">
        <w:rPr>
          <w:spacing w:val="-3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and</w:t>
      </w:r>
      <w:r w:rsidRPr="008930C8">
        <w:rPr>
          <w:spacing w:val="-3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epidemiologic</w:t>
      </w:r>
      <w:r w:rsidRPr="008930C8">
        <w:rPr>
          <w:spacing w:val="-4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study</w:t>
      </w:r>
      <w:r w:rsidRPr="008930C8">
        <w:rPr>
          <w:spacing w:val="-10"/>
          <w:sz w:val="24"/>
          <w:lang w:val="en-US"/>
        </w:rPr>
        <w:t xml:space="preserve"> </w:t>
      </w:r>
      <w:proofErr w:type="spellStart"/>
      <w:r w:rsidRPr="008930C8">
        <w:rPr>
          <w:sz w:val="24"/>
          <w:lang w:val="en-US"/>
        </w:rPr>
        <w:t>ofkeratoconus</w:t>
      </w:r>
      <w:proofErr w:type="spellEnd"/>
      <w:r w:rsidRPr="008930C8">
        <w:rPr>
          <w:sz w:val="24"/>
          <w:lang w:val="en-US"/>
        </w:rPr>
        <w:t>.</w:t>
      </w:r>
      <w:r w:rsidRPr="008930C8">
        <w:rPr>
          <w:spacing w:val="-4"/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</w:rPr>
        <w:t>Am</w:t>
      </w:r>
      <w:proofErr w:type="spellEnd"/>
      <w:proofErr w:type="gramEnd"/>
      <w:r>
        <w:rPr>
          <w:sz w:val="24"/>
        </w:rPr>
        <w:t xml:space="preserve"> J </w:t>
      </w:r>
      <w:proofErr w:type="spellStart"/>
      <w:r>
        <w:rPr>
          <w:sz w:val="24"/>
        </w:rPr>
        <w:t>Ophthalmol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1986;</w:t>
      </w:r>
      <w:proofErr w:type="gramEnd"/>
      <w:r>
        <w:rPr>
          <w:sz w:val="24"/>
        </w:rPr>
        <w:t>101(3):267-73.</w:t>
      </w:r>
    </w:p>
    <w:p w:rsidR="00332A4B" w:rsidRDefault="008930C8">
      <w:pPr>
        <w:pStyle w:val="PargrafodaLista"/>
        <w:numPr>
          <w:ilvl w:val="0"/>
          <w:numId w:val="2"/>
        </w:numPr>
        <w:tabs>
          <w:tab w:val="left" w:pos="927"/>
        </w:tabs>
        <w:ind w:left="926" w:hanging="260"/>
        <w:rPr>
          <w:sz w:val="24"/>
        </w:rPr>
      </w:pPr>
      <w:proofErr w:type="spellStart"/>
      <w:r>
        <w:rPr>
          <w:sz w:val="24"/>
        </w:rPr>
        <w:t>Rabinowitz</w:t>
      </w:r>
      <w:proofErr w:type="spellEnd"/>
      <w:r>
        <w:rPr>
          <w:sz w:val="24"/>
        </w:rPr>
        <w:t xml:space="preserve"> YS. </w:t>
      </w:r>
      <w:proofErr w:type="spellStart"/>
      <w:r>
        <w:rPr>
          <w:sz w:val="24"/>
        </w:rPr>
        <w:t>Keratoconus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SurvOphthalmol</w:t>
      </w:r>
      <w:proofErr w:type="spellEnd"/>
      <w:proofErr w:type="gramEnd"/>
      <w:r>
        <w:rPr>
          <w:sz w:val="24"/>
        </w:rPr>
        <w:t xml:space="preserve">. 1998; </w:t>
      </w:r>
      <w:proofErr w:type="gramStart"/>
      <w:r>
        <w:rPr>
          <w:sz w:val="24"/>
        </w:rPr>
        <w:t>42(4):</w:t>
      </w:r>
      <w:proofErr w:type="gramEnd"/>
      <w:r>
        <w:rPr>
          <w:sz w:val="24"/>
        </w:rPr>
        <w:t>297-319.</w:t>
      </w:r>
    </w:p>
    <w:p w:rsidR="00332A4B" w:rsidRPr="008930C8" w:rsidRDefault="008930C8">
      <w:pPr>
        <w:pStyle w:val="PargrafodaLista"/>
        <w:numPr>
          <w:ilvl w:val="0"/>
          <w:numId w:val="1"/>
        </w:numPr>
        <w:tabs>
          <w:tab w:val="left" w:pos="879"/>
        </w:tabs>
        <w:ind w:right="114" w:firstLine="566"/>
        <w:rPr>
          <w:sz w:val="24"/>
          <w:lang w:val="en-US"/>
        </w:rPr>
      </w:pPr>
      <w:r w:rsidRPr="008930C8">
        <w:rPr>
          <w:sz w:val="24"/>
          <w:lang w:val="en-US"/>
        </w:rPr>
        <w:t xml:space="preserve">- </w:t>
      </w:r>
      <w:proofErr w:type="spellStart"/>
      <w:r w:rsidRPr="008930C8">
        <w:rPr>
          <w:sz w:val="24"/>
          <w:lang w:val="en-US"/>
        </w:rPr>
        <w:t>Stenevi</w:t>
      </w:r>
      <w:proofErr w:type="spellEnd"/>
      <w:r w:rsidRPr="008930C8">
        <w:rPr>
          <w:sz w:val="24"/>
          <w:lang w:val="en-US"/>
        </w:rPr>
        <w:t xml:space="preserve"> U, </w:t>
      </w:r>
      <w:proofErr w:type="spellStart"/>
      <w:r w:rsidRPr="008930C8">
        <w:rPr>
          <w:sz w:val="24"/>
          <w:lang w:val="en-US"/>
        </w:rPr>
        <w:t>Claesson</w:t>
      </w:r>
      <w:proofErr w:type="spellEnd"/>
      <w:r w:rsidRPr="008930C8">
        <w:rPr>
          <w:sz w:val="24"/>
          <w:lang w:val="en-US"/>
        </w:rPr>
        <w:t xml:space="preserve"> M, Holmberg Y, </w:t>
      </w:r>
      <w:proofErr w:type="spellStart"/>
      <w:r w:rsidRPr="008930C8">
        <w:rPr>
          <w:sz w:val="24"/>
          <w:lang w:val="en-US"/>
        </w:rPr>
        <w:t>Liljegren</w:t>
      </w:r>
      <w:proofErr w:type="spellEnd"/>
      <w:r w:rsidRPr="008930C8">
        <w:rPr>
          <w:sz w:val="24"/>
          <w:lang w:val="en-US"/>
        </w:rPr>
        <w:t xml:space="preserve"> A, </w:t>
      </w:r>
      <w:proofErr w:type="spellStart"/>
      <w:r w:rsidRPr="008930C8">
        <w:rPr>
          <w:sz w:val="24"/>
          <w:lang w:val="en-US"/>
        </w:rPr>
        <w:t>Toftgård</w:t>
      </w:r>
      <w:proofErr w:type="spellEnd"/>
      <w:r w:rsidRPr="008930C8">
        <w:rPr>
          <w:sz w:val="24"/>
          <w:lang w:val="en-US"/>
        </w:rPr>
        <w:t xml:space="preserve"> A, </w:t>
      </w:r>
      <w:proofErr w:type="spellStart"/>
      <w:r w:rsidRPr="008930C8">
        <w:rPr>
          <w:sz w:val="24"/>
          <w:lang w:val="en-US"/>
        </w:rPr>
        <w:t>Wonneberger</w:t>
      </w:r>
      <w:proofErr w:type="spellEnd"/>
      <w:r w:rsidRPr="008930C8">
        <w:rPr>
          <w:sz w:val="24"/>
          <w:lang w:val="en-US"/>
        </w:rPr>
        <w:t xml:space="preserve"> W, et al. </w:t>
      </w:r>
      <w:proofErr w:type="spellStart"/>
      <w:r>
        <w:rPr>
          <w:sz w:val="24"/>
        </w:rPr>
        <w:t>Corneal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Crosslinking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Keratoconus</w:t>
      </w:r>
      <w:proofErr w:type="spellEnd"/>
      <w:r>
        <w:rPr>
          <w:sz w:val="24"/>
        </w:rPr>
        <w:t xml:space="preserve">. </w:t>
      </w:r>
      <w:proofErr w:type="spellStart"/>
      <w:r w:rsidRPr="008930C8">
        <w:rPr>
          <w:sz w:val="24"/>
          <w:lang w:val="en-US"/>
        </w:rPr>
        <w:t>Göteborg</w:t>
      </w:r>
      <w:proofErr w:type="spellEnd"/>
      <w:r w:rsidRPr="008930C8">
        <w:rPr>
          <w:sz w:val="24"/>
          <w:lang w:val="en-US"/>
        </w:rPr>
        <w:t xml:space="preserve">: </w:t>
      </w:r>
      <w:proofErr w:type="spellStart"/>
      <w:r w:rsidRPr="008930C8">
        <w:rPr>
          <w:sz w:val="24"/>
          <w:lang w:val="en-US"/>
        </w:rPr>
        <w:t>VästraGötalandsregionen</w:t>
      </w:r>
      <w:proofErr w:type="spellEnd"/>
      <w:r w:rsidRPr="008930C8">
        <w:rPr>
          <w:sz w:val="24"/>
          <w:lang w:val="en-US"/>
        </w:rPr>
        <w:t xml:space="preserve">, </w:t>
      </w:r>
      <w:proofErr w:type="spellStart"/>
      <w:r w:rsidRPr="008930C8">
        <w:rPr>
          <w:sz w:val="24"/>
          <w:lang w:val="en-US"/>
        </w:rPr>
        <w:t>SahlgrenskaUniversitetssjukhuset</w:t>
      </w:r>
      <w:proofErr w:type="spellEnd"/>
      <w:r w:rsidRPr="008930C8">
        <w:rPr>
          <w:sz w:val="24"/>
          <w:lang w:val="en-US"/>
        </w:rPr>
        <w:t>, HTA- centrum; 2011 01 set. 2015]. Available from: https://www2.sah</w:t>
      </w:r>
      <w:r w:rsidRPr="008930C8">
        <w:rPr>
          <w:sz w:val="24"/>
          <w:lang w:val="en-US"/>
        </w:rPr>
        <w:t xml:space="preserve">lgrenska.se/upload/SU/HTA-centrum/HTA- </w:t>
      </w:r>
      <w:proofErr w:type="spellStart"/>
      <w:r w:rsidRPr="008930C8">
        <w:rPr>
          <w:sz w:val="24"/>
          <w:lang w:val="en-US"/>
        </w:rPr>
        <w:t>rapporter</w:t>
      </w:r>
      <w:proofErr w:type="spellEnd"/>
      <w:r w:rsidRPr="008930C8">
        <w:rPr>
          <w:sz w:val="24"/>
          <w:lang w:val="en-US"/>
        </w:rPr>
        <w:t>/HTA-rapport%20Corneal%20Cross%20linking%202011-07- 25%20%20inkl%20bil.%20till%20publicering.pdf.</w:t>
      </w:r>
    </w:p>
    <w:p w:rsidR="00332A4B" w:rsidRPr="008930C8" w:rsidRDefault="00332A4B">
      <w:pPr>
        <w:rPr>
          <w:sz w:val="24"/>
          <w:lang w:val="en-US"/>
        </w:rPr>
        <w:sectPr w:rsidR="00332A4B" w:rsidRPr="008930C8">
          <w:pgSz w:w="11910" w:h="16840"/>
          <w:pgMar w:top="900" w:right="600" w:bottom="280" w:left="620" w:header="720" w:footer="720" w:gutter="0"/>
          <w:cols w:space="720"/>
        </w:sectPr>
      </w:pPr>
    </w:p>
    <w:p w:rsidR="00332A4B" w:rsidRPr="008930C8" w:rsidRDefault="008930C8">
      <w:pPr>
        <w:pStyle w:val="PargrafodaLista"/>
        <w:numPr>
          <w:ilvl w:val="0"/>
          <w:numId w:val="1"/>
        </w:numPr>
        <w:tabs>
          <w:tab w:val="left" w:pos="847"/>
        </w:tabs>
        <w:spacing w:before="73"/>
        <w:ind w:right="114" w:firstLine="566"/>
        <w:jc w:val="both"/>
        <w:rPr>
          <w:sz w:val="24"/>
          <w:lang w:val="en-US"/>
        </w:rPr>
      </w:pPr>
      <w:r w:rsidRPr="008930C8">
        <w:rPr>
          <w:sz w:val="24"/>
          <w:lang w:val="en-US"/>
        </w:rPr>
        <w:lastRenderedPageBreak/>
        <w:t xml:space="preserve">- Health </w:t>
      </w:r>
      <w:proofErr w:type="spellStart"/>
      <w:r w:rsidRPr="008930C8">
        <w:rPr>
          <w:sz w:val="24"/>
          <w:lang w:val="en-US"/>
        </w:rPr>
        <w:t>CAfDaTi</w:t>
      </w:r>
      <w:proofErr w:type="spellEnd"/>
      <w:r w:rsidRPr="008930C8">
        <w:rPr>
          <w:sz w:val="24"/>
          <w:lang w:val="en-US"/>
        </w:rPr>
        <w:t xml:space="preserve">. Corneal Cross-linking with Riboflavin for </w:t>
      </w:r>
      <w:proofErr w:type="spellStart"/>
      <w:r w:rsidRPr="008930C8">
        <w:rPr>
          <w:sz w:val="24"/>
          <w:lang w:val="en-US"/>
        </w:rPr>
        <w:t>Keratoconus</w:t>
      </w:r>
      <w:proofErr w:type="spellEnd"/>
      <w:r w:rsidRPr="008930C8">
        <w:rPr>
          <w:sz w:val="24"/>
          <w:lang w:val="en-US"/>
        </w:rPr>
        <w:t>: A Review of the Clinica</w:t>
      </w:r>
      <w:r w:rsidRPr="008930C8">
        <w:rPr>
          <w:sz w:val="24"/>
          <w:lang w:val="en-US"/>
        </w:rPr>
        <w:t>l and Cost-Effectiveness 2013 01 set. 2015]. Available from: https://</w:t>
      </w:r>
      <w:hyperlink r:id="rId7">
        <w:r w:rsidRPr="008930C8">
          <w:rPr>
            <w:sz w:val="24"/>
            <w:lang w:val="en-US"/>
          </w:rPr>
          <w:t>www.cadth.ca/corneal-cross-linking-</w:t>
        </w:r>
      </w:hyperlink>
      <w:hyperlink r:id="rId8">
        <w:r w:rsidRPr="008930C8">
          <w:rPr>
            <w:sz w:val="24"/>
            <w:lang w:val="en-US"/>
          </w:rPr>
          <w:t xml:space="preserve"> riboflavin-</w:t>
        </w:r>
        <w:proofErr w:type="spellStart"/>
        <w:r w:rsidRPr="008930C8">
          <w:rPr>
            <w:sz w:val="24"/>
            <w:lang w:val="en-US"/>
          </w:rPr>
          <w:t>keratoconus</w:t>
        </w:r>
        <w:proofErr w:type="spellEnd"/>
        <w:r w:rsidRPr="008930C8">
          <w:rPr>
            <w:sz w:val="24"/>
            <w:lang w:val="en-US"/>
          </w:rPr>
          <w:t>-review-clinical-and-cost-effectiveness.</w:t>
        </w:r>
      </w:hyperlink>
    </w:p>
    <w:p w:rsidR="00332A4B" w:rsidRPr="008930C8" w:rsidRDefault="008930C8">
      <w:pPr>
        <w:pStyle w:val="PargrafodaLista"/>
        <w:numPr>
          <w:ilvl w:val="0"/>
          <w:numId w:val="1"/>
        </w:numPr>
        <w:tabs>
          <w:tab w:val="left" w:pos="843"/>
        </w:tabs>
        <w:spacing w:before="1"/>
        <w:ind w:right="114" w:firstLine="566"/>
        <w:jc w:val="both"/>
        <w:rPr>
          <w:sz w:val="24"/>
          <w:lang w:val="en-US"/>
        </w:rPr>
      </w:pPr>
      <w:r w:rsidRPr="008930C8">
        <w:rPr>
          <w:sz w:val="24"/>
          <w:lang w:val="en-US"/>
        </w:rPr>
        <w:t>-</w:t>
      </w:r>
      <w:r w:rsidRPr="008930C8">
        <w:rPr>
          <w:spacing w:val="-7"/>
          <w:sz w:val="24"/>
          <w:lang w:val="en-US"/>
        </w:rPr>
        <w:t xml:space="preserve"> </w:t>
      </w:r>
      <w:proofErr w:type="spellStart"/>
      <w:r w:rsidRPr="008930C8">
        <w:rPr>
          <w:sz w:val="24"/>
          <w:lang w:val="en-US"/>
        </w:rPr>
        <w:t>Sykakis</w:t>
      </w:r>
      <w:proofErr w:type="spellEnd"/>
      <w:r w:rsidRPr="008930C8">
        <w:rPr>
          <w:spacing w:val="-5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E,</w:t>
      </w:r>
      <w:r w:rsidRPr="008930C8">
        <w:rPr>
          <w:spacing w:val="-6"/>
          <w:sz w:val="24"/>
          <w:lang w:val="en-US"/>
        </w:rPr>
        <w:t xml:space="preserve"> </w:t>
      </w:r>
      <w:proofErr w:type="spellStart"/>
      <w:r w:rsidRPr="008930C8">
        <w:rPr>
          <w:sz w:val="24"/>
          <w:lang w:val="en-US"/>
        </w:rPr>
        <w:t>Karim</w:t>
      </w:r>
      <w:proofErr w:type="spellEnd"/>
      <w:r w:rsidRPr="008930C8">
        <w:rPr>
          <w:spacing w:val="-5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R,</w:t>
      </w:r>
      <w:r w:rsidRPr="008930C8">
        <w:rPr>
          <w:spacing w:val="-6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Evans</w:t>
      </w:r>
      <w:r w:rsidRPr="008930C8">
        <w:rPr>
          <w:spacing w:val="-5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J,</w:t>
      </w:r>
      <w:r w:rsidRPr="008930C8">
        <w:rPr>
          <w:spacing w:val="-6"/>
          <w:sz w:val="24"/>
          <w:lang w:val="en-US"/>
        </w:rPr>
        <w:t xml:space="preserve"> </w:t>
      </w:r>
      <w:proofErr w:type="spellStart"/>
      <w:r w:rsidRPr="008930C8">
        <w:rPr>
          <w:sz w:val="24"/>
          <w:lang w:val="en-US"/>
        </w:rPr>
        <w:t>Bunce</w:t>
      </w:r>
      <w:proofErr w:type="spellEnd"/>
      <w:r w:rsidRPr="008930C8">
        <w:rPr>
          <w:spacing w:val="-6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C,</w:t>
      </w:r>
      <w:r w:rsidRPr="008930C8">
        <w:rPr>
          <w:spacing w:val="-2"/>
          <w:sz w:val="24"/>
          <w:lang w:val="en-US"/>
        </w:rPr>
        <w:t xml:space="preserve"> </w:t>
      </w:r>
      <w:proofErr w:type="spellStart"/>
      <w:r w:rsidRPr="008930C8">
        <w:rPr>
          <w:sz w:val="24"/>
          <w:lang w:val="en-US"/>
        </w:rPr>
        <w:t>Amissah</w:t>
      </w:r>
      <w:proofErr w:type="spellEnd"/>
      <w:r w:rsidRPr="008930C8">
        <w:rPr>
          <w:sz w:val="24"/>
          <w:lang w:val="en-US"/>
        </w:rPr>
        <w:t>-Arthur</w:t>
      </w:r>
      <w:r w:rsidRPr="008930C8">
        <w:rPr>
          <w:spacing w:val="-3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K,</w:t>
      </w:r>
      <w:r w:rsidRPr="008930C8">
        <w:rPr>
          <w:spacing w:val="-7"/>
          <w:sz w:val="24"/>
          <w:lang w:val="en-US"/>
        </w:rPr>
        <w:t xml:space="preserve"> </w:t>
      </w:r>
      <w:proofErr w:type="spellStart"/>
      <w:r w:rsidRPr="008930C8">
        <w:rPr>
          <w:sz w:val="24"/>
          <w:lang w:val="en-US"/>
        </w:rPr>
        <w:t>Patwary</w:t>
      </w:r>
      <w:proofErr w:type="spellEnd"/>
      <w:r w:rsidRPr="008930C8">
        <w:rPr>
          <w:spacing w:val="-10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S,</w:t>
      </w:r>
      <w:r w:rsidRPr="008930C8">
        <w:rPr>
          <w:spacing w:val="-4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et</w:t>
      </w:r>
      <w:r w:rsidRPr="008930C8">
        <w:rPr>
          <w:spacing w:val="-5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al.</w:t>
      </w:r>
      <w:r w:rsidRPr="008930C8">
        <w:rPr>
          <w:spacing w:val="-6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Corneal</w:t>
      </w:r>
      <w:r w:rsidRPr="008930C8">
        <w:rPr>
          <w:spacing w:val="-5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collagen</w:t>
      </w:r>
      <w:r w:rsidRPr="008930C8">
        <w:rPr>
          <w:spacing w:val="-4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 xml:space="preserve">cross- linking for treating </w:t>
      </w:r>
      <w:proofErr w:type="spellStart"/>
      <w:r w:rsidRPr="008930C8">
        <w:rPr>
          <w:sz w:val="24"/>
          <w:lang w:val="en-US"/>
        </w:rPr>
        <w:t>keratoconus</w:t>
      </w:r>
      <w:proofErr w:type="spellEnd"/>
      <w:r w:rsidRPr="008930C8">
        <w:rPr>
          <w:sz w:val="24"/>
          <w:lang w:val="en-US"/>
        </w:rPr>
        <w:t>. Cochrane Database of Systematic Reviews.</w:t>
      </w:r>
      <w:r w:rsidRPr="008930C8">
        <w:rPr>
          <w:spacing w:val="-12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2015(9).</w:t>
      </w:r>
    </w:p>
    <w:p w:rsidR="00332A4B" w:rsidRDefault="008930C8">
      <w:pPr>
        <w:pStyle w:val="PargrafodaLista"/>
        <w:numPr>
          <w:ilvl w:val="0"/>
          <w:numId w:val="1"/>
        </w:numPr>
        <w:tabs>
          <w:tab w:val="left" w:pos="855"/>
        </w:tabs>
        <w:ind w:right="114" w:firstLine="566"/>
        <w:jc w:val="both"/>
        <w:rPr>
          <w:sz w:val="24"/>
        </w:rPr>
      </w:pPr>
      <w:r w:rsidRPr="008930C8">
        <w:rPr>
          <w:sz w:val="24"/>
          <w:lang w:val="en-US"/>
        </w:rPr>
        <w:t xml:space="preserve">- </w:t>
      </w:r>
      <w:proofErr w:type="spellStart"/>
      <w:r w:rsidRPr="008930C8">
        <w:rPr>
          <w:sz w:val="24"/>
          <w:lang w:val="en-US"/>
        </w:rPr>
        <w:t>Kanellopoulos</w:t>
      </w:r>
      <w:proofErr w:type="spellEnd"/>
      <w:r w:rsidRPr="008930C8">
        <w:rPr>
          <w:sz w:val="24"/>
          <w:lang w:val="en-US"/>
        </w:rPr>
        <w:t xml:space="preserve"> AJ. Comparison of sequential </w:t>
      </w:r>
      <w:proofErr w:type="spellStart"/>
      <w:r w:rsidRPr="008930C8">
        <w:rPr>
          <w:sz w:val="24"/>
          <w:lang w:val="en-US"/>
        </w:rPr>
        <w:t>vs</w:t>
      </w:r>
      <w:proofErr w:type="spellEnd"/>
      <w:r w:rsidRPr="008930C8">
        <w:rPr>
          <w:sz w:val="24"/>
          <w:lang w:val="en-US"/>
        </w:rPr>
        <w:t xml:space="preserve"> same-day simultaneous collagen cross-linking and topography-guided PRK for treatment of </w:t>
      </w:r>
      <w:proofErr w:type="spellStart"/>
      <w:r w:rsidRPr="008930C8">
        <w:rPr>
          <w:sz w:val="24"/>
          <w:lang w:val="en-US"/>
        </w:rPr>
        <w:t>keratoconus</w:t>
      </w:r>
      <w:proofErr w:type="spellEnd"/>
      <w:r w:rsidRPr="008930C8">
        <w:rPr>
          <w:sz w:val="24"/>
          <w:lang w:val="en-US"/>
        </w:rPr>
        <w:t xml:space="preserve">. </w:t>
      </w:r>
      <w:r>
        <w:rPr>
          <w:sz w:val="24"/>
        </w:rPr>
        <w:t xml:space="preserve">J </w:t>
      </w:r>
      <w:proofErr w:type="spellStart"/>
      <w:r>
        <w:rPr>
          <w:sz w:val="24"/>
        </w:rPr>
        <w:t>Refract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2009;</w:t>
      </w:r>
      <w:proofErr w:type="gramEnd"/>
      <w:r>
        <w:rPr>
          <w:sz w:val="24"/>
        </w:rPr>
        <w:t>25(9):S812-8.</w:t>
      </w:r>
    </w:p>
    <w:p w:rsidR="00332A4B" w:rsidRDefault="008930C8">
      <w:pPr>
        <w:pStyle w:val="PargrafodaLista"/>
        <w:numPr>
          <w:ilvl w:val="0"/>
          <w:numId w:val="1"/>
        </w:numPr>
        <w:tabs>
          <w:tab w:val="left" w:pos="845"/>
        </w:tabs>
        <w:ind w:right="116" w:firstLine="566"/>
        <w:jc w:val="both"/>
        <w:rPr>
          <w:sz w:val="24"/>
        </w:rPr>
      </w:pPr>
      <w:r w:rsidRPr="008930C8">
        <w:rPr>
          <w:sz w:val="24"/>
          <w:lang w:val="en-US"/>
        </w:rPr>
        <w:t>-</w:t>
      </w:r>
      <w:r w:rsidRPr="008930C8">
        <w:rPr>
          <w:spacing w:val="-6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Wittig-Silva</w:t>
      </w:r>
      <w:r w:rsidRPr="008930C8">
        <w:rPr>
          <w:spacing w:val="-5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C,</w:t>
      </w:r>
      <w:r w:rsidRPr="008930C8">
        <w:rPr>
          <w:spacing w:val="-6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Chan</w:t>
      </w:r>
      <w:r w:rsidRPr="008930C8">
        <w:rPr>
          <w:spacing w:val="-7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E,</w:t>
      </w:r>
      <w:r w:rsidRPr="008930C8">
        <w:rPr>
          <w:spacing w:val="-1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Islam</w:t>
      </w:r>
      <w:r w:rsidRPr="008930C8">
        <w:rPr>
          <w:spacing w:val="-4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FMA,</w:t>
      </w:r>
      <w:r w:rsidRPr="008930C8">
        <w:rPr>
          <w:spacing w:val="-5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Wu</w:t>
      </w:r>
      <w:r w:rsidRPr="008930C8">
        <w:rPr>
          <w:spacing w:val="-4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T,</w:t>
      </w:r>
      <w:r w:rsidRPr="008930C8">
        <w:rPr>
          <w:spacing w:val="-4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Whiting</w:t>
      </w:r>
      <w:r w:rsidRPr="008930C8">
        <w:rPr>
          <w:spacing w:val="-6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M,</w:t>
      </w:r>
      <w:r w:rsidRPr="008930C8">
        <w:rPr>
          <w:spacing w:val="-5"/>
          <w:sz w:val="24"/>
          <w:lang w:val="en-US"/>
        </w:rPr>
        <w:t xml:space="preserve"> </w:t>
      </w:r>
      <w:proofErr w:type="spellStart"/>
      <w:r w:rsidRPr="008930C8">
        <w:rPr>
          <w:sz w:val="24"/>
          <w:lang w:val="en-US"/>
        </w:rPr>
        <w:t>Snibson</w:t>
      </w:r>
      <w:proofErr w:type="spellEnd"/>
      <w:r w:rsidRPr="008930C8">
        <w:rPr>
          <w:spacing w:val="-6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GR.</w:t>
      </w:r>
      <w:r w:rsidRPr="008930C8">
        <w:rPr>
          <w:spacing w:val="-4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A</w:t>
      </w:r>
      <w:r w:rsidRPr="008930C8">
        <w:rPr>
          <w:spacing w:val="-8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randomized,</w:t>
      </w:r>
      <w:r w:rsidRPr="008930C8">
        <w:rPr>
          <w:spacing w:val="-4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controlled</w:t>
      </w:r>
      <w:r w:rsidRPr="008930C8">
        <w:rPr>
          <w:spacing w:val="-4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 xml:space="preserve">trial of corneal collagen cross-linking in progressive </w:t>
      </w:r>
      <w:proofErr w:type="spellStart"/>
      <w:r w:rsidRPr="008930C8">
        <w:rPr>
          <w:sz w:val="24"/>
          <w:lang w:val="en-US"/>
        </w:rPr>
        <w:t>keratoconus</w:t>
      </w:r>
      <w:proofErr w:type="spellEnd"/>
      <w:r w:rsidRPr="008930C8">
        <w:rPr>
          <w:sz w:val="24"/>
          <w:lang w:val="en-US"/>
        </w:rPr>
        <w:t xml:space="preserve">: Three-year results. </w:t>
      </w:r>
      <w:proofErr w:type="spellStart"/>
      <w:r>
        <w:rPr>
          <w:sz w:val="24"/>
        </w:rPr>
        <w:t>Ophthalmology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2014;</w:t>
      </w:r>
      <w:proofErr w:type="gramEnd"/>
      <w:r>
        <w:rPr>
          <w:sz w:val="24"/>
        </w:rPr>
        <w:t>121(4):812-21.</w:t>
      </w:r>
    </w:p>
    <w:p w:rsidR="00332A4B" w:rsidRPr="008930C8" w:rsidRDefault="008930C8">
      <w:pPr>
        <w:pStyle w:val="PargrafodaLista"/>
        <w:numPr>
          <w:ilvl w:val="0"/>
          <w:numId w:val="1"/>
        </w:numPr>
        <w:tabs>
          <w:tab w:val="left" w:pos="910"/>
        </w:tabs>
        <w:ind w:right="117" w:firstLine="566"/>
        <w:jc w:val="both"/>
        <w:rPr>
          <w:sz w:val="24"/>
          <w:lang w:val="en-US"/>
        </w:rPr>
      </w:pPr>
      <w:r w:rsidRPr="008930C8">
        <w:rPr>
          <w:sz w:val="24"/>
          <w:lang w:val="en-US"/>
        </w:rPr>
        <w:t xml:space="preserve">- Lang SJ, </w:t>
      </w:r>
      <w:proofErr w:type="spellStart"/>
      <w:r w:rsidRPr="008930C8">
        <w:rPr>
          <w:sz w:val="24"/>
          <w:lang w:val="en-US"/>
        </w:rPr>
        <w:t>Messmer</w:t>
      </w:r>
      <w:proofErr w:type="spellEnd"/>
      <w:r w:rsidRPr="008930C8">
        <w:rPr>
          <w:sz w:val="24"/>
          <w:lang w:val="en-US"/>
        </w:rPr>
        <w:t xml:space="preserve"> EM, </w:t>
      </w:r>
      <w:proofErr w:type="spellStart"/>
      <w:r w:rsidRPr="008930C8">
        <w:rPr>
          <w:sz w:val="24"/>
          <w:lang w:val="en-US"/>
        </w:rPr>
        <w:t>Geerling</w:t>
      </w:r>
      <w:proofErr w:type="spellEnd"/>
      <w:r w:rsidRPr="008930C8">
        <w:rPr>
          <w:sz w:val="24"/>
          <w:lang w:val="en-US"/>
        </w:rPr>
        <w:t xml:space="preserve"> G, </w:t>
      </w:r>
      <w:proofErr w:type="spellStart"/>
      <w:r w:rsidRPr="008930C8">
        <w:rPr>
          <w:sz w:val="24"/>
          <w:lang w:val="en-US"/>
        </w:rPr>
        <w:t>Mackert</w:t>
      </w:r>
      <w:proofErr w:type="spellEnd"/>
      <w:r w:rsidRPr="008930C8">
        <w:rPr>
          <w:sz w:val="24"/>
          <w:lang w:val="en-US"/>
        </w:rPr>
        <w:t xml:space="preserve"> MJ, Brunner T, </w:t>
      </w:r>
      <w:proofErr w:type="spellStart"/>
      <w:r w:rsidRPr="008930C8">
        <w:rPr>
          <w:sz w:val="24"/>
          <w:lang w:val="en-US"/>
        </w:rPr>
        <w:t>Dollak</w:t>
      </w:r>
      <w:proofErr w:type="spellEnd"/>
      <w:r w:rsidRPr="008930C8">
        <w:rPr>
          <w:sz w:val="24"/>
          <w:lang w:val="en-US"/>
        </w:rPr>
        <w:t xml:space="preserve"> S, et al. Prospective, randomized, double-blind trial to investigate the efficacy and safety of corneal cross-linking to halt the progression of </w:t>
      </w:r>
      <w:proofErr w:type="spellStart"/>
      <w:r w:rsidRPr="008930C8">
        <w:rPr>
          <w:sz w:val="24"/>
          <w:lang w:val="en-US"/>
        </w:rPr>
        <w:t>keratoconus</w:t>
      </w:r>
      <w:proofErr w:type="spellEnd"/>
      <w:r w:rsidRPr="008930C8">
        <w:rPr>
          <w:sz w:val="24"/>
          <w:lang w:val="en-US"/>
        </w:rPr>
        <w:t xml:space="preserve">. BMC </w:t>
      </w:r>
      <w:proofErr w:type="spellStart"/>
      <w:r w:rsidRPr="008930C8">
        <w:rPr>
          <w:sz w:val="24"/>
          <w:lang w:val="en-US"/>
        </w:rPr>
        <w:t>Ophthalmol</w:t>
      </w:r>
      <w:proofErr w:type="spellEnd"/>
      <w:r w:rsidRPr="008930C8">
        <w:rPr>
          <w:sz w:val="24"/>
          <w:lang w:val="en-US"/>
        </w:rPr>
        <w:t>.</w:t>
      </w:r>
      <w:r w:rsidRPr="008930C8">
        <w:rPr>
          <w:spacing w:val="-2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2015</w:t>
      </w:r>
      <w:proofErr w:type="gramStart"/>
      <w:r w:rsidRPr="008930C8">
        <w:rPr>
          <w:sz w:val="24"/>
          <w:lang w:val="en-US"/>
        </w:rPr>
        <w:t>;15:78</w:t>
      </w:r>
      <w:proofErr w:type="gramEnd"/>
      <w:r w:rsidRPr="008930C8">
        <w:rPr>
          <w:sz w:val="24"/>
          <w:lang w:val="en-US"/>
        </w:rPr>
        <w:t>.</w:t>
      </w:r>
    </w:p>
    <w:p w:rsidR="00332A4B" w:rsidRDefault="008930C8">
      <w:pPr>
        <w:pStyle w:val="PargrafodaLista"/>
        <w:numPr>
          <w:ilvl w:val="0"/>
          <w:numId w:val="1"/>
        </w:numPr>
        <w:tabs>
          <w:tab w:val="left" w:pos="855"/>
        </w:tabs>
        <w:ind w:right="125" w:firstLine="566"/>
        <w:jc w:val="both"/>
        <w:rPr>
          <w:sz w:val="24"/>
        </w:rPr>
      </w:pPr>
      <w:r w:rsidRPr="008930C8">
        <w:rPr>
          <w:sz w:val="24"/>
          <w:lang w:val="en-US"/>
        </w:rPr>
        <w:t xml:space="preserve">- </w:t>
      </w:r>
      <w:proofErr w:type="spellStart"/>
      <w:r w:rsidRPr="008930C8">
        <w:rPr>
          <w:sz w:val="24"/>
          <w:lang w:val="en-US"/>
        </w:rPr>
        <w:t>Sey</w:t>
      </w:r>
      <w:r w:rsidRPr="008930C8">
        <w:rPr>
          <w:sz w:val="24"/>
          <w:lang w:val="en-US"/>
        </w:rPr>
        <w:t>edian</w:t>
      </w:r>
      <w:proofErr w:type="spellEnd"/>
      <w:r w:rsidRPr="008930C8">
        <w:rPr>
          <w:sz w:val="24"/>
          <w:lang w:val="en-US"/>
        </w:rPr>
        <w:t xml:space="preserve"> MA, </w:t>
      </w:r>
      <w:proofErr w:type="spellStart"/>
      <w:r w:rsidRPr="008930C8">
        <w:rPr>
          <w:sz w:val="24"/>
          <w:lang w:val="en-US"/>
        </w:rPr>
        <w:t>Aliakbari</w:t>
      </w:r>
      <w:proofErr w:type="spellEnd"/>
      <w:r w:rsidRPr="008930C8">
        <w:rPr>
          <w:sz w:val="24"/>
          <w:lang w:val="en-US"/>
        </w:rPr>
        <w:t xml:space="preserve"> S, </w:t>
      </w:r>
      <w:proofErr w:type="spellStart"/>
      <w:r w:rsidRPr="008930C8">
        <w:rPr>
          <w:sz w:val="24"/>
          <w:lang w:val="en-US"/>
        </w:rPr>
        <w:t>Miraftab</w:t>
      </w:r>
      <w:proofErr w:type="spellEnd"/>
      <w:r w:rsidRPr="008930C8">
        <w:rPr>
          <w:sz w:val="24"/>
          <w:lang w:val="en-US"/>
        </w:rPr>
        <w:t xml:space="preserve"> M, </w:t>
      </w:r>
      <w:proofErr w:type="spellStart"/>
      <w:r w:rsidRPr="008930C8">
        <w:rPr>
          <w:sz w:val="24"/>
          <w:lang w:val="en-US"/>
        </w:rPr>
        <w:t>Hashemi</w:t>
      </w:r>
      <w:proofErr w:type="spellEnd"/>
      <w:r w:rsidRPr="008930C8">
        <w:rPr>
          <w:sz w:val="24"/>
          <w:lang w:val="en-US"/>
        </w:rPr>
        <w:t xml:space="preserve"> H, </w:t>
      </w:r>
      <w:proofErr w:type="spellStart"/>
      <w:r w:rsidRPr="008930C8">
        <w:rPr>
          <w:sz w:val="24"/>
          <w:lang w:val="en-US"/>
        </w:rPr>
        <w:t>Asgari</w:t>
      </w:r>
      <w:proofErr w:type="spellEnd"/>
      <w:r w:rsidRPr="008930C8">
        <w:rPr>
          <w:sz w:val="24"/>
          <w:lang w:val="en-US"/>
        </w:rPr>
        <w:t xml:space="preserve"> S, </w:t>
      </w:r>
      <w:proofErr w:type="spellStart"/>
      <w:r w:rsidRPr="008930C8">
        <w:rPr>
          <w:sz w:val="24"/>
          <w:lang w:val="en-US"/>
        </w:rPr>
        <w:t>Khabazkhoob</w:t>
      </w:r>
      <w:proofErr w:type="spellEnd"/>
      <w:r w:rsidRPr="008930C8">
        <w:rPr>
          <w:sz w:val="24"/>
          <w:lang w:val="en-US"/>
        </w:rPr>
        <w:t xml:space="preserve"> M. Corneal Collagen Cross-Linking in the Treatment of Progressive </w:t>
      </w:r>
      <w:proofErr w:type="spellStart"/>
      <w:r w:rsidRPr="008930C8">
        <w:rPr>
          <w:sz w:val="24"/>
          <w:lang w:val="en-US"/>
        </w:rPr>
        <w:t>Keratoconus</w:t>
      </w:r>
      <w:proofErr w:type="spellEnd"/>
      <w:r w:rsidRPr="008930C8">
        <w:rPr>
          <w:sz w:val="24"/>
          <w:lang w:val="en-US"/>
        </w:rPr>
        <w:t xml:space="preserve">: A Randomized Controlled Contralateral Eye Study. </w:t>
      </w:r>
      <w:proofErr w:type="spellStart"/>
      <w:r>
        <w:rPr>
          <w:sz w:val="24"/>
        </w:rPr>
        <w:t>Middle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Afr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Ophthalmol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2015;</w:t>
      </w:r>
      <w:proofErr w:type="gramEnd"/>
      <w:r>
        <w:rPr>
          <w:sz w:val="24"/>
        </w:rPr>
        <w:t>22(3):340-5.</w:t>
      </w:r>
    </w:p>
    <w:p w:rsidR="00332A4B" w:rsidRPr="008930C8" w:rsidRDefault="008930C8">
      <w:pPr>
        <w:pStyle w:val="PargrafodaLista"/>
        <w:numPr>
          <w:ilvl w:val="0"/>
          <w:numId w:val="1"/>
        </w:numPr>
        <w:tabs>
          <w:tab w:val="left" w:pos="1003"/>
        </w:tabs>
        <w:spacing w:before="1"/>
        <w:ind w:right="114" w:firstLine="566"/>
        <w:jc w:val="both"/>
        <w:rPr>
          <w:sz w:val="24"/>
          <w:lang w:val="en-US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Sharma</w:t>
      </w:r>
      <w:proofErr w:type="spellEnd"/>
      <w:r>
        <w:rPr>
          <w:sz w:val="24"/>
        </w:rPr>
        <w:t xml:space="preserve"> N, </w:t>
      </w:r>
      <w:proofErr w:type="spellStart"/>
      <w:r>
        <w:rPr>
          <w:sz w:val="24"/>
        </w:rPr>
        <w:t>Suri</w:t>
      </w:r>
      <w:proofErr w:type="spellEnd"/>
      <w:r>
        <w:rPr>
          <w:sz w:val="24"/>
        </w:rPr>
        <w:t xml:space="preserve"> K, </w:t>
      </w:r>
      <w:proofErr w:type="spellStart"/>
      <w:r>
        <w:rPr>
          <w:sz w:val="24"/>
        </w:rPr>
        <w:t>Sehra</w:t>
      </w:r>
      <w:proofErr w:type="spellEnd"/>
      <w:r>
        <w:rPr>
          <w:sz w:val="24"/>
        </w:rPr>
        <w:t xml:space="preserve"> SV, </w:t>
      </w:r>
      <w:proofErr w:type="spellStart"/>
      <w:r>
        <w:rPr>
          <w:sz w:val="24"/>
        </w:rPr>
        <w:t>Titiyal</w:t>
      </w:r>
      <w:proofErr w:type="spellEnd"/>
      <w:r>
        <w:rPr>
          <w:sz w:val="24"/>
        </w:rPr>
        <w:t xml:space="preserve"> JS, </w:t>
      </w:r>
      <w:proofErr w:type="spellStart"/>
      <w:r>
        <w:rPr>
          <w:sz w:val="24"/>
        </w:rPr>
        <w:t>Sinha</w:t>
      </w:r>
      <w:proofErr w:type="spellEnd"/>
      <w:r>
        <w:rPr>
          <w:sz w:val="24"/>
        </w:rPr>
        <w:t xml:space="preserve"> R, </w:t>
      </w:r>
      <w:proofErr w:type="spellStart"/>
      <w:r>
        <w:rPr>
          <w:sz w:val="24"/>
        </w:rPr>
        <w:t>Tandon</w:t>
      </w:r>
      <w:proofErr w:type="spellEnd"/>
      <w:r>
        <w:rPr>
          <w:sz w:val="24"/>
        </w:rPr>
        <w:t xml:space="preserve"> R,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8930C8">
        <w:rPr>
          <w:sz w:val="24"/>
          <w:lang w:val="en-US"/>
        </w:rPr>
        <w:t xml:space="preserve">Collagen cross-linking in </w:t>
      </w:r>
      <w:proofErr w:type="spellStart"/>
      <w:r w:rsidRPr="008930C8">
        <w:rPr>
          <w:sz w:val="24"/>
          <w:lang w:val="en-US"/>
        </w:rPr>
        <w:t>keratoconus</w:t>
      </w:r>
      <w:proofErr w:type="spellEnd"/>
      <w:r w:rsidRPr="008930C8">
        <w:rPr>
          <w:sz w:val="24"/>
          <w:lang w:val="en-US"/>
        </w:rPr>
        <w:t xml:space="preserve"> in Asian eyes: visual, refractive and confocal microscopy outcomes in a prospective</w:t>
      </w:r>
      <w:r w:rsidRPr="008930C8">
        <w:rPr>
          <w:spacing w:val="-23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 xml:space="preserve">randomized controlled trial. </w:t>
      </w:r>
      <w:proofErr w:type="spellStart"/>
      <w:r w:rsidRPr="008930C8">
        <w:rPr>
          <w:sz w:val="24"/>
          <w:lang w:val="en-US"/>
        </w:rPr>
        <w:t>Int</w:t>
      </w:r>
      <w:proofErr w:type="spellEnd"/>
      <w:r w:rsidRPr="008930C8">
        <w:rPr>
          <w:sz w:val="24"/>
          <w:lang w:val="en-US"/>
        </w:rPr>
        <w:t xml:space="preserve"> </w:t>
      </w:r>
      <w:proofErr w:type="spellStart"/>
      <w:r w:rsidRPr="008930C8">
        <w:rPr>
          <w:sz w:val="24"/>
          <w:lang w:val="en-US"/>
        </w:rPr>
        <w:t>Ophthalmol</w:t>
      </w:r>
      <w:proofErr w:type="spellEnd"/>
      <w:r w:rsidRPr="008930C8">
        <w:rPr>
          <w:sz w:val="24"/>
          <w:lang w:val="en-US"/>
        </w:rPr>
        <w:t>.</w:t>
      </w:r>
      <w:r w:rsidRPr="008930C8">
        <w:rPr>
          <w:spacing w:val="2"/>
          <w:sz w:val="24"/>
          <w:lang w:val="en-US"/>
        </w:rPr>
        <w:t xml:space="preserve"> </w:t>
      </w:r>
      <w:r w:rsidRPr="008930C8">
        <w:rPr>
          <w:sz w:val="24"/>
          <w:lang w:val="en-US"/>
        </w:rPr>
        <w:t>2015.</w:t>
      </w:r>
    </w:p>
    <w:p w:rsidR="00332A4B" w:rsidRDefault="008930C8">
      <w:pPr>
        <w:pStyle w:val="PargrafodaLista"/>
        <w:numPr>
          <w:ilvl w:val="0"/>
          <w:numId w:val="1"/>
        </w:numPr>
        <w:tabs>
          <w:tab w:val="left" w:pos="967"/>
        </w:tabs>
        <w:ind w:right="347" w:firstLine="566"/>
        <w:rPr>
          <w:sz w:val="24"/>
        </w:rPr>
      </w:pPr>
      <w:r>
        <w:rPr>
          <w:sz w:val="24"/>
        </w:rPr>
        <w:t xml:space="preserve">– Conselho Federal de </w:t>
      </w:r>
      <w:proofErr w:type="spellStart"/>
      <w:proofErr w:type="gramStart"/>
      <w:r>
        <w:rPr>
          <w:sz w:val="24"/>
        </w:rPr>
        <w:t>Medic</w:t>
      </w:r>
      <w:r>
        <w:rPr>
          <w:sz w:val="24"/>
        </w:rPr>
        <w:t>ina.</w:t>
      </w:r>
      <w:proofErr w:type="gramEnd"/>
      <w:r>
        <w:rPr>
          <w:sz w:val="24"/>
        </w:rPr>
        <w:t>PROCESSO-CONSULTA</w:t>
      </w:r>
      <w:proofErr w:type="spellEnd"/>
      <w:r>
        <w:rPr>
          <w:sz w:val="24"/>
        </w:rPr>
        <w:t xml:space="preserve"> CFM nº 1.923/10 – PARECER CFM nº 30/10.</w:t>
      </w:r>
    </w:p>
    <w:p w:rsidR="00332A4B" w:rsidRDefault="008930C8">
      <w:pPr>
        <w:pStyle w:val="Corpodetexto"/>
        <w:spacing w:line="480" w:lineRule="auto"/>
        <w:ind w:left="666" w:right="2591"/>
      </w:pPr>
      <w:r>
        <w:t xml:space="preserve">Disponível: </w:t>
      </w:r>
      <w:proofErr w:type="gramStart"/>
      <w:r>
        <w:t>https</w:t>
      </w:r>
      <w:proofErr w:type="gramEnd"/>
      <w:r>
        <w:t>://sistemas.cfm.org.br/normas/arquivos/pareceres/BR/2010/30_2010.pdf</w:t>
      </w:r>
    </w:p>
    <w:p w:rsidR="00332A4B" w:rsidRDefault="00332A4B">
      <w:pPr>
        <w:spacing w:line="480" w:lineRule="auto"/>
        <w:sectPr w:rsidR="00332A4B">
          <w:pgSz w:w="11910" w:h="16840"/>
          <w:pgMar w:top="620" w:right="600" w:bottom="280" w:left="620" w:header="720" w:footer="720" w:gutter="0"/>
          <w:cols w:space="720"/>
        </w:sectPr>
      </w:pPr>
    </w:p>
    <w:p w:rsidR="00332A4B" w:rsidRDefault="00332A4B">
      <w:pPr>
        <w:pStyle w:val="Corpodetexto"/>
        <w:spacing w:before="4"/>
        <w:ind w:left="0"/>
        <w:rPr>
          <w:sz w:val="17"/>
        </w:rPr>
      </w:pPr>
    </w:p>
    <w:sectPr w:rsidR="00332A4B"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D31"/>
    <w:multiLevelType w:val="hybridMultilevel"/>
    <w:tmpl w:val="F9D61AF8"/>
    <w:lvl w:ilvl="0" w:tplc="1C56777E">
      <w:start w:val="1"/>
      <w:numFmt w:val="decimal"/>
      <w:lvlText w:val="%1-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8F6A423C">
      <w:numFmt w:val="bullet"/>
      <w:lvlText w:val="•"/>
      <w:lvlJc w:val="left"/>
      <w:pPr>
        <w:ind w:left="1158" w:hanging="257"/>
      </w:pPr>
      <w:rPr>
        <w:rFonts w:hint="default"/>
        <w:lang w:val="pt-BR" w:eastAsia="pt-BR" w:bidi="pt-BR"/>
      </w:rPr>
    </w:lvl>
    <w:lvl w:ilvl="2" w:tplc="4C4C8D86">
      <w:numFmt w:val="bullet"/>
      <w:lvlText w:val="•"/>
      <w:lvlJc w:val="left"/>
      <w:pPr>
        <w:ind w:left="2217" w:hanging="257"/>
      </w:pPr>
      <w:rPr>
        <w:rFonts w:hint="default"/>
        <w:lang w:val="pt-BR" w:eastAsia="pt-BR" w:bidi="pt-BR"/>
      </w:rPr>
    </w:lvl>
    <w:lvl w:ilvl="3" w:tplc="E6B66FDC">
      <w:numFmt w:val="bullet"/>
      <w:lvlText w:val="•"/>
      <w:lvlJc w:val="left"/>
      <w:pPr>
        <w:ind w:left="3275" w:hanging="257"/>
      </w:pPr>
      <w:rPr>
        <w:rFonts w:hint="default"/>
        <w:lang w:val="pt-BR" w:eastAsia="pt-BR" w:bidi="pt-BR"/>
      </w:rPr>
    </w:lvl>
    <w:lvl w:ilvl="4" w:tplc="E4923BA4">
      <w:numFmt w:val="bullet"/>
      <w:lvlText w:val="•"/>
      <w:lvlJc w:val="left"/>
      <w:pPr>
        <w:ind w:left="4334" w:hanging="257"/>
      </w:pPr>
      <w:rPr>
        <w:rFonts w:hint="default"/>
        <w:lang w:val="pt-BR" w:eastAsia="pt-BR" w:bidi="pt-BR"/>
      </w:rPr>
    </w:lvl>
    <w:lvl w:ilvl="5" w:tplc="9266012C">
      <w:numFmt w:val="bullet"/>
      <w:lvlText w:val="•"/>
      <w:lvlJc w:val="left"/>
      <w:pPr>
        <w:ind w:left="5393" w:hanging="257"/>
      </w:pPr>
      <w:rPr>
        <w:rFonts w:hint="default"/>
        <w:lang w:val="pt-BR" w:eastAsia="pt-BR" w:bidi="pt-BR"/>
      </w:rPr>
    </w:lvl>
    <w:lvl w:ilvl="6" w:tplc="31700D60">
      <w:numFmt w:val="bullet"/>
      <w:lvlText w:val="•"/>
      <w:lvlJc w:val="left"/>
      <w:pPr>
        <w:ind w:left="6451" w:hanging="257"/>
      </w:pPr>
      <w:rPr>
        <w:rFonts w:hint="default"/>
        <w:lang w:val="pt-BR" w:eastAsia="pt-BR" w:bidi="pt-BR"/>
      </w:rPr>
    </w:lvl>
    <w:lvl w:ilvl="7" w:tplc="5DBC54A4">
      <w:numFmt w:val="bullet"/>
      <w:lvlText w:val="•"/>
      <w:lvlJc w:val="left"/>
      <w:pPr>
        <w:ind w:left="7510" w:hanging="257"/>
      </w:pPr>
      <w:rPr>
        <w:rFonts w:hint="default"/>
        <w:lang w:val="pt-BR" w:eastAsia="pt-BR" w:bidi="pt-BR"/>
      </w:rPr>
    </w:lvl>
    <w:lvl w:ilvl="8" w:tplc="6A6AF0E2">
      <w:numFmt w:val="bullet"/>
      <w:lvlText w:val="•"/>
      <w:lvlJc w:val="left"/>
      <w:pPr>
        <w:ind w:left="8569" w:hanging="257"/>
      </w:pPr>
      <w:rPr>
        <w:rFonts w:hint="default"/>
        <w:lang w:val="pt-BR" w:eastAsia="pt-BR" w:bidi="pt-BR"/>
      </w:rPr>
    </w:lvl>
  </w:abstractNum>
  <w:abstractNum w:abstractNumId="1">
    <w:nsid w:val="36F05223"/>
    <w:multiLevelType w:val="hybridMultilevel"/>
    <w:tmpl w:val="860ABB84"/>
    <w:lvl w:ilvl="0" w:tplc="49141164">
      <w:start w:val="2"/>
      <w:numFmt w:val="decimalZero"/>
      <w:lvlText w:val="%1-"/>
      <w:lvlJc w:val="left"/>
      <w:pPr>
        <w:ind w:left="107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6B6C9932">
      <w:numFmt w:val="bullet"/>
      <w:lvlText w:val="•"/>
      <w:lvlJc w:val="left"/>
      <w:pPr>
        <w:ind w:left="363" w:hanging="380"/>
      </w:pPr>
      <w:rPr>
        <w:rFonts w:hint="default"/>
        <w:lang w:val="pt-BR" w:eastAsia="pt-BR" w:bidi="pt-BR"/>
      </w:rPr>
    </w:lvl>
    <w:lvl w:ilvl="2" w:tplc="99E46254">
      <w:numFmt w:val="bullet"/>
      <w:lvlText w:val="•"/>
      <w:lvlJc w:val="left"/>
      <w:pPr>
        <w:ind w:left="626" w:hanging="380"/>
      </w:pPr>
      <w:rPr>
        <w:rFonts w:hint="default"/>
        <w:lang w:val="pt-BR" w:eastAsia="pt-BR" w:bidi="pt-BR"/>
      </w:rPr>
    </w:lvl>
    <w:lvl w:ilvl="3" w:tplc="85824424">
      <w:numFmt w:val="bullet"/>
      <w:lvlText w:val="•"/>
      <w:lvlJc w:val="left"/>
      <w:pPr>
        <w:ind w:left="889" w:hanging="380"/>
      </w:pPr>
      <w:rPr>
        <w:rFonts w:hint="default"/>
        <w:lang w:val="pt-BR" w:eastAsia="pt-BR" w:bidi="pt-BR"/>
      </w:rPr>
    </w:lvl>
    <w:lvl w:ilvl="4" w:tplc="8C4E2854">
      <w:numFmt w:val="bullet"/>
      <w:lvlText w:val="•"/>
      <w:lvlJc w:val="left"/>
      <w:pPr>
        <w:ind w:left="1152" w:hanging="380"/>
      </w:pPr>
      <w:rPr>
        <w:rFonts w:hint="default"/>
        <w:lang w:val="pt-BR" w:eastAsia="pt-BR" w:bidi="pt-BR"/>
      </w:rPr>
    </w:lvl>
    <w:lvl w:ilvl="5" w:tplc="AB902AB4">
      <w:numFmt w:val="bullet"/>
      <w:lvlText w:val="•"/>
      <w:lvlJc w:val="left"/>
      <w:pPr>
        <w:ind w:left="1415" w:hanging="380"/>
      </w:pPr>
      <w:rPr>
        <w:rFonts w:hint="default"/>
        <w:lang w:val="pt-BR" w:eastAsia="pt-BR" w:bidi="pt-BR"/>
      </w:rPr>
    </w:lvl>
    <w:lvl w:ilvl="6" w:tplc="87E86C3C">
      <w:numFmt w:val="bullet"/>
      <w:lvlText w:val="•"/>
      <w:lvlJc w:val="left"/>
      <w:pPr>
        <w:ind w:left="1678" w:hanging="380"/>
      </w:pPr>
      <w:rPr>
        <w:rFonts w:hint="default"/>
        <w:lang w:val="pt-BR" w:eastAsia="pt-BR" w:bidi="pt-BR"/>
      </w:rPr>
    </w:lvl>
    <w:lvl w:ilvl="7" w:tplc="B65C8ACC">
      <w:numFmt w:val="bullet"/>
      <w:lvlText w:val="•"/>
      <w:lvlJc w:val="left"/>
      <w:pPr>
        <w:ind w:left="1941" w:hanging="380"/>
      </w:pPr>
      <w:rPr>
        <w:rFonts w:hint="default"/>
        <w:lang w:val="pt-BR" w:eastAsia="pt-BR" w:bidi="pt-BR"/>
      </w:rPr>
    </w:lvl>
    <w:lvl w:ilvl="8" w:tplc="1C4C080A">
      <w:numFmt w:val="bullet"/>
      <w:lvlText w:val="•"/>
      <w:lvlJc w:val="left"/>
      <w:pPr>
        <w:ind w:left="2204" w:hanging="380"/>
      </w:pPr>
      <w:rPr>
        <w:rFonts w:hint="default"/>
        <w:lang w:val="pt-BR" w:eastAsia="pt-BR" w:bidi="pt-BR"/>
      </w:rPr>
    </w:lvl>
  </w:abstractNum>
  <w:abstractNum w:abstractNumId="2">
    <w:nsid w:val="3C717C73"/>
    <w:multiLevelType w:val="hybridMultilevel"/>
    <w:tmpl w:val="4380F9CE"/>
    <w:lvl w:ilvl="0" w:tplc="E0B8786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F15C1914">
      <w:numFmt w:val="bullet"/>
      <w:lvlText w:val="•"/>
      <w:lvlJc w:val="left"/>
      <w:pPr>
        <w:ind w:left="1158" w:hanging="140"/>
      </w:pPr>
      <w:rPr>
        <w:rFonts w:hint="default"/>
        <w:lang w:val="pt-BR" w:eastAsia="pt-BR" w:bidi="pt-BR"/>
      </w:rPr>
    </w:lvl>
    <w:lvl w:ilvl="2" w:tplc="6930E5C8">
      <w:numFmt w:val="bullet"/>
      <w:lvlText w:val="•"/>
      <w:lvlJc w:val="left"/>
      <w:pPr>
        <w:ind w:left="2217" w:hanging="140"/>
      </w:pPr>
      <w:rPr>
        <w:rFonts w:hint="default"/>
        <w:lang w:val="pt-BR" w:eastAsia="pt-BR" w:bidi="pt-BR"/>
      </w:rPr>
    </w:lvl>
    <w:lvl w:ilvl="3" w:tplc="B0983070">
      <w:numFmt w:val="bullet"/>
      <w:lvlText w:val="•"/>
      <w:lvlJc w:val="left"/>
      <w:pPr>
        <w:ind w:left="3275" w:hanging="140"/>
      </w:pPr>
      <w:rPr>
        <w:rFonts w:hint="default"/>
        <w:lang w:val="pt-BR" w:eastAsia="pt-BR" w:bidi="pt-BR"/>
      </w:rPr>
    </w:lvl>
    <w:lvl w:ilvl="4" w:tplc="93968B60">
      <w:numFmt w:val="bullet"/>
      <w:lvlText w:val="•"/>
      <w:lvlJc w:val="left"/>
      <w:pPr>
        <w:ind w:left="4334" w:hanging="140"/>
      </w:pPr>
      <w:rPr>
        <w:rFonts w:hint="default"/>
        <w:lang w:val="pt-BR" w:eastAsia="pt-BR" w:bidi="pt-BR"/>
      </w:rPr>
    </w:lvl>
    <w:lvl w:ilvl="5" w:tplc="607E564E">
      <w:numFmt w:val="bullet"/>
      <w:lvlText w:val="•"/>
      <w:lvlJc w:val="left"/>
      <w:pPr>
        <w:ind w:left="5393" w:hanging="140"/>
      </w:pPr>
      <w:rPr>
        <w:rFonts w:hint="default"/>
        <w:lang w:val="pt-BR" w:eastAsia="pt-BR" w:bidi="pt-BR"/>
      </w:rPr>
    </w:lvl>
    <w:lvl w:ilvl="6" w:tplc="6B66B73A">
      <w:numFmt w:val="bullet"/>
      <w:lvlText w:val="•"/>
      <w:lvlJc w:val="left"/>
      <w:pPr>
        <w:ind w:left="6451" w:hanging="140"/>
      </w:pPr>
      <w:rPr>
        <w:rFonts w:hint="default"/>
        <w:lang w:val="pt-BR" w:eastAsia="pt-BR" w:bidi="pt-BR"/>
      </w:rPr>
    </w:lvl>
    <w:lvl w:ilvl="7" w:tplc="C37E5682">
      <w:numFmt w:val="bullet"/>
      <w:lvlText w:val="•"/>
      <w:lvlJc w:val="left"/>
      <w:pPr>
        <w:ind w:left="7510" w:hanging="140"/>
      </w:pPr>
      <w:rPr>
        <w:rFonts w:hint="default"/>
        <w:lang w:val="pt-BR" w:eastAsia="pt-BR" w:bidi="pt-BR"/>
      </w:rPr>
    </w:lvl>
    <w:lvl w:ilvl="8" w:tplc="4A1216DE">
      <w:numFmt w:val="bullet"/>
      <w:lvlText w:val="•"/>
      <w:lvlJc w:val="left"/>
      <w:pPr>
        <w:ind w:left="8569" w:hanging="140"/>
      </w:pPr>
      <w:rPr>
        <w:rFonts w:hint="default"/>
        <w:lang w:val="pt-BR" w:eastAsia="pt-BR" w:bidi="pt-BR"/>
      </w:rPr>
    </w:lvl>
  </w:abstractNum>
  <w:abstractNum w:abstractNumId="3">
    <w:nsid w:val="495F743D"/>
    <w:multiLevelType w:val="hybridMultilevel"/>
    <w:tmpl w:val="0DBE7B5E"/>
    <w:lvl w:ilvl="0" w:tplc="30848428">
      <w:numFmt w:val="bullet"/>
      <w:lvlText w:val="-"/>
      <w:lvlJc w:val="left"/>
      <w:pPr>
        <w:ind w:left="6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6E065C02">
      <w:numFmt w:val="bullet"/>
      <w:lvlText w:val="•"/>
      <w:lvlJc w:val="left"/>
      <w:pPr>
        <w:ind w:left="1662" w:hanging="140"/>
      </w:pPr>
      <w:rPr>
        <w:rFonts w:hint="default"/>
        <w:lang w:val="pt-BR" w:eastAsia="pt-BR" w:bidi="pt-BR"/>
      </w:rPr>
    </w:lvl>
    <w:lvl w:ilvl="2" w:tplc="3E862556">
      <w:numFmt w:val="bullet"/>
      <w:lvlText w:val="•"/>
      <w:lvlJc w:val="left"/>
      <w:pPr>
        <w:ind w:left="2665" w:hanging="140"/>
      </w:pPr>
      <w:rPr>
        <w:rFonts w:hint="default"/>
        <w:lang w:val="pt-BR" w:eastAsia="pt-BR" w:bidi="pt-BR"/>
      </w:rPr>
    </w:lvl>
    <w:lvl w:ilvl="3" w:tplc="D3CAA9C0">
      <w:numFmt w:val="bullet"/>
      <w:lvlText w:val="•"/>
      <w:lvlJc w:val="left"/>
      <w:pPr>
        <w:ind w:left="3667" w:hanging="140"/>
      </w:pPr>
      <w:rPr>
        <w:rFonts w:hint="default"/>
        <w:lang w:val="pt-BR" w:eastAsia="pt-BR" w:bidi="pt-BR"/>
      </w:rPr>
    </w:lvl>
    <w:lvl w:ilvl="4" w:tplc="C9683A96">
      <w:numFmt w:val="bullet"/>
      <w:lvlText w:val="•"/>
      <w:lvlJc w:val="left"/>
      <w:pPr>
        <w:ind w:left="4670" w:hanging="140"/>
      </w:pPr>
      <w:rPr>
        <w:rFonts w:hint="default"/>
        <w:lang w:val="pt-BR" w:eastAsia="pt-BR" w:bidi="pt-BR"/>
      </w:rPr>
    </w:lvl>
    <w:lvl w:ilvl="5" w:tplc="04EE605E">
      <w:numFmt w:val="bullet"/>
      <w:lvlText w:val="•"/>
      <w:lvlJc w:val="left"/>
      <w:pPr>
        <w:ind w:left="5673" w:hanging="140"/>
      </w:pPr>
      <w:rPr>
        <w:rFonts w:hint="default"/>
        <w:lang w:val="pt-BR" w:eastAsia="pt-BR" w:bidi="pt-BR"/>
      </w:rPr>
    </w:lvl>
    <w:lvl w:ilvl="6" w:tplc="8FAC346E">
      <w:numFmt w:val="bullet"/>
      <w:lvlText w:val="•"/>
      <w:lvlJc w:val="left"/>
      <w:pPr>
        <w:ind w:left="6675" w:hanging="140"/>
      </w:pPr>
      <w:rPr>
        <w:rFonts w:hint="default"/>
        <w:lang w:val="pt-BR" w:eastAsia="pt-BR" w:bidi="pt-BR"/>
      </w:rPr>
    </w:lvl>
    <w:lvl w:ilvl="7" w:tplc="AA343AFA">
      <w:numFmt w:val="bullet"/>
      <w:lvlText w:val="•"/>
      <w:lvlJc w:val="left"/>
      <w:pPr>
        <w:ind w:left="7678" w:hanging="140"/>
      </w:pPr>
      <w:rPr>
        <w:rFonts w:hint="default"/>
        <w:lang w:val="pt-BR" w:eastAsia="pt-BR" w:bidi="pt-BR"/>
      </w:rPr>
    </w:lvl>
    <w:lvl w:ilvl="8" w:tplc="D5C43A6A">
      <w:numFmt w:val="bullet"/>
      <w:lvlText w:val="•"/>
      <w:lvlJc w:val="left"/>
      <w:pPr>
        <w:ind w:left="8681" w:hanging="140"/>
      </w:pPr>
      <w:rPr>
        <w:rFonts w:hint="default"/>
        <w:lang w:val="pt-BR" w:eastAsia="pt-BR" w:bidi="pt-BR"/>
      </w:rPr>
    </w:lvl>
  </w:abstractNum>
  <w:abstractNum w:abstractNumId="4">
    <w:nsid w:val="5A2B753C"/>
    <w:multiLevelType w:val="hybridMultilevel"/>
    <w:tmpl w:val="B42A33A2"/>
    <w:lvl w:ilvl="0" w:tplc="141CF928">
      <w:start w:val="3"/>
      <w:numFmt w:val="decimal"/>
      <w:lvlText w:val="%1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2836FBBA">
      <w:numFmt w:val="bullet"/>
      <w:lvlText w:val="•"/>
      <w:lvlJc w:val="left"/>
      <w:pPr>
        <w:ind w:left="1158" w:hanging="212"/>
      </w:pPr>
      <w:rPr>
        <w:rFonts w:hint="default"/>
        <w:lang w:val="pt-BR" w:eastAsia="pt-BR" w:bidi="pt-BR"/>
      </w:rPr>
    </w:lvl>
    <w:lvl w:ilvl="2" w:tplc="95BCC276">
      <w:numFmt w:val="bullet"/>
      <w:lvlText w:val="•"/>
      <w:lvlJc w:val="left"/>
      <w:pPr>
        <w:ind w:left="2217" w:hanging="212"/>
      </w:pPr>
      <w:rPr>
        <w:rFonts w:hint="default"/>
        <w:lang w:val="pt-BR" w:eastAsia="pt-BR" w:bidi="pt-BR"/>
      </w:rPr>
    </w:lvl>
    <w:lvl w:ilvl="3" w:tplc="A36C030A">
      <w:numFmt w:val="bullet"/>
      <w:lvlText w:val="•"/>
      <w:lvlJc w:val="left"/>
      <w:pPr>
        <w:ind w:left="3275" w:hanging="212"/>
      </w:pPr>
      <w:rPr>
        <w:rFonts w:hint="default"/>
        <w:lang w:val="pt-BR" w:eastAsia="pt-BR" w:bidi="pt-BR"/>
      </w:rPr>
    </w:lvl>
    <w:lvl w:ilvl="4" w:tplc="E0689DDE">
      <w:numFmt w:val="bullet"/>
      <w:lvlText w:val="•"/>
      <w:lvlJc w:val="left"/>
      <w:pPr>
        <w:ind w:left="4334" w:hanging="212"/>
      </w:pPr>
      <w:rPr>
        <w:rFonts w:hint="default"/>
        <w:lang w:val="pt-BR" w:eastAsia="pt-BR" w:bidi="pt-BR"/>
      </w:rPr>
    </w:lvl>
    <w:lvl w:ilvl="5" w:tplc="C64CCBF2">
      <w:numFmt w:val="bullet"/>
      <w:lvlText w:val="•"/>
      <w:lvlJc w:val="left"/>
      <w:pPr>
        <w:ind w:left="5393" w:hanging="212"/>
      </w:pPr>
      <w:rPr>
        <w:rFonts w:hint="default"/>
        <w:lang w:val="pt-BR" w:eastAsia="pt-BR" w:bidi="pt-BR"/>
      </w:rPr>
    </w:lvl>
    <w:lvl w:ilvl="6" w:tplc="9CB8E07C">
      <w:numFmt w:val="bullet"/>
      <w:lvlText w:val="•"/>
      <w:lvlJc w:val="left"/>
      <w:pPr>
        <w:ind w:left="6451" w:hanging="212"/>
      </w:pPr>
      <w:rPr>
        <w:rFonts w:hint="default"/>
        <w:lang w:val="pt-BR" w:eastAsia="pt-BR" w:bidi="pt-BR"/>
      </w:rPr>
    </w:lvl>
    <w:lvl w:ilvl="7" w:tplc="7B0ABA46">
      <w:numFmt w:val="bullet"/>
      <w:lvlText w:val="•"/>
      <w:lvlJc w:val="left"/>
      <w:pPr>
        <w:ind w:left="7510" w:hanging="212"/>
      </w:pPr>
      <w:rPr>
        <w:rFonts w:hint="default"/>
        <w:lang w:val="pt-BR" w:eastAsia="pt-BR" w:bidi="pt-BR"/>
      </w:rPr>
    </w:lvl>
    <w:lvl w:ilvl="8" w:tplc="B1C0BC5A">
      <w:numFmt w:val="bullet"/>
      <w:lvlText w:val="•"/>
      <w:lvlJc w:val="left"/>
      <w:pPr>
        <w:ind w:left="8569" w:hanging="212"/>
      </w:pPr>
      <w:rPr>
        <w:rFonts w:hint="default"/>
        <w:lang w:val="pt-BR" w:eastAsia="pt-BR" w:bidi="pt-BR"/>
      </w:rPr>
    </w:lvl>
  </w:abstractNum>
  <w:abstractNum w:abstractNumId="5">
    <w:nsid w:val="5C7F3A95"/>
    <w:multiLevelType w:val="hybridMultilevel"/>
    <w:tmpl w:val="4964122E"/>
    <w:lvl w:ilvl="0" w:tplc="DA464550">
      <w:start w:val="1"/>
      <w:numFmt w:val="decimalZero"/>
      <w:lvlText w:val="%1-"/>
      <w:lvlJc w:val="left"/>
      <w:pPr>
        <w:ind w:left="487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98568C30">
      <w:numFmt w:val="bullet"/>
      <w:lvlText w:val="•"/>
      <w:lvlJc w:val="left"/>
      <w:pPr>
        <w:ind w:left="705" w:hanging="380"/>
      </w:pPr>
      <w:rPr>
        <w:rFonts w:hint="default"/>
        <w:lang w:val="pt-BR" w:eastAsia="pt-BR" w:bidi="pt-BR"/>
      </w:rPr>
    </w:lvl>
    <w:lvl w:ilvl="2" w:tplc="769832FA">
      <w:numFmt w:val="bullet"/>
      <w:lvlText w:val="•"/>
      <w:lvlJc w:val="left"/>
      <w:pPr>
        <w:ind w:left="930" w:hanging="380"/>
      </w:pPr>
      <w:rPr>
        <w:rFonts w:hint="default"/>
        <w:lang w:val="pt-BR" w:eastAsia="pt-BR" w:bidi="pt-BR"/>
      </w:rPr>
    </w:lvl>
    <w:lvl w:ilvl="3" w:tplc="EAFC517E">
      <w:numFmt w:val="bullet"/>
      <w:lvlText w:val="•"/>
      <w:lvlJc w:val="left"/>
      <w:pPr>
        <w:ind w:left="1155" w:hanging="380"/>
      </w:pPr>
      <w:rPr>
        <w:rFonts w:hint="default"/>
        <w:lang w:val="pt-BR" w:eastAsia="pt-BR" w:bidi="pt-BR"/>
      </w:rPr>
    </w:lvl>
    <w:lvl w:ilvl="4" w:tplc="D766DECE">
      <w:numFmt w:val="bullet"/>
      <w:lvlText w:val="•"/>
      <w:lvlJc w:val="left"/>
      <w:pPr>
        <w:ind w:left="1380" w:hanging="380"/>
      </w:pPr>
      <w:rPr>
        <w:rFonts w:hint="default"/>
        <w:lang w:val="pt-BR" w:eastAsia="pt-BR" w:bidi="pt-BR"/>
      </w:rPr>
    </w:lvl>
    <w:lvl w:ilvl="5" w:tplc="FE70D678">
      <w:numFmt w:val="bullet"/>
      <w:lvlText w:val="•"/>
      <w:lvlJc w:val="left"/>
      <w:pPr>
        <w:ind w:left="1605" w:hanging="380"/>
      </w:pPr>
      <w:rPr>
        <w:rFonts w:hint="default"/>
        <w:lang w:val="pt-BR" w:eastAsia="pt-BR" w:bidi="pt-BR"/>
      </w:rPr>
    </w:lvl>
    <w:lvl w:ilvl="6" w:tplc="74E84358">
      <w:numFmt w:val="bullet"/>
      <w:lvlText w:val="•"/>
      <w:lvlJc w:val="left"/>
      <w:pPr>
        <w:ind w:left="1830" w:hanging="380"/>
      </w:pPr>
      <w:rPr>
        <w:rFonts w:hint="default"/>
        <w:lang w:val="pt-BR" w:eastAsia="pt-BR" w:bidi="pt-BR"/>
      </w:rPr>
    </w:lvl>
    <w:lvl w:ilvl="7" w:tplc="FD28B616">
      <w:numFmt w:val="bullet"/>
      <w:lvlText w:val="•"/>
      <w:lvlJc w:val="left"/>
      <w:pPr>
        <w:ind w:left="2055" w:hanging="380"/>
      </w:pPr>
      <w:rPr>
        <w:rFonts w:hint="default"/>
        <w:lang w:val="pt-BR" w:eastAsia="pt-BR" w:bidi="pt-BR"/>
      </w:rPr>
    </w:lvl>
    <w:lvl w:ilvl="8" w:tplc="EA6823B6">
      <w:numFmt w:val="bullet"/>
      <w:lvlText w:val="•"/>
      <w:lvlJc w:val="left"/>
      <w:pPr>
        <w:ind w:left="2280" w:hanging="38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32A4B"/>
    <w:rsid w:val="00332A4B"/>
    <w:rsid w:val="008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70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3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0C8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th.ca/corneal-cross-linking-riboflavin-keratoconus-review-clinical-and-cost-effectivene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dth.ca/corneal-cross-linking-riboflavin-keratoconus-review-clinical-and-cost-effective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2039</Words>
  <Characters>11016</Characters>
  <Application>Microsoft Office Word</Application>
  <DocSecurity>0</DocSecurity>
  <Lines>91</Lines>
  <Paragraphs>26</Paragraphs>
  <ScaleCrop>false</ScaleCrop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Roseane Simão Dias Chaves</dc:creator>
  <cp:lastModifiedBy>VANESSA ALVES DE OLIVEIRA</cp:lastModifiedBy>
  <cp:revision>2</cp:revision>
  <dcterms:created xsi:type="dcterms:W3CDTF">2019-07-19T13:26:00Z</dcterms:created>
  <dcterms:modified xsi:type="dcterms:W3CDTF">2019-07-19T13:27:00Z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2019-07-19T00:00:00Z</vt:filetime>
  </property>
</Properties>
</file>