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B" w:rsidRDefault="00610ABB" w:rsidP="00610ABB">
      <w:pPr>
        <w:pStyle w:val="Corpodetexto"/>
        <w:spacing w:before="72"/>
        <w:ind w:right="2833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D3879DB" wp14:editId="7AA7D2E5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71" w:rsidRDefault="00610ABB">
      <w:pPr>
        <w:pStyle w:val="Corpodetexto"/>
        <w:spacing w:before="72"/>
        <w:ind w:left="2831" w:right="2833"/>
        <w:jc w:val="center"/>
      </w:pPr>
      <w:r>
        <w:t>ANEXO</w:t>
      </w:r>
    </w:p>
    <w:p w:rsidR="00925371" w:rsidRDefault="00925371">
      <w:pPr>
        <w:pStyle w:val="Corpodetexto"/>
        <w:spacing w:before="2"/>
        <w:ind w:left="0"/>
        <w:jc w:val="left"/>
      </w:pPr>
    </w:p>
    <w:p w:rsidR="00925371" w:rsidRDefault="00610ABB">
      <w:pPr>
        <w:pStyle w:val="Corpodetexto"/>
        <w:ind w:left="2833" w:right="2833"/>
        <w:jc w:val="center"/>
      </w:pPr>
      <w:r>
        <w:t>Diretrizes Diagnósticas e Terapêuticas do Carcinoma de Esôfago</w:t>
      </w:r>
    </w:p>
    <w:p w:rsidR="00925371" w:rsidRDefault="00925371">
      <w:pPr>
        <w:pStyle w:val="Corpodetexto"/>
        <w:spacing w:before="10"/>
        <w:ind w:left="0"/>
        <w:jc w:val="left"/>
        <w:rPr>
          <w:sz w:val="15"/>
        </w:rPr>
      </w:pPr>
    </w:p>
    <w:p w:rsidR="00925371" w:rsidRDefault="00610ABB">
      <w:pPr>
        <w:pStyle w:val="PargrafodaLista"/>
        <w:numPr>
          <w:ilvl w:val="0"/>
          <w:numId w:val="5"/>
        </w:numPr>
        <w:tabs>
          <w:tab w:val="left" w:pos="275"/>
        </w:tabs>
        <w:spacing w:before="1"/>
        <w:jc w:val="both"/>
        <w:rPr>
          <w:sz w:val="16"/>
        </w:rPr>
      </w:pPr>
      <w:r>
        <w:rPr>
          <w:sz w:val="16"/>
        </w:rPr>
        <w:t>Metodologia de busca e avaliação da</w:t>
      </w:r>
      <w:r>
        <w:rPr>
          <w:spacing w:val="-8"/>
          <w:sz w:val="16"/>
        </w:rPr>
        <w:t xml:space="preserve"> </w:t>
      </w:r>
      <w:r>
        <w:rPr>
          <w:sz w:val="16"/>
        </w:rPr>
        <w:t>literatura</w:t>
      </w:r>
    </w:p>
    <w:p w:rsidR="00925371" w:rsidRDefault="00610ABB">
      <w:pPr>
        <w:pStyle w:val="Corpodetexto"/>
        <w:spacing w:before="1" w:line="183" w:lineRule="exact"/>
      </w:pPr>
      <w:r>
        <w:t>Foi realizada busca nas bases de dados do Medline/Pubmed, Embase e Cochrane para opções terapêuticas do carcinoma de esôfago.</w:t>
      </w:r>
    </w:p>
    <w:p w:rsidR="00925371" w:rsidRDefault="00610ABB">
      <w:pPr>
        <w:pStyle w:val="Corpodetexto"/>
        <w:ind w:right="110"/>
      </w:pPr>
      <w:r>
        <w:t>No Medline/Pubmed, a busca foi realizada no dia 10/03/2014 e utilizada a seguinte estratégia: termos "Esophageal Neoplasms/diet th</w:t>
      </w:r>
      <w:r>
        <w:t>erapy"[Mesh] OR "Esophageal Neoplasms/drug therapy"[Mesh] OR "Esophageal Neoplasms/radiotherapy"[Mesh] OR "Esophageal Neoplasms/surgery"[Mesh] OR "Esophageal Neoplasms/therapy"[Mesh], restringindo-se para estudos em humanos, meta-análises e revisões sistem</w:t>
      </w:r>
      <w:r>
        <w:t>áticas em inglês, português e espanhol, identificaram-se 257 referências. Foram retirados 34 artigos que fugiam ao escopo destas Diretrizes. Dos 223 artigos restantes, 121 eram revisões sistemáticas dos mais variados</w:t>
      </w:r>
      <w:r>
        <w:rPr>
          <w:spacing w:val="-3"/>
        </w:rPr>
        <w:t xml:space="preserve"> </w:t>
      </w:r>
      <w:r>
        <w:t>enfoques.</w:t>
      </w:r>
    </w:p>
    <w:p w:rsidR="00925371" w:rsidRDefault="00610ABB">
      <w:pPr>
        <w:pStyle w:val="Corpodetexto"/>
        <w:ind w:right="109"/>
      </w:pPr>
      <w:r>
        <w:t>No Embase, a busca foi realiz</w:t>
      </w:r>
      <w:r>
        <w:t>ada no dia 10/03/2014 e utilizada a seguinte estratégia: termos 'esophagus cancer'/exp OR 'esophagus carcinoma'/exp AND 'therapy'/exp restringindo-se para estudos em humanos, meta-análises e revisões sistemáticas em inglês, português e espanhol, identifica</w:t>
      </w:r>
      <w:r>
        <w:t>ram-se 393 estudos. Destes, 180 foram retirados porque fugiam ao escopo destas Diretrizes. Dos 213 artigos, 99 eram revisões sistemáticas.</w:t>
      </w:r>
    </w:p>
    <w:p w:rsidR="00925371" w:rsidRDefault="00610ABB">
      <w:pPr>
        <w:pStyle w:val="Corpodetexto"/>
        <w:spacing w:line="183" w:lineRule="exact"/>
      </w:pPr>
      <w:r>
        <w:t>Além disso, 59 artigos foram encontrados tanto no PUBMED quanto no EMBASE.</w:t>
      </w:r>
    </w:p>
    <w:p w:rsidR="00925371" w:rsidRDefault="00610ABB">
      <w:pPr>
        <w:pStyle w:val="Corpodetexto"/>
        <w:ind w:right="109"/>
      </w:pPr>
      <w:r>
        <w:t>Na base de dados Cochrane, a busca foi rea</w:t>
      </w:r>
      <w:r>
        <w:t>lizada no dia 10/03/2014 com o termo “Esophagus cancer” e foram identificadas 10 revisões sistemáticas sobre esta doença. Destas, uma foi retirada por não tratar diretamente da conduta para câncer de esôfago(#9).</w:t>
      </w:r>
    </w:p>
    <w:p w:rsidR="00925371" w:rsidRDefault="00610ABB">
      <w:pPr>
        <w:pStyle w:val="Corpodetexto"/>
        <w:spacing w:before="1"/>
        <w:ind w:right="109"/>
      </w:pPr>
      <w:r>
        <w:t>Foram utilizadas nestas Diretrizes as revis</w:t>
      </w:r>
      <w:r>
        <w:t>ões sistemáticas e artigos de 2005 a 2014, totalizando 40 artigos, visto que estes se repetem sistematicamente quanto aos seus resultados. Para os tópicos que não possuem meta-análises e revisões sistemáticas publicadas, foi utilizada a base de dados</w:t>
      </w:r>
      <w:r>
        <w:rPr>
          <w:spacing w:val="-1"/>
        </w:rPr>
        <w:t xml:space="preserve"> </w:t>
      </w:r>
      <w:r>
        <w:t>UpToD</w:t>
      </w:r>
      <w:r>
        <w:t>ate.</w:t>
      </w:r>
    </w:p>
    <w:p w:rsidR="00925371" w:rsidRDefault="00610ABB">
      <w:pPr>
        <w:pStyle w:val="Corpodetexto"/>
        <w:spacing w:before="1"/>
        <w:ind w:right="111"/>
      </w:pPr>
      <w:r>
        <w:t>Os artigos referentes aos fatores de risco raros para o câncer de esôfago foram identificados de forma não sistemáticas, a fim de citar as revisões mais recentes na língua portuguesa ou não.</w:t>
      </w:r>
    </w:p>
    <w:p w:rsidR="00925371" w:rsidRDefault="00925371">
      <w:pPr>
        <w:pStyle w:val="Corpodetexto"/>
        <w:ind w:left="0"/>
        <w:jc w:val="left"/>
      </w:pPr>
    </w:p>
    <w:p w:rsidR="00925371" w:rsidRDefault="00610ABB">
      <w:pPr>
        <w:pStyle w:val="PargrafodaLista"/>
        <w:numPr>
          <w:ilvl w:val="0"/>
          <w:numId w:val="5"/>
        </w:numPr>
        <w:tabs>
          <w:tab w:val="left" w:pos="270"/>
        </w:tabs>
        <w:spacing w:line="183" w:lineRule="exact"/>
        <w:ind w:left="269" w:hanging="157"/>
        <w:jc w:val="both"/>
        <w:rPr>
          <w:sz w:val="16"/>
        </w:rPr>
      </w:pPr>
      <w:r>
        <w:rPr>
          <w:sz w:val="16"/>
        </w:rPr>
        <w:t>Introdução</w:t>
      </w:r>
    </w:p>
    <w:p w:rsidR="00925371" w:rsidRDefault="00610ABB">
      <w:pPr>
        <w:pStyle w:val="Corpodetexto"/>
        <w:ind w:right="108"/>
      </w:pPr>
      <w:r>
        <w:t>O câncer de esôfago afeta mais de 450 mil pessoa</w:t>
      </w:r>
      <w:r>
        <w:t>s a cada ano. A Organização Mundial da Saúde (OMS) estimou para o ano de 2012, 323 mil novos casos em homens e 132 mil em mulheres no mundo todo. As taxas de mortalidade se aproximam das de incidência, dado o mau prognóstico deste câncer, sendo esperadas 4</w:t>
      </w:r>
      <w:r>
        <w:t xml:space="preserve">00 mil mortes por ano decorrentes deste câncer. A diferença entre os países pode ser de até 20 vezes, e as regiões mais afetadas são as menos desenvolvidas, onde ocorrem 80% dos novos casos e das mortes. Em todas as regiões ocorre mais em homens do que em </w:t>
      </w:r>
      <w:r>
        <w:t>mulheres numa razão de aproximadamente 2:1.(1)</w:t>
      </w:r>
    </w:p>
    <w:p w:rsidR="00925371" w:rsidRDefault="00610ABB">
      <w:pPr>
        <w:pStyle w:val="Corpodetexto"/>
        <w:spacing w:before="1"/>
        <w:ind w:right="113"/>
      </w:pPr>
      <w:r>
        <w:t>No Brasil, as estimativas para 2014 preveem 8.000 casos entre os homens e 2.700 entre as mulheres, aproximadamente, o que corresponde uma taxa de incidência de 8,18 por 100 mil homens e 2,7 por 100 mil mulhere</w:t>
      </w:r>
      <w:r>
        <w:t>s.(2)</w:t>
      </w:r>
    </w:p>
    <w:p w:rsidR="00925371" w:rsidRDefault="00610ABB">
      <w:pPr>
        <w:pStyle w:val="Corpodetexto"/>
        <w:ind w:right="107"/>
      </w:pPr>
      <w:r>
        <w:t>O câncer de esôfago pode ser do tipo histopatológico epidermoide e do tipo adenocarcinoma. O primeiro é mais comumente associado ao abuso de fumo e álcool e hábitos alimentares inadequados e é a maioria nos países de alta incidência, localizando-se mais fr</w:t>
      </w:r>
      <w:r>
        <w:t>equentemente no esôfago médio e proximal. Já o segundo está mais relacionado ao refluxo gastresofágico crônico, doença de Barret e obesidade e ocorre mais frequentemente no esôfago distal e junção esofagogástrica (JEG).(3).</w:t>
      </w:r>
    </w:p>
    <w:p w:rsidR="00925371" w:rsidRDefault="00610ABB">
      <w:pPr>
        <w:pStyle w:val="Corpodetexto"/>
        <w:ind w:right="113"/>
      </w:pPr>
      <w:r>
        <w:t>Estas diferenças levam a crer qu</w:t>
      </w:r>
      <w:r>
        <w:t>e os dois tipos histológicos representem na verdade duas doenças distintas que acometem a mesma topografia com patogênese, comportamento biológico e resposta ao tratamento diferentes.</w:t>
      </w:r>
    </w:p>
    <w:p w:rsidR="00925371" w:rsidRDefault="00610ABB">
      <w:pPr>
        <w:pStyle w:val="Corpodetexto"/>
        <w:ind w:right="109"/>
      </w:pPr>
      <w:r>
        <w:t>Os principais fatores de risco modificáveis para o câncer de esôfago são</w:t>
      </w:r>
      <w:r>
        <w:t xml:space="preserve"> fumo, álcool e obesidade(4,5). São fatores de risco menos frequentes: a tilose ou Síndrome de Howel-Evans(6,7), síndrome hereditária caracterizada por hiperceratose palmoplantar; Síndrome de Plummer-Vinson (8,9), síndrome provavelmente associada a deficiê</w:t>
      </w:r>
      <w:r>
        <w:t>ncia de ferro e que tem como característica a tríade disfagia, anemia ferropriva e membranas esofágicas; e acalasia(10), uma desordem neurodegenerativa da motilidade do esôfago que compromete o peristaltismo e evolui para a perda da função do esfíncter inf</w:t>
      </w:r>
      <w:r>
        <w:t>erior do esôfago e faz parte das alterações encontradas na Doença de</w:t>
      </w:r>
      <w:r>
        <w:rPr>
          <w:spacing w:val="-17"/>
        </w:rPr>
        <w:t xml:space="preserve"> </w:t>
      </w:r>
      <w:r>
        <w:t>Chagas.</w:t>
      </w:r>
    </w:p>
    <w:p w:rsidR="00925371" w:rsidRDefault="00610ABB">
      <w:pPr>
        <w:pStyle w:val="Corpodetexto"/>
        <w:ind w:right="107"/>
      </w:pPr>
      <w:r>
        <w:t>O esôfago de Barret é fator de risco para o adenocarcinoma de esôfago. É uma alteração definida como a transformação do epitélio escamoso do esôfago distal para o epitélio colunar</w:t>
      </w:r>
      <w:r>
        <w:t xml:space="preserve"> especializado, a metaplasia intestinal (epitélio glandular).(11) Supõe-se que esta alteração se dá por exposição prolongada ao refluxo gastroesofágico. Se não prevenida ou tratada, esta metaplasia evolui para displasia de baixo e alto grau, que, quando pr</w:t>
      </w:r>
      <w:r>
        <w:t>esente, pode ser considerada a lesão precursora do adenocarcinoma de esôfago</w:t>
      </w:r>
      <w:r>
        <w:rPr>
          <w:spacing w:val="-9"/>
        </w:rPr>
        <w:t xml:space="preserve"> </w:t>
      </w:r>
      <w:r>
        <w:t>(12,13).</w:t>
      </w:r>
    </w:p>
    <w:p w:rsidR="00925371" w:rsidRDefault="00610ABB">
      <w:pPr>
        <w:pStyle w:val="Corpodetexto"/>
        <w:ind w:right="113"/>
      </w:pPr>
      <w:r>
        <w:t>Inexistem evidências de que a utilização de suplementos com efeitos antioxidantes, como suplementos vitamínicos e selênio, tenha efeito sobre a incidência de câncer de es</w:t>
      </w:r>
      <w:r>
        <w:t>ôfago (RR 1,06, 95% CI 0,89 a 1,28, I2 = 0%)(14).</w:t>
      </w:r>
    </w:p>
    <w:p w:rsidR="00925371" w:rsidRDefault="00610ABB">
      <w:pPr>
        <w:pStyle w:val="Corpodetexto"/>
        <w:ind w:right="108"/>
      </w:pPr>
      <w:r>
        <w:t>Revisões sistemáticas (RS) de estudos observacionais reportaram efeito protetor com alguns suplementos ou medicamentos (como aspirina e anti- inflamatórios não esteroidais - AINE) ou dieta rica em fibra, po</w:t>
      </w:r>
      <w:r>
        <w:t>rém com força de evidência inferior à RS da Cochrane, que inclui apenas ensaios clínicos contra placebo ou observação(15-18), razão pela qual não se recomenda esta intervenção preventiva.</w:t>
      </w:r>
    </w:p>
    <w:p w:rsidR="00925371" w:rsidRDefault="00610ABB">
      <w:pPr>
        <w:pStyle w:val="Corpodetexto"/>
        <w:ind w:right="108"/>
      </w:pPr>
      <w:r>
        <w:t>Inexistem ensaios clínicos randomizados que determinem a eficácia de</w:t>
      </w:r>
      <w:r>
        <w:t xml:space="preserve"> rastreamento de câncer de esôfago. Conforme RS da Cochrane, baseada em estudos observacionais, concluiu que ensaios clínicos não randomizados relataram melhora na sobrevida, porém a análise crítica identifica que este resultado pode ter sido afetado pelo </w:t>
      </w:r>
      <w:r>
        <w:t>viés de duração de tempo, viés de tempo ganho e viés de seleção.(19)</w:t>
      </w:r>
    </w:p>
    <w:p w:rsidR="00925371" w:rsidRDefault="00610ABB">
      <w:pPr>
        <w:pStyle w:val="Corpodetexto"/>
        <w:ind w:right="110"/>
      </w:pPr>
      <w:r>
        <w:t>A identificação de fatores de risco e da doença em seu estágio inicial e o encaminhamento ágil e adequado para o atendimento especializado dão à Atenção Básica um caráter essencial para u</w:t>
      </w:r>
      <w:r>
        <w:t>m melhor resultado terapêutico e prognóstico dos casos.</w:t>
      </w:r>
    </w:p>
    <w:p w:rsidR="00925371" w:rsidRDefault="00925371">
      <w:pPr>
        <w:pStyle w:val="Corpodetexto"/>
        <w:spacing w:before="11"/>
        <w:ind w:left="0"/>
        <w:jc w:val="left"/>
        <w:rPr>
          <w:sz w:val="15"/>
        </w:rPr>
      </w:pPr>
    </w:p>
    <w:p w:rsidR="00925371" w:rsidRDefault="00610ABB">
      <w:pPr>
        <w:pStyle w:val="PargrafodaLista"/>
        <w:numPr>
          <w:ilvl w:val="0"/>
          <w:numId w:val="5"/>
        </w:numPr>
        <w:tabs>
          <w:tab w:val="left" w:pos="267"/>
        </w:tabs>
        <w:ind w:left="266" w:hanging="154"/>
        <w:jc w:val="both"/>
        <w:rPr>
          <w:sz w:val="16"/>
        </w:rPr>
      </w:pPr>
      <w:r>
        <w:rPr>
          <w:sz w:val="16"/>
        </w:rPr>
        <w:t>Classificação estatística internacional de doenças e problemas relacionados à saúde</w:t>
      </w:r>
      <w:r>
        <w:rPr>
          <w:spacing w:val="-13"/>
          <w:sz w:val="16"/>
        </w:rPr>
        <w:t xml:space="preserve"> </w:t>
      </w:r>
      <w:r>
        <w:rPr>
          <w:sz w:val="16"/>
        </w:rPr>
        <w:t>(cid-10)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before="1" w:line="183" w:lineRule="exact"/>
        <w:rPr>
          <w:sz w:val="16"/>
        </w:rPr>
      </w:pPr>
      <w:r>
        <w:rPr>
          <w:sz w:val="16"/>
        </w:rPr>
        <w:t>C15.0</w:t>
      </w:r>
      <w:r>
        <w:rPr>
          <w:spacing w:val="-1"/>
          <w:sz w:val="16"/>
        </w:rPr>
        <w:t xml:space="preserve"> </w:t>
      </w:r>
      <w:r>
        <w:rPr>
          <w:sz w:val="16"/>
        </w:rPr>
        <w:t>Neoplasia</w:t>
      </w:r>
      <w:r>
        <w:rPr>
          <w:spacing w:val="-2"/>
          <w:sz w:val="16"/>
        </w:rPr>
        <w:t xml:space="preserve"> </w:t>
      </w:r>
      <w:r>
        <w:rPr>
          <w:sz w:val="16"/>
        </w:rPr>
        <w:t>maligna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porção</w:t>
      </w:r>
      <w:r>
        <w:rPr>
          <w:spacing w:val="-5"/>
          <w:sz w:val="16"/>
        </w:rPr>
        <w:t xml:space="preserve"> </w:t>
      </w:r>
      <w:r>
        <w:rPr>
          <w:sz w:val="16"/>
        </w:rPr>
        <w:t>cervical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esôfago</w:t>
      </w:r>
      <w:r>
        <w:rPr>
          <w:spacing w:val="-4"/>
          <w:sz w:val="16"/>
        </w:rPr>
        <w:t xml:space="preserve"> </w:t>
      </w:r>
      <w:r>
        <w:rPr>
          <w:sz w:val="16"/>
        </w:rPr>
        <w:t>(esôfago</w:t>
      </w:r>
      <w:r>
        <w:rPr>
          <w:spacing w:val="-4"/>
          <w:sz w:val="16"/>
        </w:rPr>
        <w:t xml:space="preserve"> </w:t>
      </w:r>
      <w:r>
        <w:rPr>
          <w:sz w:val="16"/>
        </w:rPr>
        <w:t>cervical)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line="183" w:lineRule="exact"/>
        <w:rPr>
          <w:sz w:val="16"/>
        </w:rPr>
      </w:pPr>
      <w:r>
        <w:rPr>
          <w:sz w:val="16"/>
        </w:rPr>
        <w:t>C15.1</w:t>
      </w:r>
      <w:r>
        <w:rPr>
          <w:spacing w:val="-2"/>
          <w:sz w:val="16"/>
        </w:rPr>
        <w:t xml:space="preserve"> </w:t>
      </w:r>
      <w:r>
        <w:rPr>
          <w:sz w:val="16"/>
        </w:rPr>
        <w:t>Neoplasia</w:t>
      </w:r>
      <w:r>
        <w:rPr>
          <w:spacing w:val="-2"/>
          <w:sz w:val="16"/>
        </w:rPr>
        <w:t xml:space="preserve"> </w:t>
      </w:r>
      <w:r>
        <w:rPr>
          <w:sz w:val="16"/>
        </w:rPr>
        <w:t>maligna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porção</w:t>
      </w:r>
      <w:r>
        <w:rPr>
          <w:spacing w:val="-6"/>
          <w:sz w:val="16"/>
        </w:rPr>
        <w:t xml:space="preserve"> </w:t>
      </w:r>
      <w:r>
        <w:rPr>
          <w:sz w:val="16"/>
        </w:rPr>
        <w:t>torácica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esôfago</w:t>
      </w:r>
      <w:r>
        <w:rPr>
          <w:spacing w:val="-4"/>
          <w:sz w:val="16"/>
        </w:rPr>
        <w:t xml:space="preserve"> </w:t>
      </w:r>
      <w:r>
        <w:rPr>
          <w:sz w:val="16"/>
        </w:rPr>
        <w:t>(esôfago</w:t>
      </w:r>
      <w:r>
        <w:rPr>
          <w:spacing w:val="-4"/>
          <w:sz w:val="16"/>
        </w:rPr>
        <w:t xml:space="preserve"> </w:t>
      </w:r>
      <w:r>
        <w:rPr>
          <w:sz w:val="16"/>
        </w:rPr>
        <w:t>torácico)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before="1"/>
        <w:rPr>
          <w:sz w:val="16"/>
        </w:rPr>
      </w:pPr>
      <w:r>
        <w:rPr>
          <w:sz w:val="16"/>
        </w:rPr>
        <w:t>C15.2 Neoplasia maligna da porção abdominal do esôfago (esôfago</w:t>
      </w:r>
      <w:r>
        <w:rPr>
          <w:spacing w:val="-12"/>
          <w:sz w:val="16"/>
        </w:rPr>
        <w:t xml:space="preserve"> </w:t>
      </w:r>
      <w:r>
        <w:rPr>
          <w:sz w:val="16"/>
        </w:rPr>
        <w:t>abdominal)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before="1" w:line="183" w:lineRule="exact"/>
        <w:rPr>
          <w:sz w:val="16"/>
        </w:rPr>
      </w:pPr>
      <w:r>
        <w:rPr>
          <w:sz w:val="16"/>
        </w:rPr>
        <w:t>C15.3 Neoplasia maligna do terço superior do</w:t>
      </w:r>
      <w:r>
        <w:rPr>
          <w:spacing w:val="-6"/>
          <w:sz w:val="16"/>
        </w:rPr>
        <w:t xml:space="preserve"> </w:t>
      </w:r>
      <w:r>
        <w:rPr>
          <w:sz w:val="16"/>
        </w:rPr>
        <w:t>esôfago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line="183" w:lineRule="exact"/>
        <w:rPr>
          <w:sz w:val="16"/>
        </w:rPr>
      </w:pPr>
      <w:r>
        <w:rPr>
          <w:sz w:val="16"/>
        </w:rPr>
        <w:t>C15.4 Neoplasia maligna do terço médio do</w:t>
      </w:r>
      <w:r>
        <w:rPr>
          <w:spacing w:val="-7"/>
          <w:sz w:val="16"/>
        </w:rPr>
        <w:t xml:space="preserve"> </w:t>
      </w:r>
      <w:r>
        <w:rPr>
          <w:sz w:val="16"/>
        </w:rPr>
        <w:t>esôfago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rPr>
          <w:sz w:val="16"/>
        </w:rPr>
      </w:pPr>
      <w:r>
        <w:rPr>
          <w:sz w:val="16"/>
        </w:rPr>
        <w:t>C15.5 Neoplasia maligna do terço infer</w:t>
      </w:r>
      <w:r>
        <w:rPr>
          <w:sz w:val="16"/>
        </w:rPr>
        <w:t>ior do</w:t>
      </w:r>
      <w:r>
        <w:rPr>
          <w:spacing w:val="-8"/>
          <w:sz w:val="16"/>
        </w:rPr>
        <w:t xml:space="preserve"> </w:t>
      </w:r>
      <w:r>
        <w:rPr>
          <w:sz w:val="16"/>
        </w:rPr>
        <w:t>esôfago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before="1" w:line="183" w:lineRule="exact"/>
        <w:rPr>
          <w:sz w:val="16"/>
        </w:rPr>
      </w:pPr>
      <w:r>
        <w:rPr>
          <w:sz w:val="16"/>
        </w:rPr>
        <w:t>C15.8 Neoplasia maligna do esôfago com lesão</w:t>
      </w:r>
      <w:r>
        <w:rPr>
          <w:spacing w:val="-5"/>
          <w:sz w:val="16"/>
        </w:rPr>
        <w:t xml:space="preserve"> </w:t>
      </w:r>
      <w:r>
        <w:rPr>
          <w:sz w:val="16"/>
        </w:rPr>
        <w:t>invasiva</w:t>
      </w:r>
    </w:p>
    <w:p w:rsidR="00925371" w:rsidRDefault="00610ABB">
      <w:pPr>
        <w:pStyle w:val="PargrafodaLista"/>
        <w:numPr>
          <w:ilvl w:val="0"/>
          <w:numId w:val="4"/>
        </w:numPr>
        <w:tabs>
          <w:tab w:val="left" w:pos="207"/>
        </w:tabs>
        <w:spacing w:line="183" w:lineRule="exact"/>
        <w:rPr>
          <w:sz w:val="16"/>
        </w:rPr>
      </w:pPr>
      <w:r>
        <w:rPr>
          <w:sz w:val="16"/>
        </w:rPr>
        <w:t>C15.9 Neoplasia maligna do esôfago, não</w:t>
      </w:r>
      <w:r>
        <w:rPr>
          <w:spacing w:val="-2"/>
          <w:sz w:val="16"/>
        </w:rPr>
        <w:t xml:space="preserve"> </w:t>
      </w:r>
      <w:r>
        <w:rPr>
          <w:sz w:val="16"/>
        </w:rPr>
        <w:t>especificado</w:t>
      </w:r>
    </w:p>
    <w:p w:rsidR="00925371" w:rsidRDefault="00925371">
      <w:pPr>
        <w:pStyle w:val="Corpodetexto"/>
        <w:spacing w:before="2"/>
        <w:ind w:left="0"/>
        <w:jc w:val="left"/>
      </w:pPr>
    </w:p>
    <w:p w:rsidR="00925371" w:rsidRDefault="00610ABB">
      <w:pPr>
        <w:pStyle w:val="PargrafodaLista"/>
        <w:numPr>
          <w:ilvl w:val="0"/>
          <w:numId w:val="5"/>
        </w:numPr>
        <w:tabs>
          <w:tab w:val="left" w:pos="270"/>
        </w:tabs>
        <w:spacing w:line="183" w:lineRule="exact"/>
        <w:ind w:left="269" w:hanging="157"/>
        <w:jc w:val="both"/>
        <w:rPr>
          <w:sz w:val="16"/>
        </w:rPr>
      </w:pPr>
      <w:r>
        <w:rPr>
          <w:sz w:val="16"/>
        </w:rPr>
        <w:t>Diagnóstico e</w:t>
      </w:r>
      <w:r>
        <w:rPr>
          <w:spacing w:val="-4"/>
          <w:sz w:val="16"/>
        </w:rPr>
        <w:t xml:space="preserve"> </w:t>
      </w:r>
      <w:r>
        <w:rPr>
          <w:sz w:val="16"/>
        </w:rPr>
        <w:t>Estadiamento</w:t>
      </w:r>
    </w:p>
    <w:p w:rsidR="00925371" w:rsidRDefault="00610ABB">
      <w:pPr>
        <w:pStyle w:val="Corpodetexto"/>
        <w:ind w:right="110"/>
      </w:pPr>
      <w:r>
        <w:t xml:space="preserve">A maioria dos pacientes diagnosticados com câncer de esôfago apresenta disfagia progressiva como primeiro sintoma. Assim, todo paciente que inicia com este sintoma deve submeter-se a uma endoscopia alta. Esta recomendação é particularmente importante caso </w:t>
      </w:r>
      <w:r>
        <w:t>o paciente apresente ou se exponha a algum fator de risco ou se tiver sintomas associados, como odinofagia e perda de</w:t>
      </w:r>
      <w:r>
        <w:rPr>
          <w:spacing w:val="-20"/>
        </w:rPr>
        <w:t xml:space="preserve"> </w:t>
      </w:r>
      <w:r>
        <w:t>peso.</w:t>
      </w:r>
    </w:p>
    <w:p w:rsidR="00925371" w:rsidRDefault="00610ABB">
      <w:pPr>
        <w:ind w:left="112"/>
        <w:jc w:val="both"/>
        <w:rPr>
          <w:sz w:val="13"/>
        </w:rPr>
      </w:pPr>
      <w:r>
        <w:rPr>
          <w:sz w:val="16"/>
        </w:rPr>
        <w:t>4.1 D</w:t>
      </w:r>
      <w:r>
        <w:rPr>
          <w:sz w:val="13"/>
        </w:rPr>
        <w:t xml:space="preserve">IAGNÓSTICO </w:t>
      </w:r>
      <w:r>
        <w:rPr>
          <w:sz w:val="16"/>
        </w:rPr>
        <w:t>C</w:t>
      </w:r>
      <w:r>
        <w:rPr>
          <w:sz w:val="13"/>
        </w:rPr>
        <w:t xml:space="preserve">LÍNICO E </w:t>
      </w:r>
      <w:r>
        <w:rPr>
          <w:sz w:val="16"/>
        </w:rPr>
        <w:t>C</w:t>
      </w:r>
      <w:r>
        <w:rPr>
          <w:sz w:val="13"/>
        </w:rPr>
        <w:t>IRÚRGICO</w:t>
      </w:r>
    </w:p>
    <w:p w:rsidR="00925371" w:rsidRDefault="00610ABB">
      <w:pPr>
        <w:pStyle w:val="Corpodetexto"/>
        <w:ind w:right="110" w:firstLine="40"/>
      </w:pPr>
      <w:r>
        <w:t>Tumor na mucosa do esôfago visto na endoscopia digestiva alta (EDA) é patognomônico do câncer de</w:t>
      </w:r>
      <w:r>
        <w:t xml:space="preserve"> esôfago. Mesmo assim, biópsia para comprovação anatomopatológica e definição do subtipo histológico é mandatória. A adição da coleta de espécime para citologia aumenta a acurácia do</w:t>
      </w:r>
      <w:r>
        <w:rPr>
          <w:spacing w:val="-2"/>
        </w:rPr>
        <w:t xml:space="preserve"> </w:t>
      </w:r>
      <w:r>
        <w:t>diagnóstico.(20,21)</w:t>
      </w:r>
    </w:p>
    <w:p w:rsidR="00925371" w:rsidRDefault="00925371">
      <w:pPr>
        <w:sectPr w:rsidR="00925371">
          <w:pgSz w:w="11910" w:h="16840"/>
          <w:pgMar w:top="1320" w:right="1020" w:bottom="280" w:left="1020" w:header="720" w:footer="720" w:gutter="0"/>
          <w:cols w:space="720"/>
        </w:sectPr>
      </w:pPr>
    </w:p>
    <w:p w:rsidR="00925371" w:rsidRDefault="00610ABB">
      <w:pPr>
        <w:pStyle w:val="Corpodetexto"/>
        <w:spacing w:before="72"/>
        <w:ind w:right="113" w:firstLine="81"/>
      </w:pPr>
      <w:r>
        <w:lastRenderedPageBreak/>
        <w:t>Porém, é comum o paciente com câncer de</w:t>
      </w:r>
      <w:r>
        <w:t xml:space="preserve"> esôfago ser diagnosticado com um quadro avançado da neoplasia e, neste caso, os sintomas associados a disfagia grave ou obstrução do trato digestivo são claros, como perda de peso, desnutrição e odinofagia.</w:t>
      </w:r>
    </w:p>
    <w:p w:rsidR="00925371" w:rsidRDefault="00610ABB">
      <w:pPr>
        <w:pStyle w:val="Corpodetexto"/>
        <w:spacing w:before="2" w:line="183" w:lineRule="exact"/>
        <w:ind w:left="153"/>
        <w:jc w:val="left"/>
      </w:pPr>
      <w:r>
        <w:t>4.2. Diagnóstico por Imagem</w:t>
      </w:r>
    </w:p>
    <w:p w:rsidR="00925371" w:rsidRDefault="00610ABB">
      <w:pPr>
        <w:pStyle w:val="Corpodetexto"/>
        <w:ind w:right="105" w:firstLine="40"/>
      </w:pPr>
      <w:r>
        <w:t>O diagnóstico por imagem do câncer de esôfago tem por objetivo definir o estadiamento, ou seja, determinar a profundidade da invasão do tumor na parede do esôfago (T), o acometimento linfonodal locorregional (N) e a presença de metástase(s) à distância (M)</w:t>
      </w:r>
      <w:r>
        <w:t>. Porém, não há método de imagem ideal para o estadiamento pré-tratamento nem para avaliação de resposta após tratamento. Em parte esta dificuldade se dá pela variabilidade de apresentações e prognóstico deste grupo de tumores, o que dificulta a padronizaç</w:t>
      </w:r>
      <w:r>
        <w:t>ão da avaliação da acurácia do teste nos estudos disponíveis. A broncoscopia ou a ecoendoscopia faz parte da avaliação da extensão (estadiamento) dos tumores localizados acima da carina em alguns centros. Mas, sempre que houver suspeita de fístula esôfagob</w:t>
      </w:r>
      <w:r>
        <w:t>rônquica, a broncoscopia é o método diagnóstico de eleição.(22)</w:t>
      </w:r>
    </w:p>
    <w:p w:rsidR="00925371" w:rsidRDefault="00610ABB">
      <w:pPr>
        <w:pStyle w:val="Corpodetexto"/>
        <w:ind w:right="108" w:firstLine="40"/>
      </w:pPr>
      <w:r>
        <w:t>Outros exames podem ser utilizados para o estadiamento: a tomografia computadorizada (TC) de tórax e abdômen superior, exame endoscópico (esofagiano e mediastinal) e ultrassonografia (US) endo</w:t>
      </w:r>
      <w:r>
        <w:t>scópica (com ou sem biópsia aspirativa com agulha fina de linfonodos aumentados). A acurácia destes exames é variável, e estudos com qualidade metodológica adequada estão em andamento.</w:t>
      </w:r>
    </w:p>
    <w:p w:rsidR="00925371" w:rsidRDefault="00610ABB">
      <w:pPr>
        <w:pStyle w:val="Corpodetexto"/>
        <w:ind w:right="107"/>
      </w:pPr>
      <w:r>
        <w:t>Alguns centros incluem a laparoscopia para aumentar a precisão da avali</w:t>
      </w:r>
      <w:r>
        <w:t>ação da extensão tumoral, já que os adenocarcinomas dão metástases preferencialmente para a cavidade abdominal e o carcinoma epidermoide, intratorácicas. Porém, inexiste evidência suficiente para recomendar a laparoscopia como definitivamente necessária pa</w:t>
      </w:r>
      <w:r>
        <w:t>ra o estadiamento do câncer de esôfago. A identificação de metástase(s) a distância é fundamental para evitar procedimentos cirúrgicos de grande porte que comprometam a qualidade de vida do paciente sem benefício em termos de sobrevida do doente.</w:t>
      </w:r>
    </w:p>
    <w:p w:rsidR="00925371" w:rsidRDefault="00610ABB">
      <w:pPr>
        <w:pStyle w:val="PargrafodaLista"/>
        <w:numPr>
          <w:ilvl w:val="1"/>
          <w:numId w:val="3"/>
        </w:numPr>
        <w:tabs>
          <w:tab w:val="left" w:pos="356"/>
        </w:tabs>
        <w:spacing w:before="1" w:line="183" w:lineRule="exact"/>
        <w:rPr>
          <w:sz w:val="16"/>
        </w:rPr>
      </w:pPr>
      <w:r>
        <w:rPr>
          <w:sz w:val="16"/>
        </w:rPr>
        <w:t>Diagnósti</w:t>
      </w:r>
      <w:r>
        <w:rPr>
          <w:sz w:val="16"/>
        </w:rPr>
        <w:t>co</w:t>
      </w:r>
      <w:r>
        <w:rPr>
          <w:spacing w:val="-2"/>
          <w:sz w:val="16"/>
        </w:rPr>
        <w:t xml:space="preserve"> </w:t>
      </w:r>
      <w:r>
        <w:rPr>
          <w:sz w:val="16"/>
        </w:rPr>
        <w:t>Laboratorial</w:t>
      </w:r>
    </w:p>
    <w:p w:rsidR="00925371" w:rsidRDefault="00610ABB">
      <w:pPr>
        <w:pStyle w:val="Corpodetexto"/>
        <w:ind w:right="107"/>
      </w:pPr>
      <w:r>
        <w:t>Inexistem exames de patologia clínica para o diagnóstico do câncer de esôfago, e não há recomendação de se solicitar marcadores tumorais (como o CEA e CA19.9, entre outros) para diagnóstico, avaliação prognóstica, seguimento de pacientes e avaliação da res</w:t>
      </w:r>
      <w:r>
        <w:t>posta terapêutica.</w:t>
      </w:r>
    </w:p>
    <w:p w:rsidR="00925371" w:rsidRDefault="00610ABB">
      <w:pPr>
        <w:pStyle w:val="PargrafodaLista"/>
        <w:numPr>
          <w:ilvl w:val="1"/>
          <w:numId w:val="3"/>
        </w:numPr>
        <w:tabs>
          <w:tab w:val="left" w:pos="356"/>
        </w:tabs>
        <w:spacing w:before="1" w:line="183" w:lineRule="exact"/>
        <w:rPr>
          <w:sz w:val="16"/>
        </w:rPr>
      </w:pPr>
      <w:r>
        <w:rPr>
          <w:sz w:val="16"/>
        </w:rPr>
        <w:t>Estadiamento</w:t>
      </w:r>
    </w:p>
    <w:p w:rsidR="00925371" w:rsidRDefault="00610ABB">
      <w:pPr>
        <w:pStyle w:val="Corpodetexto"/>
        <w:ind w:right="107"/>
      </w:pPr>
      <w:r>
        <w:t>Os critérios de estadiamento do câncer de esôfago são os adotados pela União Internacional contra o Câncer (UICC) em TNM - Classificação de Tumores Malignos(23):</w:t>
      </w:r>
    </w:p>
    <w:p w:rsidR="00925371" w:rsidRDefault="00925371">
      <w:pPr>
        <w:pStyle w:val="Corpodetexto"/>
        <w:spacing w:before="5"/>
        <w:ind w:left="0"/>
        <w:jc w:val="left"/>
      </w:pPr>
    </w:p>
    <w:tbl>
      <w:tblPr>
        <w:tblStyle w:val="TableNormal"/>
        <w:tblW w:w="0" w:type="auto"/>
        <w:tblInd w:w="2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322"/>
      </w:tblGrid>
      <w:tr w:rsidR="00925371">
        <w:trPr>
          <w:trHeight w:val="138"/>
        </w:trPr>
        <w:tc>
          <w:tcPr>
            <w:tcW w:w="1215" w:type="dxa"/>
            <w:tcBorders>
              <w:right w:val="nil"/>
            </w:tcBorders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TUMOR (T)</w:t>
            </w:r>
          </w:p>
        </w:tc>
        <w:tc>
          <w:tcPr>
            <w:tcW w:w="3322" w:type="dxa"/>
            <w:tcBorders>
              <w:left w:val="nil"/>
            </w:tcBorders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</w:tr>
      <w:tr w:rsidR="00925371">
        <w:trPr>
          <w:trHeight w:val="138"/>
        </w:trPr>
        <w:tc>
          <w:tcPr>
            <w:tcW w:w="1215" w:type="dxa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T1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Lâmina própria (T1a), submucosa (T1b).</w:t>
            </w:r>
          </w:p>
        </w:tc>
      </w:tr>
      <w:tr w:rsidR="00925371">
        <w:trPr>
          <w:trHeight w:val="136"/>
        </w:trPr>
        <w:tc>
          <w:tcPr>
            <w:tcW w:w="1215" w:type="dxa"/>
          </w:tcPr>
          <w:p w:rsidR="00925371" w:rsidRDefault="00610ABB">
            <w:pPr>
              <w:pStyle w:val="TableParagraph"/>
              <w:spacing w:line="116" w:lineRule="exact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T2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spacing w:line="116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Muscular própria.</w:t>
            </w:r>
          </w:p>
        </w:tc>
      </w:tr>
      <w:tr w:rsidR="00925371">
        <w:trPr>
          <w:trHeight w:val="138"/>
        </w:trPr>
        <w:tc>
          <w:tcPr>
            <w:tcW w:w="1215" w:type="dxa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T3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Adventícia.</w:t>
            </w:r>
          </w:p>
        </w:tc>
      </w:tr>
      <w:tr w:rsidR="00925371">
        <w:trPr>
          <w:trHeight w:val="138"/>
        </w:trPr>
        <w:tc>
          <w:tcPr>
            <w:tcW w:w="1215" w:type="dxa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T4a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Pleura, pericárdio, diafragma.</w:t>
            </w:r>
          </w:p>
        </w:tc>
      </w:tr>
      <w:tr w:rsidR="00925371">
        <w:trPr>
          <w:trHeight w:val="136"/>
        </w:trPr>
        <w:tc>
          <w:tcPr>
            <w:tcW w:w="1215" w:type="dxa"/>
          </w:tcPr>
          <w:p w:rsidR="00925371" w:rsidRDefault="00610ABB">
            <w:pPr>
              <w:pStyle w:val="TableParagraph"/>
              <w:spacing w:line="116" w:lineRule="exact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T4b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spacing w:line="116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Aorta, corpo vertebral, traqueia.</w:t>
            </w:r>
          </w:p>
        </w:tc>
      </w:tr>
      <w:tr w:rsidR="00925371">
        <w:trPr>
          <w:trHeight w:val="138"/>
        </w:trPr>
        <w:tc>
          <w:tcPr>
            <w:tcW w:w="4537" w:type="dxa"/>
            <w:gridSpan w:val="2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LINFONODO (N)</w:t>
            </w:r>
          </w:p>
        </w:tc>
      </w:tr>
      <w:tr w:rsidR="00925371">
        <w:trPr>
          <w:trHeight w:val="138"/>
        </w:trPr>
        <w:tc>
          <w:tcPr>
            <w:tcW w:w="1215" w:type="dxa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N1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1 a 2 linfonodos regionais.</w:t>
            </w:r>
          </w:p>
        </w:tc>
      </w:tr>
      <w:tr w:rsidR="00925371">
        <w:trPr>
          <w:trHeight w:val="136"/>
        </w:trPr>
        <w:tc>
          <w:tcPr>
            <w:tcW w:w="1215" w:type="dxa"/>
          </w:tcPr>
          <w:p w:rsidR="00925371" w:rsidRDefault="00610ABB">
            <w:pPr>
              <w:pStyle w:val="TableParagraph"/>
              <w:spacing w:line="116" w:lineRule="exact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N2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spacing w:line="116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3 a 6 linfonodos regionais.</w:t>
            </w:r>
          </w:p>
        </w:tc>
      </w:tr>
      <w:tr w:rsidR="00925371">
        <w:trPr>
          <w:trHeight w:val="138"/>
        </w:trPr>
        <w:tc>
          <w:tcPr>
            <w:tcW w:w="1215" w:type="dxa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N3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7 ou mais linfonodos regionais.</w:t>
            </w:r>
          </w:p>
        </w:tc>
      </w:tr>
      <w:tr w:rsidR="00925371">
        <w:trPr>
          <w:trHeight w:val="138"/>
        </w:trPr>
        <w:tc>
          <w:tcPr>
            <w:tcW w:w="4537" w:type="dxa"/>
            <w:gridSpan w:val="2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METÁSTASE A DISTÂNCIA (M)</w:t>
            </w:r>
          </w:p>
        </w:tc>
      </w:tr>
      <w:tr w:rsidR="00925371">
        <w:trPr>
          <w:trHeight w:val="136"/>
        </w:trPr>
        <w:tc>
          <w:tcPr>
            <w:tcW w:w="1215" w:type="dxa"/>
          </w:tcPr>
          <w:p w:rsidR="00925371" w:rsidRDefault="00610ABB">
            <w:pPr>
              <w:pStyle w:val="TableParagraph"/>
              <w:spacing w:line="116" w:lineRule="exact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spacing w:line="116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Sem metástase a distância.</w:t>
            </w:r>
          </w:p>
        </w:tc>
      </w:tr>
      <w:tr w:rsidR="00925371">
        <w:trPr>
          <w:trHeight w:val="138"/>
        </w:trPr>
        <w:tc>
          <w:tcPr>
            <w:tcW w:w="1215" w:type="dxa"/>
          </w:tcPr>
          <w:p w:rsidR="00925371" w:rsidRDefault="00610ABB">
            <w:pPr>
              <w:pStyle w:val="TableParagraph"/>
              <w:ind w:left="110"/>
              <w:jc w:val="left"/>
              <w:rPr>
                <w:sz w:val="12"/>
              </w:rPr>
            </w:pPr>
            <w:r>
              <w:rPr>
                <w:sz w:val="12"/>
              </w:rPr>
              <w:t>M1</w:t>
            </w:r>
          </w:p>
        </w:tc>
        <w:tc>
          <w:tcPr>
            <w:tcW w:w="3322" w:type="dxa"/>
          </w:tcPr>
          <w:p w:rsidR="00925371" w:rsidRDefault="00610ABB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Com metástase a distância.</w:t>
            </w:r>
          </w:p>
        </w:tc>
      </w:tr>
    </w:tbl>
    <w:p w:rsidR="00925371" w:rsidRDefault="00925371">
      <w:pPr>
        <w:pStyle w:val="Corpodetexto"/>
        <w:spacing w:before="6"/>
        <w:ind w:left="0"/>
        <w:jc w:val="left"/>
        <w:rPr>
          <w:sz w:val="15"/>
        </w:rPr>
      </w:pPr>
    </w:p>
    <w:p w:rsidR="00925371" w:rsidRDefault="00610ABB">
      <w:pPr>
        <w:pStyle w:val="Corpodetexto"/>
        <w:spacing w:before="1" w:after="4"/>
        <w:jc w:val="left"/>
      </w:pPr>
      <w:r>
        <w:t>GRUPAMENTO POR ESTÁDIOS</w:t>
      </w:r>
    </w:p>
    <w:tbl>
      <w:tblPr>
        <w:tblStyle w:val="TableNormal"/>
        <w:tblW w:w="0" w:type="auto"/>
        <w:tblInd w:w="2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217"/>
        <w:gridCol w:w="1215"/>
        <w:gridCol w:w="965"/>
      </w:tblGrid>
      <w:tr w:rsidR="00925371">
        <w:trPr>
          <w:trHeight w:val="136"/>
        </w:trPr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7" w:lineRule="exact"/>
              <w:ind w:left="256" w:right="240"/>
              <w:rPr>
                <w:sz w:val="12"/>
              </w:rPr>
            </w:pPr>
            <w:r>
              <w:rPr>
                <w:sz w:val="12"/>
              </w:rPr>
              <w:t>Estádio 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7" w:lineRule="exact"/>
              <w:ind w:left="309" w:right="305"/>
              <w:rPr>
                <w:sz w:val="12"/>
              </w:rPr>
            </w:pPr>
            <w:r>
              <w:rPr>
                <w:sz w:val="12"/>
              </w:rPr>
              <w:t>Tis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7" w:lineRule="exact"/>
              <w:ind w:left="304" w:right="294"/>
              <w:rPr>
                <w:sz w:val="12"/>
              </w:rPr>
            </w:pPr>
            <w:r>
              <w:rPr>
                <w:sz w:val="12"/>
              </w:rPr>
              <w:t>N0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7" w:lineRule="exact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256" w:right="240"/>
              <w:rPr>
                <w:sz w:val="12"/>
              </w:rPr>
            </w:pPr>
            <w:r>
              <w:rPr>
                <w:sz w:val="12"/>
              </w:rPr>
              <w:t>Estádio 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5"/>
              <w:rPr>
                <w:sz w:val="12"/>
              </w:rPr>
            </w:pPr>
            <w:r>
              <w:rPr>
                <w:sz w:val="12"/>
              </w:rPr>
              <w:t>T1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4"/>
              <w:rPr>
                <w:sz w:val="12"/>
              </w:rPr>
            </w:pPr>
            <w:r>
              <w:rPr>
                <w:sz w:val="12"/>
              </w:rPr>
              <w:t>N0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256" w:right="242"/>
              <w:rPr>
                <w:sz w:val="12"/>
              </w:rPr>
            </w:pPr>
            <w:r>
              <w:rPr>
                <w:sz w:val="12"/>
              </w:rPr>
              <w:t>Estádio IB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12" w:right="305"/>
              <w:rPr>
                <w:sz w:val="12"/>
              </w:rPr>
            </w:pPr>
            <w:r>
              <w:rPr>
                <w:sz w:val="12"/>
              </w:rPr>
              <w:t>T2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04" w:right="294"/>
              <w:rPr>
                <w:sz w:val="12"/>
              </w:rPr>
            </w:pPr>
            <w:r>
              <w:rPr>
                <w:sz w:val="12"/>
              </w:rPr>
              <w:t>N0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256" w:right="242"/>
              <w:rPr>
                <w:sz w:val="12"/>
              </w:rPr>
            </w:pPr>
            <w:r>
              <w:rPr>
                <w:sz w:val="12"/>
              </w:rPr>
              <w:t>Estádio IIA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5"/>
              <w:rPr>
                <w:sz w:val="12"/>
              </w:rPr>
            </w:pPr>
            <w:r>
              <w:rPr>
                <w:sz w:val="12"/>
              </w:rPr>
              <w:t>T3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4"/>
              <w:rPr>
                <w:sz w:val="12"/>
              </w:rPr>
            </w:pPr>
            <w:r>
              <w:rPr>
                <w:sz w:val="12"/>
              </w:rPr>
              <w:t>N0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256" w:right="239"/>
              <w:rPr>
                <w:sz w:val="12"/>
              </w:rPr>
            </w:pPr>
            <w:r>
              <w:rPr>
                <w:sz w:val="12"/>
              </w:rPr>
              <w:t>Estádio IIB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4"/>
              <w:rPr>
                <w:sz w:val="12"/>
              </w:rPr>
            </w:pPr>
            <w:r>
              <w:rPr>
                <w:sz w:val="12"/>
              </w:rPr>
              <w:t>T1, T2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4"/>
              <w:rPr>
                <w:sz w:val="12"/>
              </w:rPr>
            </w:pPr>
            <w:r>
              <w:rPr>
                <w:sz w:val="12"/>
              </w:rPr>
              <w:t>N1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6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925371">
            <w:pPr>
              <w:pStyle w:val="TableParagraph"/>
              <w:spacing w:before="4" w:line="240" w:lineRule="auto"/>
              <w:ind w:left="0"/>
              <w:jc w:val="left"/>
              <w:rPr>
                <w:sz w:val="12"/>
              </w:rPr>
            </w:pPr>
          </w:p>
          <w:p w:rsidR="00925371" w:rsidRDefault="00610ABB">
            <w:pPr>
              <w:pStyle w:val="TableParagraph"/>
              <w:spacing w:line="240" w:lineRule="auto"/>
              <w:ind w:left="274"/>
              <w:jc w:val="left"/>
              <w:rPr>
                <w:sz w:val="12"/>
              </w:rPr>
            </w:pPr>
            <w:r>
              <w:rPr>
                <w:sz w:val="12"/>
              </w:rPr>
              <w:t>Estádio IIIA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11" w:right="305"/>
              <w:rPr>
                <w:sz w:val="12"/>
              </w:rPr>
            </w:pPr>
            <w:r>
              <w:rPr>
                <w:sz w:val="12"/>
              </w:rPr>
              <w:t>T4a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04" w:right="294"/>
              <w:rPr>
                <w:sz w:val="12"/>
              </w:rPr>
            </w:pPr>
            <w:r>
              <w:rPr>
                <w:sz w:val="12"/>
              </w:rPr>
              <w:t>N0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92537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5"/>
              <w:rPr>
                <w:sz w:val="12"/>
              </w:rPr>
            </w:pPr>
            <w:r>
              <w:rPr>
                <w:sz w:val="12"/>
              </w:rPr>
              <w:t>T3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4"/>
              <w:rPr>
                <w:sz w:val="12"/>
              </w:rPr>
            </w:pPr>
            <w:r>
              <w:rPr>
                <w:sz w:val="12"/>
              </w:rPr>
              <w:t>N1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92537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4"/>
              <w:rPr>
                <w:sz w:val="12"/>
              </w:rPr>
            </w:pPr>
            <w:r>
              <w:rPr>
                <w:sz w:val="12"/>
              </w:rPr>
              <w:t>T1,T2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4"/>
              <w:rPr>
                <w:sz w:val="12"/>
              </w:rPr>
            </w:pPr>
            <w:r>
              <w:rPr>
                <w:sz w:val="12"/>
              </w:rPr>
              <w:t>N2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256" w:right="244"/>
              <w:rPr>
                <w:sz w:val="12"/>
              </w:rPr>
            </w:pPr>
            <w:r>
              <w:rPr>
                <w:sz w:val="12"/>
              </w:rPr>
              <w:t>Estádio IIIB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12" w:right="305"/>
              <w:rPr>
                <w:sz w:val="12"/>
              </w:rPr>
            </w:pPr>
            <w:r>
              <w:rPr>
                <w:sz w:val="12"/>
              </w:rPr>
              <w:t>T3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04" w:right="294"/>
              <w:rPr>
                <w:sz w:val="12"/>
              </w:rPr>
            </w:pPr>
            <w:r>
              <w:rPr>
                <w:sz w:val="12"/>
              </w:rPr>
              <w:t>N2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925371">
            <w:pPr>
              <w:pStyle w:val="TableParagraph"/>
              <w:spacing w:before="6" w:line="240" w:lineRule="auto"/>
              <w:ind w:left="0"/>
              <w:jc w:val="left"/>
              <w:rPr>
                <w:sz w:val="12"/>
              </w:rPr>
            </w:pPr>
          </w:p>
          <w:p w:rsidR="00925371" w:rsidRDefault="00610ABB">
            <w:pPr>
              <w:pStyle w:val="TableParagraph"/>
              <w:spacing w:line="240" w:lineRule="auto"/>
              <w:ind w:left="276"/>
              <w:jc w:val="left"/>
              <w:rPr>
                <w:sz w:val="12"/>
              </w:rPr>
            </w:pPr>
            <w:r>
              <w:rPr>
                <w:sz w:val="12"/>
              </w:rPr>
              <w:t>Estádio IIIC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1" w:right="305"/>
              <w:rPr>
                <w:sz w:val="12"/>
              </w:rPr>
            </w:pPr>
            <w:r>
              <w:rPr>
                <w:sz w:val="12"/>
              </w:rPr>
              <w:t>T4a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1"/>
              <w:rPr>
                <w:sz w:val="12"/>
              </w:rPr>
            </w:pPr>
            <w:r>
              <w:rPr>
                <w:sz w:val="12"/>
              </w:rPr>
              <w:t>N1, N2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92537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4"/>
              <w:rPr>
                <w:sz w:val="12"/>
              </w:rPr>
            </w:pPr>
            <w:r>
              <w:rPr>
                <w:sz w:val="12"/>
              </w:rPr>
              <w:t>T4b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6"/>
              <w:rPr>
                <w:sz w:val="12"/>
              </w:rPr>
            </w:pPr>
            <w:r>
              <w:rPr>
                <w:sz w:val="12"/>
              </w:rPr>
              <w:t>Qualquer 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6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925371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12" w:right="305"/>
              <w:rPr>
                <w:sz w:val="12"/>
              </w:rPr>
            </w:pPr>
            <w:r>
              <w:rPr>
                <w:sz w:val="12"/>
              </w:rPr>
              <w:t>Qualquer 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04" w:right="294"/>
              <w:rPr>
                <w:sz w:val="12"/>
              </w:rPr>
            </w:pPr>
            <w:r>
              <w:rPr>
                <w:sz w:val="12"/>
              </w:rPr>
              <w:t>N3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spacing w:line="116" w:lineRule="exact"/>
              <w:ind w:left="378" w:right="369"/>
              <w:rPr>
                <w:sz w:val="12"/>
              </w:rPr>
            </w:pPr>
            <w:r>
              <w:rPr>
                <w:sz w:val="12"/>
              </w:rPr>
              <w:t>M0</w:t>
            </w:r>
          </w:p>
        </w:tc>
      </w:tr>
      <w:tr w:rsidR="00925371">
        <w:trPr>
          <w:trHeight w:val="13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256" w:right="240"/>
              <w:rPr>
                <w:sz w:val="12"/>
              </w:rPr>
            </w:pPr>
            <w:r>
              <w:rPr>
                <w:sz w:val="12"/>
              </w:rPr>
              <w:t>Estádio IV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12" w:right="305"/>
              <w:rPr>
                <w:sz w:val="12"/>
              </w:rPr>
            </w:pPr>
            <w:r>
              <w:rPr>
                <w:sz w:val="12"/>
              </w:rPr>
              <w:t>Qualquer 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04" w:right="296"/>
              <w:rPr>
                <w:sz w:val="12"/>
              </w:rPr>
            </w:pPr>
            <w:r>
              <w:rPr>
                <w:sz w:val="12"/>
              </w:rPr>
              <w:t>Qualquer 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71" w:rsidRDefault="00610ABB">
            <w:pPr>
              <w:pStyle w:val="TableParagraph"/>
              <w:ind w:left="378" w:right="369"/>
              <w:rPr>
                <w:sz w:val="12"/>
              </w:rPr>
            </w:pPr>
            <w:r>
              <w:rPr>
                <w:sz w:val="12"/>
              </w:rPr>
              <w:t>M1</w:t>
            </w:r>
          </w:p>
        </w:tc>
      </w:tr>
    </w:tbl>
    <w:p w:rsidR="00925371" w:rsidRDefault="00925371">
      <w:pPr>
        <w:pStyle w:val="Corpodetexto"/>
        <w:spacing w:before="6"/>
        <w:ind w:left="0"/>
        <w:jc w:val="left"/>
        <w:rPr>
          <w:sz w:val="15"/>
        </w:rPr>
      </w:pPr>
    </w:p>
    <w:p w:rsidR="00925371" w:rsidRDefault="00610ABB">
      <w:pPr>
        <w:pStyle w:val="Corpodetexto"/>
        <w:spacing w:before="1"/>
        <w:ind w:right="108" w:firstLine="40"/>
      </w:pPr>
      <w:r>
        <w:t>A incorporação de variáveis não anatômicas, como localização e grau de diferenciação histológica, se deu a partir da 7ª edição e modifica a distribuição dos tumores T1 e T2 nos estágios iniciais. Os gráficos que se seguem facilitam a visualização destas di</w:t>
      </w:r>
      <w:r>
        <w:t>ferenças entre os tipos histopatológicos mais comuns do carcinoma de esôfago(24):</w:t>
      </w:r>
    </w:p>
    <w:p w:rsidR="00925371" w:rsidRDefault="00925371">
      <w:pPr>
        <w:pStyle w:val="Corpodetexto"/>
        <w:spacing w:before="9"/>
        <w:ind w:left="0"/>
        <w:jc w:val="left"/>
        <w:rPr>
          <w:sz w:val="15"/>
        </w:rPr>
      </w:pPr>
    </w:p>
    <w:p w:rsidR="00925371" w:rsidRDefault="00610ABB">
      <w:pPr>
        <w:pStyle w:val="Corpodetexto"/>
        <w:spacing w:before="1" w:after="6"/>
        <w:jc w:val="left"/>
      </w:pPr>
      <w:r>
        <w:t>CARCINONA EPIDERMOIDE</w:t>
      </w:r>
    </w:p>
    <w:tbl>
      <w:tblPr>
        <w:tblStyle w:val="TableNormal"/>
        <w:tblW w:w="0" w:type="auto"/>
        <w:tblInd w:w="2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90"/>
        <w:gridCol w:w="790"/>
        <w:gridCol w:w="375"/>
        <w:gridCol w:w="791"/>
        <w:gridCol w:w="1175"/>
      </w:tblGrid>
      <w:tr w:rsidR="00925371">
        <w:trPr>
          <w:trHeight w:val="138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N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ind w:left="13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ind w:right="144"/>
              <w:rPr>
                <w:sz w:val="12"/>
              </w:rPr>
            </w:pPr>
            <w:r>
              <w:rPr>
                <w:sz w:val="12"/>
              </w:rPr>
              <w:t>Grau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ind w:left="182" w:right="180"/>
              <w:rPr>
                <w:sz w:val="12"/>
              </w:rPr>
            </w:pPr>
            <w:r>
              <w:rPr>
                <w:sz w:val="12"/>
              </w:rPr>
              <w:t>*Localização</w:t>
            </w:r>
          </w:p>
        </w:tc>
      </w:tr>
      <w:tr w:rsidR="00925371">
        <w:trPr>
          <w:trHeight w:val="136"/>
        </w:trPr>
        <w:tc>
          <w:tcPr>
            <w:tcW w:w="620" w:type="dxa"/>
          </w:tcPr>
          <w:p w:rsidR="00925371" w:rsidRDefault="00610ABB">
            <w:pPr>
              <w:pStyle w:val="TableParagraph"/>
              <w:spacing w:line="117" w:lineRule="exact"/>
              <w:ind w:left="112"/>
              <w:jc w:val="left"/>
              <w:rPr>
                <w:sz w:val="12"/>
              </w:rPr>
            </w:pPr>
            <w:r>
              <w:rPr>
                <w:sz w:val="12"/>
              </w:rPr>
              <w:t>Grupo 0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7" w:lineRule="exact"/>
              <w:ind w:right="143"/>
              <w:rPr>
                <w:sz w:val="12"/>
              </w:rPr>
            </w:pPr>
            <w:r>
              <w:rPr>
                <w:sz w:val="12"/>
              </w:rPr>
              <w:t>Tis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7" w:lineRule="exact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line="117" w:lineRule="exact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line="117" w:lineRule="exact"/>
              <w:ind w:left="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line="117" w:lineRule="exact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278"/>
        </w:trPr>
        <w:tc>
          <w:tcPr>
            <w:tcW w:w="620" w:type="dxa"/>
          </w:tcPr>
          <w:p w:rsidR="00925371" w:rsidRDefault="00610ABB">
            <w:pPr>
              <w:pStyle w:val="TableParagraph"/>
              <w:spacing w:before="1" w:line="136" w:lineRule="exact"/>
              <w:ind w:left="247" w:right="125" w:hanging="89"/>
              <w:jc w:val="left"/>
              <w:rPr>
                <w:sz w:val="12"/>
              </w:rPr>
            </w:pPr>
            <w:r>
              <w:rPr>
                <w:sz w:val="12"/>
              </w:rPr>
              <w:t>Grupo IA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2"/>
              <w:rPr>
                <w:sz w:val="12"/>
              </w:rPr>
            </w:pPr>
            <w:r>
              <w:rPr>
                <w:sz w:val="12"/>
              </w:rPr>
              <w:t>1, X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275"/>
        </w:trPr>
        <w:tc>
          <w:tcPr>
            <w:tcW w:w="620" w:type="dxa"/>
          </w:tcPr>
          <w:p w:rsidR="00925371" w:rsidRDefault="00610ABB">
            <w:pPr>
              <w:pStyle w:val="TableParagraph"/>
              <w:spacing w:line="133" w:lineRule="exact"/>
              <w:ind w:left="138" w:right="124"/>
              <w:rPr>
                <w:sz w:val="12"/>
              </w:rPr>
            </w:pPr>
            <w:r>
              <w:rPr>
                <w:sz w:val="12"/>
              </w:rPr>
              <w:t>Grupo</w:t>
            </w:r>
          </w:p>
          <w:p w:rsidR="00925371" w:rsidRDefault="00610ABB">
            <w:pPr>
              <w:pStyle w:val="TableParagraph"/>
              <w:spacing w:line="122" w:lineRule="exact"/>
              <w:ind w:left="138" w:right="122"/>
              <w:rPr>
                <w:sz w:val="12"/>
              </w:rPr>
            </w:pPr>
            <w:r>
              <w:rPr>
                <w:sz w:val="12"/>
              </w:rPr>
              <w:t>IB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3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3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3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3" w:line="240" w:lineRule="auto"/>
              <w:ind w:right="140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3" w:line="240" w:lineRule="auto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6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right="137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line="116" w:lineRule="exact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line="116" w:lineRule="exact"/>
              <w:ind w:right="142"/>
              <w:rPr>
                <w:sz w:val="12"/>
              </w:rPr>
            </w:pPr>
            <w:r>
              <w:rPr>
                <w:sz w:val="12"/>
              </w:rPr>
              <w:t>1, X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line="116" w:lineRule="exact"/>
              <w:ind w:left="184" w:right="180"/>
              <w:rPr>
                <w:sz w:val="12"/>
              </w:rPr>
            </w:pPr>
            <w:r>
              <w:rPr>
                <w:sz w:val="12"/>
              </w:rPr>
              <w:t>Inferior, X</w:t>
            </w:r>
          </w:p>
        </w:tc>
      </w:tr>
      <w:tr w:rsidR="00925371">
        <w:trPr>
          <w:trHeight w:val="278"/>
        </w:trPr>
        <w:tc>
          <w:tcPr>
            <w:tcW w:w="620" w:type="dxa"/>
          </w:tcPr>
          <w:p w:rsidR="00925371" w:rsidRDefault="00610ABB">
            <w:pPr>
              <w:pStyle w:val="TableParagraph"/>
              <w:spacing w:before="1" w:line="136" w:lineRule="exact"/>
              <w:ind w:left="228" w:right="125" w:hanging="70"/>
              <w:jc w:val="left"/>
              <w:rPr>
                <w:sz w:val="12"/>
              </w:rPr>
            </w:pPr>
            <w:r>
              <w:rPr>
                <w:sz w:val="12"/>
              </w:rPr>
              <w:t>Grupo IIA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37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2"/>
              <w:rPr>
                <w:sz w:val="12"/>
              </w:rPr>
            </w:pPr>
            <w:r>
              <w:rPr>
                <w:sz w:val="12"/>
              </w:rPr>
              <w:t>1, X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5" w:right="180"/>
              <w:rPr>
                <w:sz w:val="12"/>
              </w:rPr>
            </w:pPr>
            <w:r>
              <w:rPr>
                <w:sz w:val="12"/>
              </w:rPr>
              <w:t>Superior/Médio</w:t>
            </w:r>
          </w:p>
        </w:tc>
      </w:tr>
      <w:tr w:rsidR="00925371">
        <w:trPr>
          <w:trHeight w:val="136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right="137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line="116" w:lineRule="exact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line="116" w:lineRule="exact"/>
              <w:ind w:right="140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line="116" w:lineRule="exact"/>
              <w:ind w:left="185" w:right="180"/>
              <w:rPr>
                <w:sz w:val="12"/>
              </w:rPr>
            </w:pPr>
            <w:r>
              <w:rPr>
                <w:sz w:val="12"/>
              </w:rPr>
              <w:t>Inferior, X</w:t>
            </w:r>
          </w:p>
        </w:tc>
      </w:tr>
      <w:tr w:rsidR="00925371">
        <w:trPr>
          <w:trHeight w:val="275"/>
        </w:trPr>
        <w:tc>
          <w:tcPr>
            <w:tcW w:w="620" w:type="dxa"/>
          </w:tcPr>
          <w:p w:rsidR="00925371" w:rsidRDefault="00610ABB">
            <w:pPr>
              <w:pStyle w:val="TableParagraph"/>
              <w:spacing w:line="134" w:lineRule="exact"/>
              <w:ind w:left="138" w:right="124"/>
              <w:rPr>
                <w:sz w:val="12"/>
              </w:rPr>
            </w:pPr>
            <w:r>
              <w:rPr>
                <w:sz w:val="12"/>
              </w:rPr>
              <w:t>Grupo</w:t>
            </w:r>
          </w:p>
          <w:p w:rsidR="00925371" w:rsidRDefault="00610ABB">
            <w:pPr>
              <w:pStyle w:val="TableParagraph"/>
              <w:spacing w:before="1" w:line="121" w:lineRule="exact"/>
              <w:ind w:left="136" w:right="124"/>
              <w:rPr>
                <w:sz w:val="12"/>
              </w:rPr>
            </w:pPr>
            <w:r>
              <w:rPr>
                <w:sz w:val="12"/>
              </w:rPr>
              <w:t>IIB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37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0"/>
              <w:rPr>
                <w:sz w:val="12"/>
              </w:rPr>
            </w:pPr>
            <w:r>
              <w:rPr>
                <w:sz w:val="12"/>
              </w:rPr>
              <w:t>2, 3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5" w:right="180"/>
              <w:rPr>
                <w:sz w:val="12"/>
              </w:rPr>
            </w:pPr>
            <w:r>
              <w:rPr>
                <w:sz w:val="12"/>
              </w:rPr>
              <w:t>Superior/Médio</w:t>
            </w:r>
          </w:p>
        </w:tc>
      </w:tr>
      <w:tr w:rsidR="00925371">
        <w:trPr>
          <w:trHeight w:val="138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right="137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275"/>
        </w:trPr>
        <w:tc>
          <w:tcPr>
            <w:tcW w:w="620" w:type="dxa"/>
          </w:tcPr>
          <w:p w:rsidR="00925371" w:rsidRDefault="00610ABB">
            <w:pPr>
              <w:pStyle w:val="TableParagraph"/>
              <w:spacing w:line="134" w:lineRule="exact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</w:p>
          <w:p w:rsidR="00925371" w:rsidRDefault="00610ABB">
            <w:pPr>
              <w:pStyle w:val="TableParagraph"/>
              <w:spacing w:before="1" w:line="121" w:lineRule="exact"/>
              <w:ind w:left="209"/>
              <w:jc w:val="left"/>
              <w:rPr>
                <w:sz w:val="12"/>
              </w:rPr>
            </w:pPr>
            <w:r>
              <w:rPr>
                <w:sz w:val="12"/>
              </w:rPr>
              <w:t>IIIA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37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6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right="138"/>
              <w:rPr>
                <w:sz w:val="12"/>
              </w:rPr>
            </w:pPr>
            <w:r>
              <w:rPr>
                <w:sz w:val="12"/>
              </w:rPr>
              <w:t>4a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left="8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line="116" w:lineRule="exact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line="116" w:lineRule="exact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line="116" w:lineRule="exact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278"/>
        </w:trPr>
        <w:tc>
          <w:tcPr>
            <w:tcW w:w="620" w:type="dxa"/>
          </w:tcPr>
          <w:p w:rsidR="00925371" w:rsidRDefault="00610ABB">
            <w:pPr>
              <w:pStyle w:val="TableParagraph"/>
              <w:spacing w:before="1" w:line="136" w:lineRule="exact"/>
              <w:ind w:left="211" w:right="125" w:hanging="53"/>
              <w:jc w:val="left"/>
              <w:rPr>
                <w:sz w:val="12"/>
              </w:rPr>
            </w:pPr>
            <w:r>
              <w:rPr>
                <w:sz w:val="12"/>
              </w:rPr>
              <w:t>Grupo IIIB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left="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275"/>
        </w:trPr>
        <w:tc>
          <w:tcPr>
            <w:tcW w:w="620" w:type="dxa"/>
          </w:tcPr>
          <w:p w:rsidR="00925371" w:rsidRDefault="00610ABB">
            <w:pPr>
              <w:pStyle w:val="TableParagraph"/>
              <w:spacing w:line="133" w:lineRule="exact"/>
              <w:ind w:left="158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</w:p>
          <w:p w:rsidR="00925371" w:rsidRDefault="00610ABB">
            <w:pPr>
              <w:pStyle w:val="TableParagraph"/>
              <w:spacing w:line="122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IIIC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38"/>
              <w:rPr>
                <w:sz w:val="12"/>
              </w:rPr>
            </w:pPr>
            <w:r>
              <w:rPr>
                <w:sz w:val="12"/>
              </w:rPr>
              <w:t>4a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37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6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right="141"/>
              <w:rPr>
                <w:sz w:val="12"/>
              </w:rPr>
            </w:pPr>
            <w:r>
              <w:rPr>
                <w:sz w:val="12"/>
              </w:rPr>
              <w:t>4b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line="116" w:lineRule="exact"/>
              <w:ind w:right="145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line="116" w:lineRule="exact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line="116" w:lineRule="exact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line="116" w:lineRule="exact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620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right="145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275"/>
        </w:trPr>
        <w:tc>
          <w:tcPr>
            <w:tcW w:w="620" w:type="dxa"/>
          </w:tcPr>
          <w:p w:rsidR="00925371" w:rsidRDefault="00610ABB">
            <w:pPr>
              <w:pStyle w:val="TableParagraph"/>
              <w:spacing w:line="134" w:lineRule="exact"/>
              <w:ind w:left="138" w:right="124"/>
              <w:rPr>
                <w:sz w:val="12"/>
              </w:rPr>
            </w:pPr>
            <w:r>
              <w:rPr>
                <w:sz w:val="12"/>
              </w:rPr>
              <w:t>Grupo</w:t>
            </w:r>
          </w:p>
          <w:p w:rsidR="00925371" w:rsidRDefault="00610ABB">
            <w:pPr>
              <w:pStyle w:val="TableParagraph"/>
              <w:spacing w:before="1" w:line="121" w:lineRule="exact"/>
              <w:ind w:left="137" w:right="124"/>
              <w:rPr>
                <w:sz w:val="12"/>
              </w:rPr>
            </w:pPr>
            <w:r>
              <w:rPr>
                <w:sz w:val="12"/>
              </w:rPr>
              <w:t>IV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45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790" w:type="dxa"/>
          </w:tcPr>
          <w:p w:rsidR="00925371" w:rsidRDefault="00610ABB">
            <w:pPr>
              <w:pStyle w:val="TableParagraph"/>
              <w:spacing w:before="65" w:line="240" w:lineRule="auto"/>
              <w:ind w:right="145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375" w:type="dxa"/>
          </w:tcPr>
          <w:p w:rsidR="00925371" w:rsidRDefault="00610ABB">
            <w:pPr>
              <w:pStyle w:val="TableParagraph"/>
              <w:spacing w:before="65" w:line="240" w:lineRule="auto"/>
              <w:ind w:left="157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91" w:type="dxa"/>
          </w:tcPr>
          <w:p w:rsidR="00925371" w:rsidRDefault="00610ABB">
            <w:pPr>
              <w:pStyle w:val="TableParagraph"/>
              <w:spacing w:before="65" w:line="240" w:lineRule="auto"/>
              <w:ind w:right="147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1175" w:type="dxa"/>
          </w:tcPr>
          <w:p w:rsidR="00925371" w:rsidRDefault="00610ABB">
            <w:pPr>
              <w:pStyle w:val="TableParagraph"/>
              <w:spacing w:before="65" w:line="240" w:lineRule="auto"/>
              <w:ind w:left="181" w:right="180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</w:tbl>
    <w:p w:rsidR="00925371" w:rsidRDefault="00610ABB">
      <w:pPr>
        <w:pStyle w:val="Corpodetexto"/>
        <w:spacing w:line="482" w:lineRule="auto"/>
        <w:ind w:right="4686"/>
        <w:jc w:val="left"/>
      </w:pPr>
      <w:r>
        <w:t>*Superior, médio e inferior correspondem aos terços intratorácicos do esôfago. ADENOCARCINOMA</w:t>
      </w:r>
    </w:p>
    <w:p w:rsidR="00925371" w:rsidRDefault="00925371">
      <w:pPr>
        <w:spacing w:line="482" w:lineRule="auto"/>
        <w:sectPr w:rsidR="00925371"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93"/>
        <w:gridCol w:w="993"/>
        <w:gridCol w:w="685"/>
        <w:gridCol w:w="992"/>
      </w:tblGrid>
      <w:tr w:rsidR="00925371">
        <w:trPr>
          <w:trHeight w:val="138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12"/>
              <w:rPr>
                <w:sz w:val="12"/>
              </w:rPr>
            </w:pPr>
            <w:r>
              <w:rPr>
                <w:w w:val="99"/>
                <w:sz w:val="12"/>
              </w:rPr>
              <w:t>N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292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M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5"/>
              <w:rPr>
                <w:sz w:val="12"/>
              </w:rPr>
            </w:pPr>
            <w:r>
              <w:rPr>
                <w:sz w:val="12"/>
              </w:rPr>
              <w:t>Grau</w:t>
            </w:r>
          </w:p>
        </w:tc>
      </w:tr>
      <w:tr w:rsidR="00925371">
        <w:trPr>
          <w:trHeight w:val="139"/>
        </w:trPr>
        <w:tc>
          <w:tcPr>
            <w:tcW w:w="869" w:type="dxa"/>
          </w:tcPr>
          <w:p w:rsidR="00925371" w:rsidRDefault="00610ABB">
            <w:pPr>
              <w:pStyle w:val="TableParagraph"/>
              <w:ind w:left="0" w:right="220"/>
              <w:jc w:val="right"/>
              <w:rPr>
                <w:sz w:val="12"/>
              </w:rPr>
            </w:pPr>
            <w:r>
              <w:rPr>
                <w:sz w:val="12"/>
              </w:rPr>
              <w:t>Grupo 0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2"/>
              <w:rPr>
                <w:sz w:val="12"/>
              </w:rPr>
            </w:pPr>
            <w:r>
              <w:rPr>
                <w:sz w:val="12"/>
              </w:rPr>
              <w:t>Tis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 w:rsidR="00925371">
        <w:trPr>
          <w:trHeight w:val="136"/>
        </w:trPr>
        <w:tc>
          <w:tcPr>
            <w:tcW w:w="869" w:type="dxa"/>
          </w:tcPr>
          <w:p w:rsidR="00925371" w:rsidRDefault="00610ABB">
            <w:pPr>
              <w:pStyle w:val="TableParagraph"/>
              <w:spacing w:line="116" w:lineRule="exact"/>
              <w:ind w:left="0" w:right="187"/>
              <w:jc w:val="right"/>
              <w:rPr>
                <w:sz w:val="12"/>
              </w:rPr>
            </w:pPr>
            <w:r>
              <w:rPr>
                <w:sz w:val="12"/>
              </w:rPr>
              <w:t>Grupo IA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spacing w:line="116" w:lineRule="exact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spacing w:line="116" w:lineRule="exact"/>
              <w:ind w:left="257" w:right="232"/>
              <w:rPr>
                <w:sz w:val="12"/>
              </w:rPr>
            </w:pPr>
            <w:r>
              <w:rPr>
                <w:sz w:val="12"/>
              </w:rPr>
              <w:t>1, 2, X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610ABB">
            <w:pPr>
              <w:pStyle w:val="TableParagraph"/>
              <w:ind w:left="0" w:right="188"/>
              <w:jc w:val="right"/>
              <w:rPr>
                <w:sz w:val="12"/>
              </w:rPr>
            </w:pPr>
            <w:r>
              <w:rPr>
                <w:sz w:val="12"/>
              </w:rPr>
              <w:t>Grupo IB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2"/>
              <w:rPr>
                <w:sz w:val="12"/>
              </w:rPr>
            </w:pPr>
            <w:r>
              <w:rPr>
                <w:sz w:val="12"/>
              </w:rPr>
              <w:t>1, 2, X</w:t>
            </w:r>
          </w:p>
        </w:tc>
      </w:tr>
      <w:tr w:rsidR="00925371">
        <w:trPr>
          <w:trHeight w:val="136"/>
        </w:trPr>
        <w:tc>
          <w:tcPr>
            <w:tcW w:w="869" w:type="dxa"/>
          </w:tcPr>
          <w:p w:rsidR="00925371" w:rsidRDefault="00610ABB">
            <w:pPr>
              <w:pStyle w:val="TableParagraph"/>
              <w:spacing w:line="116" w:lineRule="exact"/>
              <w:ind w:left="0" w:right="165"/>
              <w:jc w:val="right"/>
              <w:rPr>
                <w:sz w:val="12"/>
              </w:rPr>
            </w:pPr>
            <w:r>
              <w:rPr>
                <w:sz w:val="12"/>
              </w:rPr>
              <w:t>Grupo IIA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spacing w:line="116" w:lineRule="exact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610ABB">
            <w:pPr>
              <w:pStyle w:val="TableParagraph"/>
              <w:ind w:left="0" w:right="169"/>
              <w:jc w:val="right"/>
              <w:rPr>
                <w:sz w:val="12"/>
              </w:rPr>
            </w:pPr>
            <w:r>
              <w:rPr>
                <w:sz w:val="12"/>
              </w:rPr>
              <w:t>Grupo IIB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1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6"/>
        </w:trPr>
        <w:tc>
          <w:tcPr>
            <w:tcW w:w="869" w:type="dxa"/>
          </w:tcPr>
          <w:p w:rsidR="00925371" w:rsidRDefault="00610ABB">
            <w:pPr>
              <w:pStyle w:val="TableParagraph"/>
              <w:spacing w:line="116" w:lineRule="exact"/>
              <w:ind w:left="0" w:right="146"/>
              <w:jc w:val="right"/>
              <w:rPr>
                <w:sz w:val="12"/>
              </w:rPr>
            </w:pPr>
            <w:r>
              <w:rPr>
                <w:sz w:val="12"/>
              </w:rPr>
              <w:t>Grupo IIIA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251" w:right="241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9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spacing w:line="116" w:lineRule="exact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spacing w:line="116" w:lineRule="exact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2"/>
              <w:rPr>
                <w:sz w:val="12"/>
              </w:rPr>
            </w:pPr>
            <w:r>
              <w:rPr>
                <w:sz w:val="12"/>
              </w:rPr>
              <w:t>4a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6"/>
        </w:trPr>
        <w:tc>
          <w:tcPr>
            <w:tcW w:w="869" w:type="dxa"/>
          </w:tcPr>
          <w:p w:rsidR="00925371" w:rsidRDefault="00610ABB">
            <w:pPr>
              <w:pStyle w:val="TableParagraph"/>
              <w:spacing w:line="116" w:lineRule="exact"/>
              <w:ind w:left="0" w:right="150"/>
              <w:jc w:val="right"/>
              <w:rPr>
                <w:sz w:val="12"/>
              </w:rPr>
            </w:pPr>
            <w:r>
              <w:rPr>
                <w:sz w:val="12"/>
              </w:rPr>
              <w:t>Grupo IIIB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9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spacing w:line="116" w:lineRule="exact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spacing w:line="116" w:lineRule="exact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610ABB">
            <w:pPr>
              <w:pStyle w:val="TableParagraph"/>
              <w:ind w:left="0" w:right="150"/>
              <w:jc w:val="right"/>
              <w:rPr>
                <w:sz w:val="12"/>
              </w:rPr>
            </w:pPr>
            <w:r>
              <w:rPr>
                <w:sz w:val="12"/>
              </w:rPr>
              <w:t>Grupo IIIC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2"/>
              <w:rPr>
                <w:sz w:val="12"/>
              </w:rPr>
            </w:pPr>
            <w:r>
              <w:rPr>
                <w:sz w:val="12"/>
              </w:rPr>
              <w:t>4a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0"/>
              <w:rPr>
                <w:sz w:val="12"/>
              </w:rPr>
            </w:pPr>
            <w:r>
              <w:rPr>
                <w:sz w:val="12"/>
              </w:rPr>
              <w:t>1, 2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0"/>
              <w:rPr>
                <w:sz w:val="12"/>
              </w:rPr>
            </w:pPr>
            <w:r>
              <w:rPr>
                <w:sz w:val="12"/>
              </w:rPr>
              <w:t>4b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3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6"/>
        </w:trPr>
        <w:tc>
          <w:tcPr>
            <w:tcW w:w="869" w:type="dxa"/>
          </w:tcPr>
          <w:p w:rsidR="00925371" w:rsidRDefault="00925371">
            <w:pPr>
              <w:pStyle w:val="TableParagraph"/>
              <w:spacing w:line="240" w:lineRule="auto"/>
              <w:ind w:left="0"/>
              <w:jc w:val="left"/>
              <w:rPr>
                <w:sz w:val="8"/>
              </w:rPr>
            </w:pP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251" w:right="244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spacing w:line="116" w:lineRule="exact"/>
              <w:ind w:left="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spacing w:line="116" w:lineRule="exact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spacing w:line="116" w:lineRule="exact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  <w:tr w:rsidR="00925371">
        <w:trPr>
          <w:trHeight w:val="138"/>
        </w:trPr>
        <w:tc>
          <w:tcPr>
            <w:tcW w:w="869" w:type="dxa"/>
          </w:tcPr>
          <w:p w:rsidR="00925371" w:rsidRDefault="00610ABB">
            <w:pPr>
              <w:pStyle w:val="TableParagraph"/>
              <w:ind w:left="0" w:right="187"/>
              <w:jc w:val="right"/>
              <w:rPr>
                <w:sz w:val="12"/>
              </w:rPr>
            </w:pPr>
            <w:r>
              <w:rPr>
                <w:sz w:val="12"/>
              </w:rPr>
              <w:t>Grupo IV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4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993" w:type="dxa"/>
          </w:tcPr>
          <w:p w:rsidR="00925371" w:rsidRDefault="00610ABB">
            <w:pPr>
              <w:pStyle w:val="TableParagraph"/>
              <w:ind w:left="251" w:right="243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  <w:tc>
          <w:tcPr>
            <w:tcW w:w="685" w:type="dxa"/>
          </w:tcPr>
          <w:p w:rsidR="00925371" w:rsidRDefault="00610ABB">
            <w:pPr>
              <w:pStyle w:val="TableParagraph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92" w:type="dxa"/>
          </w:tcPr>
          <w:p w:rsidR="00925371" w:rsidRDefault="00610ABB">
            <w:pPr>
              <w:pStyle w:val="TableParagraph"/>
              <w:ind w:left="257" w:right="238"/>
              <w:rPr>
                <w:sz w:val="12"/>
              </w:rPr>
            </w:pPr>
            <w:r>
              <w:rPr>
                <w:sz w:val="12"/>
              </w:rPr>
              <w:t>Qualquer</w:t>
            </w:r>
          </w:p>
        </w:tc>
      </w:tr>
    </w:tbl>
    <w:p w:rsidR="00925371" w:rsidRDefault="00925371">
      <w:pPr>
        <w:pStyle w:val="Corpodetexto"/>
        <w:spacing w:before="2"/>
        <w:ind w:left="0"/>
        <w:jc w:val="left"/>
        <w:rPr>
          <w:sz w:val="7"/>
        </w:rPr>
      </w:pPr>
    </w:p>
    <w:p w:rsidR="00925371" w:rsidRDefault="00610ABB">
      <w:pPr>
        <w:pStyle w:val="PargrafodaLista"/>
        <w:numPr>
          <w:ilvl w:val="0"/>
          <w:numId w:val="5"/>
        </w:numPr>
        <w:tabs>
          <w:tab w:val="left" w:pos="267"/>
        </w:tabs>
        <w:spacing w:before="94" w:line="183" w:lineRule="exact"/>
        <w:ind w:left="266" w:hanging="154"/>
        <w:jc w:val="both"/>
        <w:rPr>
          <w:sz w:val="16"/>
        </w:rPr>
      </w:pPr>
      <w:r>
        <w:rPr>
          <w:sz w:val="16"/>
        </w:rPr>
        <w:t>Centro de</w:t>
      </w:r>
      <w:r>
        <w:rPr>
          <w:spacing w:val="-4"/>
          <w:sz w:val="16"/>
        </w:rPr>
        <w:t xml:space="preserve"> </w:t>
      </w:r>
      <w:r>
        <w:rPr>
          <w:sz w:val="16"/>
        </w:rPr>
        <w:t>Referência</w:t>
      </w:r>
    </w:p>
    <w:p w:rsidR="00925371" w:rsidRDefault="00610ABB">
      <w:pPr>
        <w:pStyle w:val="Corpodetexto"/>
        <w:ind w:right="113"/>
      </w:pPr>
      <w:r>
        <w:t>Hospitais gerais com serviço de cirurgia ou de cirurgia oncológica podem realizar o diagnóstico, tratamento cirúrgico e acompanhamento de doentes com achado incidental de tumores esofagianos. Já os hospitais habilitados como UNACON ou CACON têm as condiçõe</w:t>
      </w:r>
      <w:r>
        <w:t>s para o tratamento cirúrgico e clínico de doentes com câncer de esôfago em todos os estágios da</w:t>
      </w:r>
      <w:r>
        <w:rPr>
          <w:spacing w:val="-17"/>
        </w:rPr>
        <w:t xml:space="preserve"> </w:t>
      </w:r>
      <w:r>
        <w:t>doença.</w:t>
      </w:r>
    </w:p>
    <w:p w:rsidR="00925371" w:rsidRDefault="00925371">
      <w:pPr>
        <w:pStyle w:val="Corpodetexto"/>
        <w:spacing w:before="1"/>
        <w:ind w:left="0"/>
        <w:jc w:val="left"/>
      </w:pPr>
    </w:p>
    <w:p w:rsidR="00925371" w:rsidRDefault="00610ABB">
      <w:pPr>
        <w:pStyle w:val="PargrafodaLista"/>
        <w:numPr>
          <w:ilvl w:val="0"/>
          <w:numId w:val="2"/>
        </w:numPr>
        <w:tabs>
          <w:tab w:val="left" w:pos="236"/>
        </w:tabs>
        <w:jc w:val="both"/>
        <w:rPr>
          <w:sz w:val="16"/>
        </w:rPr>
      </w:pPr>
      <w:r>
        <w:rPr>
          <w:sz w:val="16"/>
        </w:rPr>
        <w:t>Opções</w:t>
      </w:r>
      <w:r>
        <w:rPr>
          <w:spacing w:val="-1"/>
          <w:sz w:val="16"/>
        </w:rPr>
        <w:t xml:space="preserve"> </w:t>
      </w:r>
      <w:r>
        <w:rPr>
          <w:sz w:val="16"/>
        </w:rPr>
        <w:t>Terapêuticas</w:t>
      </w:r>
    </w:p>
    <w:p w:rsidR="00925371" w:rsidRDefault="00610ABB">
      <w:pPr>
        <w:pStyle w:val="Corpodetexto"/>
        <w:spacing w:before="1"/>
        <w:ind w:right="109"/>
      </w:pPr>
      <w:r>
        <w:t>O tratamento do câncer de esôfago é interdisciplinar. O planejamento das modalidades terapêuticas deve ser feito tão logo o diagnó</w:t>
      </w:r>
      <w:r>
        <w:t>stico esteja definido quanto ao seu tipo histopatológico, localização (cervical, torácico ou distal) e estadiamento(25). A cirurgia deve ser feita em hospital cuja equipe cirúrgica tenha experiência nas diversas técnicas e em que a qualidade dos resultados</w:t>
      </w:r>
      <w:r>
        <w:t xml:space="preserve"> seja avaliada</w:t>
      </w:r>
      <w:r>
        <w:rPr>
          <w:spacing w:val="-29"/>
        </w:rPr>
        <w:t xml:space="preserve"> </w:t>
      </w:r>
      <w:r>
        <w:t>periodicamente(22).</w:t>
      </w:r>
    </w:p>
    <w:p w:rsidR="00925371" w:rsidRDefault="00610ABB">
      <w:pPr>
        <w:pStyle w:val="Corpodetexto"/>
        <w:ind w:right="108" w:firstLine="40"/>
      </w:pPr>
      <w:r>
        <w:t>Apesar de não haver ensaio clínico randomizado (ECR) ou revisão sistemática (RS) que definam o papel da nutrição adequada antes de iniciar o tratamento do câncer de esôfago, é importante garantir uma via de alimentação ad</w:t>
      </w:r>
      <w:r>
        <w:t>equada e avaliar periodicamente o estado nutricional do paciente.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56"/>
        </w:tabs>
        <w:spacing w:line="183" w:lineRule="exact"/>
        <w:jc w:val="both"/>
        <w:rPr>
          <w:sz w:val="16"/>
        </w:rPr>
      </w:pPr>
      <w:r>
        <w:rPr>
          <w:sz w:val="16"/>
        </w:rPr>
        <w:t>Tratamento das lesões pré-malignas e malignas</w:t>
      </w:r>
      <w:r>
        <w:rPr>
          <w:spacing w:val="-7"/>
          <w:sz w:val="16"/>
        </w:rPr>
        <w:t xml:space="preserve"> </w:t>
      </w:r>
      <w:r>
        <w:rPr>
          <w:sz w:val="16"/>
        </w:rPr>
        <w:t>iniciais</w:t>
      </w:r>
    </w:p>
    <w:p w:rsidR="00925371" w:rsidRDefault="00610ABB">
      <w:pPr>
        <w:pStyle w:val="Corpodetexto"/>
        <w:spacing w:before="1"/>
        <w:ind w:right="110"/>
      </w:pPr>
      <w:r>
        <w:t>O câncer de esôfago inicial são tumores classificados como Tis (displasia de alto-grau, que inclui todas as lesões neoplásicas não inva</w:t>
      </w:r>
      <w:r>
        <w:t>sivas (também denominados tumores in situ) e os tumores T1, divididos em T1a (lesões que invadem até a camada da mucosa) e T1b (lesões até a submucosa). O risco de envolvimento linfonodal nos tumores Tis ou T1a é vitualmente zero, com exceção de algumas sé</w:t>
      </w:r>
      <w:r>
        <w:t>ries que descrevem a possibilidade deste acometimento quando o tumor que envolve somente a mucosa chega até a camada muscular da mucosa e apresenta invasão linfovascular à histopatologia(26).</w:t>
      </w:r>
    </w:p>
    <w:p w:rsidR="00925371" w:rsidRDefault="00610ABB">
      <w:pPr>
        <w:pStyle w:val="Corpodetexto"/>
        <w:ind w:right="107"/>
      </w:pPr>
      <w:r>
        <w:t>Uma RS da Cochrane, atualizada em abril de 2012, descreveu que n</w:t>
      </w:r>
      <w:r>
        <w:t>ão há ensaios ECRs que comparam o melhor tratamento para lesões pré-malignas ou malignas iniciais (definidas como esôfago de Barret, displasia de alto grau, carcinomas com invasão superficial (T1a e T1b)). O  critério de inclusão de artigos para essa RS in</w:t>
      </w:r>
      <w:r>
        <w:t>cluía neoplasias de linhagem epitelial e glandular, e para tipos histopatológicos menos comuns a ausência de estudos é semelhante para todos os subtipos. A decisão de usar métodos de resseção endoscópicas ou esofagectomia deve ser tomada a critério da equi</w:t>
      </w:r>
      <w:r>
        <w:t>pe assistencial multidisciplinar que assiste o</w:t>
      </w:r>
      <w:r>
        <w:rPr>
          <w:spacing w:val="-10"/>
        </w:rPr>
        <w:t xml:space="preserve"> </w:t>
      </w:r>
      <w:r>
        <w:t>paciente(27).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54"/>
        </w:tabs>
        <w:spacing w:line="184" w:lineRule="exact"/>
        <w:ind w:left="353" w:hanging="241"/>
        <w:jc w:val="both"/>
        <w:rPr>
          <w:sz w:val="16"/>
        </w:rPr>
      </w:pPr>
      <w:r>
        <w:rPr>
          <w:sz w:val="16"/>
        </w:rPr>
        <w:t>Cirurgia do carcinoma</w:t>
      </w:r>
      <w:r>
        <w:rPr>
          <w:spacing w:val="-5"/>
          <w:sz w:val="16"/>
        </w:rPr>
        <w:t xml:space="preserve"> </w:t>
      </w:r>
      <w:r>
        <w:rPr>
          <w:sz w:val="16"/>
        </w:rPr>
        <w:t>esofagiano</w:t>
      </w:r>
    </w:p>
    <w:p w:rsidR="00925371" w:rsidRDefault="00610ABB">
      <w:pPr>
        <w:pStyle w:val="Corpodetexto"/>
        <w:ind w:right="112"/>
      </w:pPr>
      <w:r>
        <w:t>Todo o paciente com câncer de esôfago deve ser avaliado quanto a sua ressecabilidade (que inclui a localização do tumor e a avaliação de metástase(s) a</w:t>
      </w:r>
      <w:r>
        <w:rPr>
          <w:spacing w:val="-3"/>
        </w:rPr>
        <w:t xml:space="preserve"> </w:t>
      </w:r>
      <w:r>
        <w:t>distância).</w:t>
      </w:r>
    </w:p>
    <w:p w:rsidR="00925371" w:rsidRDefault="00610ABB">
      <w:pPr>
        <w:pStyle w:val="Corpodetexto"/>
        <w:ind w:right="109"/>
      </w:pPr>
      <w:r>
        <w:t>Casos de tumores cervicais em que não é possível garantir margem proximal adequada devem receber tratamento não cirúrgico (radioterapia) exclusivo(28).</w:t>
      </w:r>
    </w:p>
    <w:p w:rsidR="00925371" w:rsidRDefault="00610ABB">
      <w:pPr>
        <w:pStyle w:val="Corpodetexto"/>
        <w:spacing w:before="1"/>
        <w:ind w:right="108"/>
      </w:pPr>
      <w:r>
        <w:t>Casos de tumor avançado (T4a) que envolve o pericárdio, pleura ou diafragma podem ser operados. Tumores que invadem outros órgãos como coração, grandes vasos, traqueia e órgãos adjacentes (T4b) são irresecáveis. Assim como não devem ser abordados cirurgica</w:t>
      </w:r>
      <w:r>
        <w:t>mente os tumores da junção esofagogástrica com acometimento linfonodal supraclavicular ou em estágio clínico IV, ou seja, com metástase(s) a distância mesmo que só linfonodal(ais).(29)</w:t>
      </w:r>
    </w:p>
    <w:p w:rsidR="00925371" w:rsidRDefault="00610ABB">
      <w:pPr>
        <w:pStyle w:val="Corpodetexto"/>
        <w:ind w:right="109"/>
      </w:pPr>
      <w:r>
        <w:t>A técnica cirúrgica deve ser definida pela localização do tumor, condiç</w:t>
      </w:r>
      <w:r>
        <w:t>ões do paciente, a experiência da equipe cirúrgica e a preferência do paciente, devidamente esclarecido sobre os resultados da cirurgia.(30-32)</w:t>
      </w:r>
    </w:p>
    <w:p w:rsidR="00925371" w:rsidRDefault="00610ABB">
      <w:pPr>
        <w:pStyle w:val="Corpodetexto"/>
        <w:ind w:right="108"/>
      </w:pPr>
      <w:r>
        <w:t>Inexiste ECR ou RS que definam o número mínimo de linfonodos que devem ser ressecados nos pacientes com cirurgia</w:t>
      </w:r>
      <w:r>
        <w:t xml:space="preserve"> primária para o câncer de esôfago. Porém, análise de séries de casos demonstram que a extensão da linfadenectomia se relaciona positivamente com a sobrevida. (33,34,35,36) Inexistem evidências sobre o número necessário para aqueles que receberam tratament</w:t>
      </w:r>
      <w:r>
        <w:t>o préoperatório, mas um número semelhante deve ser buscado.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53"/>
        </w:tabs>
        <w:spacing w:line="183" w:lineRule="exact"/>
        <w:ind w:left="352" w:hanging="240"/>
        <w:jc w:val="both"/>
        <w:rPr>
          <w:sz w:val="16"/>
        </w:rPr>
      </w:pPr>
      <w:r>
        <w:rPr>
          <w:sz w:val="16"/>
        </w:rPr>
        <w:t>Radioterapia e</w:t>
      </w:r>
      <w:r>
        <w:rPr>
          <w:spacing w:val="-4"/>
          <w:sz w:val="16"/>
        </w:rPr>
        <w:t xml:space="preserve"> </w:t>
      </w:r>
      <w:r>
        <w:rPr>
          <w:sz w:val="16"/>
        </w:rPr>
        <w:t>quimioterapia</w:t>
      </w:r>
    </w:p>
    <w:p w:rsidR="00925371" w:rsidRDefault="00610ABB">
      <w:pPr>
        <w:pStyle w:val="Corpodetexto"/>
        <w:ind w:right="110"/>
      </w:pPr>
      <w:r>
        <w:t>O tratamento inicial para a maioria dos pacientes que se apresentam com tumor em estágio clínico IB a III (tumores que invadem a muscular própria – T2 – ou mais ou que</w:t>
      </w:r>
      <w:r>
        <w:t xml:space="preserve"> tenham acometimento linfonodal – N positivo) é a quimiorradioterapia concomitante ou quimioterapia peri-operatória.</w:t>
      </w:r>
    </w:p>
    <w:p w:rsidR="00925371" w:rsidRDefault="00610ABB">
      <w:pPr>
        <w:pStyle w:val="Corpodetexto"/>
        <w:spacing w:before="1"/>
        <w:ind w:right="110" w:firstLine="40"/>
      </w:pPr>
      <w:r>
        <w:t>O benefício de quimioterapia e radioterapia concomitantes seguidos ou não de cirurgia pode ser evidenciado em todos os estágios clínicos do</w:t>
      </w:r>
      <w:r>
        <w:t xml:space="preserve"> carcinoma de esôfago, e esta modalidade de tratamento deve ser recomendada sempre que o paciente apresentar condições clínicas e não tiver metástase(s) a distâncias que devam ser tratadas com outra modalidade terapêutica.</w:t>
      </w:r>
    </w:p>
    <w:p w:rsidR="00925371" w:rsidRDefault="00610ABB">
      <w:pPr>
        <w:pStyle w:val="Corpodetexto"/>
        <w:ind w:right="107"/>
      </w:pPr>
      <w:r>
        <w:t xml:space="preserve">O esquema ideal de quimioterapia </w:t>
      </w:r>
      <w:r>
        <w:t>exclusiva ou em combinação com outras modalidades terapêuticas não está definido. Porém, os esquemas de tratamento mais comumente usados incluem a 5-fluoruracila infusional e cisplatina, com ou sem um terceiro antineoplásico(37).</w:t>
      </w:r>
    </w:p>
    <w:p w:rsidR="00925371" w:rsidRDefault="00610ABB">
      <w:pPr>
        <w:pStyle w:val="Corpodetexto"/>
        <w:ind w:right="108"/>
      </w:pPr>
      <w:r>
        <w:t>Uma meta-análise de 10 ens</w:t>
      </w:r>
      <w:r>
        <w:t>aios clínicos randomizados, comparando quimiorradioterapia prévia a cirurgia com cirurgia exclusiva, mostrou um ganho absoluto em sobrevida de 13% em 2 anos para o tratamento combinado (HR, 0,81; 95% CI, 0,70-0,93; p=0,002).(38)</w:t>
      </w:r>
    </w:p>
    <w:p w:rsidR="00925371" w:rsidRDefault="00610ABB">
      <w:pPr>
        <w:pStyle w:val="Corpodetexto"/>
        <w:ind w:right="109"/>
      </w:pPr>
      <w:r>
        <w:t xml:space="preserve">Duas meta-análises de 2009 </w:t>
      </w:r>
      <w:r>
        <w:t>e 2011 também demonstraram redução da mortalidade por câncer de esôfago em pacientes que recebem quimio- e radioterapia concomitantes sem cirurgia. A revisão da Cochrane demonstrou um beneficio relativo de 27% (HR 0,73 (95% CI 0,64 a 0,84) sem cirurgia apó</w:t>
      </w:r>
      <w:r>
        <w:t>s. O beneficio absoluto foi de 9% em 1 ano (95% CI 5% a 12%) e 4% em 2 anos (95% CI 3% a 6%). Porém, este tratamento combinado foi associado a eventos adversos significativos.(39,40)</w:t>
      </w:r>
    </w:p>
    <w:p w:rsidR="00925371" w:rsidRDefault="00610ABB">
      <w:pPr>
        <w:pStyle w:val="Corpodetexto"/>
        <w:ind w:right="107"/>
      </w:pPr>
      <w:r>
        <w:t>Os ensaios clínicos em que a quimioterapia e a radioterapia eram sequenci</w:t>
      </w:r>
      <w:r>
        <w:t>ais não demonstraram beneficio em sobrevida ou controle local, além de agregarem muita toxicidade.(37)</w:t>
      </w:r>
    </w:p>
    <w:p w:rsidR="00925371" w:rsidRDefault="00610ABB">
      <w:pPr>
        <w:pStyle w:val="Corpodetexto"/>
        <w:ind w:right="107"/>
      </w:pPr>
      <w:r>
        <w:t>Quimioterapia e radioterapia concomitantes previamente à cirurgia para adenocarcinoma de esôfago (e estômago) aumenta a sobrevida (SV) quando comparado c</w:t>
      </w:r>
      <w:r>
        <w:t>om cirurgia isolada e deve ser oferecida a todos os pacientes em condições clínicas de a elas se submeterem. A RS com meta-análise atualizada em 2014, que demonstrou este impacto na sobrevida, demonstra maior beneficio nos casos do câncer que tem origem na</w:t>
      </w:r>
      <w:r>
        <w:t xml:space="preserve"> junção esôfagogástrica (JEG) do que nas outras localizações anatômicas. Além disso, a associação de quimio- e radioterapia também tem mais impacto sobre a SV do que quimioterapia isolada nos casos de tumor localizado na JEG e no esôfago. Porém, nem todos </w:t>
      </w:r>
      <w:r>
        <w:t>os estudos que foram incluídos no resultado global da meta-análise tinha a identificação da localização topográfica. Na sub-análsie por topografia, apenas 70% dos pacientes puderam ser incluídos. Destes, 26% eram casos de adenocarcinomas de esôfago distal,</w:t>
      </w:r>
      <w:r>
        <w:t xml:space="preserve"> e a meta-análise não mostrou beneficio na sobrevida global (HR 0,87 [ 0.73, 1,05 ]). Esta RS demonstrou uma interação entre idade e efeito do tratamento, demonstrando que quanto mais jovem o paciente mais beneficio sobre a SV, e que pacientes idosos não s</w:t>
      </w:r>
      <w:r>
        <w:t>e beneficiam(41).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56"/>
        </w:tabs>
        <w:jc w:val="both"/>
        <w:rPr>
          <w:sz w:val="16"/>
        </w:rPr>
      </w:pPr>
      <w:r>
        <w:rPr>
          <w:sz w:val="16"/>
        </w:rPr>
        <w:t>Quimioterapia prévia ou</w:t>
      </w:r>
      <w:r>
        <w:rPr>
          <w:spacing w:val="-2"/>
          <w:sz w:val="16"/>
        </w:rPr>
        <w:t xml:space="preserve"> </w:t>
      </w:r>
      <w:r>
        <w:rPr>
          <w:sz w:val="16"/>
        </w:rPr>
        <w:t>adjuvante</w:t>
      </w:r>
    </w:p>
    <w:p w:rsidR="00925371" w:rsidRDefault="00925371">
      <w:pPr>
        <w:jc w:val="both"/>
        <w:rPr>
          <w:sz w:val="16"/>
        </w:rPr>
        <w:sectPr w:rsidR="00925371">
          <w:pgSz w:w="11910" w:h="16840"/>
          <w:pgMar w:top="1400" w:right="1020" w:bottom="280" w:left="1020" w:header="720" w:footer="720" w:gutter="0"/>
          <w:cols w:space="720"/>
        </w:sectPr>
      </w:pPr>
    </w:p>
    <w:p w:rsidR="00925371" w:rsidRDefault="00610ABB">
      <w:pPr>
        <w:pStyle w:val="Corpodetexto"/>
        <w:spacing w:before="72"/>
        <w:ind w:right="107"/>
      </w:pPr>
      <w:r>
        <w:lastRenderedPageBreak/>
        <w:t>Quimioterapia prévia (sem radioterapia) parece aumentar a sobrevida de pacientes com neoplasia de esôfago torácico ressecável, quando comparado com cirurgia. Esta evidência é baseada em RS d</w:t>
      </w:r>
      <w:r>
        <w:t>a Cochrane publicada em 2009 (atualizada pela última vez em fevereiro de 2010), que demonstrou vantagem em SV, porém com significância estatística limítrofe (HR 0,88; 95% CI 0,75 a 1,04).(42) Esta evidência é apoiada também por meta-análise atualizada em 2</w:t>
      </w:r>
      <w:r>
        <w:t>011(43) e outra de pacientes individuais publicada somente em formato de resumo de congresso(44). Este benefício é particularmente significativo em análises de alguns subgrupos, como pacientes com linfonodos positivos ou que responderam a quimioterapia ant</w:t>
      </w:r>
      <w:r>
        <w:t>es da cirurgia.</w:t>
      </w:r>
    </w:p>
    <w:p w:rsidR="00925371" w:rsidRDefault="00610ABB">
      <w:pPr>
        <w:pStyle w:val="Corpodetexto"/>
        <w:spacing w:before="2" w:line="183" w:lineRule="exact"/>
      </w:pPr>
      <w:r>
        <w:t>Quimioterapia exclusiva adjuvante (pós-operatória) não impacta na sobrevida dos doentes de carcinoma esofagiano(37).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94"/>
        </w:tabs>
        <w:spacing w:line="183" w:lineRule="exact"/>
        <w:ind w:left="393" w:hanging="281"/>
        <w:jc w:val="both"/>
        <w:rPr>
          <w:sz w:val="16"/>
        </w:rPr>
      </w:pPr>
      <w:r>
        <w:rPr>
          <w:sz w:val="16"/>
        </w:rPr>
        <w:t>Radioterapia</w:t>
      </w:r>
    </w:p>
    <w:p w:rsidR="00925371" w:rsidRDefault="00610ABB">
      <w:pPr>
        <w:pStyle w:val="Corpodetexto"/>
        <w:spacing w:before="1"/>
        <w:jc w:val="left"/>
      </w:pPr>
      <w:r>
        <w:t>Ensaios clínicos não demonstraram beneficio em sobrevida com a radioterapia exclusiva pré-(45) ou pós-operatória(46-48), quando comparada com cirurgia exclusiva.</w:t>
      </w:r>
    </w:p>
    <w:p w:rsidR="00925371" w:rsidRDefault="00610ABB">
      <w:pPr>
        <w:pStyle w:val="Corpodetexto"/>
        <w:spacing w:line="482" w:lineRule="auto"/>
        <w:ind w:left="153" w:right="4007" w:hanging="41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pt;margin-top:27.85pt;width:227.6pt;height:71.5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9"/>
                    <w:gridCol w:w="622"/>
                    <w:gridCol w:w="774"/>
                    <w:gridCol w:w="1304"/>
                  </w:tblGrid>
                  <w:tr w:rsidR="00925371">
                    <w:trPr>
                      <w:trHeight w:val="690"/>
                    </w:trPr>
                    <w:tc>
                      <w:tcPr>
                        <w:tcW w:w="1839" w:type="dxa"/>
                      </w:tcPr>
                      <w:p w:rsidR="00925371" w:rsidRDefault="00610ABB">
                        <w:pPr>
                          <w:pStyle w:val="TableParagraph"/>
                          <w:spacing w:before="65" w:line="240" w:lineRule="auto"/>
                          <w:ind w:left="208" w:right="19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OPÇÕES TERAPÊUTICAS PARA PACIENTE </w:t>
                        </w:r>
                        <w:r>
                          <w:rPr>
                            <w:sz w:val="12"/>
                            <w:u w:val="single"/>
                          </w:rPr>
                          <w:t>SEM</w:t>
                        </w:r>
                        <w:r>
                          <w:rPr>
                            <w:sz w:val="12"/>
                          </w:rPr>
                          <w:t xml:space="preserve"> METÁSTASE(S) A DISTÂNCIA</w:t>
                        </w:r>
                      </w:p>
                    </w:tc>
                    <w:tc>
                      <w:tcPr>
                        <w:tcW w:w="622" w:type="dxa"/>
                      </w:tcPr>
                      <w:p w:rsidR="00925371" w:rsidRDefault="00610ABB">
                        <w:pPr>
                          <w:pStyle w:val="TableParagraph"/>
                          <w:spacing w:line="240" w:lineRule="auto"/>
                          <w:ind w:left="127" w:right="114" w:firstLine="7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EC I E –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T1-</w:t>
                        </w:r>
                      </w:p>
                      <w:p w:rsidR="00925371" w:rsidRDefault="00610ABB">
                        <w:pPr>
                          <w:pStyle w:val="TableParagraph"/>
                          <w:spacing w:line="242" w:lineRule="auto"/>
                          <w:ind w:left="119" w:right="109" w:firstLine="8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3N0 A –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T1-</w:t>
                        </w:r>
                      </w:p>
                      <w:p w:rsidR="00925371" w:rsidRDefault="00610ABB">
                        <w:pPr>
                          <w:pStyle w:val="TableParagraph"/>
                          <w:spacing w:line="120" w:lineRule="exact"/>
                          <w:ind w:left="20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2N</w:t>
                        </w: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25371" w:rsidRDefault="00610ABB">
                        <w:pPr>
                          <w:pStyle w:val="TableParagraph"/>
                          <w:spacing w:line="240" w:lineRule="auto"/>
                          <w:ind w:left="203" w:right="189" w:firstLine="6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ECII E – T1-</w:t>
                        </w:r>
                      </w:p>
                      <w:p w:rsidR="00925371" w:rsidRDefault="00610ABB">
                        <w:pPr>
                          <w:pStyle w:val="TableParagraph"/>
                          <w:spacing w:line="136" w:lineRule="exact"/>
                          <w:ind w:left="107" w:righ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2N1</w:t>
                        </w:r>
                      </w:p>
                      <w:p w:rsidR="00925371" w:rsidRDefault="00610ABB">
                        <w:pPr>
                          <w:pStyle w:val="TableParagraph"/>
                          <w:spacing w:line="137" w:lineRule="exact"/>
                          <w:ind w:left="107" w:righ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 – T3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N0</w:t>
                        </w:r>
                      </w:p>
                      <w:p w:rsidR="00925371" w:rsidRDefault="00610ABB">
                        <w:pPr>
                          <w:pStyle w:val="TableParagraph"/>
                          <w:spacing w:line="122" w:lineRule="exact"/>
                          <w:ind w:left="107" w:right="9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+ T1-2N1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25371" w:rsidRDefault="00610ABB">
                        <w:pPr>
                          <w:pStyle w:val="TableParagraph"/>
                          <w:spacing w:line="136" w:lineRule="exact"/>
                          <w:ind w:left="494" w:right="4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ECIII</w:t>
                        </w:r>
                      </w:p>
                      <w:p w:rsidR="00925371" w:rsidRDefault="00610ABB">
                        <w:pPr>
                          <w:pStyle w:val="TableParagraph"/>
                          <w:spacing w:line="137" w:lineRule="exact"/>
                          <w:ind w:left="26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 –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T3-4-2N1-3</w:t>
                        </w:r>
                      </w:p>
                      <w:p w:rsidR="00925371" w:rsidRDefault="00610ABB">
                        <w:pPr>
                          <w:pStyle w:val="TableParagraph"/>
                          <w:spacing w:line="137" w:lineRule="exact"/>
                          <w:ind w:left="233" w:firstLine="3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 – T3 N1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mais</w:t>
                        </w:r>
                      </w:p>
                      <w:p w:rsidR="00925371" w:rsidRDefault="00610ABB">
                        <w:pPr>
                          <w:pStyle w:val="TableParagraph"/>
                          <w:spacing w:before="4" w:line="136" w:lineRule="exact"/>
                          <w:ind w:left="303" w:right="208" w:hanging="7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qualquer T4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mais qualquer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N2-3</w:t>
                        </w:r>
                      </w:p>
                    </w:tc>
                  </w:tr>
                  <w:tr w:rsidR="00925371">
                    <w:trPr>
                      <w:trHeight w:val="138"/>
                    </w:trPr>
                    <w:tc>
                      <w:tcPr>
                        <w:tcW w:w="1839" w:type="dxa"/>
                      </w:tcPr>
                      <w:p w:rsidR="00925371" w:rsidRDefault="00610ABB">
                        <w:pPr>
                          <w:pStyle w:val="TableParagraph"/>
                          <w:ind w:left="33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Cirurgia </w:t>
                        </w:r>
                        <w:r>
                          <w:rPr>
                            <w:sz w:val="12"/>
                            <w:u w:val="single"/>
                          </w:rPr>
                          <w:t>exclusivamente</w:t>
                        </w:r>
                      </w:p>
                    </w:tc>
                    <w:tc>
                      <w:tcPr>
                        <w:tcW w:w="622" w:type="dxa"/>
                      </w:tcPr>
                      <w:p w:rsidR="00925371" w:rsidRDefault="00610ABB">
                        <w:pPr>
                          <w:pStyle w:val="TableParagraph"/>
                          <w:ind w:left="2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25371" w:rsidRDefault="00610ABB">
                        <w:pPr>
                          <w:pStyle w:val="TableParagraph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25371" w:rsidRDefault="00925371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 w:rsidR="00925371">
                    <w:trPr>
                      <w:trHeight w:val="275"/>
                    </w:trPr>
                    <w:tc>
                      <w:tcPr>
                        <w:tcW w:w="1839" w:type="dxa"/>
                      </w:tcPr>
                      <w:p w:rsidR="00925371" w:rsidRDefault="00610ABB">
                        <w:pPr>
                          <w:pStyle w:val="TableParagraph"/>
                          <w:spacing w:line="133" w:lineRule="exact"/>
                          <w:ind w:left="208" w:right="2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Quimioterapia e radioterapia</w:t>
                        </w:r>
                      </w:p>
                      <w:p w:rsidR="00925371" w:rsidRDefault="00610ABB">
                        <w:pPr>
                          <w:pStyle w:val="TableParagraph"/>
                          <w:spacing w:line="122" w:lineRule="exact"/>
                          <w:ind w:left="208" w:right="19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concomitantes</w:t>
                        </w:r>
                      </w:p>
                    </w:tc>
                    <w:tc>
                      <w:tcPr>
                        <w:tcW w:w="622" w:type="dxa"/>
                      </w:tcPr>
                      <w:p w:rsidR="00925371" w:rsidRDefault="00925371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 w:rsidR="00925371" w:rsidRDefault="00610ABB">
                        <w:pPr>
                          <w:pStyle w:val="TableParagraph"/>
                          <w:spacing w:before="65" w:line="240" w:lineRule="auto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25371" w:rsidRDefault="00610ABB">
                        <w:pPr>
                          <w:pStyle w:val="TableParagraph"/>
                          <w:spacing w:before="65" w:line="240" w:lineRule="auto"/>
                          <w:ind w:left="9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</w:tr>
                  <w:tr w:rsidR="00925371">
                    <w:trPr>
                      <w:trHeight w:val="276"/>
                    </w:trPr>
                    <w:tc>
                      <w:tcPr>
                        <w:tcW w:w="1839" w:type="dxa"/>
                      </w:tcPr>
                      <w:p w:rsidR="00925371" w:rsidRDefault="00610ABB">
                        <w:pPr>
                          <w:pStyle w:val="TableParagraph"/>
                          <w:spacing w:line="133" w:lineRule="exact"/>
                          <w:ind w:left="23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Quimioterapia e radioterapia</w:t>
                        </w:r>
                      </w:p>
                      <w:p w:rsidR="00925371" w:rsidRDefault="00610ABB">
                        <w:pPr>
                          <w:pStyle w:val="TableParagraph"/>
                          <w:spacing w:line="123" w:lineRule="exact"/>
                          <w:ind w:left="1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concomitante </w:t>
                        </w:r>
                        <w:r>
                          <w:rPr>
                            <w:sz w:val="12"/>
                            <w:u w:val="single"/>
                          </w:rPr>
                          <w:t>prévias a</w:t>
                        </w:r>
                        <w:r>
                          <w:rPr>
                            <w:sz w:val="12"/>
                          </w:rPr>
                          <w:t xml:space="preserve"> cirurgia</w:t>
                        </w:r>
                      </w:p>
                    </w:tc>
                    <w:tc>
                      <w:tcPr>
                        <w:tcW w:w="622" w:type="dxa"/>
                      </w:tcPr>
                      <w:p w:rsidR="00925371" w:rsidRDefault="00610ABB">
                        <w:pPr>
                          <w:pStyle w:val="TableParagraph"/>
                          <w:spacing w:before="66" w:line="240" w:lineRule="auto"/>
                          <w:ind w:left="26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25371" w:rsidRDefault="00610ABB">
                        <w:pPr>
                          <w:pStyle w:val="TableParagraph"/>
                          <w:spacing w:before="66" w:line="240" w:lineRule="auto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25371" w:rsidRDefault="00610ABB">
                        <w:pPr>
                          <w:pStyle w:val="TableParagraph"/>
                          <w:spacing w:before="66" w:line="240" w:lineRule="auto"/>
                          <w:ind w:left="9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X</w:t>
                        </w:r>
                      </w:p>
                    </w:tc>
                  </w:tr>
                </w:tbl>
                <w:p w:rsidR="00925371" w:rsidRDefault="00925371">
                  <w:pPr>
                    <w:pStyle w:val="Corpodetexto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A Tabela 1 resume o tratamento do carcinoma esofagiano de localização torácica e distal. Tabela 1 - Resumo dos tratamentos de carcinomas torácicos e distais</w:t>
      </w:r>
    </w:p>
    <w:p w:rsidR="00925371" w:rsidRDefault="00925371">
      <w:pPr>
        <w:pStyle w:val="Corpodetexto"/>
        <w:ind w:left="0"/>
        <w:jc w:val="left"/>
        <w:rPr>
          <w:sz w:val="18"/>
        </w:rPr>
      </w:pPr>
    </w:p>
    <w:p w:rsidR="00925371" w:rsidRDefault="00925371">
      <w:pPr>
        <w:pStyle w:val="Corpodetexto"/>
        <w:ind w:left="0"/>
        <w:jc w:val="left"/>
        <w:rPr>
          <w:sz w:val="18"/>
        </w:rPr>
      </w:pPr>
    </w:p>
    <w:p w:rsidR="00925371" w:rsidRDefault="00925371">
      <w:pPr>
        <w:pStyle w:val="Corpodetexto"/>
        <w:ind w:left="0"/>
        <w:jc w:val="left"/>
        <w:rPr>
          <w:sz w:val="18"/>
        </w:rPr>
      </w:pPr>
    </w:p>
    <w:p w:rsidR="00925371" w:rsidRDefault="00925371">
      <w:pPr>
        <w:pStyle w:val="Corpodetexto"/>
        <w:ind w:left="0"/>
        <w:jc w:val="left"/>
        <w:rPr>
          <w:sz w:val="18"/>
        </w:rPr>
      </w:pPr>
    </w:p>
    <w:p w:rsidR="00925371" w:rsidRDefault="00925371">
      <w:pPr>
        <w:pStyle w:val="Corpodetexto"/>
        <w:ind w:left="0"/>
        <w:jc w:val="left"/>
        <w:rPr>
          <w:sz w:val="18"/>
        </w:rPr>
      </w:pPr>
    </w:p>
    <w:p w:rsidR="00925371" w:rsidRDefault="00925371">
      <w:pPr>
        <w:pStyle w:val="Corpodetexto"/>
        <w:ind w:left="0"/>
        <w:jc w:val="left"/>
        <w:rPr>
          <w:sz w:val="18"/>
        </w:rPr>
      </w:pPr>
    </w:p>
    <w:p w:rsidR="00925371" w:rsidRDefault="00610ABB">
      <w:pPr>
        <w:pStyle w:val="Corpodetexto"/>
        <w:spacing w:before="1"/>
        <w:ind w:left="153"/>
      </w:pPr>
      <w:r>
        <w:t>Abreviaturas: E = Carcinoma epidermoide A = Adenocarcinoma</w:t>
      </w:r>
    </w:p>
    <w:p w:rsidR="00925371" w:rsidRDefault="00925371">
      <w:pPr>
        <w:pStyle w:val="Corpodetexto"/>
        <w:spacing w:before="10"/>
        <w:ind w:left="0"/>
        <w:jc w:val="left"/>
        <w:rPr>
          <w:sz w:val="15"/>
        </w:rPr>
      </w:pP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97"/>
        </w:tabs>
        <w:ind w:left="396"/>
        <w:jc w:val="both"/>
        <w:rPr>
          <w:sz w:val="16"/>
        </w:rPr>
      </w:pPr>
      <w:r>
        <w:rPr>
          <w:sz w:val="16"/>
        </w:rPr>
        <w:t xml:space="preserve">Tratamento paliativo na ausência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metástase(s)</w:t>
      </w:r>
    </w:p>
    <w:p w:rsidR="00925371" w:rsidRDefault="00610ABB">
      <w:pPr>
        <w:pStyle w:val="Corpodetexto"/>
        <w:spacing w:before="1"/>
        <w:ind w:right="110" w:firstLine="40"/>
      </w:pPr>
      <w:r>
        <w:t xml:space="preserve">A maioria dos pacientes com câncer de esôfago ou com câncer da transição esofagogástrica é diagnosticada em estágios avançados. O principal objetivo do tratamento nesta situação é o controle dos sintomas, principalmente disfagia. Apesar de </w:t>
      </w:r>
      <w:r>
        <w:t>ter evoluído, a melhor opção para melhorar a disfagia não foi ainda estabelecida. Stent metálico autoexpansível é seguro, efetivo e rápido na resolução do sintoma. Stent e braquiterapia são comparáveis a outras modalidades, como dilatação, ablação endoscóp</w:t>
      </w:r>
      <w:r>
        <w:t>ica e quimio- e radioterapia concomitantes(46-48).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56"/>
        </w:tabs>
        <w:spacing w:before="1" w:line="183" w:lineRule="exact"/>
        <w:jc w:val="both"/>
        <w:rPr>
          <w:sz w:val="16"/>
        </w:rPr>
      </w:pPr>
      <w:r>
        <w:rPr>
          <w:sz w:val="16"/>
        </w:rPr>
        <w:t>Tratamento de paciente com carcinoma metastático (M1) ou</w:t>
      </w:r>
      <w:r>
        <w:rPr>
          <w:spacing w:val="-6"/>
          <w:sz w:val="16"/>
        </w:rPr>
        <w:t xml:space="preserve"> </w:t>
      </w:r>
      <w:r>
        <w:rPr>
          <w:sz w:val="16"/>
        </w:rPr>
        <w:t>recidivado</w:t>
      </w:r>
    </w:p>
    <w:p w:rsidR="00925371" w:rsidRDefault="00610ABB">
      <w:pPr>
        <w:pStyle w:val="Corpodetexto"/>
        <w:ind w:right="107"/>
      </w:pPr>
      <w:r>
        <w:t>Dois ECR com um total de 42 participantes compararam quimioterapia paliativa com cuidados paliativos exclusivos (best supportive care) para o tratamento de pacientes com câncer de esôfago avançado. Nenhum beneficio em sobrevida foi demonstrado com a quimio</w:t>
      </w:r>
      <w:r>
        <w:t>terapia. Cinco ECR com um total de 1.242 participantes compararam diferentes esquemas de quimioterapia. Devido à variabilidade dos pacientes e dos esquemas de tratamento não foi possível fazer uma análise conjunta dos resultados. Nenhum esquema de quimiote</w:t>
      </w:r>
      <w:r>
        <w:t>rapia específico se demonstrou superior, e a revisão recomenda que se faça ECR específicos para se responder a essas perguntas e se fazer uma recomendação com nível de evidência estatisticamente significante.</w:t>
      </w:r>
      <w:r>
        <w:rPr>
          <w:spacing w:val="-2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disso,</w:t>
      </w:r>
      <w:r>
        <w:rPr>
          <w:spacing w:val="-1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avaliem</w:t>
      </w:r>
      <w:r>
        <w:rPr>
          <w:spacing w:val="-2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</w:t>
      </w:r>
      <w:r>
        <w:t>da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intuito</w:t>
      </w:r>
      <w:r>
        <w:rPr>
          <w:spacing w:val="-3"/>
        </w:rPr>
        <w:t xml:space="preserve"> </w:t>
      </w:r>
      <w:r>
        <w:t>paliativo</w:t>
      </w:r>
      <w:r>
        <w:rPr>
          <w:spacing w:val="-5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desenvolvidos.(49)</w:t>
      </w:r>
    </w:p>
    <w:p w:rsidR="00925371" w:rsidRDefault="00925371">
      <w:pPr>
        <w:pStyle w:val="Corpodetexto"/>
        <w:ind w:left="0"/>
        <w:jc w:val="left"/>
      </w:pPr>
    </w:p>
    <w:p w:rsidR="00925371" w:rsidRDefault="00610ABB">
      <w:pPr>
        <w:pStyle w:val="PargrafodaLista"/>
        <w:numPr>
          <w:ilvl w:val="0"/>
          <w:numId w:val="2"/>
        </w:numPr>
        <w:tabs>
          <w:tab w:val="left" w:pos="354"/>
        </w:tabs>
        <w:ind w:left="353" w:hanging="200"/>
        <w:jc w:val="both"/>
        <w:rPr>
          <w:sz w:val="16"/>
        </w:rPr>
      </w:pPr>
      <w:r>
        <w:rPr>
          <w:sz w:val="16"/>
        </w:rPr>
        <w:t>Monitorização do</w:t>
      </w:r>
      <w:r>
        <w:rPr>
          <w:spacing w:val="-5"/>
          <w:sz w:val="16"/>
        </w:rPr>
        <w:t xml:space="preserve"> </w:t>
      </w:r>
      <w:r>
        <w:rPr>
          <w:sz w:val="16"/>
        </w:rPr>
        <w:t>tratamento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97"/>
        </w:tabs>
        <w:spacing w:before="1" w:line="183" w:lineRule="exact"/>
        <w:ind w:left="396"/>
        <w:jc w:val="both"/>
        <w:rPr>
          <w:sz w:val="16"/>
        </w:rPr>
      </w:pPr>
      <w:r>
        <w:rPr>
          <w:sz w:val="16"/>
        </w:rPr>
        <w:t>Avaliação da resposta</w:t>
      </w:r>
      <w:r>
        <w:rPr>
          <w:spacing w:val="-8"/>
          <w:sz w:val="16"/>
        </w:rPr>
        <w:t xml:space="preserve"> </w:t>
      </w:r>
      <w:r>
        <w:rPr>
          <w:sz w:val="16"/>
        </w:rPr>
        <w:t>terapêutica</w:t>
      </w:r>
    </w:p>
    <w:p w:rsidR="00925371" w:rsidRDefault="00610ABB">
      <w:pPr>
        <w:pStyle w:val="Corpodetexto"/>
        <w:jc w:val="left"/>
      </w:pPr>
      <w:r>
        <w:t>A resposta patológica completa é o principal fator prognóstico após tratamento neoadjuvante, e peças opera</w:t>
      </w:r>
      <w:r>
        <w:t>tórias com remissão completa são as que predizem melhor sobrevida.(50)</w:t>
      </w:r>
    </w:p>
    <w:p w:rsidR="00925371" w:rsidRDefault="00610ABB">
      <w:pPr>
        <w:pStyle w:val="Corpodetexto"/>
        <w:spacing w:before="1"/>
        <w:ind w:right="134"/>
        <w:jc w:val="left"/>
      </w:pPr>
      <w:r>
        <w:t>A utilização de meios diagnósticos nucleares (PET) associados ou não à TC têm sido utilizado para avaliar a resposta ao tratamento neoadjuvante visto sua alta sensibilidade; porém, a su</w:t>
      </w:r>
      <w:r>
        <w:t>a superioridade sobre outros métodos, como a ecografia endoscópica, não está</w:t>
      </w:r>
      <w:r>
        <w:rPr>
          <w:spacing w:val="-26"/>
        </w:rPr>
        <w:t xml:space="preserve"> </w:t>
      </w:r>
      <w:r>
        <w:t>definida.(51)</w:t>
      </w:r>
    </w:p>
    <w:p w:rsidR="00925371" w:rsidRDefault="00610ABB">
      <w:pPr>
        <w:pStyle w:val="Corpodetexto"/>
        <w:jc w:val="left"/>
      </w:pPr>
      <w:r>
        <w:t>Inexistem exames de imagem ideal para avaliar a resposta terapêutica, e os exames utilizados para o estadiamento devem ser repetidos para avaliar a efetividade do tr</w:t>
      </w:r>
      <w:r>
        <w:t>atamento.</w:t>
      </w:r>
    </w:p>
    <w:p w:rsidR="00925371" w:rsidRDefault="00610ABB">
      <w:pPr>
        <w:pStyle w:val="PargrafodaLista"/>
        <w:numPr>
          <w:ilvl w:val="1"/>
          <w:numId w:val="2"/>
        </w:numPr>
        <w:tabs>
          <w:tab w:val="left" w:pos="395"/>
        </w:tabs>
        <w:spacing w:line="183" w:lineRule="exact"/>
        <w:ind w:left="394" w:hanging="241"/>
        <w:jc w:val="both"/>
        <w:rPr>
          <w:sz w:val="16"/>
        </w:rPr>
      </w:pPr>
      <w:r>
        <w:rPr>
          <w:sz w:val="16"/>
        </w:rPr>
        <w:t>Critérios de interrupção do</w:t>
      </w:r>
      <w:r>
        <w:rPr>
          <w:spacing w:val="-7"/>
          <w:sz w:val="16"/>
        </w:rPr>
        <w:t xml:space="preserve"> </w:t>
      </w:r>
      <w:r>
        <w:rPr>
          <w:sz w:val="16"/>
        </w:rPr>
        <w:t>tratamento</w:t>
      </w:r>
    </w:p>
    <w:p w:rsidR="00925371" w:rsidRDefault="00610ABB">
      <w:pPr>
        <w:pStyle w:val="Corpodetexto"/>
        <w:ind w:right="134"/>
        <w:jc w:val="left"/>
      </w:pPr>
      <w:r>
        <w:t>Inexistem estudos que definam critérios de interrupção de tratamento. Assim, a relação custo-benefício deve ser avaliada individualmente após ter sido</w:t>
      </w:r>
      <w:r>
        <w:rPr>
          <w:spacing w:val="-4"/>
        </w:rPr>
        <w:t xml:space="preserve"> </w:t>
      </w:r>
      <w:r>
        <w:t>instituído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tratamento</w:t>
      </w:r>
      <w:r>
        <w:rPr>
          <w:spacing w:val="-4"/>
        </w:rPr>
        <w:t xml:space="preserve"> </w:t>
      </w:r>
      <w:r>
        <w:t>padrão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falha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resposta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sofrimento</w:t>
      </w:r>
      <w:r>
        <w:rPr>
          <w:spacing w:val="-2"/>
        </w:rPr>
        <w:t xml:space="preserve"> </w:t>
      </w:r>
      <w:r>
        <w:t>desproporcional</w:t>
      </w:r>
      <w:r>
        <w:rPr>
          <w:spacing w:val="-1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tratamento.</w:t>
      </w:r>
    </w:p>
    <w:p w:rsidR="00925371" w:rsidRDefault="00925371">
      <w:pPr>
        <w:pStyle w:val="Corpodetexto"/>
        <w:ind w:left="0"/>
        <w:jc w:val="left"/>
      </w:pPr>
    </w:p>
    <w:p w:rsidR="00925371" w:rsidRDefault="00610ABB">
      <w:pPr>
        <w:pStyle w:val="PargrafodaLista"/>
        <w:numPr>
          <w:ilvl w:val="0"/>
          <w:numId w:val="2"/>
        </w:numPr>
        <w:tabs>
          <w:tab w:val="left" w:pos="277"/>
        </w:tabs>
        <w:ind w:left="276" w:hanging="164"/>
        <w:jc w:val="both"/>
        <w:rPr>
          <w:sz w:val="16"/>
        </w:rPr>
      </w:pPr>
      <w:r>
        <w:rPr>
          <w:sz w:val="16"/>
        </w:rPr>
        <w:t>Acompanhamento</w:t>
      </w:r>
      <w:r>
        <w:rPr>
          <w:spacing w:val="-2"/>
          <w:sz w:val="16"/>
        </w:rPr>
        <w:t xml:space="preserve"> </w:t>
      </w:r>
      <w:r>
        <w:rPr>
          <w:sz w:val="16"/>
        </w:rPr>
        <w:t>Pós-Tratamento</w:t>
      </w:r>
    </w:p>
    <w:p w:rsidR="00925371" w:rsidRDefault="00610ABB">
      <w:pPr>
        <w:pStyle w:val="Corpodetexto"/>
        <w:spacing w:before="1"/>
        <w:ind w:right="108"/>
      </w:pPr>
      <w:r>
        <w:t>Inexiste estudo que demonstre o impacto sobre a sobrevida dos doentes com seguimento sistemático com exames após os tratamentos. Recomendam- se consultas a cada 3 a 6 meses pelos primeiros 1 a 2 anos; então, a cada 6 a 12 meses durantes 3 a 5 anos e, após,</w:t>
      </w:r>
      <w:r>
        <w:t xml:space="preserve"> anualmente. Apesar de não haver a necessidade de se repetir a EDA regularmente, esta e outros exames de imagem devem ser realizados conforme os sintomas apresentados pelo paciente. Pacientes com câncer inicial que tiveram ressecção endoscópica devem subme</w:t>
      </w:r>
      <w:r>
        <w:t>ter-se à endoscopia a cada 3 meses por pelo menos 1 ano e, após, anualmente.(29)</w:t>
      </w:r>
    </w:p>
    <w:p w:rsidR="00925371" w:rsidRDefault="00925371">
      <w:pPr>
        <w:pStyle w:val="Corpodetexto"/>
        <w:spacing w:before="1"/>
        <w:ind w:left="0"/>
        <w:jc w:val="left"/>
      </w:pPr>
    </w:p>
    <w:p w:rsidR="00925371" w:rsidRDefault="00610ABB">
      <w:pPr>
        <w:pStyle w:val="PargrafodaLista"/>
        <w:numPr>
          <w:ilvl w:val="0"/>
          <w:numId w:val="2"/>
        </w:numPr>
        <w:tabs>
          <w:tab w:val="left" w:pos="275"/>
        </w:tabs>
        <w:spacing w:line="183" w:lineRule="exact"/>
        <w:ind w:left="274" w:hanging="162"/>
        <w:jc w:val="both"/>
        <w:rPr>
          <w:sz w:val="16"/>
        </w:rPr>
      </w:pPr>
      <w:r>
        <w:rPr>
          <w:sz w:val="16"/>
        </w:rPr>
        <w:t>Regulação/Controle/Avaliação pelo</w:t>
      </w:r>
      <w:r>
        <w:rPr>
          <w:spacing w:val="-3"/>
          <w:sz w:val="16"/>
        </w:rPr>
        <w:t xml:space="preserve"> </w:t>
      </w:r>
      <w:r>
        <w:rPr>
          <w:sz w:val="16"/>
        </w:rPr>
        <w:t>Gestor</w:t>
      </w:r>
    </w:p>
    <w:p w:rsidR="00925371" w:rsidRDefault="00610ABB">
      <w:pPr>
        <w:pStyle w:val="Corpodetexto"/>
        <w:ind w:firstLine="40"/>
        <w:jc w:val="left"/>
      </w:pPr>
      <w:r>
        <w:t>Doentes com diagnóstico de câncer esofagiano devem ser atendidos em hospitais habilitados em oncologia com porte tecnológico suficien</w:t>
      </w:r>
      <w:r>
        <w:t>te para diagnosticar, tratar e realizar o seu acompanhamento.</w:t>
      </w:r>
    </w:p>
    <w:p w:rsidR="00925371" w:rsidRDefault="00610ABB">
      <w:pPr>
        <w:pStyle w:val="Corpodetexto"/>
        <w:spacing w:before="1"/>
        <w:ind w:right="108"/>
      </w:pPr>
      <w:r>
        <w:t>Além da familiaridade que esses hospitais guardam com o estadiamento, o tratamento, o manejo das doses e o controle dos efeitos adversos, eles têm toda a estrutura ambulatorial, de internação, d</w:t>
      </w:r>
      <w:r>
        <w:t>e terapia intensiva, de hemoterapia, de suporte multiprofissional e de laboratórios necessária para o adequado atendimento e obtenção dos resultados terapêuticos esperados.</w:t>
      </w:r>
    </w:p>
    <w:p w:rsidR="00925371" w:rsidRDefault="00610ABB">
      <w:pPr>
        <w:pStyle w:val="Corpodetexto"/>
        <w:ind w:right="110"/>
      </w:pPr>
      <w:r>
        <w:t>Os procedimentos radioterápicos e quimioterápicos (Grupo 03, Subgrupo 04) e cirúrgi</w:t>
      </w:r>
      <w:r>
        <w:t>cos (Grupo 04 e os vários subgrupos por especialidades e complexidade) da Tabela de Procedimentos, Medicamentos e OPM do SUS podem ser acessados, por código do procedimento ou nome do procedimento e por código da CID – Classificação Estatística Internacion</w:t>
      </w:r>
      <w:r>
        <w:t xml:space="preserve">al de Doenças e Problemas Relacionados à Saúde – para a respectiva neoplasia maligna, no SIGTAP-Sistema de Gerenciamento dessa Tabela </w:t>
      </w:r>
      <w:hyperlink r:id="rId7">
        <w:r>
          <w:t>(http://sigtap.datasus.gov.br/tabela-u</w:t>
        </w:r>
        <w:r>
          <w:t>nificada/app/sec/inicio.jsp)</w:t>
        </w:r>
      </w:hyperlink>
      <w:r>
        <w:t>, com versão mensalmente disponibilizada.</w:t>
      </w:r>
    </w:p>
    <w:p w:rsidR="00925371" w:rsidRDefault="00610ABB">
      <w:pPr>
        <w:pStyle w:val="Corpodetexto"/>
        <w:ind w:right="2775"/>
        <w:jc w:val="left"/>
      </w:pPr>
      <w:r>
        <w:t>São os seguintes os procedimentos da tabela do SUS para a quimioterapia de adultos com câncer de esôfago: QUIMIOTERAPIA PALIATIVA – ADULTO</w:t>
      </w:r>
    </w:p>
    <w:p w:rsidR="00925371" w:rsidRDefault="00610ABB">
      <w:pPr>
        <w:pStyle w:val="Corpodetexto"/>
        <w:ind w:right="496"/>
        <w:jc w:val="left"/>
      </w:pPr>
      <w:r>
        <w:t>03.04.02.017-6 - Quimioterapia Paliativa do Car</w:t>
      </w:r>
      <w:r>
        <w:t>cinoma Epidermoide/Adenocarcinoma de Esôfago avançado (doença metastática ou recidivada) QUIMIOTERAPIA PRÉVIA/CONCOMITANTE À RADIOTERAPIA – ADULTO</w:t>
      </w:r>
    </w:p>
    <w:p w:rsidR="00925371" w:rsidRDefault="00610ABB">
      <w:pPr>
        <w:pStyle w:val="Corpodetexto"/>
        <w:spacing w:line="183" w:lineRule="exact"/>
      </w:pPr>
      <w:r>
        <w:t>03.04.04.011-8 – Quimioterapia de Carcinoma Epidermoide ou Adenocarcinoma de Esôfago em estádio de I até IVA</w:t>
      </w:r>
    </w:p>
    <w:p w:rsidR="00925371" w:rsidRDefault="00610ABB">
      <w:pPr>
        <w:pStyle w:val="Corpodetexto"/>
        <w:jc w:val="left"/>
      </w:pPr>
      <w:r>
        <w:t>A regulação do acesso é um componente essencial da gestão para a organização da rede assistencial e garantia do atendimento dos doentes, e muito facilita as ações de controle e avaliação.</w:t>
      </w:r>
    </w:p>
    <w:p w:rsidR="00925371" w:rsidRDefault="00610ABB">
      <w:pPr>
        <w:pStyle w:val="Corpodetexto"/>
        <w:ind w:right="110"/>
      </w:pPr>
      <w:r>
        <w:t>Ações de controle e avaliação incluem, entre outras: a manutenção at</w:t>
      </w:r>
      <w:r>
        <w:t>ualizada do Cadastro Nacional dos Estabelecimentos de Saúde (CNES); a autorização prévia dos procedimentos; e o monitoramento da produção dos procedimentos (por exemplo, frequência apresentada versus autorizada, valores apresentados versus autorizados vers</w:t>
      </w:r>
      <w:r>
        <w:t>us ressarcidos).</w:t>
      </w:r>
    </w:p>
    <w:p w:rsidR="00925371" w:rsidRDefault="00610ABB">
      <w:pPr>
        <w:pStyle w:val="Corpodetexto"/>
      </w:pPr>
      <w:r>
        <w:t>Ações de auditoria devem verificar in loco, por exemplo, a existência e observância da regulação do acesso assistencial; a qualidade da autorização; a</w:t>
      </w:r>
    </w:p>
    <w:p w:rsidR="00925371" w:rsidRDefault="00925371">
      <w:pPr>
        <w:sectPr w:rsidR="00925371">
          <w:pgSz w:w="11910" w:h="16840"/>
          <w:pgMar w:top="1320" w:right="1020" w:bottom="280" w:left="1020" w:header="720" w:footer="720" w:gutter="0"/>
          <w:cols w:space="720"/>
        </w:sectPr>
      </w:pPr>
    </w:p>
    <w:p w:rsidR="00925371" w:rsidRDefault="00610ABB">
      <w:pPr>
        <w:pStyle w:val="Corpodetexto"/>
        <w:spacing w:before="72"/>
        <w:ind w:right="109"/>
      </w:pPr>
      <w:r>
        <w:lastRenderedPageBreak/>
        <w:t>conformidade da prescrição e da dispensação e administração de medicamento</w:t>
      </w:r>
      <w:r>
        <w:t>(s) (tipos e doses); a compatibilidade do procedimento codificado com o diagnóstico de câncer esofagiano e perfil clínico do doente (capacidade funcional, estadiamento, indicação clínica para tratamento), o esquema terapêutico e as doses diárias prescritas</w:t>
      </w:r>
      <w:r>
        <w:t xml:space="preserve"> e fornecidas; a compatibilidade do registro dos procedimentos com os serviços executados; a abrangência e a integralidade assistenciais; e o grau de satisfação dos</w:t>
      </w:r>
      <w:r>
        <w:rPr>
          <w:spacing w:val="-13"/>
        </w:rPr>
        <w:t xml:space="preserve"> </w:t>
      </w:r>
      <w:r>
        <w:t>doentes.</w:t>
      </w:r>
    </w:p>
    <w:p w:rsidR="00925371" w:rsidRDefault="00610ABB">
      <w:pPr>
        <w:pStyle w:val="Corpodetexto"/>
        <w:spacing w:before="1"/>
        <w:ind w:right="109"/>
      </w:pPr>
      <w:r>
        <w:t>Exceto pela Talidomida para o tratamento de Mieloma Múltiplo, pelo Mesilato de Ima</w:t>
      </w:r>
      <w:r>
        <w:t xml:space="preserve">tinibe para a quimioterapia do Tumor do Estroma Gastrointestinal (GIST), da Leucemia Mieloide Crônica, Leucemia Linfoblástica Aguda cromossoma Philadelphia positivo e Síndrome Hipereosinofílica e pelo Trastuzumabe para a quimioterapia do carcinoma de mama </w:t>
      </w:r>
      <w:r>
        <w:t>inicial e locorregionalmente avançado, o Ministério da Saúde e as Secretarias de Saúde não padronizam nem fornecem medicamentos antineoplásicos diretamente aos hospitais ou aos usuários do SUS. Os procedimentos quimioterápicos da tabela do SUS não fazem re</w:t>
      </w:r>
      <w:r>
        <w:t>ferência a qualquer medicamento e são aplicáveis às situações clínicas específicas para as quais terapias antineoplásicas medicamentosas são indicadas. Ou seja, os hospitais credenciados no SUS e habilitados em Oncologia são os responsáveis pelo fornecimen</w:t>
      </w:r>
      <w:r>
        <w:t>to de medicamentos oncológicos que eles, livremente, padronizam, adquirem e fornecem, cabendo-lhes codificar e registrar conforme o respectivo procedimento. Assim, a partir do momento em que um hospital é habilitado para prestar assistência oncológica pelo</w:t>
      </w:r>
      <w:r>
        <w:t xml:space="preserve"> SUS, a responsabilidade pelo fornecimento do medicamento antineoplásico é desse hospital, seja ele público ou privado, com ou sem fins lucrativos[46].</w:t>
      </w:r>
    </w:p>
    <w:p w:rsidR="00925371" w:rsidRDefault="00925371">
      <w:pPr>
        <w:pStyle w:val="Corpodetexto"/>
        <w:spacing w:before="11"/>
        <w:ind w:left="0"/>
        <w:jc w:val="left"/>
        <w:rPr>
          <w:sz w:val="15"/>
        </w:rPr>
      </w:pPr>
    </w:p>
    <w:p w:rsidR="00925371" w:rsidRDefault="00610ABB">
      <w:pPr>
        <w:pStyle w:val="Corpodetexto"/>
        <w:jc w:val="left"/>
      </w:pPr>
      <w:r>
        <w:t>10. Termo de Esclarecimento e Responsabilidade (TER)</w:t>
      </w:r>
    </w:p>
    <w:p w:rsidR="00925371" w:rsidRDefault="00610ABB">
      <w:pPr>
        <w:pStyle w:val="Corpodetexto"/>
        <w:spacing w:before="1"/>
        <w:jc w:val="left"/>
      </w:pPr>
      <w:r>
        <w:t>É obrigatória a informação ao paciente ou ao seu responsável legal sobre os potenciais riscos, benefícios e efeitos adversos relacionados ao tratamento do câncer esofagiano, notadamente no uso de medicamento antineoplásico.</w:t>
      </w:r>
    </w:p>
    <w:p w:rsidR="00925371" w:rsidRDefault="00925371">
      <w:pPr>
        <w:pStyle w:val="Corpodetexto"/>
        <w:ind w:left="0"/>
        <w:jc w:val="left"/>
      </w:pPr>
    </w:p>
    <w:p w:rsidR="00925371" w:rsidRDefault="00610ABB">
      <w:pPr>
        <w:pStyle w:val="Corpodetexto"/>
        <w:spacing w:before="1"/>
        <w:jc w:val="left"/>
      </w:pPr>
      <w:r>
        <w:t>11 Referências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7"/>
        </w:tabs>
        <w:ind w:right="109" w:firstLine="0"/>
        <w:jc w:val="both"/>
        <w:rPr>
          <w:sz w:val="16"/>
        </w:rPr>
      </w:pPr>
      <w:r w:rsidRPr="00610ABB">
        <w:rPr>
          <w:sz w:val="16"/>
          <w:lang w:val="en-US"/>
        </w:rPr>
        <w:t>Ferlay J, Soerjo</w:t>
      </w:r>
      <w:r w:rsidRPr="00610ABB">
        <w:rPr>
          <w:sz w:val="16"/>
          <w:lang w:val="en-US"/>
        </w:rPr>
        <w:t xml:space="preserve">mataram </w:t>
      </w:r>
      <w:r w:rsidRPr="00610ABB">
        <w:rPr>
          <w:spacing w:val="-3"/>
          <w:sz w:val="16"/>
          <w:lang w:val="en-US"/>
        </w:rPr>
        <w:t xml:space="preserve">I, </w:t>
      </w:r>
      <w:r w:rsidRPr="00610ABB">
        <w:rPr>
          <w:sz w:val="16"/>
          <w:lang w:val="en-US"/>
        </w:rPr>
        <w:t xml:space="preserve">Ervik M, Dikshit R, Eser S, Mathers C, et al. Cancer Incidence and Mortality Worldwide: IARC CancerBase No. 11 [Internet]. Lyon, &lt;country-region&gt;France&lt;/country-region&gt;: International Agency for Research on Cancer; 2013. </w:t>
      </w:r>
      <w:r>
        <w:rPr>
          <w:sz w:val="16"/>
        </w:rPr>
        <w:t>Disponível em:</w:t>
      </w:r>
      <w:hyperlink r:id="rId8">
        <w:r>
          <w:rPr>
            <w:sz w:val="16"/>
            <w:u w:val="single"/>
          </w:rPr>
          <w:t xml:space="preserve"> http://globocan.iarc.fr</w:t>
        </w:r>
        <w:r>
          <w:rPr>
            <w:sz w:val="16"/>
          </w:rPr>
          <w:t xml:space="preserve"> </w:t>
        </w:r>
      </w:hyperlink>
      <w:r>
        <w:rPr>
          <w:sz w:val="16"/>
        </w:rPr>
        <w:t>(acessado em 06/04/2014).</w:t>
      </w:r>
      <w:r>
        <w:rPr>
          <w:spacing w:val="-2"/>
          <w:sz w:val="16"/>
        </w:rPr>
        <w:t xml:space="preserve"> </w:t>
      </w:r>
      <w:r>
        <w:rPr>
          <w:sz w:val="16"/>
        </w:rPr>
        <w:t>GLOBOCAN2012.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5"/>
        </w:tabs>
        <w:ind w:right="109" w:firstLine="0"/>
        <w:rPr>
          <w:sz w:val="16"/>
        </w:rPr>
      </w:pPr>
      <w:r>
        <w:rPr>
          <w:sz w:val="16"/>
        </w:rPr>
        <w:t>Brasil. Ministério da Saúde. Instituto Nacional de Câncer. Estimativa 2014. Incidência do Câncer no Brasil Rio de Janeiro. INCA, 2014. 124p.il.col.,mapas.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7"/>
        </w:tabs>
        <w:spacing w:line="183" w:lineRule="exact"/>
        <w:ind w:firstLine="0"/>
        <w:rPr>
          <w:sz w:val="16"/>
        </w:rPr>
      </w:pPr>
      <w:r w:rsidRPr="00610ABB">
        <w:rPr>
          <w:sz w:val="16"/>
          <w:lang w:val="en-US"/>
        </w:rPr>
        <w:t>Je</w:t>
      </w:r>
      <w:r w:rsidRPr="00610ABB">
        <w:rPr>
          <w:sz w:val="16"/>
          <w:lang w:val="en-US"/>
        </w:rPr>
        <w:t xml:space="preserve">mal A, Bray F, Center MM, Ferlay J, Ward E, Forman D. Global cancer statistics. </w:t>
      </w:r>
      <w:r>
        <w:rPr>
          <w:sz w:val="16"/>
        </w:rPr>
        <w:t>CA Cancer J Clin.</w:t>
      </w:r>
      <w:r>
        <w:rPr>
          <w:spacing w:val="-20"/>
          <w:sz w:val="16"/>
        </w:rPr>
        <w:t xml:space="preserve"> </w:t>
      </w:r>
      <w:r>
        <w:rPr>
          <w:sz w:val="16"/>
        </w:rPr>
        <w:t>2011;61(2):69-90.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7"/>
        </w:tabs>
        <w:spacing w:before="1"/>
        <w:ind w:right="119" w:firstLine="0"/>
        <w:rPr>
          <w:sz w:val="16"/>
        </w:rPr>
      </w:pPr>
      <w:r w:rsidRPr="00610ABB">
        <w:rPr>
          <w:sz w:val="16"/>
          <w:lang w:val="en-US"/>
        </w:rPr>
        <w:t xml:space="preserve">Freedman ND, Abnet CC, Leitzmann MF, Mouw T, Subar AF, Hollenbeck AR, et al. A prospective study of tobacco, alcohol, and the risk of esophageal and gastric cancer subtypes. </w:t>
      </w:r>
      <w:r>
        <w:rPr>
          <w:sz w:val="16"/>
        </w:rPr>
        <w:t>Am J Epidemiol.</w:t>
      </w:r>
      <w:r>
        <w:rPr>
          <w:spacing w:val="-1"/>
          <w:sz w:val="16"/>
        </w:rPr>
        <w:t xml:space="preserve"> </w:t>
      </w:r>
      <w:r>
        <w:rPr>
          <w:sz w:val="16"/>
        </w:rPr>
        <w:t>2007;165(12):1424-33.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7"/>
        </w:tabs>
        <w:ind w:right="114" w:firstLine="0"/>
        <w:rPr>
          <w:sz w:val="16"/>
        </w:rPr>
      </w:pPr>
      <w:r w:rsidRPr="00610ABB">
        <w:rPr>
          <w:sz w:val="16"/>
          <w:lang w:val="en-US"/>
        </w:rPr>
        <w:t>Lindkvist B, Johansen D, Stocks T, Concin H,</w:t>
      </w:r>
      <w:r w:rsidRPr="00610ABB">
        <w:rPr>
          <w:sz w:val="16"/>
          <w:lang w:val="en-US"/>
        </w:rPr>
        <w:t xml:space="preserve"> Bjorge T, Almquist M, et al. Metabolic risk factors for esophageal squamous cell carcinoma and adenocarcinoma: a prospective study of 580,000 subjects within the Me-Can project. </w:t>
      </w:r>
      <w:r>
        <w:rPr>
          <w:sz w:val="16"/>
        </w:rPr>
        <w:t>BMC Cancer.</w:t>
      </w:r>
      <w:r>
        <w:rPr>
          <w:spacing w:val="-22"/>
          <w:sz w:val="16"/>
        </w:rPr>
        <w:t xml:space="preserve"> </w:t>
      </w:r>
      <w:r>
        <w:rPr>
          <w:sz w:val="16"/>
        </w:rPr>
        <w:t>2014;14:103.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7"/>
        </w:tabs>
        <w:spacing w:line="183" w:lineRule="exact"/>
        <w:ind w:firstLine="0"/>
        <w:rPr>
          <w:sz w:val="16"/>
        </w:rPr>
      </w:pPr>
      <w:r w:rsidRPr="00610ABB">
        <w:rPr>
          <w:sz w:val="16"/>
          <w:lang w:val="en-US"/>
        </w:rPr>
        <w:t>O'Mahony</w:t>
      </w:r>
      <w:r w:rsidRPr="00610ABB">
        <w:rPr>
          <w:spacing w:val="-5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MY,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Ellis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JP, Hellier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M,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Mann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R,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Huddy</w:t>
      </w:r>
      <w:r w:rsidRPr="00610ABB">
        <w:rPr>
          <w:spacing w:val="-4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P. F</w:t>
      </w:r>
      <w:r w:rsidRPr="00610ABB">
        <w:rPr>
          <w:sz w:val="16"/>
          <w:lang w:val="en-US"/>
        </w:rPr>
        <w:t>amilial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tylosis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and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carcinoma of</w:t>
      </w:r>
      <w:r w:rsidRPr="00610ABB">
        <w:rPr>
          <w:spacing w:val="-5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the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oesophagus.</w:t>
      </w:r>
      <w:r w:rsidRPr="00610ABB">
        <w:rPr>
          <w:spacing w:val="-2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R</w:t>
      </w:r>
      <w:r>
        <w:rPr>
          <w:spacing w:val="-2"/>
          <w:sz w:val="16"/>
        </w:rPr>
        <w:t xml:space="preserve"> </w:t>
      </w:r>
      <w:r>
        <w:rPr>
          <w:sz w:val="16"/>
        </w:rPr>
        <w:t>Soc Med.</w:t>
      </w:r>
      <w:r>
        <w:rPr>
          <w:spacing w:val="-3"/>
          <w:sz w:val="16"/>
        </w:rPr>
        <w:t xml:space="preserve"> </w:t>
      </w:r>
      <w:r>
        <w:rPr>
          <w:sz w:val="16"/>
        </w:rPr>
        <w:t>1984;77(6):514-7.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5"/>
        </w:tabs>
        <w:ind w:right="105" w:firstLine="0"/>
        <w:rPr>
          <w:sz w:val="16"/>
        </w:rPr>
      </w:pPr>
      <w:r>
        <w:rPr>
          <w:sz w:val="16"/>
        </w:rPr>
        <w:t xml:space="preserve">de Souza CA, Santos Ada C, Santos Lda C, Carneiro AL. </w:t>
      </w:r>
      <w:r w:rsidRPr="00610ABB">
        <w:rPr>
          <w:sz w:val="16"/>
          <w:lang w:val="en-US"/>
        </w:rPr>
        <w:t xml:space="preserve">[Hereditary tylosis syndrome and esophagus cancer]. </w:t>
      </w:r>
      <w:r>
        <w:rPr>
          <w:sz w:val="16"/>
        </w:rPr>
        <w:t>An Bras Dermatol. 2009;84(5):527- 9.</w:t>
      </w:r>
    </w:p>
    <w:p w:rsidR="00925371" w:rsidRPr="00610ABB" w:rsidRDefault="00610ABB">
      <w:pPr>
        <w:pStyle w:val="PargrafodaLista"/>
        <w:numPr>
          <w:ilvl w:val="0"/>
          <w:numId w:val="1"/>
        </w:numPr>
        <w:tabs>
          <w:tab w:val="left" w:pos="277"/>
        </w:tabs>
        <w:spacing w:line="183" w:lineRule="exact"/>
        <w:ind w:firstLine="0"/>
        <w:rPr>
          <w:sz w:val="16"/>
          <w:lang w:val="en-US"/>
        </w:rPr>
      </w:pPr>
      <w:r w:rsidRPr="00610ABB">
        <w:rPr>
          <w:sz w:val="16"/>
          <w:lang w:val="en-US"/>
        </w:rPr>
        <w:t>Novacek G. Plummer-Vinson syndrom</w:t>
      </w:r>
      <w:r w:rsidRPr="00610ABB">
        <w:rPr>
          <w:sz w:val="16"/>
          <w:lang w:val="en-US"/>
        </w:rPr>
        <w:t>e. Orphanet J Rare Dis.</w:t>
      </w:r>
      <w:r w:rsidRPr="00610ABB">
        <w:rPr>
          <w:spacing w:val="-6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2006;1:36.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277"/>
        </w:tabs>
        <w:spacing w:before="1"/>
        <w:ind w:right="111" w:firstLine="0"/>
        <w:rPr>
          <w:sz w:val="16"/>
        </w:rPr>
      </w:pPr>
      <w:r>
        <w:rPr>
          <w:sz w:val="16"/>
        </w:rPr>
        <w:t>Oliveira A, Teixeira D, Ferronatto G. Síndrome de Plummer-Vinson: Relato de caso e revisão da literatura. Rev. Med. Res., Curitiba, v.15, n.22013. p.</w:t>
      </w:r>
      <w:r>
        <w:rPr>
          <w:spacing w:val="-5"/>
          <w:sz w:val="16"/>
        </w:rPr>
        <w:t xml:space="preserve"> </w:t>
      </w:r>
      <w:r>
        <w:rPr>
          <w:sz w:val="16"/>
        </w:rPr>
        <w:t>138-42.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6" w:firstLine="0"/>
        <w:rPr>
          <w:sz w:val="16"/>
        </w:rPr>
      </w:pPr>
      <w:r w:rsidRPr="00610ABB">
        <w:rPr>
          <w:sz w:val="16"/>
          <w:lang w:val="en-US"/>
        </w:rPr>
        <w:t>O'</w:t>
      </w:r>
      <w:r w:rsidRPr="00610ABB">
        <w:rPr>
          <w:sz w:val="16"/>
          <w:lang w:val="en-US"/>
        </w:rPr>
        <w:t xml:space="preserve">Neill OM, Johnston BT, Coleman HG. Achalasia: a review of clinical diagnosis, epidemiology, treatment and outcomes. </w:t>
      </w:r>
      <w:r>
        <w:rPr>
          <w:sz w:val="16"/>
        </w:rPr>
        <w:t>World J Gastroenterol. 2013;19(35):5806-12.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14" w:firstLine="0"/>
        <w:rPr>
          <w:sz w:val="16"/>
        </w:rPr>
      </w:pPr>
      <w:r w:rsidRPr="00610ABB">
        <w:rPr>
          <w:sz w:val="16"/>
          <w:lang w:val="en-US"/>
        </w:rPr>
        <w:t xml:space="preserve">Winberg H, Lindblad M, Lagergren J, Dahlstrand H. Risk factors and chemoprevention in Barrett's </w:t>
      </w:r>
      <w:r w:rsidRPr="00610ABB">
        <w:rPr>
          <w:sz w:val="16"/>
          <w:lang w:val="en-US"/>
        </w:rPr>
        <w:t xml:space="preserve">esophagus--an update. </w:t>
      </w:r>
      <w:r>
        <w:rPr>
          <w:sz w:val="16"/>
        </w:rPr>
        <w:t>Scand J Gastroenterol. 2012;47(4):397-406.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spacing w:line="182" w:lineRule="exact"/>
        <w:ind w:left="353" w:hanging="241"/>
        <w:rPr>
          <w:sz w:val="16"/>
        </w:rPr>
      </w:pPr>
      <w:r w:rsidRPr="00610ABB">
        <w:rPr>
          <w:sz w:val="16"/>
          <w:lang w:val="en-US"/>
        </w:rPr>
        <w:t>Risk factors and chemoprevention in Barrett's esophagus - An update [Internet].</w:t>
      </w:r>
      <w:r w:rsidRPr="00610ABB">
        <w:rPr>
          <w:spacing w:val="-7"/>
          <w:sz w:val="16"/>
          <w:lang w:val="en-US"/>
        </w:rPr>
        <w:t xml:space="preserve"> </w:t>
      </w:r>
      <w:r>
        <w:rPr>
          <w:sz w:val="16"/>
        </w:rPr>
        <w:t>2012.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1" w:firstLine="0"/>
        <w:rPr>
          <w:sz w:val="16"/>
        </w:rPr>
      </w:pPr>
      <w:r w:rsidRPr="00610ABB">
        <w:rPr>
          <w:sz w:val="16"/>
          <w:lang w:val="en-US"/>
        </w:rPr>
        <w:t>Singh S, Manickam P, Amin AV, Samala N, Schouten LJ, Iyer PG, et al. Incidence of esophageal adenocarcino</w:t>
      </w:r>
      <w:r w:rsidRPr="00610ABB">
        <w:rPr>
          <w:sz w:val="16"/>
          <w:lang w:val="en-US"/>
        </w:rPr>
        <w:t xml:space="preserve">ma in Barrett's esophagus with low-grade dysplasia: a systematic review and meta-analysis. </w:t>
      </w:r>
      <w:r>
        <w:rPr>
          <w:sz w:val="16"/>
        </w:rPr>
        <w:t>Gastrointest Endosc. 2014;79(6):897-909.e4; quiz 83.e1,</w:t>
      </w:r>
      <w:r>
        <w:rPr>
          <w:spacing w:val="-20"/>
          <w:sz w:val="16"/>
        </w:rPr>
        <w:t xml:space="preserve"> </w:t>
      </w:r>
      <w:r>
        <w:rPr>
          <w:sz w:val="16"/>
        </w:rPr>
        <w:t>83.e3.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spacing w:before="1"/>
        <w:ind w:right="112" w:firstLine="0"/>
        <w:rPr>
          <w:sz w:val="16"/>
        </w:rPr>
      </w:pPr>
      <w:r w:rsidRPr="00610ABB">
        <w:rPr>
          <w:sz w:val="16"/>
          <w:lang w:val="en-US"/>
        </w:rPr>
        <w:t>Bjelakovic G, Nikolova D, Simonetti RG, Gluud C. Antioxidant supplements for preventing gastrointestin</w:t>
      </w:r>
      <w:r w:rsidRPr="00610ABB">
        <w:rPr>
          <w:sz w:val="16"/>
          <w:lang w:val="en-US"/>
        </w:rPr>
        <w:t xml:space="preserve">al cancers. </w:t>
      </w:r>
      <w:r>
        <w:rPr>
          <w:sz w:val="16"/>
        </w:rPr>
        <w:t>Cochrane Database Syst Rev. 2008(3):Cd004183.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line="183" w:lineRule="exact"/>
        <w:ind w:left="355" w:hanging="243"/>
        <w:rPr>
          <w:sz w:val="16"/>
        </w:rPr>
      </w:pPr>
      <w:r w:rsidRPr="00610ABB">
        <w:rPr>
          <w:sz w:val="16"/>
          <w:lang w:val="en-US"/>
        </w:rPr>
        <w:t>Ge</w:t>
      </w:r>
      <w:r w:rsidRPr="00610ABB">
        <w:rPr>
          <w:spacing w:val="-4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XX,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Xing</w:t>
      </w:r>
      <w:r w:rsidRPr="00610ABB">
        <w:rPr>
          <w:spacing w:val="-4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MY,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 xml:space="preserve">Yu </w:t>
      </w:r>
      <w:r w:rsidRPr="00610ABB">
        <w:rPr>
          <w:spacing w:val="-3"/>
          <w:sz w:val="16"/>
          <w:lang w:val="en-US"/>
        </w:rPr>
        <w:t>LF,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Shen P.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Carotenoid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intake</w:t>
      </w:r>
      <w:r w:rsidRPr="00610ABB">
        <w:rPr>
          <w:spacing w:val="-5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and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esophageal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cancer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risk: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a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 xml:space="preserve">meta-analysis. </w:t>
      </w:r>
      <w:r>
        <w:rPr>
          <w:sz w:val="16"/>
        </w:rPr>
        <w:t>Asian</w:t>
      </w:r>
      <w:r>
        <w:rPr>
          <w:spacing w:val="-1"/>
          <w:sz w:val="16"/>
        </w:rPr>
        <w:t xml:space="preserve"> </w:t>
      </w:r>
      <w:r>
        <w:rPr>
          <w:sz w:val="16"/>
        </w:rPr>
        <w:t>Pac</w:t>
      </w:r>
      <w:r>
        <w:rPr>
          <w:spacing w:val="-4"/>
          <w:sz w:val="16"/>
        </w:rPr>
        <w:t xml:space="preserve"> 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r>
        <w:rPr>
          <w:sz w:val="16"/>
        </w:rPr>
        <w:t>Cancer</w:t>
      </w:r>
      <w:r>
        <w:rPr>
          <w:spacing w:val="-3"/>
          <w:sz w:val="16"/>
        </w:rPr>
        <w:t xml:space="preserve"> </w:t>
      </w:r>
      <w:r>
        <w:rPr>
          <w:sz w:val="16"/>
        </w:rPr>
        <w:t>Prev. 2013;14(3):1911-8.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 w:line="183" w:lineRule="exact"/>
        <w:ind w:left="355" w:hanging="243"/>
        <w:rPr>
          <w:sz w:val="16"/>
        </w:rPr>
      </w:pPr>
      <w:r w:rsidRPr="00610ABB">
        <w:rPr>
          <w:sz w:val="16"/>
          <w:lang w:val="en-US"/>
        </w:rPr>
        <w:t>Sivarasan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N,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Smith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G.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Role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of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aspirin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in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chemoprevention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of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esophageal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adenocarcinoma: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a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meta-analysis.</w:t>
      </w:r>
      <w:r w:rsidRPr="00610ABB">
        <w:rPr>
          <w:spacing w:val="-1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Dig</w:t>
      </w:r>
      <w:r>
        <w:rPr>
          <w:spacing w:val="-2"/>
          <w:sz w:val="16"/>
        </w:rPr>
        <w:t xml:space="preserve"> </w:t>
      </w:r>
      <w:r>
        <w:rPr>
          <w:sz w:val="16"/>
        </w:rPr>
        <w:t>Dis.</w:t>
      </w:r>
      <w:r>
        <w:rPr>
          <w:spacing w:val="-4"/>
          <w:sz w:val="16"/>
        </w:rPr>
        <w:t xml:space="preserve"> </w:t>
      </w:r>
      <w:r>
        <w:rPr>
          <w:sz w:val="16"/>
        </w:rPr>
        <w:t>2013;14(5):222-30.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ind w:right="107" w:firstLine="0"/>
        <w:rPr>
          <w:sz w:val="16"/>
        </w:rPr>
      </w:pPr>
      <w:r w:rsidRPr="00610ABB">
        <w:rPr>
          <w:sz w:val="16"/>
          <w:lang w:val="en-US"/>
        </w:rPr>
        <w:t>Coleman HG, Murray LJ, Hicks B, Bhat SK, Kubo A, Corley DA, et al. Dietary fiber and the risk of precancerous lesions and can cer of the esophagus: a systematic review and meta-analy</w:t>
      </w:r>
      <w:r w:rsidRPr="00610ABB">
        <w:rPr>
          <w:sz w:val="16"/>
          <w:lang w:val="en-US"/>
        </w:rPr>
        <w:t xml:space="preserve">sis. </w:t>
      </w:r>
      <w:r>
        <w:rPr>
          <w:sz w:val="16"/>
        </w:rPr>
        <w:t>Nutr Rev.</w:t>
      </w:r>
      <w:r>
        <w:rPr>
          <w:spacing w:val="-12"/>
          <w:sz w:val="16"/>
        </w:rPr>
        <w:t xml:space="preserve"> </w:t>
      </w:r>
      <w:r>
        <w:rPr>
          <w:sz w:val="16"/>
        </w:rPr>
        <w:t>2013;71(7):474-82.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17" w:firstLine="0"/>
        <w:rPr>
          <w:sz w:val="16"/>
        </w:rPr>
      </w:pPr>
      <w:r w:rsidRPr="00610ABB">
        <w:rPr>
          <w:sz w:val="16"/>
          <w:lang w:val="en-US"/>
        </w:rPr>
        <w:t xml:space="preserve">Sun </w:t>
      </w:r>
      <w:r w:rsidRPr="00610ABB">
        <w:rPr>
          <w:spacing w:val="-3"/>
          <w:sz w:val="16"/>
          <w:lang w:val="en-US"/>
        </w:rPr>
        <w:t xml:space="preserve">L, </w:t>
      </w:r>
      <w:r w:rsidRPr="00610ABB">
        <w:rPr>
          <w:sz w:val="16"/>
          <w:lang w:val="en-US"/>
        </w:rPr>
        <w:t xml:space="preserve">Yu S. Meta-analysis: non-steroidal anti-inflammatory drug use and the risk of esophageal squamous cell carcinoma. </w:t>
      </w:r>
      <w:r>
        <w:rPr>
          <w:sz w:val="16"/>
        </w:rPr>
        <w:t>Dis Esophagus. 2011;24(8):544-9.</w:t>
      </w:r>
    </w:p>
    <w:p w:rsidR="00925371" w:rsidRPr="00610ABB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line="183" w:lineRule="exact"/>
        <w:ind w:left="355" w:hanging="243"/>
        <w:rPr>
          <w:sz w:val="16"/>
          <w:lang w:val="en-US"/>
        </w:rPr>
      </w:pPr>
      <w:r w:rsidRPr="00610ABB">
        <w:rPr>
          <w:sz w:val="16"/>
          <w:lang w:val="en-US"/>
        </w:rPr>
        <w:t>Yang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S, Wu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S, Huang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Y, Shao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Y,</w:t>
      </w:r>
      <w:r w:rsidRPr="00610ABB">
        <w:rPr>
          <w:spacing w:val="-5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Chen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XY,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Xian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pacing w:val="-3"/>
          <w:sz w:val="16"/>
          <w:lang w:val="en-US"/>
        </w:rPr>
        <w:t>L,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et al.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Screening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for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oesophageal</w:t>
      </w:r>
      <w:r w:rsidRPr="00610ABB">
        <w:rPr>
          <w:spacing w:val="-2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cancer.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Cochrane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Database</w:t>
      </w:r>
      <w:r w:rsidRPr="00610ABB">
        <w:rPr>
          <w:spacing w:val="-3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Syst</w:t>
      </w:r>
      <w:r w:rsidRPr="00610ABB">
        <w:rPr>
          <w:spacing w:val="-1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Rev. 2012;12:Cd007883.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10" w:firstLine="0"/>
        <w:rPr>
          <w:sz w:val="16"/>
        </w:rPr>
      </w:pPr>
      <w:r w:rsidRPr="00610ABB">
        <w:rPr>
          <w:sz w:val="16"/>
          <w:lang w:val="en-US"/>
        </w:rPr>
        <w:t xml:space="preserve">Zargar SA, Khuroo MS, Jan GM, Mahajan R, Shah P. Prospective comparison of the value of brushings before and after biopsy in the endoscopic diagnosis of gastroesophageal malignancy. </w:t>
      </w:r>
      <w:r>
        <w:rPr>
          <w:sz w:val="16"/>
        </w:rPr>
        <w:t>Acta Cy</w:t>
      </w:r>
      <w:r>
        <w:rPr>
          <w:sz w:val="16"/>
        </w:rPr>
        <w:t>tol.</w:t>
      </w:r>
      <w:r>
        <w:rPr>
          <w:spacing w:val="-4"/>
          <w:sz w:val="16"/>
        </w:rPr>
        <w:t xml:space="preserve"> </w:t>
      </w:r>
      <w:r>
        <w:rPr>
          <w:sz w:val="16"/>
        </w:rPr>
        <w:t>1991;35(5):549-52.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ind w:right="121" w:firstLine="0"/>
        <w:rPr>
          <w:sz w:val="16"/>
        </w:rPr>
      </w:pPr>
      <w:r w:rsidRPr="00610ABB">
        <w:rPr>
          <w:sz w:val="16"/>
          <w:lang w:val="en-US"/>
        </w:rPr>
        <w:t xml:space="preserve">Batra M, Handa U, Mohan H, Sachdev A. Comparison of cytohistologic techniques in diagnosis of gastroesophageal malignancy. </w:t>
      </w:r>
      <w:r>
        <w:rPr>
          <w:sz w:val="16"/>
        </w:rPr>
        <w:t>Acta Cytol. 2008;52(1):77-82.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0" w:firstLine="0"/>
        <w:rPr>
          <w:sz w:val="16"/>
        </w:rPr>
      </w:pPr>
      <w:r w:rsidRPr="00610ABB">
        <w:rPr>
          <w:sz w:val="16"/>
          <w:lang w:val="en-US"/>
        </w:rPr>
        <w:t>Allum WH, Blazeby JM, Griffin SM, Cunningham D, Jankowski JA, Wong R. Guideline</w:t>
      </w:r>
      <w:r w:rsidRPr="00610ABB">
        <w:rPr>
          <w:sz w:val="16"/>
          <w:lang w:val="en-US"/>
        </w:rPr>
        <w:t xml:space="preserve">s for the management of oesophageal and gastric cancer. </w:t>
      </w:r>
      <w:r>
        <w:rPr>
          <w:sz w:val="16"/>
        </w:rPr>
        <w:t>Gut. 2011;60(11):1449-72.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07" w:firstLine="0"/>
        <w:rPr>
          <w:sz w:val="16"/>
        </w:rPr>
      </w:pPr>
      <w:r>
        <w:rPr>
          <w:sz w:val="16"/>
        </w:rPr>
        <w:t>União Internacional Contra o Câncer. TNM: classificação de tumores malignos. Ministério da Saúde. Instituto Nacional de Câncer. 7a Edição. Rio de Janeiro, Inca2012. xxv,</w:t>
      </w:r>
      <w:r>
        <w:rPr>
          <w:spacing w:val="2"/>
          <w:sz w:val="16"/>
        </w:rPr>
        <w:t xml:space="preserve"> </w:t>
      </w:r>
      <w:r>
        <w:rPr>
          <w:sz w:val="16"/>
        </w:rPr>
        <w:t>325p</w:t>
      </w:r>
      <w:r>
        <w:rPr>
          <w:sz w:val="16"/>
        </w:rPr>
        <w:t>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spacing w:line="183" w:lineRule="exact"/>
        <w:ind w:left="353" w:hanging="241"/>
        <w:rPr>
          <w:sz w:val="16"/>
        </w:rPr>
      </w:pPr>
      <w:r w:rsidRPr="00610ABB">
        <w:rPr>
          <w:sz w:val="16"/>
          <w:lang w:val="en-US"/>
        </w:rPr>
        <w:t xml:space="preserve">Rice </w:t>
      </w:r>
      <w:r w:rsidRPr="00610ABB">
        <w:rPr>
          <w:spacing w:val="-3"/>
          <w:sz w:val="16"/>
          <w:lang w:val="en-US"/>
        </w:rPr>
        <w:t xml:space="preserve">TW, </w:t>
      </w:r>
      <w:r w:rsidRPr="00610ABB">
        <w:rPr>
          <w:sz w:val="16"/>
          <w:lang w:val="en-US"/>
        </w:rPr>
        <w:t xml:space="preserve">Blackstone EH. Esophageal cancer staging: past, present, and future. </w:t>
      </w:r>
      <w:r>
        <w:rPr>
          <w:sz w:val="16"/>
        </w:rPr>
        <w:t>Thorac Surg Clin.</w:t>
      </w:r>
      <w:r>
        <w:rPr>
          <w:spacing w:val="-18"/>
          <w:sz w:val="16"/>
        </w:rPr>
        <w:t xml:space="preserve"> </w:t>
      </w:r>
      <w:r>
        <w:rPr>
          <w:sz w:val="16"/>
        </w:rPr>
        <w:t>2013;23(4):461-9.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10" w:firstLine="0"/>
        <w:rPr>
          <w:sz w:val="16"/>
        </w:rPr>
      </w:pPr>
      <w:r w:rsidRPr="00610ABB">
        <w:rPr>
          <w:sz w:val="16"/>
          <w:lang w:val="en-US"/>
        </w:rPr>
        <w:t>Stahl M, Mariette C, Haustermans K, Cervantes A, Arnold D. Oesophageal cancer: ESMO Clinical Practice Guidelines for diagnosis, treatment an</w:t>
      </w:r>
      <w:r w:rsidRPr="00610ABB">
        <w:rPr>
          <w:sz w:val="16"/>
          <w:lang w:val="en-US"/>
        </w:rPr>
        <w:t xml:space="preserve">d follow-up. </w:t>
      </w:r>
      <w:r>
        <w:rPr>
          <w:sz w:val="16"/>
        </w:rPr>
        <w:t>Ann Oncol. 2013;24 Suppl</w:t>
      </w:r>
      <w:r>
        <w:rPr>
          <w:spacing w:val="-2"/>
          <w:sz w:val="16"/>
        </w:rPr>
        <w:t xml:space="preserve"> </w:t>
      </w:r>
      <w:r>
        <w:rPr>
          <w:sz w:val="16"/>
        </w:rPr>
        <w:t>6:vi51-6.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line="183" w:lineRule="exact"/>
        <w:ind w:left="355" w:hanging="243"/>
        <w:rPr>
          <w:sz w:val="16"/>
        </w:rPr>
      </w:pPr>
      <w:r w:rsidRPr="00610ABB">
        <w:rPr>
          <w:sz w:val="16"/>
          <w:lang w:val="en-US"/>
        </w:rPr>
        <w:t xml:space="preserve">Wright CD, Saltzman JR Management of superficial esophageal cancer. </w:t>
      </w:r>
      <w:r>
        <w:rPr>
          <w:sz w:val="16"/>
        </w:rPr>
        <w:t>UpToDate, 2014</w:t>
      </w:r>
      <w:r>
        <w:rPr>
          <w:spacing w:val="-11"/>
          <w:sz w:val="16"/>
        </w:rPr>
        <w:t xml:space="preserve"> </w:t>
      </w:r>
      <w:r>
        <w:rPr>
          <w:sz w:val="16"/>
        </w:rPr>
        <w:t>versão24.0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spacing w:before="1"/>
        <w:ind w:right="107" w:firstLine="0"/>
        <w:rPr>
          <w:sz w:val="16"/>
        </w:rPr>
      </w:pPr>
      <w:r w:rsidRPr="00610ABB">
        <w:rPr>
          <w:sz w:val="16"/>
          <w:lang w:val="en-US"/>
        </w:rPr>
        <w:t>Bennett C, Green S, De Caestecker J, Almond M, Barr H, Bhandari P, et al. Surgery versus radical endotherapies for</w:t>
      </w:r>
      <w:r w:rsidRPr="00610ABB">
        <w:rPr>
          <w:sz w:val="16"/>
          <w:lang w:val="en-US"/>
        </w:rPr>
        <w:t xml:space="preserve"> early cancer and high-grade dysplasia in Barrett's oesophagus. Cochrane Database of Systematic Reviews In: The Cochrane Library [Internet].</w:t>
      </w:r>
      <w:r w:rsidRPr="00610ABB">
        <w:rPr>
          <w:spacing w:val="-27"/>
          <w:sz w:val="16"/>
          <w:lang w:val="en-US"/>
        </w:rPr>
        <w:t xml:space="preserve"> </w:t>
      </w:r>
      <w:r>
        <w:rPr>
          <w:sz w:val="16"/>
        </w:rPr>
        <w:t>(2).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ind w:right="109" w:firstLine="0"/>
        <w:rPr>
          <w:sz w:val="16"/>
        </w:rPr>
      </w:pPr>
      <w:r w:rsidRPr="00610ABB">
        <w:rPr>
          <w:sz w:val="16"/>
          <w:lang w:val="en-US"/>
        </w:rPr>
        <w:t xml:space="preserve">Choi N, Gibson M. Radiation therapy, chemoradiotherapy, neoadjuvant approaches, and postoperative adjuvant therapy for localized cancers of the esophagus. </w:t>
      </w:r>
      <w:r>
        <w:rPr>
          <w:sz w:val="16"/>
        </w:rPr>
        <w:t>UpToDate 40.0</w:t>
      </w:r>
      <w:r>
        <w:rPr>
          <w:spacing w:val="-8"/>
          <w:sz w:val="16"/>
        </w:rPr>
        <w:t xml:space="preserve"> </w:t>
      </w:r>
      <w:r>
        <w:rPr>
          <w:sz w:val="16"/>
        </w:rPr>
        <w:t>[Internet].2014.</w:t>
      </w:r>
    </w:p>
    <w:p w:rsidR="00925371" w:rsidRPr="00610ABB" w:rsidRDefault="00610ABB">
      <w:pPr>
        <w:pStyle w:val="PargrafodaLista"/>
        <w:numPr>
          <w:ilvl w:val="0"/>
          <w:numId w:val="1"/>
        </w:numPr>
        <w:tabs>
          <w:tab w:val="left" w:pos="356"/>
          <w:tab w:val="left" w:pos="1132"/>
          <w:tab w:val="left" w:pos="2156"/>
          <w:tab w:val="left" w:pos="3224"/>
          <w:tab w:val="left" w:pos="3790"/>
          <w:tab w:val="left" w:pos="5179"/>
          <w:tab w:val="left" w:pos="6055"/>
          <w:tab w:val="left" w:pos="6943"/>
          <w:tab w:val="left" w:pos="7746"/>
          <w:tab w:val="left" w:pos="8519"/>
          <w:tab w:val="left" w:pos="9553"/>
        </w:tabs>
        <w:ind w:right="116" w:firstLine="0"/>
        <w:rPr>
          <w:sz w:val="16"/>
          <w:lang w:val="en-US"/>
        </w:rPr>
      </w:pPr>
      <w:r w:rsidRPr="00610ABB">
        <w:rPr>
          <w:sz w:val="16"/>
          <w:lang w:val="en-US"/>
        </w:rPr>
        <w:t>NCCN</w:t>
      </w:r>
      <w:r w:rsidRPr="00610ABB">
        <w:rPr>
          <w:sz w:val="16"/>
          <w:lang w:val="en-US"/>
        </w:rPr>
        <w:tab/>
        <w:t>Guidelines</w:t>
      </w:r>
      <w:r w:rsidRPr="00610ABB">
        <w:rPr>
          <w:sz w:val="16"/>
          <w:lang w:val="en-US"/>
        </w:rPr>
        <w:tab/>
        <w:t>Esophageal</w:t>
      </w:r>
      <w:r w:rsidRPr="00610ABB">
        <w:rPr>
          <w:sz w:val="16"/>
          <w:lang w:val="en-US"/>
        </w:rPr>
        <w:tab/>
        <w:t>and</w:t>
      </w:r>
      <w:r w:rsidRPr="00610ABB">
        <w:rPr>
          <w:sz w:val="16"/>
          <w:lang w:val="en-US"/>
        </w:rPr>
        <w:tab/>
        <w:t>Esophagogastric</w:t>
      </w:r>
      <w:r w:rsidRPr="00610ABB">
        <w:rPr>
          <w:sz w:val="16"/>
          <w:lang w:val="en-US"/>
        </w:rPr>
        <w:tab/>
        <w:t>Junction</w:t>
      </w:r>
      <w:r w:rsidRPr="00610ABB">
        <w:rPr>
          <w:sz w:val="16"/>
          <w:lang w:val="en-US"/>
        </w:rPr>
        <w:tab/>
        <w:t>Câncers.</w:t>
      </w:r>
      <w:r w:rsidRPr="00610ABB">
        <w:rPr>
          <w:sz w:val="16"/>
          <w:lang w:val="en-US"/>
        </w:rPr>
        <w:tab/>
        <w:t>versi</w:t>
      </w:r>
      <w:r w:rsidRPr="00610ABB">
        <w:rPr>
          <w:sz w:val="16"/>
          <w:lang w:val="en-US"/>
        </w:rPr>
        <w:t>on</w:t>
      </w:r>
      <w:r w:rsidRPr="00610ABB">
        <w:rPr>
          <w:sz w:val="16"/>
          <w:lang w:val="en-US"/>
        </w:rPr>
        <w:tab/>
        <w:t>1.2014</w:t>
      </w:r>
      <w:r w:rsidRPr="00610ABB">
        <w:rPr>
          <w:sz w:val="16"/>
          <w:lang w:val="en-US"/>
        </w:rPr>
        <w:tab/>
        <w:t>Disponível</w:t>
      </w:r>
      <w:r w:rsidRPr="00610ABB">
        <w:rPr>
          <w:sz w:val="16"/>
          <w:lang w:val="en-US"/>
        </w:rPr>
        <w:tab/>
        <w:t>em</w:t>
      </w:r>
      <w:hyperlink r:id="rId9">
        <w:r w:rsidRPr="00610ABB">
          <w:rPr>
            <w:sz w:val="16"/>
            <w:u w:val="single"/>
            <w:lang w:val="en-US"/>
          </w:rPr>
          <w:t xml:space="preserve"> http://www.nccn.org/professionals/physician_gls/pdf/esophageal.pdf</w:t>
        </w:r>
        <w:r w:rsidRPr="00610ABB">
          <w:rPr>
            <w:sz w:val="16"/>
            <w:lang w:val="en-US"/>
          </w:rPr>
          <w:t>.</w:t>
        </w:r>
      </w:hyperlink>
    </w:p>
    <w:p w:rsidR="00925371" w:rsidRPr="00610ABB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line="183" w:lineRule="exact"/>
        <w:ind w:left="355" w:hanging="243"/>
        <w:rPr>
          <w:sz w:val="16"/>
          <w:lang w:val="en-US"/>
        </w:rPr>
      </w:pPr>
      <w:r w:rsidRPr="00610ABB">
        <w:rPr>
          <w:sz w:val="16"/>
          <w:lang w:val="en-US"/>
        </w:rPr>
        <w:t>Uzunoglu FG, Reeh M, Kutup A, Izbicki JR. Surgery of esophageal cancer. Langen</w:t>
      </w:r>
      <w:r w:rsidRPr="00610ABB">
        <w:rPr>
          <w:sz w:val="16"/>
          <w:lang w:val="en-US"/>
        </w:rPr>
        <w:t>becks Arch Surg.</w:t>
      </w:r>
      <w:r w:rsidRPr="00610ABB">
        <w:rPr>
          <w:spacing w:val="-16"/>
          <w:sz w:val="16"/>
          <w:lang w:val="en-US"/>
        </w:rPr>
        <w:t xml:space="preserve"> </w:t>
      </w:r>
      <w:r w:rsidRPr="00610ABB">
        <w:rPr>
          <w:sz w:val="16"/>
          <w:lang w:val="en-US"/>
        </w:rPr>
        <w:t>2013;398(2):189-93.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3" w:firstLine="0"/>
        <w:rPr>
          <w:sz w:val="16"/>
        </w:rPr>
      </w:pPr>
      <w:r w:rsidRPr="00610ABB">
        <w:rPr>
          <w:sz w:val="16"/>
          <w:lang w:val="en-US"/>
        </w:rPr>
        <w:t xml:space="preserve">Dantoc M, Cox MR, Eslick GD. Evidence to support the use of minimally invasive esophagectomy for esophageal cancer: a meta-analysis. </w:t>
      </w:r>
      <w:r>
        <w:rPr>
          <w:sz w:val="16"/>
        </w:rPr>
        <w:t>Arch Surg. 2012;147(8):768-76.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22" w:firstLine="0"/>
        <w:rPr>
          <w:sz w:val="16"/>
        </w:rPr>
      </w:pPr>
      <w:r w:rsidRPr="00610ABB">
        <w:rPr>
          <w:sz w:val="16"/>
          <w:lang w:val="en-US"/>
        </w:rPr>
        <w:t>Watanabe M, Baba Y, Nagai Y, Baba H. Minimally invasive</w:t>
      </w:r>
      <w:r w:rsidRPr="00610ABB">
        <w:rPr>
          <w:sz w:val="16"/>
          <w:lang w:val="en-US"/>
        </w:rPr>
        <w:t xml:space="preserve"> esophagectomy for esophageal cancer: an updated review. </w:t>
      </w:r>
      <w:r>
        <w:rPr>
          <w:sz w:val="16"/>
        </w:rPr>
        <w:t>Surg Today. 2013;43(3):237-44.</w:t>
      </w:r>
    </w:p>
    <w:p w:rsidR="00925371" w:rsidRDefault="00925371">
      <w:pPr>
        <w:rPr>
          <w:sz w:val="16"/>
        </w:rPr>
        <w:sectPr w:rsidR="00925371">
          <w:pgSz w:w="11910" w:h="16840"/>
          <w:pgMar w:top="1320" w:right="1020" w:bottom="280" w:left="1020" w:header="720" w:footer="720" w:gutter="0"/>
          <w:cols w:space="720"/>
        </w:sectPr>
      </w:pP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72"/>
        <w:ind w:right="120" w:firstLine="0"/>
        <w:jc w:val="both"/>
        <w:rPr>
          <w:sz w:val="16"/>
        </w:rPr>
      </w:pPr>
      <w:r w:rsidRPr="00610ABB">
        <w:rPr>
          <w:sz w:val="16"/>
          <w:lang w:val="en-US"/>
        </w:rPr>
        <w:lastRenderedPageBreak/>
        <w:t>Peyre CG, Hagen JA, DeMeester SR, Altorki NK, Ancona E, Griffin SM, et al. The number of lymph nodes removed predicts survival in esophageal cancer: an in</w:t>
      </w:r>
      <w:r w:rsidRPr="00610ABB">
        <w:rPr>
          <w:sz w:val="16"/>
          <w:lang w:val="en-US"/>
        </w:rPr>
        <w:t xml:space="preserve">ternational study on the impact of extent of surgical resection. </w:t>
      </w:r>
      <w:r>
        <w:rPr>
          <w:sz w:val="16"/>
        </w:rPr>
        <w:t>Ann Surg.</w:t>
      </w:r>
      <w:r>
        <w:rPr>
          <w:spacing w:val="-24"/>
          <w:sz w:val="16"/>
        </w:rPr>
        <w:t xml:space="preserve"> </w:t>
      </w:r>
      <w:r>
        <w:rPr>
          <w:sz w:val="16"/>
        </w:rPr>
        <w:t>2008;248(4):549-56.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2"/>
        <w:ind w:right="118" w:firstLine="0"/>
        <w:jc w:val="both"/>
        <w:rPr>
          <w:sz w:val="16"/>
        </w:rPr>
      </w:pPr>
      <w:r w:rsidRPr="00610ABB">
        <w:rPr>
          <w:sz w:val="16"/>
          <w:lang w:val="en-US"/>
        </w:rPr>
        <w:t xml:space="preserve">Greenstein AJ, Litle VR, Swanson SJ, Divino CM, Packer S, Wisnivesky JP. Effect of the number of lymph nodes sampled on postoperative survival of lymph node-negative esophageal cancer. </w:t>
      </w:r>
      <w:r>
        <w:rPr>
          <w:sz w:val="16"/>
        </w:rPr>
        <w:t>Cancer.</w:t>
      </w:r>
      <w:r>
        <w:rPr>
          <w:spacing w:val="-12"/>
          <w:sz w:val="16"/>
        </w:rPr>
        <w:t xml:space="preserve"> </w:t>
      </w:r>
      <w:r>
        <w:rPr>
          <w:sz w:val="16"/>
        </w:rPr>
        <w:t>2008;112(6):1239-46.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ind w:right="115" w:firstLine="0"/>
        <w:jc w:val="both"/>
        <w:rPr>
          <w:sz w:val="16"/>
        </w:rPr>
      </w:pPr>
      <w:r w:rsidRPr="00610ABB">
        <w:rPr>
          <w:sz w:val="16"/>
          <w:lang w:val="en-US"/>
        </w:rPr>
        <w:t>Rizk NP, Ishwaran H, Rice TW, Chen LQ, Sch</w:t>
      </w:r>
      <w:r w:rsidRPr="00610ABB">
        <w:rPr>
          <w:sz w:val="16"/>
          <w:lang w:val="en-US"/>
        </w:rPr>
        <w:t xml:space="preserve">ipper PH, Kesler KA, et al. </w:t>
      </w:r>
      <w:r>
        <w:rPr>
          <w:sz w:val="16"/>
        </w:rPr>
        <w:t>Optimum lymphadenectomy for esophageal cancer. Ann Surg. 2010;251(1):46-50.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09" w:firstLine="0"/>
        <w:jc w:val="both"/>
        <w:rPr>
          <w:sz w:val="16"/>
        </w:rPr>
      </w:pPr>
      <w:r w:rsidRPr="00610ABB">
        <w:rPr>
          <w:sz w:val="16"/>
          <w:lang w:val="en-US"/>
        </w:rPr>
        <w:t xml:space="preserve">Schwarz RE, Smith DD. Clinical impact of lymphadenectomy extent in resectable esophageal cancer. </w:t>
      </w:r>
      <w:r>
        <w:rPr>
          <w:sz w:val="16"/>
        </w:rPr>
        <w:t>J Gastrointest Surg. 2007;11(11):1384-93; discussion</w:t>
      </w:r>
      <w:r>
        <w:rPr>
          <w:spacing w:val="-2"/>
          <w:sz w:val="16"/>
        </w:rPr>
        <w:t xml:space="preserve"> </w:t>
      </w:r>
      <w:r>
        <w:rPr>
          <w:sz w:val="16"/>
        </w:rPr>
        <w:t>93-4.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22" w:firstLine="0"/>
        <w:jc w:val="both"/>
        <w:rPr>
          <w:sz w:val="16"/>
        </w:rPr>
      </w:pPr>
      <w:r>
        <w:rPr>
          <w:sz w:val="16"/>
        </w:rPr>
        <w:t>Forde PM, Kelly RJ. Chemotherapeutic and targeted strategies for locally advanced and metastatic esophageal cancer. J Thorac Oncol. 2013;8(6):673-84.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2" w:firstLine="0"/>
        <w:jc w:val="both"/>
        <w:rPr>
          <w:sz w:val="16"/>
        </w:rPr>
      </w:pPr>
      <w:r>
        <w:rPr>
          <w:sz w:val="16"/>
        </w:rPr>
        <w:t xml:space="preserve">Gebski V, Burmeister B, Smithers BM, </w:t>
      </w:r>
      <w:r>
        <w:rPr>
          <w:spacing w:val="-2"/>
          <w:sz w:val="16"/>
        </w:rPr>
        <w:t xml:space="preserve">Foo </w:t>
      </w:r>
      <w:r>
        <w:rPr>
          <w:sz w:val="16"/>
        </w:rPr>
        <w:t xml:space="preserve">K, Zalcberg J, Simes J. Survival benefits from neoadjuvant </w:t>
      </w:r>
      <w:r>
        <w:rPr>
          <w:sz w:val="16"/>
        </w:rPr>
        <w:t>chemoradiotherapy or chemotherapy in oesophageal carcinoma: a meta-analysis. Lancet Oncol.</w:t>
      </w:r>
      <w:r>
        <w:rPr>
          <w:spacing w:val="-6"/>
          <w:sz w:val="16"/>
        </w:rPr>
        <w:t xml:space="preserve"> </w:t>
      </w:r>
      <w:r>
        <w:rPr>
          <w:sz w:val="16"/>
        </w:rPr>
        <w:t>2007;8(3):226-34.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08" w:firstLine="0"/>
        <w:jc w:val="both"/>
        <w:rPr>
          <w:sz w:val="16"/>
        </w:rPr>
      </w:pPr>
      <w:r>
        <w:rPr>
          <w:sz w:val="16"/>
        </w:rPr>
        <w:t>Wong RK, Malthaner R. Combined chemotherapy and radiotherapy (without surgery) compared with radiotherapy alone in localized carcinoma of the esoph</w:t>
      </w:r>
      <w:r>
        <w:rPr>
          <w:sz w:val="16"/>
        </w:rPr>
        <w:t>agus. Cochrane Database of Systematic Reviews. In: The Cochrane Library;</w:t>
      </w:r>
      <w:r>
        <w:rPr>
          <w:spacing w:val="-7"/>
          <w:sz w:val="16"/>
        </w:rPr>
        <w:t xml:space="preserve"> </w:t>
      </w:r>
      <w:r>
        <w:rPr>
          <w:sz w:val="16"/>
        </w:rPr>
        <w:t>(2).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06" w:firstLine="0"/>
        <w:jc w:val="both"/>
        <w:rPr>
          <w:sz w:val="16"/>
        </w:rPr>
      </w:pPr>
      <w:r>
        <w:rPr>
          <w:sz w:val="16"/>
        </w:rPr>
        <w:t>Kranzfelder M, Schuster T, Geinitz H, Friess H, Buchler P. Meta-analysis of neoadjuvant treatment modalities and definitive non-surgical therapy for oesophageal squamous cell can</w:t>
      </w:r>
      <w:r>
        <w:rPr>
          <w:sz w:val="16"/>
        </w:rPr>
        <w:t>cer. Br J Surg.</w:t>
      </w:r>
      <w:r>
        <w:rPr>
          <w:spacing w:val="-9"/>
          <w:sz w:val="16"/>
        </w:rPr>
        <w:t xml:space="preserve"> </w:t>
      </w:r>
      <w:r>
        <w:rPr>
          <w:sz w:val="16"/>
        </w:rPr>
        <w:t>2011;98(6):768-83.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ind w:right="113" w:firstLine="0"/>
        <w:jc w:val="both"/>
        <w:rPr>
          <w:sz w:val="16"/>
        </w:rPr>
      </w:pPr>
      <w:r>
        <w:rPr>
          <w:sz w:val="16"/>
        </w:rPr>
        <w:t>Ronellenfitsch U, Schwarzbach M, Hofheinz R, Kienle P, Kieser M, Slanger T, et al. Perioperative chemo (radio)therapy versus primary surgery for resectable adenocarcinoma of the stomach, gastroesophageal junction, and low</w:t>
      </w:r>
      <w:r>
        <w:rPr>
          <w:sz w:val="16"/>
        </w:rPr>
        <w:t>er esophagus.;</w:t>
      </w:r>
      <w:r>
        <w:rPr>
          <w:spacing w:val="-14"/>
          <w:sz w:val="16"/>
        </w:rPr>
        <w:t xml:space="preserve"> </w:t>
      </w:r>
      <w:r>
        <w:rPr>
          <w:sz w:val="16"/>
        </w:rPr>
        <w:t>(2).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0" w:firstLine="0"/>
        <w:jc w:val="both"/>
        <w:rPr>
          <w:sz w:val="16"/>
        </w:rPr>
      </w:pPr>
      <w:r>
        <w:rPr>
          <w:sz w:val="16"/>
        </w:rPr>
        <w:t>Vogt K, Fenlon D, Rhodes S, Malthaner R. Preoperative chemotherapy for resectable thoracic esophageal cancer. Cochrane Database of Systematic Reviews. In: The Cochrane Library,;</w:t>
      </w:r>
      <w:r>
        <w:rPr>
          <w:spacing w:val="3"/>
          <w:sz w:val="16"/>
        </w:rPr>
        <w:t xml:space="preserve"> </w:t>
      </w:r>
      <w:r>
        <w:rPr>
          <w:sz w:val="16"/>
        </w:rPr>
        <w:t>(2).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19" w:firstLine="0"/>
        <w:jc w:val="both"/>
        <w:rPr>
          <w:sz w:val="16"/>
        </w:rPr>
      </w:pPr>
      <w:r>
        <w:rPr>
          <w:sz w:val="16"/>
        </w:rPr>
        <w:t>Sjoquist KM, Burmeister BH, Smithers BM, Zalcberg JR,</w:t>
      </w:r>
      <w:r>
        <w:rPr>
          <w:sz w:val="16"/>
        </w:rPr>
        <w:t xml:space="preserve"> Simes RJ, Barbour A, et al. Survival after neoadjuvant chemotherapy or chemoradiotherapy for resectable oesophageal carcinoma: an updated meta-analysis. Lancet Oncol.</w:t>
      </w:r>
      <w:r>
        <w:rPr>
          <w:spacing w:val="-15"/>
          <w:sz w:val="16"/>
        </w:rPr>
        <w:t xml:space="preserve"> </w:t>
      </w:r>
      <w:r>
        <w:rPr>
          <w:sz w:val="16"/>
        </w:rPr>
        <w:t>2011;12(7):681-92.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0" w:firstLine="0"/>
        <w:jc w:val="both"/>
        <w:rPr>
          <w:sz w:val="16"/>
        </w:rPr>
      </w:pPr>
      <w:r>
        <w:rPr>
          <w:sz w:val="16"/>
        </w:rPr>
        <w:t>Thirion SM A, Le Maître J. Tierney Abstract: Individual patient data-</w:t>
      </w:r>
      <w:r>
        <w:rPr>
          <w:sz w:val="16"/>
        </w:rPr>
        <w:t>based meta-analysis assessing pre-operative chemotherapy in resectable oesophageal carcinoma P. G. on behalf of the MetaAnalysis of Chemotherapy in Esophagus Cancer Collaborative Group Journal of Clinical Oncology,</w:t>
      </w:r>
      <w:r>
        <w:rPr>
          <w:spacing w:val="-1"/>
          <w:sz w:val="16"/>
        </w:rPr>
        <w:t xml:space="preserve"> </w:t>
      </w:r>
      <w:r>
        <w:rPr>
          <w:sz w:val="16"/>
        </w:rPr>
        <w:t>2007</w:t>
      </w:r>
      <w:r>
        <w:rPr>
          <w:spacing w:val="-2"/>
          <w:sz w:val="16"/>
        </w:rPr>
        <w:t xml:space="preserve"> </w:t>
      </w:r>
      <w:r>
        <w:rPr>
          <w:sz w:val="16"/>
        </w:rPr>
        <w:t>ASCO</w:t>
      </w:r>
      <w:r>
        <w:rPr>
          <w:spacing w:val="-2"/>
          <w:sz w:val="16"/>
        </w:rPr>
        <w:t xml:space="preserve"> </w:t>
      </w:r>
      <w:r>
        <w:rPr>
          <w:sz w:val="16"/>
        </w:rPr>
        <w:t>Annual</w:t>
      </w:r>
      <w:r>
        <w:rPr>
          <w:spacing w:val="-5"/>
          <w:sz w:val="16"/>
        </w:rPr>
        <w:t xml:space="preserve"> </w:t>
      </w:r>
      <w:r>
        <w:rPr>
          <w:sz w:val="16"/>
        </w:rPr>
        <w:t>Meeting</w:t>
      </w:r>
      <w:r>
        <w:rPr>
          <w:spacing w:val="-2"/>
          <w:sz w:val="16"/>
        </w:rPr>
        <w:t xml:space="preserve"> </w:t>
      </w:r>
      <w:r>
        <w:rPr>
          <w:sz w:val="16"/>
        </w:rPr>
        <w:t>Proceedings</w:t>
      </w:r>
      <w:r>
        <w:rPr>
          <w:spacing w:val="-1"/>
          <w:sz w:val="16"/>
        </w:rPr>
        <w:t xml:space="preserve"> </w:t>
      </w:r>
      <w:r>
        <w:rPr>
          <w:sz w:val="16"/>
        </w:rPr>
        <w:t>(Pos</w:t>
      </w:r>
      <w:r>
        <w:rPr>
          <w:sz w:val="16"/>
        </w:rPr>
        <w:t>t-Meeting</w:t>
      </w:r>
      <w:r>
        <w:rPr>
          <w:spacing w:val="-3"/>
          <w:sz w:val="16"/>
        </w:rPr>
        <w:t xml:space="preserve"> </w:t>
      </w:r>
      <w:r>
        <w:rPr>
          <w:sz w:val="16"/>
        </w:rPr>
        <w:t>Edition). Vol</w:t>
      </w:r>
      <w:r>
        <w:rPr>
          <w:spacing w:val="-2"/>
          <w:sz w:val="16"/>
        </w:rPr>
        <w:t xml:space="preserve"> </w:t>
      </w:r>
      <w:r>
        <w:rPr>
          <w:sz w:val="16"/>
        </w:rPr>
        <w:t>25,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18S</w:t>
      </w:r>
      <w:r>
        <w:rPr>
          <w:spacing w:val="-1"/>
          <w:sz w:val="16"/>
        </w:rPr>
        <w:t xml:space="preserve"> </w:t>
      </w:r>
      <w:r>
        <w:rPr>
          <w:sz w:val="16"/>
        </w:rPr>
        <w:t>(June</w:t>
      </w:r>
      <w:r>
        <w:rPr>
          <w:spacing w:val="-5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Supplement),</w:t>
      </w:r>
      <w:r>
        <w:rPr>
          <w:spacing w:val="-3"/>
          <w:sz w:val="16"/>
        </w:rPr>
        <w:t xml:space="preserve"> </w:t>
      </w:r>
      <w:r>
        <w:rPr>
          <w:sz w:val="16"/>
        </w:rPr>
        <w:t>2007:</w:t>
      </w:r>
      <w:r>
        <w:rPr>
          <w:spacing w:val="-4"/>
          <w:sz w:val="16"/>
        </w:rPr>
        <w:t xml:space="preserve"> </w:t>
      </w:r>
      <w:r>
        <w:rPr>
          <w:sz w:val="16"/>
        </w:rPr>
        <w:t>45122007;</w:t>
      </w:r>
      <w:r>
        <w:rPr>
          <w:spacing w:val="-2"/>
          <w:sz w:val="16"/>
        </w:rPr>
        <w:t xml:space="preserve"> </w:t>
      </w:r>
      <w:r>
        <w:rPr>
          <w:sz w:val="16"/>
        </w:rPr>
        <w:t>25.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07" w:firstLine="0"/>
        <w:jc w:val="both"/>
        <w:rPr>
          <w:sz w:val="16"/>
        </w:rPr>
      </w:pPr>
      <w:r>
        <w:rPr>
          <w:sz w:val="16"/>
        </w:rPr>
        <w:t>Arnott SJ, Duncan W, Gignoux M, Girling D, Hansen H, Launois B, et al. Preoperative radiotherapy for esophageal carcinoma. Cochrane Database of Systematic Reviews. In: The Cochrane</w:t>
      </w:r>
      <w:r>
        <w:rPr>
          <w:spacing w:val="-7"/>
          <w:sz w:val="16"/>
        </w:rPr>
        <w:t xml:space="preserve"> </w:t>
      </w:r>
      <w:r>
        <w:rPr>
          <w:sz w:val="16"/>
        </w:rPr>
        <w:t>Library.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1" w:firstLine="0"/>
        <w:jc w:val="both"/>
        <w:rPr>
          <w:sz w:val="16"/>
        </w:rPr>
      </w:pPr>
      <w:r>
        <w:rPr>
          <w:sz w:val="16"/>
        </w:rPr>
        <w:t>Zieren HU, Muller JM, Jacobi CA, Pichlmaier H, Muller RP, Staar S. Adjuvant postoperative radiation therapy after curative resection of squamous cell carcinoma of the thoracic esophagus: a prospective randomized study. World J Surg.</w:t>
      </w:r>
      <w:r>
        <w:rPr>
          <w:spacing w:val="-24"/>
          <w:sz w:val="16"/>
        </w:rPr>
        <w:t xml:space="preserve"> </w:t>
      </w:r>
      <w:r>
        <w:rPr>
          <w:sz w:val="16"/>
        </w:rPr>
        <w:t>1995;19(3):444-9.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3" w:firstLine="0"/>
        <w:jc w:val="both"/>
        <w:rPr>
          <w:sz w:val="16"/>
        </w:rPr>
      </w:pPr>
      <w:r>
        <w:rPr>
          <w:spacing w:val="-2"/>
          <w:sz w:val="16"/>
        </w:rPr>
        <w:t xml:space="preserve">Fok </w:t>
      </w:r>
      <w:r>
        <w:rPr>
          <w:sz w:val="16"/>
        </w:rPr>
        <w:t>M</w:t>
      </w:r>
      <w:r>
        <w:rPr>
          <w:sz w:val="16"/>
        </w:rPr>
        <w:t>, Sham JS, Choy D, Cheng SW, Wong J. Postoperative radiotherapy for carcinoma of the esophagus: a prospective, randomized controlled study. Surgery.</w:t>
      </w:r>
      <w:r>
        <w:rPr>
          <w:spacing w:val="1"/>
          <w:sz w:val="16"/>
        </w:rPr>
        <w:t xml:space="preserve"> </w:t>
      </w:r>
      <w:r>
        <w:rPr>
          <w:sz w:val="16"/>
        </w:rPr>
        <w:t>1993;113(2):138-47.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08" w:firstLine="0"/>
        <w:jc w:val="both"/>
        <w:rPr>
          <w:sz w:val="16"/>
        </w:rPr>
      </w:pPr>
      <w:r>
        <w:rPr>
          <w:sz w:val="16"/>
        </w:rPr>
        <w:t>Ténière P, Hay J, Fingerhut A, Fagniez P. Postoperative radiation therapy does not incr</w:t>
      </w:r>
      <w:r>
        <w:rPr>
          <w:sz w:val="16"/>
        </w:rPr>
        <w:t>ease survival after curative resection for squamous cell carcinoma of the middle and lower esophagus as shown by a multicenter controlled trial. French University Association for Surgical Research. Surg Gynecol Obstet.1991. p.</w:t>
      </w:r>
      <w:r>
        <w:rPr>
          <w:spacing w:val="-6"/>
          <w:sz w:val="16"/>
        </w:rPr>
        <w:t xml:space="preserve"> </w:t>
      </w:r>
      <w:r>
        <w:rPr>
          <w:sz w:val="16"/>
        </w:rPr>
        <w:t>123-30.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ind w:right="114" w:firstLine="0"/>
        <w:jc w:val="both"/>
        <w:rPr>
          <w:sz w:val="16"/>
        </w:rPr>
      </w:pPr>
      <w:r>
        <w:rPr>
          <w:sz w:val="16"/>
        </w:rPr>
        <w:t>Homs Marjolein Y, van</w:t>
      </w:r>
      <w:r>
        <w:rPr>
          <w:sz w:val="16"/>
        </w:rPr>
        <w:t xml:space="preserve"> der Gaast A, Siersema Peter D, Steyerberg EW, J. KE. Chemotherapy for metastatic carcinoma of the esophagus and gastro-esophageal junction. Cochrane Database of Systematic Reviews. In: The Cochrane Library,;</w:t>
      </w:r>
      <w:r>
        <w:rPr>
          <w:spacing w:val="-16"/>
          <w:sz w:val="16"/>
        </w:rPr>
        <w:t xml:space="preserve"> </w:t>
      </w:r>
      <w:r>
        <w:rPr>
          <w:sz w:val="16"/>
        </w:rPr>
        <w:t>(2).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4"/>
        </w:tabs>
        <w:ind w:right="110" w:firstLine="0"/>
        <w:jc w:val="both"/>
        <w:rPr>
          <w:sz w:val="16"/>
        </w:rPr>
      </w:pPr>
      <w:r>
        <w:rPr>
          <w:sz w:val="16"/>
        </w:rPr>
        <w:t xml:space="preserve">Chirieac LR, Swisher SG, Ajani JA, Komaki </w:t>
      </w:r>
      <w:r>
        <w:rPr>
          <w:sz w:val="16"/>
        </w:rPr>
        <w:t>RR, Correa AM, Morris JS, et al. Posttherapy pathologic stage predicts survival in patients with esophageal carcinoma receiving preoperative chemoradiation. Cancer.</w:t>
      </w:r>
      <w:r>
        <w:rPr>
          <w:spacing w:val="-9"/>
          <w:sz w:val="16"/>
        </w:rPr>
        <w:t xml:space="preserve"> </w:t>
      </w:r>
      <w:r>
        <w:rPr>
          <w:sz w:val="16"/>
        </w:rPr>
        <w:t>2005;103(7):1347-55.</w:t>
      </w:r>
    </w:p>
    <w:p w:rsidR="00925371" w:rsidRDefault="00610ABB">
      <w:pPr>
        <w:pStyle w:val="PargrafodaLista"/>
        <w:numPr>
          <w:ilvl w:val="0"/>
          <w:numId w:val="1"/>
        </w:numPr>
        <w:tabs>
          <w:tab w:val="left" w:pos="356"/>
        </w:tabs>
        <w:spacing w:before="1"/>
        <w:ind w:right="121" w:firstLine="0"/>
        <w:jc w:val="both"/>
        <w:rPr>
          <w:sz w:val="16"/>
        </w:rPr>
      </w:pPr>
      <w:r>
        <w:rPr>
          <w:sz w:val="16"/>
        </w:rPr>
        <w:t>Ngamruengphong, V K S, B N, Das. A. Assessment of response to neoadjuv</w:t>
      </w:r>
      <w:r>
        <w:rPr>
          <w:sz w:val="16"/>
        </w:rPr>
        <w:t>ant therapy in esophageal cancer: an updated systematic review of diagnostic</w:t>
      </w:r>
      <w:r>
        <w:rPr>
          <w:spacing w:val="-4"/>
          <w:sz w:val="16"/>
        </w:rPr>
        <w:t xml:space="preserve"> </w:t>
      </w:r>
      <w:r>
        <w:rPr>
          <w:sz w:val="16"/>
        </w:rPr>
        <w:t>accuracy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endoscopic</w:t>
      </w:r>
      <w:r>
        <w:rPr>
          <w:spacing w:val="-4"/>
          <w:sz w:val="16"/>
        </w:rPr>
        <w:t xml:space="preserve"> </w:t>
      </w:r>
      <w:r>
        <w:rPr>
          <w:sz w:val="16"/>
        </w:rPr>
        <w:t>ultrasonography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fluorodeoxyglucose</w:t>
      </w:r>
      <w:r>
        <w:rPr>
          <w:spacing w:val="-1"/>
          <w:sz w:val="16"/>
        </w:rPr>
        <w:t xml:space="preserve"> </w:t>
      </w:r>
      <w:r>
        <w:rPr>
          <w:sz w:val="16"/>
        </w:rPr>
        <w:t>positron</w:t>
      </w:r>
      <w:r>
        <w:rPr>
          <w:spacing w:val="-1"/>
          <w:sz w:val="16"/>
        </w:rPr>
        <w:t xml:space="preserve"> </w:t>
      </w:r>
      <w:r>
        <w:rPr>
          <w:sz w:val="16"/>
        </w:rPr>
        <w:t>emission</w:t>
      </w:r>
      <w:r>
        <w:rPr>
          <w:spacing w:val="-3"/>
          <w:sz w:val="16"/>
        </w:rPr>
        <w:t xml:space="preserve"> </w:t>
      </w:r>
      <w:r>
        <w:rPr>
          <w:sz w:val="16"/>
        </w:rPr>
        <w:t>tomography.</w:t>
      </w:r>
      <w:r>
        <w:rPr>
          <w:spacing w:val="-1"/>
          <w:sz w:val="16"/>
        </w:rPr>
        <w:t xml:space="preserve"> </w:t>
      </w:r>
      <w:r>
        <w:rPr>
          <w:sz w:val="16"/>
        </w:rPr>
        <w:t>Dis.</w:t>
      </w:r>
      <w:r>
        <w:rPr>
          <w:spacing w:val="-4"/>
          <w:sz w:val="16"/>
        </w:rPr>
        <w:t xml:space="preserve"> </w:t>
      </w:r>
      <w:r>
        <w:rPr>
          <w:sz w:val="16"/>
        </w:rPr>
        <w:t>Esophagus2010.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4"/>
          <w:sz w:val="16"/>
        </w:rPr>
        <w:t xml:space="preserve"> </w:t>
      </w:r>
      <w:r>
        <w:rPr>
          <w:sz w:val="16"/>
        </w:rPr>
        <w:t>216-31.</w:t>
      </w:r>
    </w:p>
    <w:sectPr w:rsidR="00925371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5FD"/>
    <w:multiLevelType w:val="hybridMultilevel"/>
    <w:tmpl w:val="7AD6D8E2"/>
    <w:lvl w:ilvl="0" w:tplc="FA1C8D72">
      <w:numFmt w:val="bullet"/>
      <w:lvlText w:val="-"/>
      <w:lvlJc w:val="left"/>
      <w:pPr>
        <w:ind w:left="206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D63C57D4">
      <w:numFmt w:val="bullet"/>
      <w:lvlText w:val="•"/>
      <w:lvlJc w:val="left"/>
      <w:pPr>
        <w:ind w:left="1166" w:hanging="94"/>
      </w:pPr>
      <w:rPr>
        <w:rFonts w:hint="default"/>
        <w:lang w:val="pt-BR" w:eastAsia="pt-BR" w:bidi="pt-BR"/>
      </w:rPr>
    </w:lvl>
    <w:lvl w:ilvl="2" w:tplc="B57AB058">
      <w:numFmt w:val="bullet"/>
      <w:lvlText w:val="•"/>
      <w:lvlJc w:val="left"/>
      <w:pPr>
        <w:ind w:left="2133" w:hanging="94"/>
      </w:pPr>
      <w:rPr>
        <w:rFonts w:hint="default"/>
        <w:lang w:val="pt-BR" w:eastAsia="pt-BR" w:bidi="pt-BR"/>
      </w:rPr>
    </w:lvl>
    <w:lvl w:ilvl="3" w:tplc="C39026C6">
      <w:numFmt w:val="bullet"/>
      <w:lvlText w:val="•"/>
      <w:lvlJc w:val="left"/>
      <w:pPr>
        <w:ind w:left="3099" w:hanging="94"/>
      </w:pPr>
      <w:rPr>
        <w:rFonts w:hint="default"/>
        <w:lang w:val="pt-BR" w:eastAsia="pt-BR" w:bidi="pt-BR"/>
      </w:rPr>
    </w:lvl>
    <w:lvl w:ilvl="4" w:tplc="FFB0CF14">
      <w:numFmt w:val="bullet"/>
      <w:lvlText w:val="•"/>
      <w:lvlJc w:val="left"/>
      <w:pPr>
        <w:ind w:left="4066" w:hanging="94"/>
      </w:pPr>
      <w:rPr>
        <w:rFonts w:hint="default"/>
        <w:lang w:val="pt-BR" w:eastAsia="pt-BR" w:bidi="pt-BR"/>
      </w:rPr>
    </w:lvl>
    <w:lvl w:ilvl="5" w:tplc="B444077C">
      <w:numFmt w:val="bullet"/>
      <w:lvlText w:val="•"/>
      <w:lvlJc w:val="left"/>
      <w:pPr>
        <w:ind w:left="5033" w:hanging="94"/>
      </w:pPr>
      <w:rPr>
        <w:rFonts w:hint="default"/>
        <w:lang w:val="pt-BR" w:eastAsia="pt-BR" w:bidi="pt-BR"/>
      </w:rPr>
    </w:lvl>
    <w:lvl w:ilvl="6" w:tplc="8C1A2EAA">
      <w:numFmt w:val="bullet"/>
      <w:lvlText w:val="•"/>
      <w:lvlJc w:val="left"/>
      <w:pPr>
        <w:ind w:left="5999" w:hanging="94"/>
      </w:pPr>
      <w:rPr>
        <w:rFonts w:hint="default"/>
        <w:lang w:val="pt-BR" w:eastAsia="pt-BR" w:bidi="pt-BR"/>
      </w:rPr>
    </w:lvl>
    <w:lvl w:ilvl="7" w:tplc="AAD8A646">
      <w:numFmt w:val="bullet"/>
      <w:lvlText w:val="•"/>
      <w:lvlJc w:val="left"/>
      <w:pPr>
        <w:ind w:left="6966" w:hanging="94"/>
      </w:pPr>
      <w:rPr>
        <w:rFonts w:hint="default"/>
        <w:lang w:val="pt-BR" w:eastAsia="pt-BR" w:bidi="pt-BR"/>
      </w:rPr>
    </w:lvl>
    <w:lvl w:ilvl="8" w:tplc="63D2C5CE">
      <w:numFmt w:val="bullet"/>
      <w:lvlText w:val="•"/>
      <w:lvlJc w:val="left"/>
      <w:pPr>
        <w:ind w:left="7933" w:hanging="94"/>
      </w:pPr>
      <w:rPr>
        <w:rFonts w:hint="default"/>
        <w:lang w:val="pt-BR" w:eastAsia="pt-BR" w:bidi="pt-BR"/>
      </w:rPr>
    </w:lvl>
  </w:abstractNum>
  <w:abstractNum w:abstractNumId="1">
    <w:nsid w:val="058737F8"/>
    <w:multiLevelType w:val="hybridMultilevel"/>
    <w:tmpl w:val="A6EE9D52"/>
    <w:lvl w:ilvl="0" w:tplc="D390D11A">
      <w:start w:val="1"/>
      <w:numFmt w:val="decimal"/>
      <w:lvlText w:val="%1."/>
      <w:lvlJc w:val="left"/>
      <w:pPr>
        <w:ind w:left="112" w:hanging="1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 w:tplc="907C6CCA">
      <w:numFmt w:val="bullet"/>
      <w:lvlText w:val="•"/>
      <w:lvlJc w:val="left"/>
      <w:pPr>
        <w:ind w:left="1094" w:hanging="164"/>
      </w:pPr>
      <w:rPr>
        <w:rFonts w:hint="default"/>
        <w:lang w:val="pt-BR" w:eastAsia="pt-BR" w:bidi="pt-BR"/>
      </w:rPr>
    </w:lvl>
    <w:lvl w:ilvl="2" w:tplc="E4309810">
      <w:numFmt w:val="bullet"/>
      <w:lvlText w:val="•"/>
      <w:lvlJc w:val="left"/>
      <w:pPr>
        <w:ind w:left="2069" w:hanging="164"/>
      </w:pPr>
      <w:rPr>
        <w:rFonts w:hint="default"/>
        <w:lang w:val="pt-BR" w:eastAsia="pt-BR" w:bidi="pt-BR"/>
      </w:rPr>
    </w:lvl>
    <w:lvl w:ilvl="3" w:tplc="34AC04F2">
      <w:numFmt w:val="bullet"/>
      <w:lvlText w:val="•"/>
      <w:lvlJc w:val="left"/>
      <w:pPr>
        <w:ind w:left="3043" w:hanging="164"/>
      </w:pPr>
      <w:rPr>
        <w:rFonts w:hint="default"/>
        <w:lang w:val="pt-BR" w:eastAsia="pt-BR" w:bidi="pt-BR"/>
      </w:rPr>
    </w:lvl>
    <w:lvl w:ilvl="4" w:tplc="2EAE25BE">
      <w:numFmt w:val="bullet"/>
      <w:lvlText w:val="•"/>
      <w:lvlJc w:val="left"/>
      <w:pPr>
        <w:ind w:left="4018" w:hanging="164"/>
      </w:pPr>
      <w:rPr>
        <w:rFonts w:hint="default"/>
        <w:lang w:val="pt-BR" w:eastAsia="pt-BR" w:bidi="pt-BR"/>
      </w:rPr>
    </w:lvl>
    <w:lvl w:ilvl="5" w:tplc="67DCD5DA">
      <w:numFmt w:val="bullet"/>
      <w:lvlText w:val="•"/>
      <w:lvlJc w:val="left"/>
      <w:pPr>
        <w:ind w:left="4993" w:hanging="164"/>
      </w:pPr>
      <w:rPr>
        <w:rFonts w:hint="default"/>
        <w:lang w:val="pt-BR" w:eastAsia="pt-BR" w:bidi="pt-BR"/>
      </w:rPr>
    </w:lvl>
    <w:lvl w:ilvl="6" w:tplc="CAE0AB30">
      <w:numFmt w:val="bullet"/>
      <w:lvlText w:val="•"/>
      <w:lvlJc w:val="left"/>
      <w:pPr>
        <w:ind w:left="5967" w:hanging="164"/>
      </w:pPr>
      <w:rPr>
        <w:rFonts w:hint="default"/>
        <w:lang w:val="pt-BR" w:eastAsia="pt-BR" w:bidi="pt-BR"/>
      </w:rPr>
    </w:lvl>
    <w:lvl w:ilvl="7" w:tplc="E41CA096">
      <w:numFmt w:val="bullet"/>
      <w:lvlText w:val="•"/>
      <w:lvlJc w:val="left"/>
      <w:pPr>
        <w:ind w:left="6942" w:hanging="164"/>
      </w:pPr>
      <w:rPr>
        <w:rFonts w:hint="default"/>
        <w:lang w:val="pt-BR" w:eastAsia="pt-BR" w:bidi="pt-BR"/>
      </w:rPr>
    </w:lvl>
    <w:lvl w:ilvl="8" w:tplc="2F5C5B84">
      <w:numFmt w:val="bullet"/>
      <w:lvlText w:val="•"/>
      <w:lvlJc w:val="left"/>
      <w:pPr>
        <w:ind w:left="7917" w:hanging="164"/>
      </w:pPr>
      <w:rPr>
        <w:rFonts w:hint="default"/>
        <w:lang w:val="pt-BR" w:eastAsia="pt-BR" w:bidi="pt-BR"/>
      </w:rPr>
    </w:lvl>
  </w:abstractNum>
  <w:abstractNum w:abstractNumId="2">
    <w:nsid w:val="15C84143"/>
    <w:multiLevelType w:val="multilevel"/>
    <w:tmpl w:val="28C09764"/>
    <w:lvl w:ilvl="0">
      <w:start w:val="6"/>
      <w:numFmt w:val="decimal"/>
      <w:lvlText w:val="%1"/>
      <w:lvlJc w:val="left"/>
      <w:pPr>
        <w:ind w:left="235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55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400" w:hanging="2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583" w:hanging="2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66" w:hanging="2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49" w:hanging="2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33" w:hanging="2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6" w:hanging="2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9" w:hanging="243"/>
      </w:pPr>
      <w:rPr>
        <w:rFonts w:hint="default"/>
        <w:lang w:val="pt-BR" w:eastAsia="pt-BR" w:bidi="pt-BR"/>
      </w:rPr>
    </w:lvl>
  </w:abstractNum>
  <w:abstractNum w:abstractNumId="3">
    <w:nsid w:val="5C852D64"/>
    <w:multiLevelType w:val="multilevel"/>
    <w:tmpl w:val="618ED7EC"/>
    <w:lvl w:ilvl="0">
      <w:start w:val="4"/>
      <w:numFmt w:val="decimal"/>
      <w:lvlText w:val="%1"/>
      <w:lvlJc w:val="left"/>
      <w:pPr>
        <w:ind w:left="355" w:hanging="243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355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261" w:hanging="2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1" w:hanging="2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13" w:hanging="2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3" w:hanging="2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4" w:hanging="2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65" w:hanging="243"/>
      </w:pPr>
      <w:rPr>
        <w:rFonts w:hint="default"/>
        <w:lang w:val="pt-BR" w:eastAsia="pt-BR" w:bidi="pt-BR"/>
      </w:rPr>
    </w:lvl>
  </w:abstractNum>
  <w:abstractNum w:abstractNumId="4">
    <w:nsid w:val="74F94180"/>
    <w:multiLevelType w:val="hybridMultilevel"/>
    <w:tmpl w:val="1F86BB84"/>
    <w:lvl w:ilvl="0" w:tplc="5358D6BA">
      <w:start w:val="1"/>
      <w:numFmt w:val="decimal"/>
      <w:lvlText w:val="%1."/>
      <w:lvlJc w:val="left"/>
      <w:pPr>
        <w:ind w:left="274" w:hanging="16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338043B0">
      <w:numFmt w:val="bullet"/>
      <w:lvlText w:val="•"/>
      <w:lvlJc w:val="left"/>
      <w:pPr>
        <w:ind w:left="360" w:hanging="162"/>
      </w:pPr>
      <w:rPr>
        <w:rFonts w:hint="default"/>
        <w:lang w:val="pt-BR" w:eastAsia="pt-BR" w:bidi="pt-BR"/>
      </w:rPr>
    </w:lvl>
    <w:lvl w:ilvl="2" w:tplc="3F5AEF16">
      <w:numFmt w:val="bullet"/>
      <w:lvlText w:val="•"/>
      <w:lvlJc w:val="left"/>
      <w:pPr>
        <w:ind w:left="1416" w:hanging="162"/>
      </w:pPr>
      <w:rPr>
        <w:rFonts w:hint="default"/>
        <w:lang w:val="pt-BR" w:eastAsia="pt-BR" w:bidi="pt-BR"/>
      </w:rPr>
    </w:lvl>
    <w:lvl w:ilvl="3" w:tplc="ACBE771E">
      <w:numFmt w:val="bullet"/>
      <w:lvlText w:val="•"/>
      <w:lvlJc w:val="left"/>
      <w:pPr>
        <w:ind w:left="2472" w:hanging="162"/>
      </w:pPr>
      <w:rPr>
        <w:rFonts w:hint="default"/>
        <w:lang w:val="pt-BR" w:eastAsia="pt-BR" w:bidi="pt-BR"/>
      </w:rPr>
    </w:lvl>
    <w:lvl w:ilvl="4" w:tplc="568E0C30">
      <w:numFmt w:val="bullet"/>
      <w:lvlText w:val="•"/>
      <w:lvlJc w:val="left"/>
      <w:pPr>
        <w:ind w:left="3528" w:hanging="162"/>
      </w:pPr>
      <w:rPr>
        <w:rFonts w:hint="default"/>
        <w:lang w:val="pt-BR" w:eastAsia="pt-BR" w:bidi="pt-BR"/>
      </w:rPr>
    </w:lvl>
    <w:lvl w:ilvl="5" w:tplc="FFDC5EF4">
      <w:numFmt w:val="bullet"/>
      <w:lvlText w:val="•"/>
      <w:lvlJc w:val="left"/>
      <w:pPr>
        <w:ind w:left="4585" w:hanging="162"/>
      </w:pPr>
      <w:rPr>
        <w:rFonts w:hint="default"/>
        <w:lang w:val="pt-BR" w:eastAsia="pt-BR" w:bidi="pt-BR"/>
      </w:rPr>
    </w:lvl>
    <w:lvl w:ilvl="6" w:tplc="30A6CDA4">
      <w:numFmt w:val="bullet"/>
      <w:lvlText w:val="•"/>
      <w:lvlJc w:val="left"/>
      <w:pPr>
        <w:ind w:left="5641" w:hanging="162"/>
      </w:pPr>
      <w:rPr>
        <w:rFonts w:hint="default"/>
        <w:lang w:val="pt-BR" w:eastAsia="pt-BR" w:bidi="pt-BR"/>
      </w:rPr>
    </w:lvl>
    <w:lvl w:ilvl="7" w:tplc="9B98A1A6">
      <w:numFmt w:val="bullet"/>
      <w:lvlText w:val="•"/>
      <w:lvlJc w:val="left"/>
      <w:pPr>
        <w:ind w:left="6697" w:hanging="162"/>
      </w:pPr>
      <w:rPr>
        <w:rFonts w:hint="default"/>
        <w:lang w:val="pt-BR" w:eastAsia="pt-BR" w:bidi="pt-BR"/>
      </w:rPr>
    </w:lvl>
    <w:lvl w:ilvl="8" w:tplc="FE1402F2">
      <w:numFmt w:val="bullet"/>
      <w:lvlText w:val="•"/>
      <w:lvlJc w:val="left"/>
      <w:pPr>
        <w:ind w:left="7753" w:hanging="16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5371"/>
    <w:rsid w:val="00610ABB"/>
    <w:rsid w:val="009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19" w:lineRule="exact"/>
      <w:ind w:left="147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0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ABB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ocan.iar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tap.datasus.gov.br/tabela-unificada/app/sec/inicio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cn.org/professionals/physician_gls/pdf/esophage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5847</Words>
  <Characters>31580</Characters>
  <Application>Microsoft Office Word</Application>
  <DocSecurity>0</DocSecurity>
  <Lines>263</Lines>
  <Paragraphs>74</Paragraphs>
  <ScaleCrop>false</ScaleCrop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DAS BUSCAS</dc:title>
  <dc:creator>ppicon</dc:creator>
  <cp:lastModifiedBy>VANESSA ALVES DE OLIVEIRA</cp:lastModifiedBy>
  <cp:revision>2</cp:revision>
  <dcterms:created xsi:type="dcterms:W3CDTF">2019-07-19T13:21:00Z</dcterms:created>
  <dcterms:modified xsi:type="dcterms:W3CDTF">2019-07-19T13:22:00Z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