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93" w:rsidRDefault="000C2793" w:rsidP="000C2793">
      <w:pPr>
        <w:pStyle w:val="Corpodetexto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6238018B" wp14:editId="19A01408">
            <wp:extent cx="4691269" cy="461176"/>
            <wp:effectExtent l="0" t="0" r="0" b="0"/>
            <wp:docPr id="17" name="Imagem 17" descr="papel timbra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l timbrad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77" cy="46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75A" w:rsidRDefault="000C2793">
      <w:pPr>
        <w:pStyle w:val="Corpodetexto"/>
        <w:spacing w:before="76"/>
        <w:ind w:left="3920" w:right="3374" w:firstLine="0"/>
        <w:jc w:val="center"/>
      </w:pPr>
      <w:bookmarkStart w:id="0" w:name="_GoBack"/>
      <w:bookmarkEnd w:id="0"/>
      <w:r>
        <w:t>ANEXO</w:t>
      </w:r>
    </w:p>
    <w:p w:rsidR="008C175A" w:rsidRDefault="008C175A">
      <w:pPr>
        <w:pStyle w:val="Corpodetexto"/>
        <w:spacing w:before="10"/>
        <w:ind w:left="0" w:firstLine="0"/>
        <w:rPr>
          <w:sz w:val="15"/>
        </w:rPr>
      </w:pPr>
    </w:p>
    <w:p w:rsidR="008C175A" w:rsidRDefault="000C2793">
      <w:pPr>
        <w:pStyle w:val="Corpodetexto"/>
        <w:spacing w:before="1"/>
        <w:ind w:left="3633" w:right="3090" w:firstLine="0"/>
        <w:jc w:val="center"/>
      </w:pPr>
      <w:proofErr w:type="gramStart"/>
      <w:r>
        <w:t>PROTOCOLO CLÍNICO E DIRETRIZES TERAPÊUTICAS</w:t>
      </w:r>
      <w:proofErr w:type="gramEnd"/>
      <w:r>
        <w:t xml:space="preserve"> ARTRITE REATIVA - DOENÇADE REITER</w:t>
      </w:r>
    </w:p>
    <w:p w:rsidR="008C175A" w:rsidRDefault="008C175A">
      <w:pPr>
        <w:pStyle w:val="Corpodetexto"/>
        <w:ind w:left="0" w:firstLine="0"/>
        <w:rPr>
          <w:sz w:val="18"/>
        </w:rPr>
      </w:pPr>
    </w:p>
    <w:p w:rsidR="008C175A" w:rsidRDefault="008C175A">
      <w:pPr>
        <w:pStyle w:val="Corpodetexto"/>
        <w:spacing w:before="3"/>
        <w:ind w:left="0" w:firstLine="0"/>
        <w:rPr>
          <w:sz w:val="14"/>
        </w:rPr>
      </w:pPr>
    </w:p>
    <w:p w:rsidR="008C175A" w:rsidRDefault="000C2793">
      <w:pPr>
        <w:pStyle w:val="Ttulo1"/>
        <w:numPr>
          <w:ilvl w:val="0"/>
          <w:numId w:val="4"/>
        </w:numPr>
        <w:tabs>
          <w:tab w:val="left" w:pos="831"/>
        </w:tabs>
      </w:pPr>
      <w:r>
        <w:t>METODOLOGIA DE BUSCA E AVALIAÇÃO DA</w:t>
      </w:r>
      <w:r>
        <w:rPr>
          <w:spacing w:val="-11"/>
        </w:rPr>
        <w:t xml:space="preserve"> </w:t>
      </w:r>
      <w:r>
        <w:t>LITERATURA</w:t>
      </w:r>
    </w:p>
    <w:p w:rsidR="008C175A" w:rsidRDefault="000C2793">
      <w:pPr>
        <w:pStyle w:val="Corpodetexto"/>
        <w:spacing w:line="182" w:lineRule="exact"/>
        <w:ind w:left="666" w:firstLine="0"/>
      </w:pPr>
      <w:r>
        <w:t xml:space="preserve">Foram utilizadas as bases de dados </w:t>
      </w:r>
      <w:proofErr w:type="spellStart"/>
      <w:r>
        <w:t>Medline</w:t>
      </w:r>
      <w:proofErr w:type="spellEnd"/>
      <w:r>
        <w:t>/</w:t>
      </w:r>
      <w:proofErr w:type="spellStart"/>
      <w:r>
        <w:t>Pubmed</w:t>
      </w:r>
      <w:proofErr w:type="spellEnd"/>
      <w:r>
        <w:t>, EMBASE e livros-texto de Medicina.</w:t>
      </w:r>
    </w:p>
    <w:p w:rsidR="008C175A" w:rsidRDefault="000C2793">
      <w:pPr>
        <w:pStyle w:val="Corpodetexto"/>
        <w:ind w:right="114"/>
        <w:jc w:val="both"/>
      </w:pPr>
      <w:r>
        <w:t xml:space="preserve">Na base de dados </w:t>
      </w:r>
      <w:proofErr w:type="spellStart"/>
      <w:r>
        <w:t>Medline</w:t>
      </w:r>
      <w:proofErr w:type="spellEnd"/>
      <w:r>
        <w:t>/</w:t>
      </w:r>
      <w:proofErr w:type="spellStart"/>
      <w:r>
        <w:t>Pubmed</w:t>
      </w:r>
      <w:proofErr w:type="spellEnd"/>
      <w:r>
        <w:t xml:space="preserve"> (acesso em 05/01/2010), utilizando-se os termos "</w:t>
      </w:r>
      <w:proofErr w:type="spellStart"/>
      <w:r>
        <w:rPr>
          <w:i/>
        </w:rPr>
        <w:t>Reactive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Arthritis</w:t>
      </w:r>
      <w:proofErr w:type="spellEnd"/>
      <w:proofErr w:type="gramStart"/>
      <w:r>
        <w:t>”[</w:t>
      </w:r>
      <w:proofErr w:type="spellStart"/>
      <w:proofErr w:type="gramEnd"/>
      <w:r>
        <w:t>Mesh</w:t>
      </w:r>
      <w:proofErr w:type="spellEnd"/>
      <w:r>
        <w:t>] AND "</w:t>
      </w:r>
      <w:proofErr w:type="spellStart"/>
      <w:r>
        <w:rPr>
          <w:i/>
        </w:rPr>
        <w:t>Diagnosis</w:t>
      </w:r>
      <w:proofErr w:type="spellEnd"/>
      <w:r>
        <w:t>"[</w:t>
      </w:r>
      <w:proofErr w:type="spellStart"/>
      <w:r>
        <w:t>Mesh</w:t>
      </w:r>
      <w:proofErr w:type="spellEnd"/>
      <w:r>
        <w:t>] restringindo-se para artigos na língua in</w:t>
      </w:r>
      <w:r>
        <w:t>glesa e em humanos, utilizando-se os filtros “</w:t>
      </w:r>
      <w:proofErr w:type="spellStart"/>
      <w:r>
        <w:rPr>
          <w:i/>
        </w:rPr>
        <w:t>Practice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Guideline</w:t>
      </w:r>
      <w:proofErr w:type="spellEnd"/>
      <w:r>
        <w:t>”, “</w:t>
      </w:r>
      <w:proofErr w:type="spellStart"/>
      <w:r>
        <w:t>Review</w:t>
      </w:r>
      <w:proofErr w:type="spellEnd"/>
      <w:r>
        <w:t>”, “</w:t>
      </w:r>
      <w:proofErr w:type="spellStart"/>
      <w:r>
        <w:t>Guideline</w:t>
      </w:r>
      <w:proofErr w:type="spellEnd"/>
      <w:r>
        <w:t>”, obtiveram-se 99 artigos. Usando-se os termos "</w:t>
      </w:r>
      <w:proofErr w:type="spellStart"/>
      <w:r>
        <w:rPr>
          <w:i/>
        </w:rPr>
        <w:t>Reactive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Arthritis</w:t>
      </w:r>
      <w:proofErr w:type="spellEnd"/>
      <w:proofErr w:type="gramStart"/>
      <w:r>
        <w:t>”[</w:t>
      </w:r>
      <w:proofErr w:type="spellStart"/>
      <w:proofErr w:type="gramEnd"/>
      <w:r>
        <w:t>Mesh</w:t>
      </w:r>
      <w:proofErr w:type="spellEnd"/>
      <w:r>
        <w:t>] AND "</w:t>
      </w:r>
      <w:proofErr w:type="spellStart"/>
      <w:r>
        <w:rPr>
          <w:i/>
        </w:rPr>
        <w:t>Therapeutics</w:t>
      </w:r>
      <w:proofErr w:type="spellEnd"/>
      <w:r>
        <w:t>"[</w:t>
      </w:r>
      <w:proofErr w:type="spellStart"/>
      <w:r>
        <w:t>Mesh</w:t>
      </w:r>
      <w:proofErr w:type="spellEnd"/>
      <w:r>
        <w:t>], restringindo-se para artigos na língua inglesa e em humanos, utiliza</w:t>
      </w:r>
      <w:r>
        <w:t>ndo-se os filtros “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Trial</w:t>
      </w:r>
      <w:proofErr w:type="spellEnd"/>
      <w:r>
        <w:t>”, “Meta-</w:t>
      </w:r>
      <w:proofErr w:type="spellStart"/>
      <w:r>
        <w:t>Analysis</w:t>
      </w:r>
      <w:proofErr w:type="spellEnd"/>
      <w:r>
        <w:t>”, “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Guideline</w:t>
      </w:r>
      <w:proofErr w:type="spellEnd"/>
      <w:r>
        <w:t>”, “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Trial</w:t>
      </w:r>
      <w:proofErr w:type="spellEnd"/>
      <w:r>
        <w:t>”, “</w:t>
      </w:r>
      <w:proofErr w:type="spellStart"/>
      <w:r>
        <w:t>Review</w:t>
      </w:r>
      <w:proofErr w:type="spellEnd"/>
      <w:r>
        <w:t>”, “</w:t>
      </w:r>
      <w:proofErr w:type="spellStart"/>
      <w:r>
        <w:t>Guideline</w:t>
      </w:r>
      <w:proofErr w:type="spellEnd"/>
      <w:r>
        <w:t>” e “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Trial</w:t>
      </w:r>
      <w:proofErr w:type="spellEnd"/>
      <w:r>
        <w:t>”, obtiveram-se 49 artigos.</w:t>
      </w:r>
    </w:p>
    <w:p w:rsidR="008C175A" w:rsidRDefault="000C2793">
      <w:pPr>
        <w:pStyle w:val="Corpodetexto"/>
        <w:ind w:right="114"/>
        <w:jc w:val="both"/>
      </w:pPr>
      <w:r>
        <w:t>Em busca na base de dados EMBASE foi realizada (acesso em 05/01/2010), u</w:t>
      </w:r>
      <w:r>
        <w:t>tilizando-se os termos ‘</w:t>
      </w:r>
      <w:proofErr w:type="spellStart"/>
      <w:r>
        <w:rPr>
          <w:i/>
        </w:rPr>
        <w:t>reactive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arthritis</w:t>
      </w:r>
      <w:proofErr w:type="spellEnd"/>
      <w:r>
        <w:rPr>
          <w:i/>
        </w:rPr>
        <w:t>’</w:t>
      </w:r>
      <w:r>
        <w:t>/</w:t>
      </w:r>
      <w:proofErr w:type="spellStart"/>
      <w:r>
        <w:t>exp</w:t>
      </w:r>
      <w:proofErr w:type="spellEnd"/>
      <w:r>
        <w:t xml:space="preserve"> AND '</w:t>
      </w:r>
      <w:proofErr w:type="spellStart"/>
      <w:r>
        <w:rPr>
          <w:i/>
        </w:rPr>
        <w:t>diagnosis</w:t>
      </w:r>
      <w:proofErr w:type="spellEnd"/>
      <w:r>
        <w:t>'/</w:t>
      </w:r>
      <w:proofErr w:type="spellStart"/>
      <w:r>
        <w:t>exp</w:t>
      </w:r>
      <w:proofErr w:type="spellEnd"/>
      <w:r>
        <w:t xml:space="preserve"> restringindo-se para artigos na língua inglesa e em humanos, utilizando-se os filtros '</w:t>
      </w:r>
      <w:proofErr w:type="spellStart"/>
      <w:r>
        <w:t>review</w:t>
      </w:r>
      <w:proofErr w:type="spellEnd"/>
      <w:r>
        <w:t>'/it, foram obtidos 114 artigos. Usando-se os termos ‘</w:t>
      </w:r>
      <w:proofErr w:type="spellStart"/>
      <w:r>
        <w:rPr>
          <w:i/>
        </w:rPr>
        <w:t>reactive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arthritis</w:t>
      </w:r>
      <w:proofErr w:type="spellEnd"/>
      <w:r>
        <w:rPr>
          <w:i/>
        </w:rPr>
        <w:t>’</w:t>
      </w:r>
      <w:r>
        <w:t>/</w:t>
      </w:r>
      <w:proofErr w:type="spellStart"/>
      <w:r>
        <w:t>exp</w:t>
      </w:r>
      <w:proofErr w:type="spellEnd"/>
      <w:r>
        <w:t xml:space="preserve"> AND ‘</w:t>
      </w:r>
      <w:proofErr w:type="spellStart"/>
      <w:r>
        <w:rPr>
          <w:i/>
        </w:rPr>
        <w:t>therapy</w:t>
      </w:r>
      <w:proofErr w:type="spellEnd"/>
      <w:r>
        <w:t>’/</w:t>
      </w:r>
      <w:proofErr w:type="spellStart"/>
      <w:r>
        <w:t>exp</w:t>
      </w:r>
      <w:proofErr w:type="spellEnd"/>
      <w:r>
        <w:t>, restringindo-se para artigos na língua inglesa e em humanos, utilizando-se os filtros [</w:t>
      </w:r>
      <w:proofErr w:type="spellStart"/>
      <w:r>
        <w:t>cochrane</w:t>
      </w:r>
      <w:proofErr w:type="spellEnd"/>
      <w:r>
        <w:t xml:space="preserve"> </w:t>
      </w:r>
      <w:proofErr w:type="spellStart"/>
      <w:r>
        <w:t>review</w:t>
      </w:r>
      <w:proofErr w:type="spellEnd"/>
      <w:proofErr w:type="gramStart"/>
      <w:r>
        <w:t>]</w:t>
      </w:r>
      <w:proofErr w:type="gramEnd"/>
      <w:r>
        <w:t>/</w:t>
      </w:r>
      <w:proofErr w:type="spellStart"/>
      <w:r>
        <w:t>lim</w:t>
      </w:r>
      <w:proofErr w:type="spellEnd"/>
      <w:r>
        <w:t xml:space="preserve"> OR [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trial</w:t>
      </w:r>
      <w:proofErr w:type="spellEnd"/>
      <w:r>
        <w:t>]/</w:t>
      </w:r>
      <w:proofErr w:type="spellStart"/>
      <w:r>
        <w:t>lim</w:t>
      </w:r>
      <w:proofErr w:type="spellEnd"/>
      <w:r>
        <w:t xml:space="preserve"> OR [meta </w:t>
      </w:r>
      <w:proofErr w:type="spellStart"/>
      <w:r>
        <w:t>analysis</w:t>
      </w:r>
      <w:proofErr w:type="spellEnd"/>
      <w:r>
        <w:t>]/</w:t>
      </w:r>
      <w:proofErr w:type="spellStart"/>
      <w:r>
        <w:t>lim</w:t>
      </w:r>
      <w:proofErr w:type="spellEnd"/>
      <w:r>
        <w:t xml:space="preserve"> OR [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trial</w:t>
      </w:r>
      <w:proofErr w:type="spellEnd"/>
      <w:r>
        <w:t>]/</w:t>
      </w:r>
      <w:proofErr w:type="spellStart"/>
      <w:r>
        <w:t>lim</w:t>
      </w:r>
      <w:proofErr w:type="spellEnd"/>
      <w:r>
        <w:t xml:space="preserve"> OR [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>]/</w:t>
      </w:r>
      <w:proofErr w:type="spellStart"/>
      <w:r>
        <w:t>lim</w:t>
      </w:r>
      <w:proofErr w:type="spellEnd"/>
      <w:r>
        <w:t>, obtiveram-se 30 artigos</w:t>
      </w:r>
      <w:r>
        <w:t>.</w:t>
      </w:r>
    </w:p>
    <w:p w:rsidR="008C175A" w:rsidRDefault="000C2793">
      <w:pPr>
        <w:pStyle w:val="Corpodetexto"/>
        <w:spacing w:before="1"/>
        <w:ind w:right="116"/>
        <w:jc w:val="both"/>
      </w:pPr>
      <w:r>
        <w:t>Estudos identificados como revisões, consensos ou estudos clínicos sobre o tema foram selecionados para a leitura na íntegra e utilizados para a elaboração deste</w:t>
      </w:r>
      <w:r>
        <w:rPr>
          <w:spacing w:val="-3"/>
        </w:rPr>
        <w:t xml:space="preserve"> </w:t>
      </w:r>
      <w:r>
        <w:t>Protocolo.</w:t>
      </w:r>
    </w:p>
    <w:p w:rsidR="008C175A" w:rsidRDefault="000C2793">
      <w:pPr>
        <w:pStyle w:val="Corpodetexto"/>
        <w:spacing w:line="183" w:lineRule="exact"/>
        <w:ind w:left="666" w:firstLine="0"/>
      </w:pPr>
      <w:r>
        <w:t xml:space="preserve">A busca em livros-textos baseou-se no livro </w:t>
      </w:r>
      <w:proofErr w:type="spellStart"/>
      <w:proofErr w:type="gramStart"/>
      <w:r>
        <w:t>UpToDate</w:t>
      </w:r>
      <w:proofErr w:type="spellEnd"/>
      <w:proofErr w:type="gramEnd"/>
      <w:r>
        <w:t xml:space="preserve">, versão 17.2, disponível no site </w:t>
      </w:r>
      <w:hyperlink r:id="rId7">
        <w:r>
          <w:t xml:space="preserve">www.uptodateonline.com, </w:t>
        </w:r>
      </w:hyperlink>
      <w:r>
        <w:t>consultado no dia 25/11/2009.</w:t>
      </w:r>
    </w:p>
    <w:p w:rsidR="008C175A" w:rsidRDefault="000C2793">
      <w:pPr>
        <w:pStyle w:val="Corpodetexto"/>
        <w:spacing w:before="1"/>
        <w:ind w:right="116"/>
        <w:jc w:val="both"/>
      </w:pPr>
      <w:r>
        <w:t>A fim da atualização do presente Protocolo, em 5/09/2014 foi reali</w:t>
      </w:r>
      <w:r>
        <w:t xml:space="preserve">zada nova busca na literatura. Como fontes de busca, foram consultadas as bases de dados MEDLINE (via </w:t>
      </w:r>
      <w:proofErr w:type="spellStart"/>
      <w:proofErr w:type="gramStart"/>
      <w:r>
        <w:t>PubMed</w:t>
      </w:r>
      <w:proofErr w:type="spellEnd"/>
      <w:proofErr w:type="gramEnd"/>
      <w:r>
        <w:t xml:space="preserve">), EMBASE, Biblioteca Cochrane, além da publicação eletrônica </w:t>
      </w:r>
      <w:proofErr w:type="spellStart"/>
      <w:r>
        <w:t>UpToDate</w:t>
      </w:r>
      <w:proofErr w:type="spellEnd"/>
      <w:r>
        <w:t xml:space="preserve"> e livros-textos de medicina.</w:t>
      </w:r>
    </w:p>
    <w:p w:rsidR="008C175A" w:rsidRDefault="000C2793">
      <w:pPr>
        <w:pStyle w:val="Corpodetexto"/>
        <w:ind w:right="114"/>
        <w:jc w:val="both"/>
      </w:pPr>
      <w:r w:rsidRPr="000C2793">
        <w:rPr>
          <w:lang w:val="en-US"/>
        </w:rPr>
        <w:t xml:space="preserve">Na base MEDLINE/PubMed </w:t>
      </w:r>
      <w:proofErr w:type="spellStart"/>
      <w:r w:rsidRPr="000C2793">
        <w:rPr>
          <w:lang w:val="en-US"/>
        </w:rPr>
        <w:t>foi</w:t>
      </w:r>
      <w:proofErr w:type="spellEnd"/>
      <w:r w:rsidRPr="000C2793">
        <w:rPr>
          <w:lang w:val="en-US"/>
        </w:rPr>
        <w:t xml:space="preserve"> </w:t>
      </w:r>
      <w:proofErr w:type="spellStart"/>
      <w:r w:rsidRPr="000C2793">
        <w:rPr>
          <w:lang w:val="en-US"/>
        </w:rPr>
        <w:t>utilizada</w:t>
      </w:r>
      <w:proofErr w:type="spellEnd"/>
      <w:r w:rsidRPr="000C2793">
        <w:rPr>
          <w:lang w:val="en-US"/>
        </w:rPr>
        <w:t xml:space="preserve"> a </w:t>
      </w:r>
      <w:proofErr w:type="spellStart"/>
      <w:r w:rsidRPr="000C2793">
        <w:rPr>
          <w:lang w:val="en-US"/>
        </w:rPr>
        <w:t>seguinte</w:t>
      </w:r>
      <w:proofErr w:type="spellEnd"/>
      <w:r w:rsidRPr="000C2793">
        <w:rPr>
          <w:lang w:val="en-US"/>
        </w:rPr>
        <w:t xml:space="preserve"> </w:t>
      </w:r>
      <w:proofErr w:type="spellStart"/>
      <w:r w:rsidRPr="000C2793">
        <w:rPr>
          <w:lang w:val="en-US"/>
        </w:rPr>
        <w:t>estratégia</w:t>
      </w:r>
      <w:proofErr w:type="spellEnd"/>
      <w:r w:rsidRPr="000C2793">
        <w:rPr>
          <w:lang w:val="en-US"/>
        </w:rPr>
        <w:t xml:space="preserve">: "Arthritis, Reactive"[Mesh] filters: clinical trial, controlled clinical trial, randomized controlled trial, systematic review, review, meta-analysis, guideline, practice guideline, from 2010/01/01, humans, English, Portuguese, Spanish”. </w:t>
      </w:r>
      <w:r>
        <w:t>Essa b</w:t>
      </w:r>
      <w:r>
        <w:t>usca localizou 38 estudos, dos quais 10 foram selecionados para leitura e cinco foram incluídos no presente Protocolo.</w:t>
      </w:r>
    </w:p>
    <w:p w:rsidR="008C175A" w:rsidRPr="000C2793" w:rsidRDefault="000C2793">
      <w:pPr>
        <w:pStyle w:val="Corpodetexto"/>
        <w:ind w:left="666" w:firstLine="0"/>
        <w:rPr>
          <w:lang w:val="en-US"/>
        </w:rPr>
      </w:pPr>
      <w:r w:rsidRPr="000C2793">
        <w:rPr>
          <w:lang w:val="en-US"/>
        </w:rPr>
        <w:t xml:space="preserve">Na base </w:t>
      </w:r>
      <w:proofErr w:type="spellStart"/>
      <w:r w:rsidRPr="000C2793">
        <w:rPr>
          <w:lang w:val="en-US"/>
        </w:rPr>
        <w:t>Embase</w:t>
      </w:r>
      <w:proofErr w:type="spellEnd"/>
      <w:r w:rsidRPr="000C2793">
        <w:rPr>
          <w:lang w:val="en-US"/>
        </w:rPr>
        <w:t xml:space="preserve">, </w:t>
      </w:r>
      <w:proofErr w:type="spellStart"/>
      <w:r w:rsidRPr="000C2793">
        <w:rPr>
          <w:lang w:val="en-US"/>
        </w:rPr>
        <w:t>utilizando</w:t>
      </w:r>
      <w:proofErr w:type="spellEnd"/>
      <w:r w:rsidRPr="000C2793">
        <w:rPr>
          <w:lang w:val="en-US"/>
        </w:rPr>
        <w:t>-</w:t>
      </w:r>
      <w:proofErr w:type="spellStart"/>
      <w:r w:rsidRPr="000C2793">
        <w:rPr>
          <w:lang w:val="en-US"/>
        </w:rPr>
        <w:t>se a</w:t>
      </w:r>
      <w:proofErr w:type="spellEnd"/>
      <w:r w:rsidRPr="000C2793">
        <w:rPr>
          <w:lang w:val="en-US"/>
        </w:rPr>
        <w:t xml:space="preserve"> </w:t>
      </w:r>
      <w:proofErr w:type="spellStart"/>
      <w:r w:rsidRPr="000C2793">
        <w:rPr>
          <w:lang w:val="en-US"/>
        </w:rPr>
        <w:t>estratégia</w:t>
      </w:r>
      <w:proofErr w:type="spellEnd"/>
      <w:r w:rsidRPr="000C2793">
        <w:rPr>
          <w:lang w:val="en-US"/>
        </w:rPr>
        <w:t xml:space="preserve"> “'reactive arthritis'/</w:t>
      </w:r>
      <w:proofErr w:type="spellStart"/>
      <w:r w:rsidRPr="000C2793">
        <w:rPr>
          <w:lang w:val="en-US"/>
        </w:rPr>
        <w:t>exp</w:t>
      </w:r>
      <w:proofErr w:type="spellEnd"/>
      <w:r w:rsidRPr="000C2793">
        <w:rPr>
          <w:lang w:val="en-US"/>
        </w:rPr>
        <w:t xml:space="preserve"> AND ([</w:t>
      </w:r>
      <w:proofErr w:type="spellStart"/>
      <w:r w:rsidRPr="000C2793">
        <w:rPr>
          <w:lang w:val="en-US"/>
        </w:rPr>
        <w:t>cochrane</w:t>
      </w:r>
      <w:proofErr w:type="spellEnd"/>
      <w:r w:rsidRPr="000C2793">
        <w:rPr>
          <w:lang w:val="en-US"/>
        </w:rPr>
        <w:t xml:space="preserve"> review]/</w:t>
      </w:r>
      <w:proofErr w:type="spellStart"/>
      <w:r w:rsidRPr="000C2793">
        <w:rPr>
          <w:lang w:val="en-US"/>
        </w:rPr>
        <w:t>lim</w:t>
      </w:r>
      <w:proofErr w:type="spellEnd"/>
      <w:r w:rsidRPr="000C2793">
        <w:rPr>
          <w:lang w:val="en-US"/>
        </w:rPr>
        <w:t xml:space="preserve"> OR [systematic review]/</w:t>
      </w:r>
      <w:proofErr w:type="spellStart"/>
      <w:r w:rsidRPr="000C2793">
        <w:rPr>
          <w:lang w:val="en-US"/>
        </w:rPr>
        <w:t>lim</w:t>
      </w:r>
      <w:proofErr w:type="spellEnd"/>
      <w:r w:rsidRPr="000C2793">
        <w:rPr>
          <w:lang w:val="en-US"/>
        </w:rPr>
        <w:t xml:space="preserve"> OR [controlled</w:t>
      </w:r>
      <w:r w:rsidRPr="000C2793">
        <w:rPr>
          <w:lang w:val="en-US"/>
        </w:rPr>
        <w:t xml:space="preserve"> clinical trial]</w:t>
      </w:r>
    </w:p>
    <w:p w:rsidR="008C175A" w:rsidRPr="000C2793" w:rsidRDefault="000C2793">
      <w:pPr>
        <w:pStyle w:val="Corpodetexto"/>
        <w:spacing w:before="1"/>
        <w:ind w:firstLine="0"/>
        <w:rPr>
          <w:lang w:val="en-US"/>
        </w:rPr>
      </w:pPr>
      <w:r w:rsidRPr="000C2793">
        <w:rPr>
          <w:lang w:val="en-US"/>
        </w:rPr>
        <w:t>/</w:t>
      </w:r>
      <w:proofErr w:type="spellStart"/>
      <w:r w:rsidRPr="000C2793">
        <w:rPr>
          <w:lang w:val="en-US"/>
        </w:rPr>
        <w:t>lim</w:t>
      </w:r>
      <w:proofErr w:type="spellEnd"/>
      <w:r w:rsidRPr="000C2793">
        <w:rPr>
          <w:lang w:val="en-US"/>
        </w:rPr>
        <w:t xml:space="preserve"> OR [randomized controlled trial]/</w:t>
      </w:r>
      <w:proofErr w:type="spellStart"/>
      <w:r w:rsidRPr="000C2793">
        <w:rPr>
          <w:lang w:val="en-US"/>
        </w:rPr>
        <w:t>lim</w:t>
      </w:r>
      <w:proofErr w:type="spellEnd"/>
      <w:r w:rsidRPr="000C2793">
        <w:rPr>
          <w:lang w:val="en-US"/>
        </w:rPr>
        <w:t xml:space="preserve"> OR [</w:t>
      </w:r>
      <w:proofErr w:type="spellStart"/>
      <w:proofErr w:type="gramStart"/>
      <w:r w:rsidRPr="000C2793">
        <w:rPr>
          <w:lang w:val="en-US"/>
        </w:rPr>
        <w:t>meta</w:t>
      </w:r>
      <w:proofErr w:type="gramEnd"/>
      <w:r w:rsidRPr="000C2793">
        <w:rPr>
          <w:lang w:val="en-US"/>
        </w:rPr>
        <w:t xml:space="preserve"> analysis</w:t>
      </w:r>
      <w:proofErr w:type="spellEnd"/>
      <w:r w:rsidRPr="000C2793">
        <w:rPr>
          <w:lang w:val="en-US"/>
        </w:rPr>
        <w:t>]/lim) AND ([</w:t>
      </w:r>
      <w:proofErr w:type="spellStart"/>
      <w:r w:rsidRPr="000C2793">
        <w:rPr>
          <w:lang w:val="en-US"/>
        </w:rPr>
        <w:t>english</w:t>
      </w:r>
      <w:proofErr w:type="spellEnd"/>
      <w:r w:rsidRPr="000C2793">
        <w:rPr>
          <w:lang w:val="en-US"/>
        </w:rPr>
        <w:t>]/</w:t>
      </w:r>
      <w:proofErr w:type="spellStart"/>
      <w:r w:rsidRPr="000C2793">
        <w:rPr>
          <w:lang w:val="en-US"/>
        </w:rPr>
        <w:t>lim</w:t>
      </w:r>
      <w:proofErr w:type="spellEnd"/>
      <w:r w:rsidRPr="000C2793">
        <w:rPr>
          <w:lang w:val="en-US"/>
        </w:rPr>
        <w:t xml:space="preserve"> OR [</w:t>
      </w:r>
      <w:proofErr w:type="spellStart"/>
      <w:r w:rsidRPr="000C2793">
        <w:rPr>
          <w:lang w:val="en-US"/>
        </w:rPr>
        <w:t>portuguese</w:t>
      </w:r>
      <w:proofErr w:type="spellEnd"/>
      <w:r w:rsidRPr="000C2793">
        <w:rPr>
          <w:lang w:val="en-US"/>
        </w:rPr>
        <w:t>]/</w:t>
      </w:r>
      <w:proofErr w:type="spellStart"/>
      <w:r w:rsidRPr="000C2793">
        <w:rPr>
          <w:lang w:val="en-US"/>
        </w:rPr>
        <w:t>lim</w:t>
      </w:r>
      <w:proofErr w:type="spellEnd"/>
      <w:r w:rsidRPr="000C2793">
        <w:rPr>
          <w:lang w:val="en-US"/>
        </w:rPr>
        <w:t xml:space="preserve"> OR [</w:t>
      </w:r>
      <w:proofErr w:type="spellStart"/>
      <w:r w:rsidRPr="000C2793">
        <w:rPr>
          <w:lang w:val="en-US"/>
        </w:rPr>
        <w:t>spanish</w:t>
      </w:r>
      <w:proofErr w:type="spellEnd"/>
      <w:r w:rsidRPr="000C2793">
        <w:rPr>
          <w:lang w:val="en-US"/>
        </w:rPr>
        <w:t>]/</w:t>
      </w:r>
      <w:proofErr w:type="spellStart"/>
      <w:r w:rsidRPr="000C2793">
        <w:rPr>
          <w:lang w:val="en-US"/>
        </w:rPr>
        <w:t>lim</w:t>
      </w:r>
      <w:proofErr w:type="spellEnd"/>
      <w:r w:rsidRPr="000C2793">
        <w:rPr>
          <w:lang w:val="en-US"/>
        </w:rPr>
        <w:t>) AND [humans]/</w:t>
      </w:r>
      <w:proofErr w:type="spellStart"/>
      <w:r w:rsidRPr="000C2793">
        <w:rPr>
          <w:lang w:val="en-US"/>
        </w:rPr>
        <w:t>lim</w:t>
      </w:r>
      <w:proofErr w:type="spellEnd"/>
      <w:r w:rsidRPr="000C2793">
        <w:rPr>
          <w:lang w:val="en-US"/>
        </w:rPr>
        <w:t xml:space="preserve"> AND [</w:t>
      </w:r>
      <w:proofErr w:type="spellStart"/>
      <w:r w:rsidRPr="000C2793">
        <w:rPr>
          <w:lang w:val="en-US"/>
        </w:rPr>
        <w:t>embase</w:t>
      </w:r>
      <w:proofErr w:type="spellEnd"/>
      <w:r w:rsidRPr="000C2793">
        <w:rPr>
          <w:lang w:val="en-US"/>
        </w:rPr>
        <w:t>]/</w:t>
      </w:r>
      <w:proofErr w:type="spellStart"/>
      <w:r w:rsidRPr="000C2793">
        <w:rPr>
          <w:lang w:val="en-US"/>
        </w:rPr>
        <w:t>lim</w:t>
      </w:r>
      <w:proofErr w:type="spellEnd"/>
      <w:r w:rsidRPr="000C2793">
        <w:rPr>
          <w:lang w:val="en-US"/>
        </w:rPr>
        <w:t xml:space="preserve"> AND [1-1-2010]/</w:t>
      </w:r>
      <w:proofErr w:type="spellStart"/>
      <w:r w:rsidRPr="000C2793">
        <w:rPr>
          <w:lang w:val="en-US"/>
        </w:rPr>
        <w:t>sd</w:t>
      </w:r>
      <w:proofErr w:type="spellEnd"/>
      <w:r w:rsidRPr="000C2793">
        <w:rPr>
          <w:lang w:val="en-US"/>
        </w:rPr>
        <w:t xml:space="preserve">”, </w:t>
      </w:r>
      <w:proofErr w:type="spellStart"/>
      <w:r w:rsidRPr="000C2793">
        <w:rPr>
          <w:lang w:val="en-US"/>
        </w:rPr>
        <w:t>foram</w:t>
      </w:r>
      <w:proofErr w:type="spellEnd"/>
      <w:r w:rsidRPr="000C2793">
        <w:rPr>
          <w:lang w:val="en-US"/>
        </w:rPr>
        <w:t xml:space="preserve"> </w:t>
      </w:r>
      <w:proofErr w:type="spellStart"/>
      <w:r w:rsidRPr="000C2793">
        <w:rPr>
          <w:lang w:val="en-US"/>
        </w:rPr>
        <w:t>localizados</w:t>
      </w:r>
      <w:proofErr w:type="spellEnd"/>
      <w:r w:rsidRPr="000C2793">
        <w:rPr>
          <w:lang w:val="en-US"/>
        </w:rPr>
        <w:t xml:space="preserve"> 18 </w:t>
      </w:r>
      <w:proofErr w:type="spellStart"/>
      <w:r w:rsidRPr="000C2793">
        <w:rPr>
          <w:lang w:val="en-US"/>
        </w:rPr>
        <w:t>estudos</w:t>
      </w:r>
      <w:proofErr w:type="spellEnd"/>
      <w:r w:rsidRPr="000C2793">
        <w:rPr>
          <w:lang w:val="en-US"/>
        </w:rPr>
        <w:t xml:space="preserve">, </w:t>
      </w:r>
      <w:proofErr w:type="spellStart"/>
      <w:r w:rsidRPr="000C2793">
        <w:rPr>
          <w:lang w:val="en-US"/>
        </w:rPr>
        <w:t>sendo</w:t>
      </w:r>
      <w:proofErr w:type="spellEnd"/>
      <w:r w:rsidRPr="000C2793">
        <w:rPr>
          <w:lang w:val="en-US"/>
        </w:rPr>
        <w:t xml:space="preserve"> </w:t>
      </w:r>
      <w:proofErr w:type="spellStart"/>
      <w:r w:rsidRPr="000C2793">
        <w:rPr>
          <w:lang w:val="en-US"/>
        </w:rPr>
        <w:t>quatro</w:t>
      </w:r>
      <w:proofErr w:type="spellEnd"/>
      <w:r w:rsidRPr="000C2793">
        <w:rPr>
          <w:lang w:val="en-US"/>
        </w:rPr>
        <w:t xml:space="preserve"> </w:t>
      </w:r>
      <w:proofErr w:type="spellStart"/>
      <w:r w:rsidRPr="000C2793">
        <w:rPr>
          <w:lang w:val="en-US"/>
        </w:rPr>
        <w:t>selecionados</w:t>
      </w:r>
      <w:proofErr w:type="spellEnd"/>
      <w:r w:rsidRPr="000C2793">
        <w:rPr>
          <w:lang w:val="en-US"/>
        </w:rPr>
        <w:t>.</w:t>
      </w:r>
    </w:p>
    <w:p w:rsidR="008C175A" w:rsidRDefault="000C2793">
      <w:pPr>
        <w:pStyle w:val="Corpodetexto"/>
        <w:ind w:right="114"/>
        <w:jc w:val="both"/>
      </w:pPr>
      <w:r>
        <w:t>Busca</w:t>
      </w:r>
      <w:r>
        <w:t xml:space="preserve"> na biblioteca Cochrane com o termo “</w:t>
      </w:r>
      <w:proofErr w:type="spellStart"/>
      <w:r>
        <w:t>reactive</w:t>
      </w:r>
      <w:proofErr w:type="spellEnd"/>
      <w:r>
        <w:t xml:space="preserve"> </w:t>
      </w:r>
      <w:proofErr w:type="spellStart"/>
      <w:r>
        <w:t>arthritis</w:t>
      </w:r>
      <w:proofErr w:type="spellEnd"/>
      <w:r>
        <w:t>” (</w:t>
      </w:r>
      <w:proofErr w:type="spellStart"/>
      <w:r>
        <w:t>title</w:t>
      </w:r>
      <w:proofErr w:type="spellEnd"/>
      <w:r>
        <w:t xml:space="preserve">, abstract, </w:t>
      </w:r>
      <w:proofErr w:type="spellStart"/>
      <w:r>
        <w:t>keywords</w:t>
      </w:r>
      <w:proofErr w:type="spellEnd"/>
      <w:r>
        <w:t xml:space="preserve">) localizou duas revisões sistemáticas da Cochrane. Nenhum dos estudos foi selecionado. </w:t>
      </w:r>
      <w:r>
        <w:rPr>
          <w:spacing w:val="-2"/>
        </w:rPr>
        <w:t xml:space="preserve">Foi </w:t>
      </w:r>
      <w:r>
        <w:t xml:space="preserve">ainda consultada a última versão do artigo sobre o tema na base </w:t>
      </w:r>
      <w:proofErr w:type="spellStart"/>
      <w:proofErr w:type="gramStart"/>
      <w:r>
        <w:t>UpToDate</w:t>
      </w:r>
      <w:proofErr w:type="spellEnd"/>
      <w:proofErr w:type="gramEnd"/>
      <w:r>
        <w:t xml:space="preserve">® versão </w:t>
      </w:r>
      <w:r>
        <w:t>19.3. Foram excluídos estudos avaliando desfechos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clínicos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incluindo</w:t>
      </w:r>
      <w:r>
        <w:rPr>
          <w:spacing w:val="-2"/>
        </w:rPr>
        <w:t xml:space="preserve"> </w:t>
      </w:r>
      <w:r>
        <w:t>outros tipos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doenças</w:t>
      </w:r>
      <w:r>
        <w:rPr>
          <w:spacing w:val="-3"/>
        </w:rPr>
        <w:t xml:space="preserve"> </w:t>
      </w:r>
      <w:r>
        <w:t>reumáticas.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atualização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busca</w:t>
      </w:r>
      <w:r>
        <w:rPr>
          <w:spacing w:val="-2"/>
        </w:rPr>
        <w:t xml:space="preserve"> </w:t>
      </w:r>
      <w:r>
        <w:t>resultou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inclusão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nove</w:t>
      </w:r>
      <w:r>
        <w:rPr>
          <w:spacing w:val="-2"/>
        </w:rPr>
        <w:t xml:space="preserve"> </w:t>
      </w:r>
      <w:r>
        <w:t>estudos.</w:t>
      </w:r>
    </w:p>
    <w:p w:rsidR="008C175A" w:rsidRDefault="000C2793">
      <w:pPr>
        <w:pStyle w:val="Corpodetexto"/>
        <w:ind w:left="666" w:firstLine="0"/>
      </w:pPr>
      <w:r>
        <w:t>Ao todo, incluem-se 25 referências neste Protocolo.</w:t>
      </w:r>
    </w:p>
    <w:p w:rsidR="008C175A" w:rsidRDefault="008C175A">
      <w:pPr>
        <w:pStyle w:val="Corpodetexto"/>
        <w:ind w:left="0" w:firstLine="0"/>
      </w:pPr>
    </w:p>
    <w:p w:rsidR="008C175A" w:rsidRDefault="000C2793">
      <w:pPr>
        <w:pStyle w:val="Ttulo1"/>
        <w:numPr>
          <w:ilvl w:val="0"/>
          <w:numId w:val="4"/>
        </w:numPr>
        <w:tabs>
          <w:tab w:val="left" w:pos="831"/>
        </w:tabs>
        <w:spacing w:before="1"/>
      </w:pPr>
      <w:r>
        <w:t>INTRODUÇÃO</w:t>
      </w:r>
    </w:p>
    <w:p w:rsidR="008C175A" w:rsidRDefault="000C2793">
      <w:pPr>
        <w:pStyle w:val="Corpodetexto"/>
        <w:ind w:right="114"/>
        <w:jc w:val="both"/>
      </w:pPr>
      <w:proofErr w:type="gramStart"/>
      <w:r>
        <w:t>A AR</w:t>
      </w:r>
      <w:proofErr w:type="gramEnd"/>
      <w:r>
        <w:t xml:space="preserve">, anteriormente </w:t>
      </w:r>
      <w:r>
        <w:t xml:space="preserve">denominada doença de </w:t>
      </w:r>
      <w:proofErr w:type="spellStart"/>
      <w:r>
        <w:t>Reiter</w:t>
      </w:r>
      <w:proofErr w:type="spellEnd"/>
      <w:r>
        <w:t xml:space="preserve">, pertence ao grupo das </w:t>
      </w:r>
      <w:proofErr w:type="spellStart"/>
      <w:r>
        <w:t>espondiloartropatias</w:t>
      </w:r>
      <w:proofErr w:type="spellEnd"/>
      <w:r>
        <w:t xml:space="preserve"> soronegativas, as quais são doenças reumáticas crônicas que afetam articulações periféricas e da coluna, com características clínicas, radiológicas e genéticas semelhantes. As </w:t>
      </w:r>
      <w:proofErr w:type="spellStart"/>
      <w:r>
        <w:t>espondil</w:t>
      </w:r>
      <w:r>
        <w:t>oartropatias</w:t>
      </w:r>
      <w:proofErr w:type="spellEnd"/>
      <w:r>
        <w:t xml:space="preserve"> incluem, além </w:t>
      </w:r>
      <w:proofErr w:type="gramStart"/>
      <w:r>
        <w:t>da AR</w:t>
      </w:r>
      <w:proofErr w:type="gramEnd"/>
      <w:r>
        <w:t xml:space="preserve">, a </w:t>
      </w:r>
      <w:proofErr w:type="spellStart"/>
      <w:r>
        <w:t>espondiliteancilosante</w:t>
      </w:r>
      <w:proofErr w:type="spellEnd"/>
      <w:r>
        <w:t xml:space="preserve">, a artrite </w:t>
      </w:r>
      <w:proofErr w:type="spellStart"/>
      <w:r>
        <w:t>psoríaca</w:t>
      </w:r>
      <w:proofErr w:type="spellEnd"/>
      <w:r>
        <w:t xml:space="preserve">, a </w:t>
      </w:r>
      <w:proofErr w:type="spellStart"/>
      <w:r>
        <w:t>espondiloartropatia</w:t>
      </w:r>
      <w:proofErr w:type="spellEnd"/>
      <w:r>
        <w:t xml:space="preserve"> associada à doença inflamatória intestinal e a </w:t>
      </w:r>
      <w:proofErr w:type="spellStart"/>
      <w:r>
        <w:t>espondiloartropatia</w:t>
      </w:r>
      <w:proofErr w:type="spellEnd"/>
      <w:r>
        <w:t xml:space="preserve"> indiferenciada(1,2).</w:t>
      </w:r>
    </w:p>
    <w:p w:rsidR="008C175A" w:rsidRDefault="000C2793">
      <w:pPr>
        <w:pStyle w:val="Corpodetexto"/>
        <w:ind w:right="112"/>
        <w:jc w:val="both"/>
      </w:pPr>
      <w:r>
        <w:t xml:space="preserve">O termo artrite reativa refere-se a uma artrite que se desenvolve logo após ou durante uma infecção bacteriana, geralmente </w:t>
      </w:r>
      <w:proofErr w:type="spellStart"/>
      <w:r>
        <w:t>genitourinária</w:t>
      </w:r>
      <w:proofErr w:type="spellEnd"/>
      <w:r>
        <w:t xml:space="preserve"> ou gastrointestinal, desencadeada por patógenos que não se consegue isolar nas articulações acometidas. É, pois, uma a</w:t>
      </w:r>
      <w:r>
        <w:t xml:space="preserve">rtrite asséptica que ocorre subsequentemente a uma infecção </w:t>
      </w:r>
      <w:proofErr w:type="spellStart"/>
      <w:proofErr w:type="gramStart"/>
      <w:r>
        <w:t>extra-articular</w:t>
      </w:r>
      <w:proofErr w:type="spellEnd"/>
      <w:r>
        <w:t>(</w:t>
      </w:r>
      <w:proofErr w:type="gramEnd"/>
      <w:r>
        <w:t xml:space="preserve">3,4). </w:t>
      </w:r>
      <w:proofErr w:type="gramStart"/>
      <w:r>
        <w:t>A AR</w:t>
      </w:r>
      <w:proofErr w:type="gramEnd"/>
      <w:r>
        <w:t xml:space="preserve"> é composta da tríade clínica de artrite, uretrite e conjuntivite pós-infecciosas. O acometimento </w:t>
      </w:r>
      <w:proofErr w:type="spellStart"/>
      <w:r>
        <w:t>extra-articular</w:t>
      </w:r>
      <w:proofErr w:type="spellEnd"/>
      <w:r>
        <w:t xml:space="preserve"> pode também cursar com vulvite, </w:t>
      </w:r>
      <w:proofErr w:type="spellStart"/>
      <w:r>
        <w:t>balanite</w:t>
      </w:r>
      <w:proofErr w:type="spellEnd"/>
      <w:r>
        <w:t xml:space="preserve">, lesões </w:t>
      </w:r>
      <w:proofErr w:type="spellStart"/>
      <w:r>
        <w:t>mucocut</w:t>
      </w:r>
      <w:r>
        <w:t>âneas</w:t>
      </w:r>
      <w:proofErr w:type="spellEnd"/>
      <w:r>
        <w:t xml:space="preserve">, </w:t>
      </w:r>
      <w:proofErr w:type="spellStart"/>
      <w:r>
        <w:t>dactilites</w:t>
      </w:r>
      <w:proofErr w:type="spellEnd"/>
      <w:r>
        <w:t xml:space="preserve"> e </w:t>
      </w:r>
      <w:proofErr w:type="spellStart"/>
      <w:r>
        <w:t>entesites</w:t>
      </w:r>
      <w:proofErr w:type="spellEnd"/>
      <w:r>
        <w:rPr>
          <w:spacing w:val="-9"/>
        </w:rPr>
        <w:t xml:space="preserve"> </w:t>
      </w:r>
      <w:proofErr w:type="gramStart"/>
      <w:r>
        <w:t>diversas(</w:t>
      </w:r>
      <w:proofErr w:type="gramEnd"/>
      <w:r>
        <w:t>5-10).</w:t>
      </w:r>
    </w:p>
    <w:p w:rsidR="008C175A" w:rsidRDefault="000C2793">
      <w:pPr>
        <w:pStyle w:val="Corpodetexto"/>
        <w:ind w:right="115"/>
        <w:jc w:val="both"/>
      </w:pPr>
      <w:r>
        <w:t xml:space="preserve">Há uma forte associação das </w:t>
      </w:r>
      <w:proofErr w:type="spellStart"/>
      <w:r>
        <w:t>espondiloartropatias</w:t>
      </w:r>
      <w:proofErr w:type="spellEnd"/>
      <w:r>
        <w:t xml:space="preserve"> com o antígeno leucocitário humano B27 (HLA-B27), que está presente em cerca de 60% dos pacientes com </w:t>
      </w:r>
      <w:proofErr w:type="gramStart"/>
      <w:r>
        <w:t>AR(</w:t>
      </w:r>
      <w:proofErr w:type="gramEnd"/>
      <w:r>
        <w:t>3-8,11-13). O antígeno bacteriano desencadeia a reação i</w:t>
      </w:r>
      <w:r>
        <w:t xml:space="preserve">munológica responsável pela presença da artrite, que se perpetua mesmo após a cura da infecção. A positividade do HLA-B27 é um marcador de risco para artrite, e também de risco para acometimento do esqueleto axial e de maior agressividade da </w:t>
      </w:r>
      <w:proofErr w:type="gramStart"/>
      <w:r>
        <w:t>doença(</w:t>
      </w:r>
      <w:proofErr w:type="gramEnd"/>
      <w:r>
        <w:t>3,5,11)</w:t>
      </w:r>
      <w:r>
        <w:t>.</w:t>
      </w:r>
    </w:p>
    <w:p w:rsidR="008C175A" w:rsidRDefault="000C2793">
      <w:pPr>
        <w:pStyle w:val="Corpodetexto"/>
        <w:ind w:right="121"/>
        <w:jc w:val="both"/>
      </w:pPr>
      <w:proofErr w:type="gramStart"/>
      <w:r>
        <w:t>A AR</w:t>
      </w:r>
      <w:proofErr w:type="gramEnd"/>
      <w:r>
        <w:t xml:space="preserve"> é uma entidade </w:t>
      </w:r>
      <w:proofErr w:type="spellStart"/>
      <w:r>
        <w:t>nosológica</w:t>
      </w:r>
      <w:proofErr w:type="spellEnd"/>
      <w:r>
        <w:t xml:space="preserve"> cujo conceito ainda está em evolução, não havendo critérios diagnósticos ou de classificação definitivos e validados. Um consenso de especialistas reunidos em Berlim em 1999 sugeriu que a identificação de alguns fatores pod</w:t>
      </w:r>
      <w:r>
        <w:t xml:space="preserve">e ser de utilidade no diagnóstico de </w:t>
      </w:r>
      <w:proofErr w:type="gramStart"/>
      <w:r>
        <w:t>AR(</w:t>
      </w:r>
      <w:proofErr w:type="gramEnd"/>
      <w:r>
        <w:t>9):</w:t>
      </w:r>
    </w:p>
    <w:p w:rsidR="008C175A" w:rsidRDefault="000C2793">
      <w:pPr>
        <w:pStyle w:val="PargrafodaLista"/>
        <w:numPr>
          <w:ilvl w:val="0"/>
          <w:numId w:val="3"/>
        </w:numPr>
        <w:tabs>
          <w:tab w:val="left" w:pos="761"/>
        </w:tabs>
        <w:rPr>
          <w:sz w:val="16"/>
        </w:rPr>
      </w:pPr>
      <w:r>
        <w:rPr>
          <w:sz w:val="16"/>
        </w:rPr>
        <w:t>Patógenos</w:t>
      </w:r>
      <w:r>
        <w:rPr>
          <w:spacing w:val="-1"/>
          <w:sz w:val="16"/>
        </w:rPr>
        <w:t xml:space="preserve"> </w:t>
      </w:r>
      <w:r>
        <w:rPr>
          <w:sz w:val="16"/>
        </w:rPr>
        <w:t>causadores:</w:t>
      </w:r>
    </w:p>
    <w:p w:rsidR="008C175A" w:rsidRDefault="000C2793">
      <w:pPr>
        <w:pStyle w:val="PargrafodaLista"/>
        <w:numPr>
          <w:ilvl w:val="0"/>
          <w:numId w:val="3"/>
        </w:numPr>
        <w:tabs>
          <w:tab w:val="left" w:pos="761"/>
        </w:tabs>
        <w:spacing w:line="240" w:lineRule="auto"/>
        <w:rPr>
          <w:i/>
          <w:sz w:val="16"/>
        </w:rPr>
      </w:pPr>
      <w:proofErr w:type="gramStart"/>
      <w:r>
        <w:rPr>
          <w:sz w:val="16"/>
        </w:rPr>
        <w:t>clássicos</w:t>
      </w:r>
      <w:proofErr w:type="gramEnd"/>
      <w:r>
        <w:rPr>
          <w:sz w:val="16"/>
        </w:rPr>
        <w:t xml:space="preserve">: </w:t>
      </w:r>
      <w:proofErr w:type="spellStart"/>
      <w:r>
        <w:rPr>
          <w:i/>
          <w:sz w:val="16"/>
        </w:rPr>
        <w:t>Chlamydia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trachomatis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Yersinia</w:t>
      </w:r>
      <w:proofErr w:type="spellEnd"/>
      <w:r>
        <w:rPr>
          <w:i/>
          <w:sz w:val="16"/>
        </w:rPr>
        <w:t xml:space="preserve"> sp., </w:t>
      </w:r>
      <w:proofErr w:type="spellStart"/>
      <w:r>
        <w:rPr>
          <w:i/>
          <w:sz w:val="16"/>
        </w:rPr>
        <w:t>Salmonella</w:t>
      </w:r>
      <w:proofErr w:type="spellEnd"/>
      <w:r>
        <w:rPr>
          <w:i/>
          <w:sz w:val="16"/>
        </w:rPr>
        <w:t xml:space="preserve"> sp., </w:t>
      </w:r>
      <w:proofErr w:type="spellStart"/>
      <w:r>
        <w:rPr>
          <w:i/>
          <w:sz w:val="16"/>
        </w:rPr>
        <w:t>Shigella</w:t>
      </w:r>
      <w:proofErr w:type="spellEnd"/>
      <w:r>
        <w:rPr>
          <w:i/>
          <w:sz w:val="16"/>
        </w:rPr>
        <w:t xml:space="preserve"> sp. </w:t>
      </w:r>
      <w:proofErr w:type="gramStart"/>
      <w:r>
        <w:rPr>
          <w:i/>
          <w:sz w:val="16"/>
        </w:rPr>
        <w:t>e</w:t>
      </w:r>
      <w:proofErr w:type="gram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Campilobacter</w:t>
      </w:r>
      <w:proofErr w:type="spellEnd"/>
      <w:r>
        <w:rPr>
          <w:i/>
          <w:spacing w:val="-16"/>
          <w:sz w:val="16"/>
        </w:rPr>
        <w:t xml:space="preserve"> </w:t>
      </w:r>
      <w:r>
        <w:rPr>
          <w:i/>
          <w:sz w:val="16"/>
        </w:rPr>
        <w:t>sp.;</w:t>
      </w:r>
    </w:p>
    <w:p w:rsidR="008C175A" w:rsidRDefault="000C2793">
      <w:pPr>
        <w:pStyle w:val="PargrafodaLista"/>
        <w:numPr>
          <w:ilvl w:val="0"/>
          <w:numId w:val="3"/>
        </w:numPr>
        <w:tabs>
          <w:tab w:val="left" w:pos="761"/>
        </w:tabs>
        <w:rPr>
          <w:sz w:val="16"/>
        </w:rPr>
      </w:pPr>
      <w:proofErr w:type="gramStart"/>
      <w:r>
        <w:rPr>
          <w:sz w:val="16"/>
        </w:rPr>
        <w:t>prováveis</w:t>
      </w:r>
      <w:proofErr w:type="gramEnd"/>
      <w:r>
        <w:rPr>
          <w:sz w:val="16"/>
        </w:rPr>
        <w:t xml:space="preserve">: </w:t>
      </w:r>
      <w:r>
        <w:rPr>
          <w:i/>
          <w:sz w:val="16"/>
        </w:rPr>
        <w:t xml:space="preserve">Clostridium </w:t>
      </w:r>
      <w:proofErr w:type="spellStart"/>
      <w:r>
        <w:rPr>
          <w:i/>
          <w:sz w:val="16"/>
        </w:rPr>
        <w:t>difficile</w:t>
      </w:r>
      <w:proofErr w:type="spellEnd"/>
      <w:r>
        <w:rPr>
          <w:i/>
          <w:sz w:val="16"/>
        </w:rPr>
        <w:t xml:space="preserve"> e </w:t>
      </w:r>
      <w:proofErr w:type="spellStart"/>
      <w:r>
        <w:rPr>
          <w:i/>
          <w:sz w:val="16"/>
        </w:rPr>
        <w:t>Chlamydia</w:t>
      </w:r>
      <w:proofErr w:type="spellEnd"/>
      <w:r>
        <w:rPr>
          <w:i/>
          <w:spacing w:val="-7"/>
          <w:sz w:val="16"/>
        </w:rPr>
        <w:t xml:space="preserve"> </w:t>
      </w:r>
      <w:proofErr w:type="spellStart"/>
      <w:r>
        <w:rPr>
          <w:i/>
          <w:sz w:val="16"/>
        </w:rPr>
        <w:t>pneumoniae</w:t>
      </w:r>
      <w:proofErr w:type="spellEnd"/>
      <w:r>
        <w:rPr>
          <w:sz w:val="16"/>
        </w:rPr>
        <w:t>.</w:t>
      </w:r>
    </w:p>
    <w:p w:rsidR="008C175A" w:rsidRDefault="000C2793">
      <w:pPr>
        <w:pStyle w:val="PargrafodaLista"/>
        <w:numPr>
          <w:ilvl w:val="0"/>
          <w:numId w:val="3"/>
        </w:numPr>
        <w:tabs>
          <w:tab w:val="left" w:pos="763"/>
        </w:tabs>
        <w:ind w:left="762" w:hanging="96"/>
        <w:rPr>
          <w:sz w:val="16"/>
        </w:rPr>
      </w:pPr>
      <w:r>
        <w:rPr>
          <w:sz w:val="16"/>
        </w:rPr>
        <w:t xml:space="preserve">Intervalo entre a infecção sintomática e início da artrite: de alguns dias a </w:t>
      </w:r>
      <w:proofErr w:type="gramStart"/>
      <w:r>
        <w:rPr>
          <w:sz w:val="16"/>
        </w:rPr>
        <w:t>4</w:t>
      </w:r>
      <w:proofErr w:type="gramEnd"/>
      <w:r>
        <w:rPr>
          <w:spacing w:val="-22"/>
          <w:sz w:val="16"/>
        </w:rPr>
        <w:t xml:space="preserve"> </w:t>
      </w:r>
      <w:r>
        <w:rPr>
          <w:sz w:val="16"/>
        </w:rPr>
        <w:t>semanas;</w:t>
      </w:r>
    </w:p>
    <w:p w:rsidR="008C175A" w:rsidRDefault="000C2793">
      <w:pPr>
        <w:pStyle w:val="PargrafodaLista"/>
        <w:numPr>
          <w:ilvl w:val="0"/>
          <w:numId w:val="3"/>
        </w:numPr>
        <w:tabs>
          <w:tab w:val="left" w:pos="761"/>
        </w:tabs>
        <w:spacing w:before="1" w:line="240" w:lineRule="auto"/>
        <w:rPr>
          <w:sz w:val="16"/>
        </w:rPr>
      </w:pPr>
      <w:r>
        <w:rPr>
          <w:sz w:val="16"/>
        </w:rPr>
        <w:t xml:space="preserve">Padrão da artrite típico: mono ou </w:t>
      </w:r>
      <w:proofErr w:type="spellStart"/>
      <w:r>
        <w:rPr>
          <w:sz w:val="16"/>
        </w:rPr>
        <w:t>oligoartrite</w:t>
      </w:r>
      <w:proofErr w:type="spellEnd"/>
      <w:r>
        <w:rPr>
          <w:sz w:val="16"/>
        </w:rPr>
        <w:t xml:space="preserve"> assimétrica, predominantemente de membros</w:t>
      </w:r>
      <w:r>
        <w:rPr>
          <w:spacing w:val="-21"/>
          <w:sz w:val="16"/>
        </w:rPr>
        <w:t xml:space="preserve"> </w:t>
      </w:r>
      <w:r>
        <w:rPr>
          <w:sz w:val="16"/>
        </w:rPr>
        <w:t>inferiores.</w:t>
      </w:r>
    </w:p>
    <w:p w:rsidR="008C175A" w:rsidRDefault="008C175A">
      <w:pPr>
        <w:pStyle w:val="Corpodetexto"/>
        <w:spacing w:before="11"/>
        <w:ind w:left="0" w:firstLine="0"/>
        <w:rPr>
          <w:sz w:val="15"/>
        </w:rPr>
      </w:pPr>
    </w:p>
    <w:p w:rsidR="008C175A" w:rsidRDefault="000C2793">
      <w:pPr>
        <w:pStyle w:val="Corpodetexto"/>
        <w:ind w:right="115"/>
        <w:jc w:val="both"/>
      </w:pPr>
      <w:r>
        <w:t>De acordo com a duração da doença, a AR foi classificada como agud</w:t>
      </w:r>
      <w:r>
        <w:t xml:space="preserve">a, quando com duração inferior a </w:t>
      </w:r>
      <w:proofErr w:type="gramStart"/>
      <w:r>
        <w:t>6</w:t>
      </w:r>
      <w:proofErr w:type="gramEnd"/>
      <w:r>
        <w:t xml:space="preserve"> meses, ou crônica, quando com duração igual ou superior a 6 meses(9).</w:t>
      </w:r>
    </w:p>
    <w:p w:rsidR="008C175A" w:rsidRDefault="000C2793">
      <w:pPr>
        <w:pStyle w:val="Corpodetexto"/>
        <w:spacing w:before="1"/>
        <w:ind w:right="116"/>
        <w:jc w:val="both"/>
      </w:pPr>
      <w:proofErr w:type="gramStart"/>
      <w:r>
        <w:t>A AR</w:t>
      </w:r>
      <w:proofErr w:type="gramEnd"/>
      <w:r>
        <w:t xml:space="preserve"> é uma doença pouco frequente e, entre as </w:t>
      </w:r>
      <w:proofErr w:type="spellStart"/>
      <w:r>
        <w:t>espondiloartropatias</w:t>
      </w:r>
      <w:proofErr w:type="spellEnd"/>
      <w:r>
        <w:t>, constitui a minoria dos casos. A sua incidência é provavelmente subestimada, já que</w:t>
      </w:r>
      <w:r>
        <w:t xml:space="preserve"> casos leves podem não ser diagnosticados. </w:t>
      </w:r>
      <w:proofErr w:type="gramStart"/>
      <w:r>
        <w:t>A AR</w:t>
      </w:r>
      <w:proofErr w:type="gramEnd"/>
      <w:r>
        <w:t xml:space="preserve"> é uma condição que ocorre em todo o mundo, afetando predominantemente adultos jovens entre 20 e 40 anos. Acomete mais homens do que mulheres, numa taxa de 3:1 quando a infecção inicial é </w:t>
      </w:r>
      <w:proofErr w:type="spellStart"/>
      <w:proofErr w:type="gramStart"/>
      <w:r>
        <w:t>genitourinária</w:t>
      </w:r>
      <w:proofErr w:type="spellEnd"/>
      <w:r>
        <w:t>(</w:t>
      </w:r>
      <w:proofErr w:type="gramEnd"/>
      <w:r>
        <w:t>5,11).</w:t>
      </w:r>
      <w:r>
        <w:t xml:space="preserve"> Já a AR pós-entérica atinge igualmente ambos os </w:t>
      </w:r>
      <w:proofErr w:type="gramStart"/>
      <w:r>
        <w:t>sexos(</w:t>
      </w:r>
      <w:proofErr w:type="gramEnd"/>
      <w:r>
        <w:t>11).</w:t>
      </w:r>
    </w:p>
    <w:p w:rsidR="008C175A" w:rsidRDefault="000C2793">
      <w:pPr>
        <w:pStyle w:val="Corpodetexto"/>
        <w:ind w:right="114"/>
        <w:jc w:val="both"/>
      </w:pPr>
      <w:r>
        <w:t xml:space="preserve">De acordo com dados de estudos populacionais, em países como Finlândia, Noruega, Suécia, EUA e República Tcheca, a incidência anual de AR é de 0,6-27 casos por 100.000 </w:t>
      </w:r>
      <w:proofErr w:type="gramStart"/>
      <w:r>
        <w:t>pessoas(</w:t>
      </w:r>
      <w:proofErr w:type="gramEnd"/>
      <w:r>
        <w:t>2). Estima-se que em</w:t>
      </w:r>
      <w:r>
        <w:t xml:space="preserve"> torno de 1% das uretrites não gonocócicas e de 3% das enterites bacterianas ocorra desenvolvimento posterior de AR. Em surtos de diarreias bacterianas, a incidência de artrite é de 0-4%.</w:t>
      </w:r>
    </w:p>
    <w:p w:rsidR="008C175A" w:rsidRDefault="000C2793">
      <w:pPr>
        <w:pStyle w:val="Corpodetexto"/>
        <w:ind w:right="114"/>
        <w:jc w:val="both"/>
      </w:pPr>
      <w:r>
        <w:t xml:space="preserve">Há poucos estudos avaliando a epidemiologia </w:t>
      </w:r>
      <w:proofErr w:type="gramStart"/>
      <w:r>
        <w:t>da AR</w:t>
      </w:r>
      <w:proofErr w:type="gramEnd"/>
      <w:r>
        <w:t xml:space="preserve"> no Brasil(14). Em </w:t>
      </w:r>
      <w:r>
        <w:t xml:space="preserve">uma série hospitalar, verificou-se aumento da prevalência </w:t>
      </w:r>
      <w:proofErr w:type="gramStart"/>
      <w:r>
        <w:t>da AR</w:t>
      </w:r>
      <w:proofErr w:type="gramEnd"/>
      <w:r>
        <w:t xml:space="preserve"> na população de pacientes infectados com o vírus da imunodeficiência humana (HIV) a partir de 1985(12). Nesses pacientes, a AR tem quadro clínico mais agressivo e mais resistente aos tratament</w:t>
      </w:r>
      <w:r>
        <w:t xml:space="preserve">os </w:t>
      </w:r>
      <w:proofErr w:type="gramStart"/>
      <w:r>
        <w:t>usuais(</w:t>
      </w:r>
      <w:proofErr w:type="gramEnd"/>
      <w:r>
        <w:t>5,12).</w:t>
      </w:r>
    </w:p>
    <w:p w:rsidR="008C175A" w:rsidRDefault="000C2793">
      <w:pPr>
        <w:pStyle w:val="Corpodetexto"/>
        <w:ind w:right="116"/>
        <w:jc w:val="both"/>
      </w:pPr>
      <w:r>
        <w:t xml:space="preserve">O prognóstico na maioria dos casos é bom, com a maioria recuperando-se gradualmente em poucos meses. Entretanto, 66% dos pacientes permanecem com desconforto articular, dor lombar baixa e sintomas de </w:t>
      </w:r>
      <w:proofErr w:type="spellStart"/>
      <w:r>
        <w:t>entesopatia</w:t>
      </w:r>
      <w:proofErr w:type="spellEnd"/>
      <w:r>
        <w:t xml:space="preserve"> depois da crise inicial, e </w:t>
      </w:r>
      <w:proofErr w:type="gramStart"/>
      <w:r>
        <w:t>cerca de 15</w:t>
      </w:r>
      <w:proofErr w:type="gramEnd"/>
      <w:r>
        <w:t>%-30% desenvolvem doença inflamatória articular crônica(6,7,11,15).</w:t>
      </w:r>
    </w:p>
    <w:p w:rsidR="008C175A" w:rsidRDefault="000C2793">
      <w:pPr>
        <w:pStyle w:val="Corpodetexto"/>
        <w:ind w:right="115"/>
        <w:jc w:val="both"/>
      </w:pPr>
      <w:r>
        <w:t xml:space="preserve">A identificação de fatores de risco e da doença em seu estágio inicial e o encaminhamento ágil e adequado para o atendimento especializado </w:t>
      </w:r>
      <w:proofErr w:type="gramStart"/>
      <w:r>
        <w:t>dão</w:t>
      </w:r>
      <w:proofErr w:type="gramEnd"/>
      <w:r>
        <w:t xml:space="preserve"> à Atenção Básica um caráter essenc</w:t>
      </w:r>
      <w:r>
        <w:t>ial para um melhor resultado terapêutico e prognóstico dos</w:t>
      </w:r>
      <w:r>
        <w:rPr>
          <w:spacing w:val="-27"/>
        </w:rPr>
        <w:t xml:space="preserve"> </w:t>
      </w:r>
      <w:r>
        <w:t>casos.</w:t>
      </w:r>
    </w:p>
    <w:p w:rsidR="008C175A" w:rsidRDefault="008C175A">
      <w:pPr>
        <w:pStyle w:val="Corpodetexto"/>
        <w:spacing w:before="2"/>
        <w:ind w:left="0" w:firstLine="0"/>
      </w:pPr>
    </w:p>
    <w:p w:rsidR="008C175A" w:rsidRDefault="000C2793">
      <w:pPr>
        <w:pStyle w:val="Ttulo1"/>
        <w:numPr>
          <w:ilvl w:val="0"/>
          <w:numId w:val="4"/>
        </w:numPr>
        <w:tabs>
          <w:tab w:val="left" w:pos="831"/>
        </w:tabs>
      </w:pPr>
      <w:r>
        <w:t>CLASSIFICAÇÃO ESTATÍSTICA INTERNACIONAL DE DOENÇAS E PROBLEMAS RELACIONADOS À SAÚDE (CID</w:t>
      </w:r>
      <w:r>
        <w:rPr>
          <w:spacing w:val="-10"/>
        </w:rPr>
        <w:t xml:space="preserve"> </w:t>
      </w:r>
      <w:r>
        <w:t>10)</w:t>
      </w:r>
    </w:p>
    <w:p w:rsidR="008C175A" w:rsidRDefault="000C2793">
      <w:pPr>
        <w:pStyle w:val="PargrafodaLista"/>
        <w:numPr>
          <w:ilvl w:val="0"/>
          <w:numId w:val="3"/>
        </w:numPr>
        <w:tabs>
          <w:tab w:val="left" w:pos="761"/>
        </w:tabs>
        <w:rPr>
          <w:sz w:val="16"/>
        </w:rPr>
      </w:pPr>
      <w:proofErr w:type="gramStart"/>
      <w:r>
        <w:rPr>
          <w:sz w:val="16"/>
        </w:rPr>
        <w:t>M02.</w:t>
      </w:r>
      <w:proofErr w:type="gramEnd"/>
      <w:r>
        <w:rPr>
          <w:sz w:val="16"/>
        </w:rPr>
        <w:t>3 Doença de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Reiter</w:t>
      </w:r>
      <w:proofErr w:type="spellEnd"/>
    </w:p>
    <w:p w:rsidR="008C175A" w:rsidRDefault="008C175A">
      <w:pPr>
        <w:pStyle w:val="Corpodetexto"/>
        <w:spacing w:before="2"/>
        <w:ind w:left="0" w:firstLine="0"/>
      </w:pPr>
    </w:p>
    <w:p w:rsidR="008C175A" w:rsidRDefault="000C2793">
      <w:pPr>
        <w:pStyle w:val="Ttulo1"/>
        <w:numPr>
          <w:ilvl w:val="0"/>
          <w:numId w:val="4"/>
        </w:numPr>
        <w:tabs>
          <w:tab w:val="left" w:pos="831"/>
        </w:tabs>
        <w:spacing w:line="240" w:lineRule="auto"/>
      </w:pPr>
      <w:r>
        <w:t>DIAGNÓSTICO</w:t>
      </w:r>
    </w:p>
    <w:p w:rsidR="008C175A" w:rsidRDefault="008C175A">
      <w:pPr>
        <w:pStyle w:val="Corpodetexto"/>
        <w:spacing w:before="11"/>
        <w:ind w:left="0" w:firstLine="0"/>
        <w:rPr>
          <w:b/>
          <w:sz w:val="15"/>
        </w:rPr>
      </w:pPr>
    </w:p>
    <w:p w:rsidR="008C175A" w:rsidRDefault="000C2793">
      <w:pPr>
        <w:pStyle w:val="PargrafodaLista"/>
        <w:numPr>
          <w:ilvl w:val="1"/>
          <w:numId w:val="4"/>
        </w:numPr>
        <w:tabs>
          <w:tab w:val="left" w:pos="909"/>
        </w:tabs>
        <w:rPr>
          <w:sz w:val="16"/>
        </w:rPr>
      </w:pPr>
      <w:r>
        <w:rPr>
          <w:sz w:val="16"/>
        </w:rPr>
        <w:t>DIAGNÓSTICO</w:t>
      </w:r>
      <w:r>
        <w:rPr>
          <w:spacing w:val="-2"/>
          <w:sz w:val="16"/>
        </w:rPr>
        <w:t xml:space="preserve"> </w:t>
      </w:r>
      <w:r>
        <w:rPr>
          <w:sz w:val="16"/>
        </w:rPr>
        <w:t>CLÍNICO</w:t>
      </w:r>
    </w:p>
    <w:p w:rsidR="008C175A" w:rsidRDefault="000C2793">
      <w:pPr>
        <w:pStyle w:val="Corpodetexto"/>
        <w:ind w:right="116"/>
        <w:jc w:val="both"/>
      </w:pPr>
      <w:r>
        <w:t xml:space="preserve">A síndrome clínica caracterizada por artrite, uretrite, conjuntivite e lesões </w:t>
      </w:r>
      <w:proofErr w:type="spellStart"/>
      <w:r>
        <w:t>mucocutâneas</w:t>
      </w:r>
      <w:proofErr w:type="spellEnd"/>
      <w:r>
        <w:t xml:space="preserve">, comumente conhecida como AR ou doença de </w:t>
      </w:r>
      <w:proofErr w:type="spellStart"/>
      <w:r>
        <w:t>Reiter</w:t>
      </w:r>
      <w:proofErr w:type="spellEnd"/>
      <w:r>
        <w:t xml:space="preserve">, é </w:t>
      </w:r>
      <w:proofErr w:type="spellStart"/>
      <w:r>
        <w:t>multissistêmica</w:t>
      </w:r>
      <w:proofErr w:type="spellEnd"/>
      <w:r>
        <w:t xml:space="preserve"> desencadeada por uma resposta imune do hospedeiro após exposição a um </w:t>
      </w:r>
      <w:proofErr w:type="gramStart"/>
      <w:r>
        <w:t>antígeno(</w:t>
      </w:r>
      <w:proofErr w:type="gramEnd"/>
      <w:r>
        <w:t>5). A tríade cláss</w:t>
      </w:r>
      <w:r>
        <w:t xml:space="preserve">ica - artrite, uretrite e conjuntivite - ocorre apenas em um terço dos casos, e o quadro clínico acompanhado de sinais </w:t>
      </w:r>
      <w:proofErr w:type="spellStart"/>
      <w:r>
        <w:t>mucocutâneos</w:t>
      </w:r>
      <w:proofErr w:type="spellEnd"/>
      <w:r>
        <w:t xml:space="preserve"> é pouco frequente.</w:t>
      </w:r>
    </w:p>
    <w:p w:rsidR="008C175A" w:rsidRDefault="000C2793">
      <w:pPr>
        <w:pStyle w:val="Corpodetexto"/>
        <w:ind w:right="113" w:firstLine="708"/>
        <w:jc w:val="both"/>
      </w:pPr>
      <w:r>
        <w:t xml:space="preserve">Os pacientes são geralmente adultos jovens (entre 20-40 anos) com história de infecção nas últimas </w:t>
      </w:r>
      <w:proofErr w:type="gramStart"/>
      <w:r>
        <w:t>4</w:t>
      </w:r>
      <w:proofErr w:type="gramEnd"/>
      <w:r>
        <w:t xml:space="preserve"> sema</w:t>
      </w:r>
      <w:r>
        <w:t xml:space="preserve">nas (5). A doença pode se manifestar de forma localizada e leve ou de forma grave e </w:t>
      </w:r>
      <w:proofErr w:type="spellStart"/>
      <w:r>
        <w:t>multissistêmica</w:t>
      </w:r>
      <w:proofErr w:type="spellEnd"/>
      <w:r>
        <w:t xml:space="preserve">, acompanhada de febre, mal-estar e perda de peso. O acometimento articular varia desde uma </w:t>
      </w:r>
      <w:proofErr w:type="spellStart"/>
      <w:r>
        <w:t>monoartrite</w:t>
      </w:r>
      <w:proofErr w:type="spellEnd"/>
      <w:r>
        <w:t xml:space="preserve"> transitória até </w:t>
      </w:r>
      <w:proofErr w:type="spellStart"/>
      <w:r>
        <w:t>poliartrite</w:t>
      </w:r>
      <w:proofErr w:type="spellEnd"/>
      <w:r>
        <w:t xml:space="preserve"> com acometimento axial. A</w:t>
      </w:r>
      <w:r>
        <w:t xml:space="preserve"> manifestação clínica mais comum (95%) é a presença de uma </w:t>
      </w:r>
      <w:proofErr w:type="spellStart"/>
      <w:r>
        <w:t>oligoartrite</w:t>
      </w:r>
      <w:proofErr w:type="spellEnd"/>
      <w:r>
        <w:t xml:space="preserve"> aguda e assimétrica de </w:t>
      </w:r>
      <w:r>
        <w:lastRenderedPageBreak/>
        <w:t xml:space="preserve">membros inferiores, principalmente em joelhos, calcanhares e articulações </w:t>
      </w:r>
      <w:proofErr w:type="spellStart"/>
      <w:r>
        <w:t>metatarsofalangeanas</w:t>
      </w:r>
      <w:proofErr w:type="spellEnd"/>
      <w:r>
        <w:t xml:space="preserve">. As </w:t>
      </w:r>
      <w:proofErr w:type="spellStart"/>
      <w:r>
        <w:t>sinovites</w:t>
      </w:r>
      <w:proofErr w:type="spellEnd"/>
      <w:r>
        <w:t xml:space="preserve">, tendinites e </w:t>
      </w:r>
      <w:proofErr w:type="spellStart"/>
      <w:r>
        <w:t>entesites</w:t>
      </w:r>
      <w:proofErr w:type="spellEnd"/>
      <w:r>
        <w:t xml:space="preserve"> das pequenas </w:t>
      </w:r>
      <w:proofErr w:type="gramStart"/>
      <w:r>
        <w:t>articulações</w:t>
      </w:r>
      <w:proofErr w:type="gramEnd"/>
    </w:p>
    <w:p w:rsidR="008C175A" w:rsidRDefault="008C175A">
      <w:pPr>
        <w:jc w:val="both"/>
        <w:sectPr w:rsidR="008C175A">
          <w:pgSz w:w="11910" w:h="16840"/>
          <w:pgMar w:top="620" w:right="600" w:bottom="280" w:left="620" w:header="720" w:footer="720" w:gutter="0"/>
          <w:cols w:space="720"/>
        </w:sectPr>
      </w:pPr>
    </w:p>
    <w:p w:rsidR="008C175A" w:rsidRDefault="000C2793">
      <w:pPr>
        <w:pStyle w:val="Corpodetexto"/>
        <w:spacing w:before="76"/>
        <w:ind w:right="114" w:firstLine="0"/>
        <w:jc w:val="both"/>
      </w:pPr>
      <w:proofErr w:type="gramStart"/>
      <w:r>
        <w:lastRenderedPageBreak/>
        <w:t>apresentam</w:t>
      </w:r>
      <w:proofErr w:type="gramEnd"/>
      <w:r>
        <w:t xml:space="preserve">-se com os sintomas dolorosos e os dedos característicos da artrite reativa (“dedos em salsicha”). No entanto, 50% dos pacientes podem apresentar acometimento dos membros </w:t>
      </w:r>
      <w:proofErr w:type="gramStart"/>
      <w:r>
        <w:t>superiores(</w:t>
      </w:r>
      <w:proofErr w:type="gramEnd"/>
      <w:r>
        <w:t>11). Dores nas costas e nas nádegas ocorrem devid</w:t>
      </w:r>
      <w:r>
        <w:t xml:space="preserve">o ao acometimento das articulações </w:t>
      </w:r>
      <w:proofErr w:type="spellStart"/>
      <w:r>
        <w:t>sacroilíacas</w:t>
      </w:r>
      <w:proofErr w:type="spellEnd"/>
      <w:r>
        <w:t xml:space="preserve">. Também pode haver apresentação reativa à infecção com </w:t>
      </w:r>
      <w:proofErr w:type="spellStart"/>
      <w:r>
        <w:t>entesite</w:t>
      </w:r>
      <w:proofErr w:type="spellEnd"/>
      <w:r>
        <w:t xml:space="preserve"> ou </w:t>
      </w:r>
      <w:proofErr w:type="gramStart"/>
      <w:r>
        <w:t>bursite isoladas, sem presença de artrite</w:t>
      </w:r>
      <w:proofErr w:type="gramEnd"/>
      <w:r>
        <w:t>.</w:t>
      </w:r>
    </w:p>
    <w:p w:rsidR="008C175A" w:rsidRDefault="000C2793">
      <w:pPr>
        <w:pStyle w:val="Corpodetexto"/>
        <w:ind w:right="118"/>
        <w:jc w:val="both"/>
      </w:pPr>
      <w:r>
        <w:t xml:space="preserve">Em 30% dos casos pode haver conjuntivite, que geralmente precede a artrite em poucos dias e tende </w:t>
      </w:r>
      <w:r>
        <w:t xml:space="preserve">a ser leve e bilateral. Queixa de olhos vermelhos e secreção ou de crostas nas pálpebras ocorrem em alguns casos. A secreção é estéril, e o quadro regride em até </w:t>
      </w:r>
      <w:proofErr w:type="gramStart"/>
      <w:r>
        <w:t>4</w:t>
      </w:r>
      <w:proofErr w:type="gramEnd"/>
      <w:r>
        <w:t xml:space="preserve"> semanas. Complicações como </w:t>
      </w:r>
      <w:proofErr w:type="spellStart"/>
      <w:r>
        <w:t>episclerite</w:t>
      </w:r>
      <w:proofErr w:type="spellEnd"/>
      <w:r>
        <w:t xml:space="preserve">, </w:t>
      </w:r>
      <w:proofErr w:type="spellStart"/>
      <w:r>
        <w:t>ceratite</w:t>
      </w:r>
      <w:proofErr w:type="spellEnd"/>
      <w:r>
        <w:t xml:space="preserve">, </w:t>
      </w:r>
      <w:proofErr w:type="spellStart"/>
      <w:r>
        <w:t>uveíte</w:t>
      </w:r>
      <w:proofErr w:type="spellEnd"/>
      <w:r>
        <w:t xml:space="preserve"> (irite) e úlcera de córnea são muit</w:t>
      </w:r>
      <w:r>
        <w:t xml:space="preserve">o raras, mas exigem identificação e tratamento especializado urgente, pois podem evoluir para </w:t>
      </w:r>
      <w:proofErr w:type="gramStart"/>
      <w:r>
        <w:t>cegueira(</w:t>
      </w:r>
      <w:proofErr w:type="gramEnd"/>
      <w:r>
        <w:t>5,11).</w:t>
      </w:r>
    </w:p>
    <w:p w:rsidR="008C175A" w:rsidRDefault="000C2793">
      <w:pPr>
        <w:pStyle w:val="Corpodetexto"/>
        <w:ind w:right="114" w:firstLine="708"/>
        <w:jc w:val="both"/>
      </w:pPr>
      <w:proofErr w:type="gramStart"/>
      <w:r>
        <w:t>A AR</w:t>
      </w:r>
      <w:proofErr w:type="gramEnd"/>
      <w:r>
        <w:t xml:space="preserve"> que ocorre após doença sexualmente transmitida está associada à uretrite ou à </w:t>
      </w:r>
      <w:proofErr w:type="spellStart"/>
      <w:r>
        <w:t>cervicite</w:t>
      </w:r>
      <w:proofErr w:type="spellEnd"/>
      <w:r>
        <w:t>, que podem ser assintomáticas, mas normalmente se man</w:t>
      </w:r>
      <w:r>
        <w:t xml:space="preserve">ifestam com disúria ou secreção uretral ou vaginal(5). O acometimento entérico pode ser leve e passar </w:t>
      </w:r>
      <w:proofErr w:type="gramStart"/>
      <w:r>
        <w:t>despercebido(</w:t>
      </w:r>
      <w:proofErr w:type="gramEnd"/>
      <w:r>
        <w:t xml:space="preserve">5). Há relatos de AR após </w:t>
      </w:r>
      <w:proofErr w:type="spellStart"/>
      <w:r>
        <w:t>imunoterapia</w:t>
      </w:r>
      <w:proofErr w:type="spellEnd"/>
      <w:r>
        <w:t xml:space="preserve"> para câncer de bexiga com bacilo de </w:t>
      </w:r>
      <w:proofErr w:type="spellStart"/>
      <w:r>
        <w:t>Calmette-Guérin</w:t>
      </w:r>
      <w:proofErr w:type="spellEnd"/>
      <w:r>
        <w:t xml:space="preserve"> em instilação </w:t>
      </w:r>
      <w:proofErr w:type="spellStart"/>
      <w:r>
        <w:t>intravesical</w:t>
      </w:r>
      <w:proofErr w:type="spellEnd"/>
      <w:r>
        <w:t>. Nos casos relatados, a</w:t>
      </w:r>
      <w:r>
        <w:t xml:space="preserve"> artrite teve evolução benigna, com remissão dentro de </w:t>
      </w:r>
      <w:proofErr w:type="gramStart"/>
      <w:r>
        <w:t>2</w:t>
      </w:r>
      <w:proofErr w:type="gramEnd"/>
      <w:r>
        <w:t xml:space="preserve"> meses na maioria dos casos(16).</w:t>
      </w:r>
    </w:p>
    <w:p w:rsidR="008C175A" w:rsidRDefault="008C175A">
      <w:pPr>
        <w:pStyle w:val="Corpodetexto"/>
        <w:spacing w:before="11"/>
        <w:ind w:left="0" w:firstLine="0"/>
        <w:rPr>
          <w:sz w:val="15"/>
        </w:rPr>
      </w:pPr>
    </w:p>
    <w:p w:rsidR="008C175A" w:rsidRDefault="000C2793">
      <w:pPr>
        <w:pStyle w:val="PargrafodaLista"/>
        <w:numPr>
          <w:ilvl w:val="1"/>
          <w:numId w:val="4"/>
        </w:numPr>
        <w:tabs>
          <w:tab w:val="left" w:pos="909"/>
        </w:tabs>
        <w:spacing w:line="240" w:lineRule="auto"/>
        <w:rPr>
          <w:sz w:val="16"/>
        </w:rPr>
      </w:pPr>
      <w:r>
        <w:rPr>
          <w:sz w:val="16"/>
        </w:rPr>
        <w:t>DIAGNÓSTICO</w:t>
      </w:r>
      <w:r>
        <w:rPr>
          <w:spacing w:val="2"/>
          <w:sz w:val="16"/>
        </w:rPr>
        <w:t xml:space="preserve"> </w:t>
      </w:r>
      <w:r>
        <w:rPr>
          <w:sz w:val="16"/>
        </w:rPr>
        <w:t>LABORATORIAL</w:t>
      </w:r>
    </w:p>
    <w:p w:rsidR="008C175A" w:rsidRDefault="000C2793">
      <w:pPr>
        <w:pStyle w:val="Corpodetexto"/>
        <w:spacing w:before="1"/>
        <w:ind w:right="116"/>
        <w:jc w:val="both"/>
      </w:pPr>
      <w:r>
        <w:t xml:space="preserve">Em pacientes com </w:t>
      </w:r>
      <w:proofErr w:type="spellStart"/>
      <w:r>
        <w:t>monoartrite</w:t>
      </w:r>
      <w:proofErr w:type="spellEnd"/>
      <w:r>
        <w:t xml:space="preserve"> ou </w:t>
      </w:r>
      <w:proofErr w:type="spellStart"/>
      <w:r>
        <w:t>oligoartrite</w:t>
      </w:r>
      <w:proofErr w:type="spellEnd"/>
      <w:r>
        <w:t xml:space="preserve">, a importância da avaliação laboratorial reside na análise do líquido sinovial para diagnóstico diferencial com artrite séptica, artrite por cristais e atrite traumática. </w:t>
      </w:r>
      <w:proofErr w:type="gramStart"/>
      <w:r>
        <w:t>Na AR</w:t>
      </w:r>
      <w:proofErr w:type="gramEnd"/>
      <w:r>
        <w:t>, o líquido sinovial apresenta pred</w:t>
      </w:r>
      <w:r>
        <w:t xml:space="preserve">omínio de leucócitos </w:t>
      </w:r>
      <w:proofErr w:type="spellStart"/>
      <w:r>
        <w:t>polimorfonucleares</w:t>
      </w:r>
      <w:proofErr w:type="spellEnd"/>
      <w:r>
        <w:t xml:space="preserve"> na fase aguda e de linfócitos na fase crônica. As imagens radiológicas são inespecíficas, servindo apenas para afastar outros diagnósticos.</w:t>
      </w:r>
    </w:p>
    <w:p w:rsidR="008C175A" w:rsidRDefault="000C2793">
      <w:pPr>
        <w:pStyle w:val="Corpodetexto"/>
        <w:ind w:right="114" w:firstLine="708"/>
        <w:jc w:val="both"/>
      </w:pPr>
      <w:r>
        <w:t>A testagem do HLA-B27 isoladamente tem pouco valor diagnóstico, não sendo in</w:t>
      </w:r>
      <w:r>
        <w:t>dicada na rotina de atendimento desses pacientes. Os demais exames laboratoriais são de pouca utilidade para o diagnóstico, pois são inespecíficos e pouco sensíveis. Os marcadores inflamatórios, como velocidade de sedimentação globular (VSG) e proteína C r</w:t>
      </w:r>
      <w:r>
        <w:t xml:space="preserve">eativa (PCR), geralmente encontram-se aumentados e podem ser utilizados como marcadores laboratoriais de atividade da doença. A investigação etiológica pode ter algum interesse epidemiológico, entretanto </w:t>
      </w:r>
      <w:proofErr w:type="spellStart"/>
      <w:r>
        <w:t>coproculturas</w:t>
      </w:r>
      <w:proofErr w:type="spellEnd"/>
      <w:r>
        <w:t xml:space="preserve"> geralmente são negativas quando ocorre</w:t>
      </w:r>
      <w:r>
        <w:t xml:space="preserve"> a fase de </w:t>
      </w:r>
      <w:proofErr w:type="gramStart"/>
      <w:r>
        <w:t>artrite(</w:t>
      </w:r>
      <w:proofErr w:type="gramEnd"/>
      <w:r>
        <w:t>11).</w:t>
      </w:r>
    </w:p>
    <w:p w:rsidR="008C175A" w:rsidRDefault="008C175A">
      <w:pPr>
        <w:pStyle w:val="Corpodetexto"/>
        <w:spacing w:before="2"/>
        <w:ind w:left="0" w:firstLine="0"/>
      </w:pPr>
    </w:p>
    <w:p w:rsidR="008C175A" w:rsidRDefault="000C2793">
      <w:pPr>
        <w:pStyle w:val="Ttulo1"/>
        <w:numPr>
          <w:ilvl w:val="0"/>
          <w:numId w:val="4"/>
        </w:numPr>
        <w:tabs>
          <w:tab w:val="left" w:pos="831"/>
        </w:tabs>
      </w:pPr>
      <w:r>
        <w:t>CRITÉRIOS DE</w:t>
      </w:r>
      <w:r>
        <w:rPr>
          <w:spacing w:val="-1"/>
        </w:rPr>
        <w:t xml:space="preserve"> </w:t>
      </w:r>
      <w:r>
        <w:t>INCLUSÃO</w:t>
      </w:r>
    </w:p>
    <w:p w:rsidR="008C175A" w:rsidRDefault="000C2793">
      <w:pPr>
        <w:pStyle w:val="Corpodetexto"/>
        <w:ind w:right="125"/>
        <w:jc w:val="both"/>
      </w:pPr>
      <w:r>
        <w:t xml:space="preserve">Serão incluídos neste Protocolo os pacientes que apresentarem quadro clínico de </w:t>
      </w:r>
      <w:proofErr w:type="spellStart"/>
      <w:r>
        <w:t>monoartrite</w:t>
      </w:r>
      <w:proofErr w:type="spellEnd"/>
      <w:r>
        <w:t xml:space="preserve"> ou </w:t>
      </w:r>
      <w:proofErr w:type="spellStart"/>
      <w:r>
        <w:t>oligoartrite</w:t>
      </w:r>
      <w:proofErr w:type="spellEnd"/>
      <w:r>
        <w:t xml:space="preserve"> assimétrica predominantemente de membros inferiores, com história comprovada ou sugestiva de infecção</w:t>
      </w:r>
      <w:r>
        <w:t xml:space="preserve"> </w:t>
      </w:r>
      <w:proofErr w:type="spellStart"/>
      <w:r>
        <w:t>genitourinária</w:t>
      </w:r>
      <w:proofErr w:type="spellEnd"/>
      <w:r>
        <w:t xml:space="preserve"> ou gastrointestinal nas </w:t>
      </w:r>
      <w:proofErr w:type="gramStart"/>
      <w:r>
        <w:t>4</w:t>
      </w:r>
      <w:proofErr w:type="gramEnd"/>
      <w:r>
        <w:t xml:space="preserve"> semanas anteriores ao aparecimento dos sinais articulares.</w:t>
      </w:r>
    </w:p>
    <w:p w:rsidR="008C175A" w:rsidRDefault="008C175A">
      <w:pPr>
        <w:pStyle w:val="Corpodetexto"/>
        <w:spacing w:before="2"/>
        <w:ind w:left="0" w:firstLine="0"/>
      </w:pPr>
    </w:p>
    <w:p w:rsidR="008C175A" w:rsidRDefault="000C2793">
      <w:pPr>
        <w:pStyle w:val="Ttulo1"/>
        <w:numPr>
          <w:ilvl w:val="0"/>
          <w:numId w:val="4"/>
        </w:numPr>
        <w:tabs>
          <w:tab w:val="left" w:pos="831"/>
        </w:tabs>
      </w:pPr>
      <w:r>
        <w:t>CRITÉRIOS DE</w:t>
      </w:r>
      <w:r>
        <w:rPr>
          <w:spacing w:val="-3"/>
        </w:rPr>
        <w:t xml:space="preserve"> </w:t>
      </w:r>
      <w:r>
        <w:t>EXCLUSÃO</w:t>
      </w:r>
    </w:p>
    <w:p w:rsidR="008C175A" w:rsidRDefault="000C2793">
      <w:pPr>
        <w:pStyle w:val="Corpodetexto"/>
        <w:ind w:right="116"/>
        <w:jc w:val="both"/>
      </w:pPr>
      <w:r>
        <w:t xml:space="preserve">Serão excluídos deste Protocolo os pacientes que tenham intolerância ou hipersensibilidade </w:t>
      </w:r>
      <w:proofErr w:type="gramStart"/>
      <w:r>
        <w:t xml:space="preserve">a </w:t>
      </w:r>
      <w:proofErr w:type="spellStart"/>
      <w:r>
        <w:t>sulfassalazina</w:t>
      </w:r>
      <w:proofErr w:type="spellEnd"/>
      <w:r>
        <w:t>, anti-inflamatórios não esteroides (</w:t>
      </w:r>
      <w:proofErr w:type="spellStart"/>
      <w:r>
        <w:t>AINEs</w:t>
      </w:r>
      <w:proofErr w:type="spellEnd"/>
      <w:r>
        <w:t>) ou glicocorticoides</w:t>
      </w:r>
      <w:proofErr w:type="gramEnd"/>
      <w:r>
        <w:t>.</w:t>
      </w:r>
    </w:p>
    <w:p w:rsidR="008C175A" w:rsidRDefault="008C175A">
      <w:pPr>
        <w:pStyle w:val="Corpodetexto"/>
        <w:spacing w:before="11"/>
        <w:ind w:left="0" w:firstLine="0"/>
        <w:rPr>
          <w:sz w:val="15"/>
        </w:rPr>
      </w:pPr>
    </w:p>
    <w:p w:rsidR="008C175A" w:rsidRDefault="000C2793">
      <w:pPr>
        <w:pStyle w:val="Ttulo1"/>
        <w:numPr>
          <w:ilvl w:val="0"/>
          <w:numId w:val="4"/>
        </w:numPr>
        <w:tabs>
          <w:tab w:val="left" w:pos="869"/>
        </w:tabs>
        <w:ind w:left="868" w:hanging="202"/>
      </w:pPr>
      <w:r>
        <w:t>TRATAMENTO</w:t>
      </w:r>
    </w:p>
    <w:p w:rsidR="008C175A" w:rsidRDefault="000C2793">
      <w:pPr>
        <w:pStyle w:val="Corpodetexto"/>
        <w:ind w:right="116"/>
        <w:jc w:val="both"/>
      </w:pPr>
      <w:r>
        <w:t xml:space="preserve">O uso de anti-inflamatórios não </w:t>
      </w:r>
      <w:proofErr w:type="spellStart"/>
      <w:r>
        <w:t>esteroidais</w:t>
      </w:r>
      <w:proofErr w:type="spellEnd"/>
      <w:r>
        <w:t xml:space="preserve"> (AINE) é o tratamento inicia</w:t>
      </w:r>
      <w:r>
        <w:t xml:space="preserve">l dos pacientes com </w:t>
      </w:r>
      <w:proofErr w:type="gramStart"/>
      <w:r>
        <w:t>AR(</w:t>
      </w:r>
      <w:proofErr w:type="gramEnd"/>
      <w:r>
        <w:t xml:space="preserve">4,17). Glicocorticoide intra-articular e a </w:t>
      </w:r>
      <w:proofErr w:type="spellStart"/>
      <w:r>
        <w:t>sulfassalazina</w:t>
      </w:r>
      <w:proofErr w:type="spellEnd"/>
      <w:r>
        <w:t xml:space="preserve"> são usados quando os AINE não controlam os sintomas satisfatoriamente. Exercícios físicos e fisioterapia podem fazer parte do tratamento. Os antibióticos podem ser úteis para </w:t>
      </w:r>
      <w:r>
        <w:t>as uretrites em</w:t>
      </w:r>
      <w:r>
        <w:rPr>
          <w:spacing w:val="-8"/>
        </w:rPr>
        <w:t xml:space="preserve"> </w:t>
      </w:r>
      <w:r>
        <w:t>atividade.</w:t>
      </w:r>
    </w:p>
    <w:p w:rsidR="008C175A" w:rsidRDefault="000C2793">
      <w:pPr>
        <w:pStyle w:val="Corpodetexto"/>
        <w:ind w:right="114"/>
        <w:jc w:val="both"/>
      </w:pPr>
      <w:r>
        <w:t xml:space="preserve">Os AINE são a primeira linha de tratamento para a fase aguda de dor e inflamação da artrite. São usados nas suas doses máximas e de forma contínua por pelo menos </w:t>
      </w:r>
      <w:proofErr w:type="gramStart"/>
      <w:r>
        <w:t>2</w:t>
      </w:r>
      <w:proofErr w:type="gramEnd"/>
      <w:r>
        <w:t xml:space="preserve"> semanas, sendo geralmente bastante eficazes no controle dos sinto</w:t>
      </w:r>
      <w:r>
        <w:t xml:space="preserve">mas(5,11,13). Apesar da melhora dos sintomas, não existem evidências de que os AINE alterem o curso da </w:t>
      </w:r>
      <w:proofErr w:type="gramStart"/>
      <w:r>
        <w:t>doença(</w:t>
      </w:r>
      <w:proofErr w:type="gramEnd"/>
      <w:r>
        <w:t xml:space="preserve">8,13). As medidas de mobilidade da coluna e os reagentes de fase aguda (VSG e PCR) não mostram modificação significativa com o uso de </w:t>
      </w:r>
      <w:proofErr w:type="gramStart"/>
      <w:r>
        <w:t>AINE(</w:t>
      </w:r>
      <w:proofErr w:type="gramEnd"/>
      <w:r>
        <w:t>13).</w:t>
      </w:r>
    </w:p>
    <w:p w:rsidR="008C175A" w:rsidRDefault="000C2793">
      <w:pPr>
        <w:pStyle w:val="Corpodetexto"/>
        <w:ind w:right="115"/>
        <w:jc w:val="both"/>
      </w:pPr>
      <w:r>
        <w:t xml:space="preserve">O </w:t>
      </w:r>
      <w:r>
        <w:t>uso de glicocorticoide intra-articular pode ajudar de forma segura e eficaz o tratamento de uma lesão única e com sintomas incapacitantes, nos casos em que o AINE não controlou os sintomas satisfatoriamente. As injeções locais de glicocorticoide também são</w:t>
      </w:r>
      <w:r>
        <w:t xml:space="preserve"> efetivas no controle dos sintomas nas </w:t>
      </w:r>
      <w:proofErr w:type="spellStart"/>
      <w:r>
        <w:t>entesites</w:t>
      </w:r>
      <w:proofErr w:type="spellEnd"/>
      <w:r>
        <w:t>. Raramente o glicocorticoide sistêmico é indicado, sendo empregado apenas nos raros casos de doença grave, prolongada ou sistêmica em que ocorre resistência aos AINE (</w:t>
      </w:r>
      <w:proofErr w:type="gramStart"/>
      <w:r>
        <w:t>5,</w:t>
      </w:r>
      <w:proofErr w:type="gramEnd"/>
      <w:r>
        <w:t xml:space="preserve">8,11,17). </w:t>
      </w:r>
      <w:proofErr w:type="gramStart"/>
      <w:r>
        <w:t>Nesses casos, o glicocortico</w:t>
      </w:r>
      <w:r>
        <w:t>ide pode ser administrado pelo período de 1 a 12 semanas</w:t>
      </w:r>
      <w:r>
        <w:rPr>
          <w:spacing w:val="-21"/>
        </w:rPr>
        <w:t xml:space="preserve"> </w:t>
      </w:r>
      <w:r>
        <w:t>5,11)</w:t>
      </w:r>
      <w:proofErr w:type="gramEnd"/>
      <w:r>
        <w:t>.</w:t>
      </w:r>
    </w:p>
    <w:p w:rsidR="008C175A" w:rsidRDefault="000C2793">
      <w:pPr>
        <w:pStyle w:val="Corpodetexto"/>
        <w:ind w:right="120"/>
        <w:jc w:val="both"/>
      </w:pPr>
      <w:r>
        <w:t xml:space="preserve">O uso de antibióticos por curto ou longo período no tratamento </w:t>
      </w:r>
      <w:proofErr w:type="gramStart"/>
      <w:r>
        <w:t>da AR</w:t>
      </w:r>
      <w:proofErr w:type="gramEnd"/>
      <w:r>
        <w:t xml:space="preserve"> é foco de muitos estudos. Entretanto, depois que a artrite se manifesta, os antibióticos não parecem modificar o curso da </w:t>
      </w:r>
      <w:proofErr w:type="gramStart"/>
      <w:r>
        <w:t>doença(</w:t>
      </w:r>
      <w:proofErr w:type="gramEnd"/>
      <w:r>
        <w:t xml:space="preserve">1,5,11,18). Os resultados de ensaios clínicos avaliando </w:t>
      </w:r>
      <w:proofErr w:type="spellStart"/>
      <w:r>
        <w:t>an</w:t>
      </w:r>
      <w:r>
        <w:t>tibioticoterapia</w:t>
      </w:r>
      <w:proofErr w:type="spellEnd"/>
      <w:r>
        <w:t xml:space="preserve"> em AR associada </w:t>
      </w:r>
      <w:proofErr w:type="gramStart"/>
      <w:r>
        <w:t>a</w:t>
      </w:r>
      <w:proofErr w:type="gramEnd"/>
      <w:r>
        <w:t xml:space="preserve"> infecção por </w:t>
      </w:r>
      <w:proofErr w:type="spellStart"/>
      <w:r>
        <w:t>Chlamydia</w:t>
      </w:r>
      <w:proofErr w:type="spellEnd"/>
      <w:r>
        <w:t xml:space="preserve"> sp. </w:t>
      </w:r>
      <w:proofErr w:type="gramStart"/>
      <w:r>
        <w:t>são</w:t>
      </w:r>
      <w:proofErr w:type="gramEnd"/>
      <w:r>
        <w:t xml:space="preserve"> conflitantes. Revisão sistemática com meta-análise avaliou a eficácia e a segurança de </w:t>
      </w:r>
      <w:proofErr w:type="spellStart"/>
      <w:r>
        <w:t>antibioticoterapia</w:t>
      </w:r>
      <w:proofErr w:type="spellEnd"/>
      <w:r>
        <w:t xml:space="preserve"> no tratamento de AR. Dez estudos controlados que avaliaram desfechos clínicos foram </w:t>
      </w:r>
      <w:r>
        <w:t>incluídos. Houve significativa heterogeneidade entre os dados, e a estimativa da magnitude de efeito foi reduzida ao se censurarem estudos não cegos. Concluiu-se pela falta de evidência forte de benefício de antibióticos em relação à indução de remissão cl</w:t>
      </w:r>
      <w:r>
        <w:t>ínica, independentemente do agente desencadeante (</w:t>
      </w:r>
      <w:proofErr w:type="spellStart"/>
      <w:r>
        <w:t>Chlamydia</w:t>
      </w:r>
      <w:proofErr w:type="spellEnd"/>
      <w:r>
        <w:t xml:space="preserve"> </w:t>
      </w:r>
      <w:proofErr w:type="gramStart"/>
      <w:r>
        <w:t>sp</w:t>
      </w:r>
      <w:proofErr w:type="gramEnd"/>
      <w:r>
        <w:t xml:space="preserve">. </w:t>
      </w:r>
      <w:r>
        <w:rPr>
          <w:i/>
        </w:rPr>
        <w:t xml:space="preserve">versus </w:t>
      </w:r>
      <w:r>
        <w:t xml:space="preserve">outros micro-organismos). Além disso, foi observada elevada incidência de efeitos adversos gastrointestinais com o tratamento </w:t>
      </w:r>
      <w:proofErr w:type="gramStart"/>
      <w:r>
        <w:t>antimicrobiano(</w:t>
      </w:r>
      <w:proofErr w:type="gramEnd"/>
      <w:r>
        <w:t>19-21).</w:t>
      </w:r>
    </w:p>
    <w:p w:rsidR="008C175A" w:rsidRDefault="000C2793">
      <w:pPr>
        <w:pStyle w:val="Corpodetexto"/>
        <w:ind w:right="113"/>
        <w:jc w:val="both"/>
      </w:pPr>
      <w:r>
        <w:t>O uso de antibióticos para as infecç</w:t>
      </w:r>
      <w:r>
        <w:t xml:space="preserve">ões gastrointestinais ativas segue os padrões da prática das doenças infecciosas nos locais em que acontecem. Em geral, não são indicados para as infecções entéricas não </w:t>
      </w:r>
      <w:proofErr w:type="gramStart"/>
      <w:r>
        <w:t>complicadas(</w:t>
      </w:r>
      <w:proofErr w:type="gramEnd"/>
      <w:r>
        <w:t xml:space="preserve">5). Para as infecções </w:t>
      </w:r>
      <w:proofErr w:type="spellStart"/>
      <w:r>
        <w:t>genitourinárias</w:t>
      </w:r>
      <w:proofErr w:type="spellEnd"/>
      <w:r>
        <w:t xml:space="preserve"> por </w:t>
      </w:r>
      <w:proofErr w:type="spellStart"/>
      <w:r>
        <w:t>Chlamydia</w:t>
      </w:r>
      <w:proofErr w:type="spellEnd"/>
      <w:r>
        <w:t xml:space="preserve"> </w:t>
      </w:r>
      <w:proofErr w:type="gramStart"/>
      <w:r>
        <w:t>sp</w:t>
      </w:r>
      <w:proofErr w:type="gramEnd"/>
      <w:r>
        <w:t>., o tratamento anti</w:t>
      </w:r>
      <w:r>
        <w:t xml:space="preserve">microbiano adequado, com </w:t>
      </w:r>
      <w:proofErr w:type="spellStart"/>
      <w:r>
        <w:t>macrolídeo</w:t>
      </w:r>
      <w:proofErr w:type="spellEnd"/>
      <w:r>
        <w:t xml:space="preserve"> ou uma tetraciclina, deve ser prontamente indicado para o paciente e para o seu parceiro sexual. Teoricamente, isso diminuiria o desenvolvimento </w:t>
      </w:r>
      <w:proofErr w:type="gramStart"/>
      <w:r>
        <w:t>da AR</w:t>
      </w:r>
      <w:proofErr w:type="gramEnd"/>
      <w:r>
        <w:t>; entretanto, por razões éticas, estudos placebo-controlados nunca for</w:t>
      </w:r>
      <w:r>
        <w:t>am</w:t>
      </w:r>
      <w:r>
        <w:rPr>
          <w:spacing w:val="-12"/>
        </w:rPr>
        <w:t xml:space="preserve"> </w:t>
      </w:r>
      <w:r>
        <w:t>realizados(1,5,8).</w:t>
      </w:r>
    </w:p>
    <w:p w:rsidR="008C175A" w:rsidRDefault="000C2793">
      <w:pPr>
        <w:pStyle w:val="Corpodetexto"/>
        <w:ind w:right="116"/>
        <w:jc w:val="both"/>
      </w:pPr>
      <w:r>
        <w:t xml:space="preserve">Os medicamentos modificadores do curso da doença (MMCD) estão indicados quando não há controle satisfatório dos sintomas com AINE e glicocorticoide intra-articular ou se a doença se torna crônica, recorrente ou mais erosiva e </w:t>
      </w:r>
      <w:proofErr w:type="gramStart"/>
      <w:r>
        <w:t>agressiv</w:t>
      </w:r>
      <w:r>
        <w:t>a(</w:t>
      </w:r>
      <w:proofErr w:type="gramEnd"/>
      <w:r>
        <w:t>5,8,17).</w:t>
      </w:r>
    </w:p>
    <w:p w:rsidR="008C175A" w:rsidRDefault="000C2793">
      <w:pPr>
        <w:pStyle w:val="Corpodetexto"/>
        <w:ind w:right="113"/>
        <w:jc w:val="both"/>
      </w:pPr>
      <w:r>
        <w:t xml:space="preserve">Os MMCD foram desenvolvidos primariamente para o tratamento da artrite reumatoide, e seu emprego foi posteriormente extrapolado para as </w:t>
      </w:r>
      <w:proofErr w:type="spellStart"/>
      <w:r>
        <w:t>espondiloartropatias</w:t>
      </w:r>
      <w:proofErr w:type="spellEnd"/>
      <w:r>
        <w:t xml:space="preserve"> soronegativas. Entre os MMCD, a </w:t>
      </w:r>
      <w:proofErr w:type="spellStart"/>
      <w:r>
        <w:t>sulfassalazina</w:t>
      </w:r>
      <w:proofErr w:type="spellEnd"/>
      <w:r>
        <w:t xml:space="preserve"> é a mais estudada, sendo bem tolerada, se</w:t>
      </w:r>
      <w:r>
        <w:t xml:space="preserve">gura e eficaz para a doença articular periférica em doses de até 2.000 </w:t>
      </w:r>
      <w:proofErr w:type="gramStart"/>
      <w:r>
        <w:t>mg</w:t>
      </w:r>
      <w:proofErr w:type="gramEnd"/>
      <w:r>
        <w:t>/dia(1,5,22).</w:t>
      </w:r>
    </w:p>
    <w:p w:rsidR="008C175A" w:rsidRDefault="000C2793">
      <w:pPr>
        <w:pStyle w:val="Corpodetexto"/>
        <w:ind w:right="114"/>
        <w:jc w:val="both"/>
      </w:pPr>
      <w:r>
        <w:t xml:space="preserve">Além da ação antibacteriana, a </w:t>
      </w:r>
      <w:proofErr w:type="spellStart"/>
      <w:r>
        <w:t>sulfassalazina</w:t>
      </w:r>
      <w:proofErr w:type="spellEnd"/>
      <w:r>
        <w:t xml:space="preserve"> diminui os níveis de imunoglobulina (</w:t>
      </w:r>
      <w:proofErr w:type="spellStart"/>
      <w:r>
        <w:t>Ig</w:t>
      </w:r>
      <w:proofErr w:type="spellEnd"/>
      <w:r>
        <w:t xml:space="preserve">) sérica, principalmente a </w:t>
      </w:r>
      <w:proofErr w:type="spellStart"/>
      <w:proofErr w:type="gramStart"/>
      <w:r>
        <w:t>IgA</w:t>
      </w:r>
      <w:proofErr w:type="spellEnd"/>
      <w:proofErr w:type="gramEnd"/>
      <w:r>
        <w:t>, e reduz a VSG. Em ensaio clínico randomizado multicê</w:t>
      </w:r>
      <w:r>
        <w:t xml:space="preserve">ntrico (19 centros) que incluiu 134 pacientes com AR que haviam apresentado falha ao tratamento inicial com AINE, os quais foram tratados por </w:t>
      </w:r>
      <w:proofErr w:type="gramStart"/>
      <w:r>
        <w:t>9</w:t>
      </w:r>
      <w:proofErr w:type="gramEnd"/>
      <w:r>
        <w:t xml:space="preserve"> meses (com placebo ou </w:t>
      </w:r>
      <w:proofErr w:type="spellStart"/>
      <w:r>
        <w:t>sulfassalazina</w:t>
      </w:r>
      <w:proofErr w:type="spellEnd"/>
      <w:r>
        <w:t xml:space="preserve"> 2.000 mg/dia), foi demonstrada a superioridade do medicamento em termos de </w:t>
      </w:r>
      <w:r>
        <w:t xml:space="preserve">tempo para resolução dos sintomas e controle satisfatório dos sintomas ao final do tratamento (62,3 </w:t>
      </w:r>
      <w:r>
        <w:rPr>
          <w:i/>
        </w:rPr>
        <w:t xml:space="preserve">versus </w:t>
      </w:r>
      <w:r>
        <w:t xml:space="preserve">47,7% para </w:t>
      </w:r>
      <w:proofErr w:type="spellStart"/>
      <w:r>
        <w:t>sulfassalazina</w:t>
      </w:r>
      <w:proofErr w:type="spellEnd"/>
      <w:r>
        <w:t xml:space="preserve"> e placebo, respectivamente; p=0,02) 23). Outros estudos menores mostraram benefícios na redução da duração dos sintomas, na</w:t>
      </w:r>
      <w:r>
        <w:t xml:space="preserve"> rigidez matinal, no bem-estar geral e nos resultados dos exames laboratoriais com o uso da </w:t>
      </w:r>
      <w:proofErr w:type="spellStart"/>
      <w:proofErr w:type="gramStart"/>
      <w:r>
        <w:t>sulfassalazina</w:t>
      </w:r>
      <w:proofErr w:type="spellEnd"/>
      <w:r>
        <w:t>(</w:t>
      </w:r>
      <w:proofErr w:type="gramEnd"/>
      <w:r>
        <w:t>13,22).</w:t>
      </w:r>
    </w:p>
    <w:p w:rsidR="008C175A" w:rsidRDefault="000C2793">
      <w:pPr>
        <w:pStyle w:val="Corpodetexto"/>
        <w:ind w:right="117"/>
        <w:jc w:val="both"/>
      </w:pPr>
      <w:r>
        <w:t xml:space="preserve">Na dose de 2.000 </w:t>
      </w:r>
      <w:proofErr w:type="gramStart"/>
      <w:r>
        <w:t>mg</w:t>
      </w:r>
      <w:proofErr w:type="gramEnd"/>
      <w:r>
        <w:t>/dia, os efeitos adversos documentados foram de desconforto gastrointestinal leve(17,23,24). Pela possibilidade de hiperse</w:t>
      </w:r>
      <w:r>
        <w:t xml:space="preserve">nsibilidade cruzada a </w:t>
      </w:r>
      <w:proofErr w:type="spellStart"/>
      <w:r>
        <w:t>salicilatos</w:t>
      </w:r>
      <w:proofErr w:type="spellEnd"/>
      <w:r>
        <w:t xml:space="preserve"> e </w:t>
      </w:r>
      <w:proofErr w:type="spellStart"/>
      <w:r>
        <w:t>sulfonamidas</w:t>
      </w:r>
      <w:proofErr w:type="spellEnd"/>
      <w:r>
        <w:t xml:space="preserve">, o uso de </w:t>
      </w:r>
      <w:proofErr w:type="spellStart"/>
      <w:r>
        <w:t>sulfassalazina</w:t>
      </w:r>
      <w:proofErr w:type="spellEnd"/>
      <w:r>
        <w:t xml:space="preserve"> está contraindicado em pacientes com hipersensibilidade a esses medicamentos.</w:t>
      </w:r>
    </w:p>
    <w:p w:rsidR="008C175A" w:rsidRDefault="000C2793">
      <w:pPr>
        <w:pStyle w:val="Corpodetexto"/>
        <w:ind w:right="113"/>
        <w:jc w:val="both"/>
      </w:pPr>
      <w:r>
        <w:t xml:space="preserve">Há relatos de benefício com agentes </w:t>
      </w:r>
      <w:proofErr w:type="spellStart"/>
      <w:r>
        <w:t>antifator</w:t>
      </w:r>
      <w:proofErr w:type="spellEnd"/>
      <w:r>
        <w:t xml:space="preserve"> de necrose tumoral no tratamento de AR. Uma vez que não há</w:t>
      </w:r>
      <w:r>
        <w:t xml:space="preserve"> estudos controlados avaliando a eficácia e segurança desses agentes, seu uso não está </w:t>
      </w:r>
      <w:proofErr w:type="gramStart"/>
      <w:r>
        <w:t>recomendado(</w:t>
      </w:r>
      <w:proofErr w:type="gramEnd"/>
      <w:r>
        <w:t>2,25).</w:t>
      </w:r>
    </w:p>
    <w:p w:rsidR="008C175A" w:rsidRDefault="008C175A">
      <w:pPr>
        <w:pStyle w:val="Corpodetexto"/>
        <w:ind w:left="0" w:firstLine="0"/>
      </w:pPr>
    </w:p>
    <w:p w:rsidR="008C175A" w:rsidRDefault="000C2793">
      <w:pPr>
        <w:pStyle w:val="Corpodetexto"/>
        <w:ind w:left="666" w:firstLine="0"/>
      </w:pPr>
      <w:r>
        <w:t>7.1. FÁRMACOS</w:t>
      </w:r>
    </w:p>
    <w:p w:rsidR="008C175A" w:rsidRDefault="000C2793">
      <w:pPr>
        <w:pStyle w:val="Corpodetexto"/>
        <w:spacing w:before="1"/>
        <w:ind w:left="666" w:firstLine="0"/>
      </w:pPr>
      <w:proofErr w:type="spellStart"/>
      <w:r>
        <w:t>Ibuprofeno</w:t>
      </w:r>
      <w:proofErr w:type="spellEnd"/>
      <w:r>
        <w:t xml:space="preserve">: comprimidos de 600 </w:t>
      </w:r>
      <w:proofErr w:type="gramStart"/>
      <w:r>
        <w:t>mg</w:t>
      </w:r>
      <w:proofErr w:type="gramEnd"/>
      <w:r>
        <w:t>.</w:t>
      </w:r>
    </w:p>
    <w:p w:rsidR="008C175A" w:rsidRDefault="000C2793">
      <w:pPr>
        <w:pStyle w:val="Corpodetexto"/>
        <w:ind w:left="666" w:right="5960" w:firstLine="0"/>
      </w:pPr>
      <w:r>
        <w:t xml:space="preserve">Fosfato </w:t>
      </w:r>
      <w:proofErr w:type="spellStart"/>
      <w:r>
        <w:t>dissódico</w:t>
      </w:r>
      <w:proofErr w:type="spellEnd"/>
      <w:r>
        <w:t xml:space="preserve"> de </w:t>
      </w:r>
      <w:proofErr w:type="spellStart"/>
      <w:r>
        <w:t>dexametasona</w:t>
      </w:r>
      <w:proofErr w:type="spellEnd"/>
      <w:r>
        <w:t xml:space="preserve">: solução injetável </w:t>
      </w:r>
      <w:proofErr w:type="gramStart"/>
      <w:r>
        <w:t>4</w:t>
      </w:r>
      <w:proofErr w:type="gramEnd"/>
      <w:r>
        <w:t xml:space="preserve"> mg/ml. Prednisona: comprimidos de 5mg e 20 </w:t>
      </w:r>
      <w:proofErr w:type="gramStart"/>
      <w:r>
        <w:t>mg</w:t>
      </w:r>
      <w:proofErr w:type="gramEnd"/>
      <w:r>
        <w:t>.</w:t>
      </w:r>
    </w:p>
    <w:p w:rsidR="008C175A" w:rsidRDefault="000C2793">
      <w:pPr>
        <w:pStyle w:val="Corpodetexto"/>
        <w:spacing w:line="183" w:lineRule="exact"/>
        <w:ind w:left="666" w:firstLine="0"/>
      </w:pPr>
      <w:proofErr w:type="spellStart"/>
      <w:r>
        <w:t>Sulfassalazina</w:t>
      </w:r>
      <w:proofErr w:type="spellEnd"/>
      <w:r>
        <w:t xml:space="preserve">: comprimidos de 500 </w:t>
      </w:r>
      <w:proofErr w:type="gramStart"/>
      <w:r>
        <w:t>mg</w:t>
      </w:r>
      <w:proofErr w:type="gramEnd"/>
      <w:r>
        <w:t>.</w:t>
      </w:r>
    </w:p>
    <w:p w:rsidR="008C175A" w:rsidRDefault="008C175A">
      <w:pPr>
        <w:pStyle w:val="Corpodetexto"/>
        <w:spacing w:before="11"/>
        <w:ind w:left="0" w:firstLine="0"/>
        <w:rPr>
          <w:sz w:val="15"/>
        </w:rPr>
      </w:pPr>
    </w:p>
    <w:p w:rsidR="008C175A" w:rsidRDefault="000C2793">
      <w:pPr>
        <w:pStyle w:val="PargrafodaLista"/>
        <w:numPr>
          <w:ilvl w:val="1"/>
          <w:numId w:val="2"/>
        </w:numPr>
        <w:tabs>
          <w:tab w:val="left" w:pos="910"/>
        </w:tabs>
        <w:spacing w:line="240" w:lineRule="auto"/>
        <w:rPr>
          <w:sz w:val="16"/>
        </w:rPr>
      </w:pPr>
      <w:r>
        <w:rPr>
          <w:sz w:val="16"/>
        </w:rPr>
        <w:t>ESQUEMAS DE</w:t>
      </w:r>
      <w:r>
        <w:rPr>
          <w:spacing w:val="-1"/>
          <w:sz w:val="16"/>
        </w:rPr>
        <w:t xml:space="preserve"> </w:t>
      </w:r>
      <w:r>
        <w:rPr>
          <w:sz w:val="16"/>
        </w:rPr>
        <w:t>ADMINISTRAÇÃO</w:t>
      </w:r>
    </w:p>
    <w:p w:rsidR="008C175A" w:rsidRDefault="000C2793">
      <w:pPr>
        <w:pStyle w:val="Corpodetexto"/>
        <w:spacing w:before="1"/>
        <w:ind w:left="666" w:firstLine="0"/>
      </w:pPr>
      <w:proofErr w:type="spellStart"/>
      <w:r>
        <w:t>Ibuprofeno</w:t>
      </w:r>
      <w:proofErr w:type="spellEnd"/>
      <w:r>
        <w:t xml:space="preserve"> 600 </w:t>
      </w:r>
      <w:proofErr w:type="gramStart"/>
      <w:r>
        <w:t>mg</w:t>
      </w:r>
      <w:proofErr w:type="gramEnd"/>
      <w:r>
        <w:t>: Um comprimido via oral, três a quatro vezes ao dia.</w:t>
      </w:r>
    </w:p>
    <w:p w:rsidR="008C175A" w:rsidRDefault="000C2793">
      <w:pPr>
        <w:pStyle w:val="Corpodetexto"/>
        <w:spacing w:before="1"/>
        <w:ind w:left="666" w:right="877" w:firstLine="0"/>
      </w:pPr>
      <w:proofErr w:type="spellStart"/>
      <w:r>
        <w:t>Sulfassalazina</w:t>
      </w:r>
      <w:proofErr w:type="spellEnd"/>
      <w:r>
        <w:t xml:space="preserve"> 500 </w:t>
      </w:r>
      <w:proofErr w:type="gramStart"/>
      <w:r>
        <w:t>mg</w:t>
      </w:r>
      <w:proofErr w:type="gramEnd"/>
      <w:r>
        <w:t xml:space="preserve">: Um a dois comprimidos via oral, duas vezes ao dia, por 3 a 6 meses ou até a remissão da doença articular inflamatória. Prednisona </w:t>
      </w:r>
      <w:proofErr w:type="gramStart"/>
      <w:r>
        <w:t>5</w:t>
      </w:r>
      <w:proofErr w:type="gramEnd"/>
      <w:r>
        <w:t xml:space="preserve"> mg: Um a quatro comprimidos via oral, uma vez ao dia.</w:t>
      </w:r>
    </w:p>
    <w:p w:rsidR="008C175A" w:rsidRDefault="000C2793">
      <w:pPr>
        <w:pStyle w:val="Corpodetexto"/>
        <w:spacing w:line="182" w:lineRule="exact"/>
        <w:ind w:left="666" w:firstLine="0"/>
      </w:pPr>
      <w:r>
        <w:t xml:space="preserve">Prednisona 20 </w:t>
      </w:r>
      <w:proofErr w:type="gramStart"/>
      <w:r>
        <w:t>mg</w:t>
      </w:r>
      <w:proofErr w:type="gramEnd"/>
      <w:r>
        <w:t>: Meio a um comprimido via oral</w:t>
      </w:r>
      <w:r>
        <w:t>, uma vez ao dia.</w:t>
      </w:r>
    </w:p>
    <w:p w:rsidR="008C175A" w:rsidRDefault="000C2793">
      <w:pPr>
        <w:pStyle w:val="Corpodetexto"/>
        <w:spacing w:line="183" w:lineRule="exact"/>
        <w:ind w:left="666" w:firstLine="0"/>
      </w:pPr>
      <w:r>
        <w:t xml:space="preserve">Fosfato </w:t>
      </w:r>
      <w:proofErr w:type="spellStart"/>
      <w:r>
        <w:t>dissódico</w:t>
      </w:r>
      <w:proofErr w:type="spellEnd"/>
      <w:r>
        <w:t xml:space="preserve"> de </w:t>
      </w:r>
      <w:proofErr w:type="spellStart"/>
      <w:r>
        <w:t>dexametasona</w:t>
      </w:r>
      <w:proofErr w:type="spellEnd"/>
      <w:r>
        <w:t xml:space="preserve">: 0,1 a 1 ampola intra-articular, a cada </w:t>
      </w:r>
      <w:proofErr w:type="gramStart"/>
      <w:r>
        <w:t>4</w:t>
      </w:r>
      <w:proofErr w:type="gramEnd"/>
      <w:r>
        <w:t xml:space="preserve"> semanas.</w:t>
      </w:r>
    </w:p>
    <w:p w:rsidR="008C175A" w:rsidRDefault="008C175A">
      <w:pPr>
        <w:pStyle w:val="Corpodetexto"/>
        <w:spacing w:before="2"/>
        <w:ind w:left="0" w:firstLine="0"/>
      </w:pPr>
    </w:p>
    <w:p w:rsidR="008C175A" w:rsidRDefault="000C2793">
      <w:pPr>
        <w:pStyle w:val="PargrafodaLista"/>
        <w:numPr>
          <w:ilvl w:val="1"/>
          <w:numId w:val="2"/>
        </w:numPr>
        <w:tabs>
          <w:tab w:val="left" w:pos="910"/>
        </w:tabs>
        <w:rPr>
          <w:sz w:val="16"/>
        </w:rPr>
      </w:pPr>
      <w:r>
        <w:rPr>
          <w:sz w:val="16"/>
        </w:rPr>
        <w:t>TEMPO DE</w:t>
      </w:r>
      <w:r>
        <w:rPr>
          <w:spacing w:val="-4"/>
          <w:sz w:val="16"/>
        </w:rPr>
        <w:t xml:space="preserve"> </w:t>
      </w:r>
      <w:r>
        <w:rPr>
          <w:sz w:val="16"/>
        </w:rPr>
        <w:t>TRATAMENTO</w:t>
      </w:r>
    </w:p>
    <w:p w:rsidR="008C175A" w:rsidRDefault="000C2793">
      <w:pPr>
        <w:pStyle w:val="Corpodetexto"/>
        <w:ind w:right="123"/>
        <w:jc w:val="both"/>
      </w:pPr>
      <w:r>
        <w:t>O tratamento deve ser mantido ou interrompido (em casos de remissão, caracterizada pela ausência de sinais e sintomas) baseado na av</w:t>
      </w:r>
      <w:r>
        <w:t>aliação do médico sobre os sintomas e sinais do paciente.</w:t>
      </w:r>
    </w:p>
    <w:p w:rsidR="008C175A" w:rsidRDefault="008C175A">
      <w:pPr>
        <w:jc w:val="both"/>
        <w:sectPr w:rsidR="008C175A">
          <w:pgSz w:w="11910" w:h="16840"/>
          <w:pgMar w:top="620" w:right="600" w:bottom="280" w:left="620" w:header="720" w:footer="720" w:gutter="0"/>
          <w:cols w:space="720"/>
        </w:sectPr>
      </w:pPr>
    </w:p>
    <w:p w:rsidR="008C175A" w:rsidRDefault="000C2793">
      <w:pPr>
        <w:pStyle w:val="PargrafodaLista"/>
        <w:numPr>
          <w:ilvl w:val="1"/>
          <w:numId w:val="2"/>
        </w:numPr>
        <w:tabs>
          <w:tab w:val="left" w:pos="907"/>
        </w:tabs>
        <w:spacing w:before="81"/>
        <w:ind w:left="906" w:hanging="240"/>
        <w:rPr>
          <w:sz w:val="16"/>
        </w:rPr>
      </w:pPr>
      <w:r>
        <w:rPr>
          <w:sz w:val="16"/>
        </w:rPr>
        <w:lastRenderedPageBreak/>
        <w:t>BENEFÍCIOS</w:t>
      </w:r>
      <w:r>
        <w:rPr>
          <w:spacing w:val="-1"/>
          <w:sz w:val="16"/>
        </w:rPr>
        <w:t xml:space="preserve"> </w:t>
      </w:r>
      <w:r>
        <w:rPr>
          <w:sz w:val="16"/>
        </w:rPr>
        <w:t>ESPERADOS</w:t>
      </w:r>
    </w:p>
    <w:p w:rsidR="008C175A" w:rsidRDefault="000C2793">
      <w:pPr>
        <w:pStyle w:val="Corpodetexto"/>
      </w:pPr>
      <w:r>
        <w:t xml:space="preserve">Melhora dos sintomas de dor e dos sinais de inflamação articular e melhora da qualidade de vida. Os reconhecimento e tratamento precoces </w:t>
      </w:r>
      <w:proofErr w:type="gramStart"/>
      <w:r>
        <w:t>da AR</w:t>
      </w:r>
      <w:proofErr w:type="gramEnd"/>
      <w:r>
        <w:t xml:space="preserve"> podem reduzir a morb</w:t>
      </w:r>
      <w:r>
        <w:t>idade e a progressiva incapacidade nos pacientes acometidos – uma população jovem e produtiva(4).</w:t>
      </w:r>
    </w:p>
    <w:p w:rsidR="008C175A" w:rsidRDefault="008C175A">
      <w:pPr>
        <w:pStyle w:val="Corpodetexto"/>
        <w:spacing w:before="2"/>
        <w:ind w:left="0" w:firstLine="0"/>
      </w:pPr>
    </w:p>
    <w:p w:rsidR="008C175A" w:rsidRDefault="000C2793">
      <w:pPr>
        <w:pStyle w:val="Ttulo1"/>
        <w:numPr>
          <w:ilvl w:val="0"/>
          <w:numId w:val="4"/>
        </w:numPr>
        <w:tabs>
          <w:tab w:val="left" w:pos="831"/>
        </w:tabs>
      </w:pPr>
      <w:r>
        <w:t>MONITORIZAÇÃO</w:t>
      </w:r>
    </w:p>
    <w:p w:rsidR="008C175A" w:rsidRDefault="000C2793">
      <w:pPr>
        <w:pStyle w:val="Corpodetexto"/>
        <w:ind w:right="118"/>
        <w:jc w:val="both"/>
      </w:pPr>
      <w:r>
        <w:t>No seguimento dos pacientes é importante avaliar a evolução da doença por meio da avaliação clínica, que inclui sinais de edema articular, pres</w:t>
      </w:r>
      <w:r>
        <w:t xml:space="preserve">ença e tempo de duração de rigidez matinal, dor noturna, número de articulações acometidas, mobilidade da coluna e limitação funcional. A presença de </w:t>
      </w:r>
      <w:proofErr w:type="spellStart"/>
      <w:r>
        <w:t>entesites</w:t>
      </w:r>
      <w:proofErr w:type="spellEnd"/>
      <w:r>
        <w:t xml:space="preserve">, </w:t>
      </w:r>
      <w:proofErr w:type="spellStart"/>
      <w:r>
        <w:t>dactilites</w:t>
      </w:r>
      <w:proofErr w:type="spellEnd"/>
      <w:r>
        <w:t xml:space="preserve">, conjuntivites e uretrites </w:t>
      </w:r>
      <w:proofErr w:type="gramStart"/>
      <w:r>
        <w:t>deve ser também avaliada</w:t>
      </w:r>
      <w:proofErr w:type="gramEnd"/>
      <w:r>
        <w:t>, bem como o estado geral do paci</w:t>
      </w:r>
      <w:r>
        <w:t>ente.</w:t>
      </w:r>
    </w:p>
    <w:p w:rsidR="008C175A" w:rsidRDefault="000C2793">
      <w:pPr>
        <w:pStyle w:val="Corpodetexto"/>
        <w:ind w:right="114"/>
        <w:jc w:val="both"/>
      </w:pPr>
      <w:r>
        <w:t xml:space="preserve">Exames laboratoriais, como hemograma, exame sumário de urina (urina tipo </w:t>
      </w:r>
      <w:proofErr w:type="gramStart"/>
      <w:r>
        <w:t>1</w:t>
      </w:r>
      <w:proofErr w:type="gramEnd"/>
      <w:r>
        <w:t xml:space="preserve">) e VSG devem ser monitorados nas consultas de acompanhamento. Nos casos de AR aguda, as consultas devem inicialmente ter intervalo menor que </w:t>
      </w:r>
      <w:proofErr w:type="gramStart"/>
      <w:r>
        <w:t>1</w:t>
      </w:r>
      <w:proofErr w:type="gramEnd"/>
      <w:r>
        <w:t xml:space="preserve"> mês, sendo progressivamente espaçadas </w:t>
      </w:r>
      <w:r>
        <w:t xml:space="preserve">ao longo do tratamento. Nos </w:t>
      </w:r>
      <w:proofErr w:type="gramStart"/>
      <w:r>
        <w:t>casos de AR crônica</w:t>
      </w:r>
      <w:proofErr w:type="gramEnd"/>
      <w:r>
        <w:t>, as consultas devem ter intervalo de 3-6 meses.</w:t>
      </w:r>
    </w:p>
    <w:p w:rsidR="008C175A" w:rsidRDefault="000C2793">
      <w:pPr>
        <w:pStyle w:val="Corpodetexto"/>
        <w:ind w:right="116"/>
        <w:jc w:val="both"/>
      </w:pPr>
      <w:r>
        <w:t>Em pacientes em uso de AINE devem ser avaliados níveis pressóricos arteriais, sinais de perda de função renal (edema e ganho de peso) e sintomas dispépticos. Se</w:t>
      </w:r>
      <w:r>
        <w:t xml:space="preserve"> houver suspeita de perda de função renal, dosagens de creatinina e </w:t>
      </w:r>
      <w:proofErr w:type="gramStart"/>
      <w:r>
        <w:t>ureia séricas</w:t>
      </w:r>
      <w:proofErr w:type="gramEnd"/>
      <w:r>
        <w:t xml:space="preserve"> devem ser solicitadas. Nos casos de perda de função renal associada </w:t>
      </w:r>
      <w:proofErr w:type="gramStart"/>
      <w:r>
        <w:t>a</w:t>
      </w:r>
      <w:proofErr w:type="gramEnd"/>
      <w:r>
        <w:t xml:space="preserve"> AINE, o medicamento deve ser</w:t>
      </w:r>
      <w:r>
        <w:rPr>
          <w:spacing w:val="-6"/>
        </w:rPr>
        <w:t xml:space="preserve"> </w:t>
      </w:r>
      <w:r>
        <w:t>suspenso.</w:t>
      </w:r>
    </w:p>
    <w:p w:rsidR="008C175A" w:rsidRDefault="000C2793">
      <w:pPr>
        <w:pStyle w:val="Corpodetexto"/>
        <w:ind w:right="117"/>
        <w:jc w:val="both"/>
      </w:pPr>
      <w:r>
        <w:t>Pacientes em uso de glicocorticoide intra-articular devem ser ava</w:t>
      </w:r>
      <w:r>
        <w:t>liados para complicações locais e sistêmicas. As primeiras são infrequentes, podendo ocorrer em decorrência da injeção do glicocorticoide em tendões, podendo levar a ruptura, e nervos, podendo levar a necrose. É importante que em todas as consultas sejam a</w:t>
      </w:r>
      <w:r>
        <w:t xml:space="preserve">valiados sinais clínicos de excesso de glicocorticoides, como fragilidade capilar, presença de giba, estrias violáceas, fácies de lua cheia, fraqueza muscular proximal e hipertensão arterial. O excesso de glicocorticoides pode levar a osteoporose, </w:t>
      </w:r>
      <w:proofErr w:type="spellStart"/>
      <w:r>
        <w:t>miopatia</w:t>
      </w:r>
      <w:proofErr w:type="spellEnd"/>
      <w:r>
        <w:t xml:space="preserve">, hipertensão arterial, diabete </w:t>
      </w:r>
      <w:proofErr w:type="spellStart"/>
      <w:r>
        <w:t>melito</w:t>
      </w:r>
      <w:proofErr w:type="spellEnd"/>
      <w:r>
        <w:t xml:space="preserve"> e catarata.</w:t>
      </w:r>
    </w:p>
    <w:p w:rsidR="008C175A" w:rsidRDefault="000C2793">
      <w:pPr>
        <w:pStyle w:val="Corpodetexto"/>
        <w:ind w:right="113"/>
        <w:jc w:val="both"/>
      </w:pPr>
      <w:r>
        <w:t xml:space="preserve">Pacientes que durante o tratamento com </w:t>
      </w:r>
      <w:proofErr w:type="spellStart"/>
      <w:r>
        <w:t>sulfassalazina</w:t>
      </w:r>
      <w:proofErr w:type="spellEnd"/>
      <w:r>
        <w:t xml:space="preserve"> apresentarem leucopenia (abaixo de 3.000 leucócitos/mm3), contagem de </w:t>
      </w:r>
      <w:proofErr w:type="spellStart"/>
      <w:r>
        <w:t>polimorfonucleares</w:t>
      </w:r>
      <w:proofErr w:type="spellEnd"/>
      <w:r>
        <w:t xml:space="preserve"> abaixo de 1.500/mm3, plaquetas abaixo de 100.000/mm3, diminuição aguda ou progressiva da hemoglobina ou do hemató</w:t>
      </w:r>
      <w:r>
        <w:t xml:space="preserve">crito ou desenvolverem </w:t>
      </w:r>
      <w:proofErr w:type="spellStart"/>
      <w:r>
        <w:t>proteinúria</w:t>
      </w:r>
      <w:proofErr w:type="spellEnd"/>
      <w:r>
        <w:t xml:space="preserve"> devem suspender tratamento com esse </w:t>
      </w:r>
      <w:proofErr w:type="gramStart"/>
      <w:r>
        <w:t>fármaco(</w:t>
      </w:r>
      <w:proofErr w:type="gramEnd"/>
      <w:r>
        <w:t xml:space="preserve">22). Após recuperação das contagens sanguíneas, pacientes com </w:t>
      </w:r>
      <w:proofErr w:type="spellStart"/>
      <w:r>
        <w:t>citopenias</w:t>
      </w:r>
      <w:proofErr w:type="spellEnd"/>
      <w:r>
        <w:t xml:space="preserve"> leves (leucócitos abaixo de 3.000/mm3</w:t>
      </w:r>
      <w:proofErr w:type="gramStart"/>
      <w:r>
        <w:t xml:space="preserve"> mas</w:t>
      </w:r>
      <w:proofErr w:type="gramEnd"/>
      <w:r>
        <w:t xml:space="preserve"> acima de 1.500/mm3, </w:t>
      </w:r>
      <w:proofErr w:type="spellStart"/>
      <w:r>
        <w:t>polimorfonucleares</w:t>
      </w:r>
      <w:proofErr w:type="spellEnd"/>
      <w:r>
        <w:t xml:space="preserve"> abaixo de 1.500/mm3 mas</w:t>
      </w:r>
      <w:r>
        <w:t xml:space="preserve"> acima de 500/mm3 e plaquetas abaixo de 100.000/mm3 mas acima de 50.000/mm3) podem reiniciar o medicamento em dose menor, e manter observação frequente, com realização de hemograma e plaquetas. Nos casos de </w:t>
      </w:r>
      <w:proofErr w:type="spellStart"/>
      <w:r>
        <w:t>citopenias</w:t>
      </w:r>
      <w:proofErr w:type="spellEnd"/>
      <w:r>
        <w:t xml:space="preserve"> graves (leucócitos abaixo de 1.500/mm3</w:t>
      </w:r>
      <w:r>
        <w:t xml:space="preserve">, </w:t>
      </w:r>
      <w:proofErr w:type="spellStart"/>
      <w:r>
        <w:t>polimorfonucleares</w:t>
      </w:r>
      <w:proofErr w:type="spellEnd"/>
      <w:r>
        <w:t xml:space="preserve"> abaixo de 500/mm3 e plaquetas abaixo de 50.000/mm3), a reintrodução de </w:t>
      </w:r>
      <w:proofErr w:type="spellStart"/>
      <w:r>
        <w:t>sulfassalazina</w:t>
      </w:r>
      <w:proofErr w:type="spellEnd"/>
      <w:r>
        <w:t xml:space="preserve"> está contraindicada.</w:t>
      </w:r>
    </w:p>
    <w:p w:rsidR="008C175A" w:rsidRDefault="008C175A">
      <w:pPr>
        <w:pStyle w:val="Corpodetexto"/>
        <w:spacing w:before="2"/>
        <w:ind w:left="0" w:firstLine="0"/>
      </w:pPr>
    </w:p>
    <w:p w:rsidR="008C175A" w:rsidRDefault="000C2793">
      <w:pPr>
        <w:pStyle w:val="Ttulo1"/>
        <w:numPr>
          <w:ilvl w:val="0"/>
          <w:numId w:val="4"/>
        </w:numPr>
        <w:tabs>
          <w:tab w:val="left" w:pos="831"/>
        </w:tabs>
        <w:spacing w:line="182" w:lineRule="exact"/>
      </w:pPr>
      <w:r>
        <w:t>ACOMPANHAMENTO</w:t>
      </w:r>
      <w:r>
        <w:rPr>
          <w:spacing w:val="-4"/>
        </w:rPr>
        <w:t xml:space="preserve"> </w:t>
      </w:r>
      <w:r>
        <w:t>PÓS-TRATAMENTO</w:t>
      </w:r>
    </w:p>
    <w:p w:rsidR="008C175A" w:rsidRDefault="000C2793">
      <w:pPr>
        <w:pStyle w:val="Corpodetexto"/>
        <w:ind w:right="25"/>
      </w:pPr>
      <w:r>
        <w:t>Os pacientes com remissão da doença, sem sequelas, não necessitam de acompanhamento regular espec</w:t>
      </w:r>
      <w:r>
        <w:t>ífico. Pacientes com complicações em decorrência da doença ou do tratamento devem ter acompanhamento mantido e orientado para o problema apresentado, conforme a avaliação da equipe médica assistente.</w:t>
      </w:r>
    </w:p>
    <w:p w:rsidR="008C175A" w:rsidRDefault="008C175A">
      <w:pPr>
        <w:pStyle w:val="Corpodetexto"/>
        <w:spacing w:before="1"/>
        <w:ind w:left="0" w:firstLine="0"/>
      </w:pPr>
    </w:p>
    <w:p w:rsidR="008C175A" w:rsidRDefault="000C2793">
      <w:pPr>
        <w:pStyle w:val="Ttulo1"/>
        <w:numPr>
          <w:ilvl w:val="0"/>
          <w:numId w:val="4"/>
        </w:numPr>
        <w:tabs>
          <w:tab w:val="left" w:pos="910"/>
        </w:tabs>
        <w:ind w:left="909" w:hanging="243"/>
      </w:pPr>
      <w:r>
        <w:t>REGULAÇÃO, CONTROLE E AVALIAÇÃO PELO</w:t>
      </w:r>
      <w:r>
        <w:rPr>
          <w:spacing w:val="-2"/>
        </w:rPr>
        <w:t xml:space="preserve"> </w:t>
      </w:r>
      <w:proofErr w:type="gramStart"/>
      <w:r>
        <w:t>GESTOR</w:t>
      </w:r>
      <w:proofErr w:type="gramEnd"/>
    </w:p>
    <w:p w:rsidR="008C175A" w:rsidRDefault="000C2793">
      <w:pPr>
        <w:pStyle w:val="Corpodetexto"/>
      </w:pPr>
      <w:r>
        <w:t>Devem ser o</w:t>
      </w:r>
      <w:r>
        <w:t>bservados os critérios de inclusão e exclusão de doentes neste Protocolo, a duração e a monitorização do tratamento, bem como a verificação periódica das doses de medicamento(s) prescritas e dispensadas e a adequação de uso e do acompanhamento pós-tratamen</w:t>
      </w:r>
      <w:r>
        <w:t>to.</w:t>
      </w:r>
    </w:p>
    <w:p w:rsidR="008C175A" w:rsidRDefault="000C2793">
      <w:pPr>
        <w:pStyle w:val="Corpodetexto"/>
      </w:pPr>
      <w:r>
        <w:t xml:space="preserve">Verificar na Relação Nacional de Medicamentos </w:t>
      </w:r>
      <w:proofErr w:type="gramStart"/>
      <w:r>
        <w:t>Essenciais (RENAME) vigente</w:t>
      </w:r>
      <w:proofErr w:type="gramEnd"/>
      <w:r>
        <w:t xml:space="preserve"> em qual componente da Assistência Farmacêutica se encontram os medicamentos preconizados neste Protocolo.</w:t>
      </w:r>
    </w:p>
    <w:p w:rsidR="008C175A" w:rsidRDefault="008C175A">
      <w:pPr>
        <w:pStyle w:val="Corpodetexto"/>
        <w:ind w:left="0" w:firstLine="0"/>
      </w:pPr>
    </w:p>
    <w:p w:rsidR="008C175A" w:rsidRDefault="000C2793">
      <w:pPr>
        <w:pStyle w:val="Ttulo1"/>
        <w:numPr>
          <w:ilvl w:val="0"/>
          <w:numId w:val="4"/>
        </w:numPr>
        <w:tabs>
          <w:tab w:val="left" w:pos="907"/>
        </w:tabs>
        <w:spacing w:before="1"/>
        <w:ind w:left="906" w:hanging="240"/>
      </w:pPr>
      <w:r>
        <w:t>TERMO DE ESCLARECIMENTO E RESPONSABILIDADE –</w:t>
      </w:r>
      <w:r>
        <w:rPr>
          <w:spacing w:val="-2"/>
        </w:rPr>
        <w:t xml:space="preserve"> TER</w:t>
      </w:r>
    </w:p>
    <w:p w:rsidR="008C175A" w:rsidRDefault="000C2793">
      <w:pPr>
        <w:pStyle w:val="Corpodetexto"/>
        <w:ind w:right="142"/>
      </w:pPr>
      <w:r>
        <w:t>É obrigatório informar</w:t>
      </w:r>
      <w:r>
        <w:t xml:space="preserve"> ao paciente ou ao seu responsável legal dos potenciais riscos, benefícios e efeitos colaterais ao uso de medicamento preconizado neste Protocolo.</w:t>
      </w:r>
    </w:p>
    <w:p w:rsidR="008C175A" w:rsidRDefault="008C175A">
      <w:pPr>
        <w:pStyle w:val="Corpodetexto"/>
        <w:spacing w:before="2"/>
        <w:ind w:left="0" w:firstLine="0"/>
      </w:pPr>
    </w:p>
    <w:p w:rsidR="008C175A" w:rsidRDefault="000C2793">
      <w:pPr>
        <w:pStyle w:val="Ttulo1"/>
        <w:numPr>
          <w:ilvl w:val="0"/>
          <w:numId w:val="4"/>
        </w:numPr>
        <w:tabs>
          <w:tab w:val="left" w:pos="910"/>
        </w:tabs>
        <w:ind w:left="909" w:hanging="243"/>
      </w:pPr>
      <w:r>
        <w:t>REFERÊNCIAS</w:t>
      </w:r>
      <w:r>
        <w:rPr>
          <w:spacing w:val="-1"/>
        </w:rPr>
        <w:t xml:space="preserve"> </w:t>
      </w:r>
      <w:r>
        <w:t>BIBLIOGRÁFICAS</w:t>
      </w:r>
    </w:p>
    <w:p w:rsidR="008C175A" w:rsidRDefault="000C2793">
      <w:pPr>
        <w:pStyle w:val="PargrafodaLista"/>
        <w:numPr>
          <w:ilvl w:val="0"/>
          <w:numId w:val="1"/>
        </w:numPr>
        <w:tabs>
          <w:tab w:val="left" w:pos="831"/>
        </w:tabs>
        <w:spacing w:line="182" w:lineRule="exact"/>
        <w:ind w:firstLine="566"/>
        <w:rPr>
          <w:sz w:val="16"/>
        </w:rPr>
      </w:pPr>
      <w:proofErr w:type="spellStart"/>
      <w:r w:rsidRPr="000C2793">
        <w:rPr>
          <w:sz w:val="16"/>
          <w:lang w:val="en-US"/>
        </w:rPr>
        <w:t>Anandarajah</w:t>
      </w:r>
      <w:proofErr w:type="spellEnd"/>
      <w:r w:rsidRPr="000C2793">
        <w:rPr>
          <w:sz w:val="16"/>
          <w:lang w:val="en-US"/>
        </w:rPr>
        <w:t xml:space="preserve"> A, </w:t>
      </w:r>
      <w:proofErr w:type="spellStart"/>
      <w:r w:rsidRPr="000C2793">
        <w:rPr>
          <w:sz w:val="16"/>
          <w:lang w:val="en-US"/>
        </w:rPr>
        <w:t>Ritchlin</w:t>
      </w:r>
      <w:proofErr w:type="spellEnd"/>
      <w:r w:rsidRPr="000C2793">
        <w:rPr>
          <w:sz w:val="16"/>
          <w:lang w:val="en-US"/>
        </w:rPr>
        <w:t xml:space="preserve"> CT. Treatment update on </w:t>
      </w:r>
      <w:proofErr w:type="spellStart"/>
      <w:r w:rsidRPr="000C2793">
        <w:rPr>
          <w:sz w:val="16"/>
          <w:lang w:val="en-US"/>
        </w:rPr>
        <w:t>spondyloarthropathy</w:t>
      </w:r>
      <w:proofErr w:type="spellEnd"/>
      <w:r w:rsidRPr="000C2793">
        <w:rPr>
          <w:sz w:val="16"/>
          <w:lang w:val="en-US"/>
        </w:rPr>
        <w:t xml:space="preserve">. </w:t>
      </w:r>
      <w:proofErr w:type="spellStart"/>
      <w:r>
        <w:rPr>
          <w:sz w:val="16"/>
        </w:rPr>
        <w:t>Curr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Opin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Rheumatol</w:t>
      </w:r>
      <w:proofErr w:type="spellEnd"/>
      <w:r>
        <w:rPr>
          <w:sz w:val="16"/>
        </w:rPr>
        <w:t>.</w:t>
      </w:r>
      <w:r>
        <w:rPr>
          <w:spacing w:val="-12"/>
          <w:sz w:val="16"/>
        </w:rPr>
        <w:t xml:space="preserve"> </w:t>
      </w:r>
      <w:proofErr w:type="gramStart"/>
      <w:r>
        <w:rPr>
          <w:sz w:val="16"/>
        </w:rPr>
        <w:t>2005;</w:t>
      </w:r>
      <w:proofErr w:type="gramEnd"/>
      <w:r>
        <w:rPr>
          <w:sz w:val="16"/>
        </w:rPr>
        <w:t>17(3):247-56.</w:t>
      </w:r>
    </w:p>
    <w:p w:rsidR="008C175A" w:rsidRDefault="000C2793">
      <w:pPr>
        <w:pStyle w:val="PargrafodaLista"/>
        <w:numPr>
          <w:ilvl w:val="0"/>
          <w:numId w:val="1"/>
        </w:numPr>
        <w:tabs>
          <w:tab w:val="left" w:pos="831"/>
        </w:tabs>
        <w:ind w:firstLine="566"/>
        <w:rPr>
          <w:sz w:val="16"/>
        </w:rPr>
      </w:pPr>
      <w:proofErr w:type="spellStart"/>
      <w:r w:rsidRPr="000C2793">
        <w:rPr>
          <w:sz w:val="16"/>
          <w:lang w:val="en-US"/>
        </w:rPr>
        <w:t>Hannu</w:t>
      </w:r>
      <w:proofErr w:type="spellEnd"/>
      <w:r w:rsidRPr="000C2793">
        <w:rPr>
          <w:sz w:val="16"/>
          <w:lang w:val="en-US"/>
        </w:rPr>
        <w:t xml:space="preserve"> T. Reactive arthritis. Best </w:t>
      </w:r>
      <w:proofErr w:type="spellStart"/>
      <w:r w:rsidRPr="000C2793">
        <w:rPr>
          <w:sz w:val="16"/>
          <w:lang w:val="en-US"/>
        </w:rPr>
        <w:t>Pract</w:t>
      </w:r>
      <w:proofErr w:type="spellEnd"/>
      <w:r w:rsidRPr="000C2793">
        <w:rPr>
          <w:sz w:val="16"/>
          <w:lang w:val="en-US"/>
        </w:rPr>
        <w:t xml:space="preserve"> Res </w:t>
      </w:r>
      <w:proofErr w:type="spellStart"/>
      <w:r w:rsidRPr="000C2793">
        <w:rPr>
          <w:sz w:val="16"/>
          <w:lang w:val="en-US"/>
        </w:rPr>
        <w:t>Clin</w:t>
      </w:r>
      <w:proofErr w:type="spellEnd"/>
      <w:r w:rsidRPr="000C2793">
        <w:rPr>
          <w:sz w:val="16"/>
          <w:lang w:val="en-US"/>
        </w:rPr>
        <w:t xml:space="preserve"> </w:t>
      </w:r>
      <w:proofErr w:type="spellStart"/>
      <w:r w:rsidRPr="000C2793">
        <w:rPr>
          <w:sz w:val="16"/>
          <w:lang w:val="en-US"/>
        </w:rPr>
        <w:t>Rheumatol</w:t>
      </w:r>
      <w:proofErr w:type="spellEnd"/>
      <w:r w:rsidRPr="000C2793">
        <w:rPr>
          <w:sz w:val="16"/>
          <w:lang w:val="en-US"/>
        </w:rPr>
        <w:t>.</w:t>
      </w:r>
      <w:r w:rsidRPr="000C2793">
        <w:rPr>
          <w:spacing w:val="-5"/>
          <w:sz w:val="16"/>
          <w:lang w:val="en-US"/>
        </w:rPr>
        <w:t xml:space="preserve"> </w:t>
      </w:r>
      <w:proofErr w:type="gramStart"/>
      <w:r>
        <w:rPr>
          <w:sz w:val="16"/>
        </w:rPr>
        <w:t>2011;</w:t>
      </w:r>
      <w:proofErr w:type="gramEnd"/>
      <w:r>
        <w:rPr>
          <w:sz w:val="16"/>
        </w:rPr>
        <w:t>25(3):347-57.</w:t>
      </w:r>
    </w:p>
    <w:p w:rsidR="008C175A" w:rsidRPr="000C2793" w:rsidRDefault="000C2793">
      <w:pPr>
        <w:pStyle w:val="PargrafodaLista"/>
        <w:numPr>
          <w:ilvl w:val="0"/>
          <w:numId w:val="1"/>
        </w:numPr>
        <w:tabs>
          <w:tab w:val="left" w:pos="831"/>
        </w:tabs>
        <w:spacing w:before="1" w:line="240" w:lineRule="auto"/>
        <w:ind w:right="114" w:firstLine="566"/>
        <w:rPr>
          <w:sz w:val="16"/>
          <w:lang w:val="en-US"/>
        </w:rPr>
      </w:pPr>
      <w:r w:rsidRPr="000C2793">
        <w:rPr>
          <w:sz w:val="16"/>
          <w:lang w:val="en-US"/>
        </w:rPr>
        <w:t xml:space="preserve">Inman RD. The </w:t>
      </w:r>
      <w:proofErr w:type="spellStart"/>
      <w:r w:rsidRPr="000C2793">
        <w:rPr>
          <w:sz w:val="16"/>
          <w:lang w:val="en-US"/>
        </w:rPr>
        <w:t>spondyloarthropathies</w:t>
      </w:r>
      <w:proofErr w:type="spellEnd"/>
      <w:r w:rsidRPr="000C2793">
        <w:rPr>
          <w:sz w:val="16"/>
          <w:lang w:val="en-US"/>
        </w:rPr>
        <w:t xml:space="preserve">. In: Goldman </w:t>
      </w:r>
      <w:r w:rsidRPr="000C2793">
        <w:rPr>
          <w:spacing w:val="-3"/>
          <w:sz w:val="16"/>
          <w:lang w:val="en-US"/>
        </w:rPr>
        <w:t xml:space="preserve">L, </w:t>
      </w:r>
      <w:proofErr w:type="spellStart"/>
      <w:r w:rsidRPr="000C2793">
        <w:rPr>
          <w:sz w:val="16"/>
          <w:lang w:val="en-US"/>
        </w:rPr>
        <w:t>Ausiello</w:t>
      </w:r>
      <w:proofErr w:type="spellEnd"/>
      <w:r w:rsidRPr="000C2793">
        <w:rPr>
          <w:sz w:val="16"/>
          <w:lang w:val="en-US"/>
        </w:rPr>
        <w:t xml:space="preserve"> D, edit</w:t>
      </w:r>
      <w:r w:rsidRPr="000C2793">
        <w:rPr>
          <w:sz w:val="16"/>
          <w:lang w:val="en-US"/>
        </w:rPr>
        <w:t xml:space="preserve">ors. Cecil Textbook of Medicine. 22nd ed. Philadelphia: </w:t>
      </w:r>
      <w:r w:rsidRPr="000C2793">
        <w:rPr>
          <w:spacing w:val="3"/>
          <w:sz w:val="16"/>
          <w:lang w:val="en-US"/>
        </w:rPr>
        <w:t xml:space="preserve">WB </w:t>
      </w:r>
      <w:r w:rsidRPr="000C2793">
        <w:rPr>
          <w:sz w:val="16"/>
          <w:lang w:val="en-US"/>
        </w:rPr>
        <w:t>Saunders; 2004. p. 1654-60.</w:t>
      </w:r>
    </w:p>
    <w:p w:rsidR="008C175A" w:rsidRDefault="000C2793">
      <w:pPr>
        <w:pStyle w:val="PargrafodaLista"/>
        <w:numPr>
          <w:ilvl w:val="0"/>
          <w:numId w:val="1"/>
        </w:numPr>
        <w:tabs>
          <w:tab w:val="left" w:pos="809"/>
        </w:tabs>
        <w:spacing w:line="240" w:lineRule="auto"/>
        <w:ind w:right="115" w:firstLine="566"/>
        <w:rPr>
          <w:sz w:val="16"/>
        </w:rPr>
      </w:pPr>
      <w:proofErr w:type="spellStart"/>
      <w:r w:rsidRPr="000C2793">
        <w:rPr>
          <w:sz w:val="16"/>
          <w:lang w:val="en-US"/>
        </w:rPr>
        <w:t>Chudomirova</w:t>
      </w:r>
      <w:proofErr w:type="spellEnd"/>
      <w:r w:rsidRPr="000C2793">
        <w:rPr>
          <w:sz w:val="16"/>
          <w:lang w:val="en-US"/>
        </w:rPr>
        <w:t xml:space="preserve"> K, </w:t>
      </w:r>
      <w:proofErr w:type="spellStart"/>
      <w:r w:rsidRPr="000C2793">
        <w:rPr>
          <w:sz w:val="16"/>
          <w:lang w:val="en-US"/>
        </w:rPr>
        <w:t>Abadjieva</w:t>
      </w:r>
      <w:proofErr w:type="spellEnd"/>
      <w:r w:rsidRPr="000C2793">
        <w:rPr>
          <w:sz w:val="16"/>
          <w:lang w:val="en-US"/>
        </w:rPr>
        <w:t xml:space="preserve"> </w:t>
      </w:r>
      <w:proofErr w:type="spellStart"/>
      <w:r w:rsidRPr="000C2793">
        <w:rPr>
          <w:sz w:val="16"/>
          <w:lang w:val="en-US"/>
        </w:rPr>
        <w:t>Ts</w:t>
      </w:r>
      <w:proofErr w:type="spellEnd"/>
      <w:r w:rsidRPr="000C2793">
        <w:rPr>
          <w:sz w:val="16"/>
          <w:lang w:val="en-US"/>
        </w:rPr>
        <w:t xml:space="preserve">, </w:t>
      </w:r>
      <w:proofErr w:type="spellStart"/>
      <w:r w:rsidRPr="000C2793">
        <w:rPr>
          <w:sz w:val="16"/>
          <w:lang w:val="en-US"/>
        </w:rPr>
        <w:t>Yankova</w:t>
      </w:r>
      <w:proofErr w:type="spellEnd"/>
      <w:r w:rsidRPr="000C2793">
        <w:rPr>
          <w:sz w:val="16"/>
          <w:lang w:val="en-US"/>
        </w:rPr>
        <w:t xml:space="preserve"> R. Clinical tetrad of arthritis, urethritis, conjunctivitis, and </w:t>
      </w:r>
      <w:proofErr w:type="spellStart"/>
      <w:r w:rsidRPr="000C2793">
        <w:rPr>
          <w:sz w:val="16"/>
          <w:lang w:val="en-US"/>
        </w:rPr>
        <w:t>mucocutaneous</w:t>
      </w:r>
      <w:proofErr w:type="spellEnd"/>
      <w:r w:rsidRPr="000C2793">
        <w:rPr>
          <w:sz w:val="16"/>
          <w:lang w:val="en-US"/>
        </w:rPr>
        <w:t xml:space="preserve"> lesions (HLA-B27-associated </w:t>
      </w:r>
      <w:proofErr w:type="spellStart"/>
      <w:r w:rsidRPr="000C2793">
        <w:rPr>
          <w:sz w:val="16"/>
          <w:lang w:val="en-US"/>
        </w:rPr>
        <w:t>spondyloarthropathy</w:t>
      </w:r>
      <w:proofErr w:type="spellEnd"/>
      <w:r w:rsidRPr="000C2793">
        <w:rPr>
          <w:sz w:val="16"/>
          <w:lang w:val="en-US"/>
        </w:rPr>
        <w:t>, Reit</w:t>
      </w:r>
      <w:r w:rsidRPr="000C2793">
        <w:rPr>
          <w:sz w:val="16"/>
          <w:lang w:val="en-US"/>
        </w:rPr>
        <w:t xml:space="preserve">er syndrome): report of a case. </w:t>
      </w:r>
      <w:proofErr w:type="spellStart"/>
      <w:r>
        <w:rPr>
          <w:sz w:val="16"/>
        </w:rPr>
        <w:t>Dermatol</w:t>
      </w:r>
      <w:proofErr w:type="spellEnd"/>
      <w:r>
        <w:rPr>
          <w:sz w:val="16"/>
        </w:rPr>
        <w:t xml:space="preserve"> Online J.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2008;</w:t>
      </w:r>
      <w:proofErr w:type="gramEnd"/>
      <w:r>
        <w:rPr>
          <w:sz w:val="16"/>
        </w:rPr>
        <w:t>14(12):4.</w:t>
      </w:r>
    </w:p>
    <w:p w:rsidR="008C175A" w:rsidRDefault="000C2793">
      <w:pPr>
        <w:pStyle w:val="PargrafodaLista"/>
        <w:numPr>
          <w:ilvl w:val="0"/>
          <w:numId w:val="1"/>
        </w:numPr>
        <w:tabs>
          <w:tab w:val="left" w:pos="809"/>
        </w:tabs>
        <w:ind w:left="808" w:hanging="142"/>
        <w:rPr>
          <w:sz w:val="16"/>
        </w:rPr>
      </w:pPr>
      <w:proofErr w:type="spellStart"/>
      <w:r w:rsidRPr="000C2793">
        <w:rPr>
          <w:sz w:val="16"/>
          <w:lang w:val="en-US"/>
        </w:rPr>
        <w:t>Hamdulay</w:t>
      </w:r>
      <w:proofErr w:type="spellEnd"/>
      <w:r w:rsidRPr="000C2793">
        <w:rPr>
          <w:sz w:val="16"/>
          <w:lang w:val="en-US"/>
        </w:rPr>
        <w:t xml:space="preserve"> SS, </w:t>
      </w:r>
      <w:proofErr w:type="spellStart"/>
      <w:r w:rsidRPr="000C2793">
        <w:rPr>
          <w:sz w:val="16"/>
          <w:lang w:val="en-US"/>
        </w:rPr>
        <w:t>Glynne</w:t>
      </w:r>
      <w:proofErr w:type="spellEnd"/>
      <w:r w:rsidRPr="000C2793">
        <w:rPr>
          <w:sz w:val="16"/>
          <w:lang w:val="en-US"/>
        </w:rPr>
        <w:t xml:space="preserve"> SJ, </w:t>
      </w:r>
      <w:proofErr w:type="spellStart"/>
      <w:r w:rsidRPr="000C2793">
        <w:rPr>
          <w:sz w:val="16"/>
          <w:lang w:val="en-US"/>
        </w:rPr>
        <w:t>Keat</w:t>
      </w:r>
      <w:proofErr w:type="spellEnd"/>
      <w:r w:rsidRPr="000C2793">
        <w:rPr>
          <w:sz w:val="16"/>
          <w:lang w:val="en-US"/>
        </w:rPr>
        <w:t xml:space="preserve"> A. When is arthritis reactive? </w:t>
      </w:r>
      <w:proofErr w:type="spellStart"/>
      <w:r>
        <w:rPr>
          <w:sz w:val="16"/>
        </w:rPr>
        <w:t>Postgrad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Med</w:t>
      </w:r>
      <w:proofErr w:type="spellEnd"/>
      <w:r>
        <w:rPr>
          <w:sz w:val="16"/>
        </w:rPr>
        <w:t xml:space="preserve"> J.</w:t>
      </w:r>
      <w:r>
        <w:rPr>
          <w:spacing w:val="-10"/>
          <w:sz w:val="16"/>
        </w:rPr>
        <w:t xml:space="preserve"> </w:t>
      </w:r>
      <w:proofErr w:type="gramStart"/>
      <w:r>
        <w:rPr>
          <w:sz w:val="16"/>
        </w:rPr>
        <w:t>2006;</w:t>
      </w:r>
      <w:proofErr w:type="gramEnd"/>
      <w:r>
        <w:rPr>
          <w:sz w:val="16"/>
        </w:rPr>
        <w:t>82(969):446-53.</w:t>
      </w:r>
    </w:p>
    <w:p w:rsidR="008C175A" w:rsidRDefault="000C2793">
      <w:pPr>
        <w:pStyle w:val="PargrafodaLista"/>
        <w:numPr>
          <w:ilvl w:val="0"/>
          <w:numId w:val="1"/>
        </w:numPr>
        <w:tabs>
          <w:tab w:val="left" w:pos="831"/>
        </w:tabs>
        <w:ind w:firstLine="566"/>
        <w:rPr>
          <w:sz w:val="16"/>
        </w:rPr>
      </w:pPr>
      <w:proofErr w:type="spellStart"/>
      <w:r w:rsidRPr="000C2793">
        <w:rPr>
          <w:sz w:val="16"/>
          <w:lang w:val="en-US"/>
        </w:rPr>
        <w:t>Laasila</w:t>
      </w:r>
      <w:proofErr w:type="spellEnd"/>
      <w:r w:rsidRPr="000C2793">
        <w:rPr>
          <w:spacing w:val="-1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K,</w:t>
      </w:r>
      <w:r w:rsidRPr="000C2793">
        <w:rPr>
          <w:spacing w:val="-1"/>
          <w:sz w:val="16"/>
          <w:lang w:val="en-US"/>
        </w:rPr>
        <w:t xml:space="preserve"> </w:t>
      </w:r>
      <w:proofErr w:type="spellStart"/>
      <w:r w:rsidRPr="000C2793">
        <w:rPr>
          <w:sz w:val="16"/>
          <w:lang w:val="en-US"/>
        </w:rPr>
        <w:t>Laasonen</w:t>
      </w:r>
      <w:proofErr w:type="spellEnd"/>
      <w:r w:rsidRPr="000C2793">
        <w:rPr>
          <w:spacing w:val="-1"/>
          <w:sz w:val="16"/>
          <w:lang w:val="en-US"/>
        </w:rPr>
        <w:t xml:space="preserve"> </w:t>
      </w:r>
      <w:r w:rsidRPr="000C2793">
        <w:rPr>
          <w:spacing w:val="-3"/>
          <w:sz w:val="16"/>
          <w:lang w:val="en-US"/>
        </w:rPr>
        <w:t>L,</w:t>
      </w:r>
      <w:r w:rsidRPr="000C2793">
        <w:rPr>
          <w:spacing w:val="2"/>
          <w:sz w:val="16"/>
          <w:lang w:val="en-US"/>
        </w:rPr>
        <w:t xml:space="preserve"> </w:t>
      </w:r>
      <w:proofErr w:type="spellStart"/>
      <w:r w:rsidRPr="000C2793">
        <w:rPr>
          <w:sz w:val="16"/>
          <w:lang w:val="en-US"/>
        </w:rPr>
        <w:t>Leirisalo</w:t>
      </w:r>
      <w:proofErr w:type="spellEnd"/>
      <w:r w:rsidRPr="000C2793">
        <w:rPr>
          <w:sz w:val="16"/>
          <w:lang w:val="en-US"/>
        </w:rPr>
        <w:t>-Repo</w:t>
      </w:r>
      <w:r w:rsidRPr="000C2793">
        <w:rPr>
          <w:spacing w:val="-3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M.</w:t>
      </w:r>
      <w:r w:rsidRPr="000C2793">
        <w:rPr>
          <w:spacing w:val="-1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Antibiotic</w:t>
      </w:r>
      <w:r w:rsidRPr="000C2793">
        <w:rPr>
          <w:spacing w:val="-3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treatment</w:t>
      </w:r>
      <w:r w:rsidRPr="000C2793">
        <w:rPr>
          <w:spacing w:val="-1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and long</w:t>
      </w:r>
      <w:r w:rsidRPr="000C2793">
        <w:rPr>
          <w:spacing w:val="-5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term</w:t>
      </w:r>
      <w:r w:rsidRPr="000C2793">
        <w:rPr>
          <w:spacing w:val="-2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prognosis</w:t>
      </w:r>
      <w:r w:rsidRPr="000C2793">
        <w:rPr>
          <w:spacing w:val="-1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of</w:t>
      </w:r>
      <w:r w:rsidRPr="000C2793">
        <w:rPr>
          <w:spacing w:val="-3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reac</w:t>
      </w:r>
      <w:r w:rsidRPr="000C2793">
        <w:rPr>
          <w:sz w:val="16"/>
          <w:lang w:val="en-US"/>
        </w:rPr>
        <w:t>tive</w:t>
      </w:r>
      <w:r w:rsidRPr="000C2793">
        <w:rPr>
          <w:spacing w:val="-3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arthritis.</w:t>
      </w:r>
      <w:r w:rsidRPr="000C2793">
        <w:rPr>
          <w:spacing w:val="-4"/>
          <w:sz w:val="16"/>
          <w:lang w:val="en-US"/>
        </w:rPr>
        <w:t xml:space="preserve"> </w:t>
      </w:r>
      <w:r>
        <w:rPr>
          <w:sz w:val="16"/>
        </w:rPr>
        <w:t>Ann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Rheum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Dis</w:t>
      </w:r>
      <w:proofErr w:type="spellEnd"/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2003;</w:t>
      </w:r>
      <w:proofErr w:type="gramEnd"/>
      <w:r>
        <w:rPr>
          <w:sz w:val="16"/>
        </w:rPr>
        <w:t>62(7):655-8.</w:t>
      </w:r>
    </w:p>
    <w:p w:rsidR="008C175A" w:rsidRDefault="000C2793">
      <w:pPr>
        <w:pStyle w:val="PargrafodaLista"/>
        <w:numPr>
          <w:ilvl w:val="0"/>
          <w:numId w:val="1"/>
        </w:numPr>
        <w:tabs>
          <w:tab w:val="left" w:pos="831"/>
        </w:tabs>
        <w:spacing w:before="1" w:line="240" w:lineRule="auto"/>
        <w:ind w:firstLine="566"/>
        <w:rPr>
          <w:sz w:val="16"/>
        </w:rPr>
      </w:pPr>
      <w:proofErr w:type="spellStart"/>
      <w:r w:rsidRPr="000C2793">
        <w:rPr>
          <w:sz w:val="16"/>
          <w:lang w:val="en-US"/>
        </w:rPr>
        <w:t>Arora</w:t>
      </w:r>
      <w:proofErr w:type="spellEnd"/>
      <w:r w:rsidRPr="000C2793">
        <w:rPr>
          <w:sz w:val="16"/>
          <w:lang w:val="en-US"/>
        </w:rPr>
        <w:t xml:space="preserve"> S, </w:t>
      </w:r>
      <w:proofErr w:type="spellStart"/>
      <w:r w:rsidRPr="000C2793">
        <w:rPr>
          <w:sz w:val="16"/>
          <w:lang w:val="en-US"/>
        </w:rPr>
        <w:t>Arora</w:t>
      </w:r>
      <w:proofErr w:type="spellEnd"/>
      <w:r w:rsidRPr="000C2793">
        <w:rPr>
          <w:sz w:val="16"/>
          <w:lang w:val="en-US"/>
        </w:rPr>
        <w:t xml:space="preserve"> G. Reiter's disease in a six-year-old girl. </w:t>
      </w:r>
      <w:proofErr w:type="spellStart"/>
      <w:r>
        <w:rPr>
          <w:sz w:val="16"/>
        </w:rPr>
        <w:t>Indian</w:t>
      </w:r>
      <w:proofErr w:type="spellEnd"/>
      <w:r>
        <w:rPr>
          <w:sz w:val="16"/>
        </w:rPr>
        <w:t xml:space="preserve"> J </w:t>
      </w:r>
      <w:proofErr w:type="spellStart"/>
      <w:r>
        <w:rPr>
          <w:sz w:val="16"/>
        </w:rPr>
        <w:t>Dermatol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Venereol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Leprol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2005;</w:t>
      </w:r>
      <w:proofErr w:type="gramEnd"/>
      <w:r>
        <w:rPr>
          <w:sz w:val="16"/>
        </w:rPr>
        <w:t>71(4):285-6.</w:t>
      </w:r>
    </w:p>
    <w:p w:rsidR="008C175A" w:rsidRDefault="000C2793">
      <w:pPr>
        <w:pStyle w:val="PargrafodaLista"/>
        <w:numPr>
          <w:ilvl w:val="0"/>
          <w:numId w:val="1"/>
        </w:numPr>
        <w:tabs>
          <w:tab w:val="left" w:pos="831"/>
        </w:tabs>
        <w:spacing w:before="1"/>
        <w:ind w:firstLine="566"/>
        <w:rPr>
          <w:sz w:val="16"/>
        </w:rPr>
      </w:pPr>
      <w:r w:rsidRPr="000C2793">
        <w:rPr>
          <w:sz w:val="16"/>
          <w:lang w:val="en-US"/>
        </w:rPr>
        <w:t>Yu</w:t>
      </w:r>
      <w:r w:rsidRPr="000C2793">
        <w:rPr>
          <w:spacing w:val="-3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DT.</w:t>
      </w:r>
      <w:r w:rsidRPr="000C2793">
        <w:rPr>
          <w:spacing w:val="-2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Reactive</w:t>
      </w:r>
      <w:r w:rsidRPr="000C2793">
        <w:rPr>
          <w:spacing w:val="-5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arthritis</w:t>
      </w:r>
      <w:r w:rsidRPr="000C2793">
        <w:rPr>
          <w:spacing w:val="-4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[Internet].</w:t>
      </w:r>
      <w:r w:rsidRPr="000C2793">
        <w:rPr>
          <w:spacing w:val="-3"/>
          <w:sz w:val="16"/>
          <w:lang w:val="en-US"/>
        </w:rPr>
        <w:t xml:space="preserve"> </w:t>
      </w:r>
      <w:proofErr w:type="spellStart"/>
      <w:proofErr w:type="gramStart"/>
      <w:r>
        <w:rPr>
          <w:sz w:val="16"/>
        </w:rPr>
        <w:t>UpToDate</w:t>
      </w:r>
      <w:proofErr w:type="spellEnd"/>
      <w:proofErr w:type="gramEnd"/>
      <w:r>
        <w:rPr>
          <w:sz w:val="16"/>
        </w:rPr>
        <w:t>;</w:t>
      </w:r>
      <w:r>
        <w:rPr>
          <w:spacing w:val="-4"/>
          <w:sz w:val="16"/>
        </w:rPr>
        <w:t xml:space="preserve"> </w:t>
      </w:r>
      <w:r>
        <w:rPr>
          <w:sz w:val="16"/>
        </w:rPr>
        <w:t>2009</w:t>
      </w:r>
      <w:r>
        <w:rPr>
          <w:spacing w:val="-3"/>
          <w:sz w:val="16"/>
        </w:rPr>
        <w:t xml:space="preserve"> </w:t>
      </w:r>
      <w:r>
        <w:rPr>
          <w:sz w:val="16"/>
        </w:rPr>
        <w:t>[acesso</w:t>
      </w:r>
      <w:r>
        <w:rPr>
          <w:spacing w:val="-4"/>
          <w:sz w:val="16"/>
        </w:rPr>
        <w:t xml:space="preserve"> </w:t>
      </w:r>
      <w:r>
        <w:rPr>
          <w:sz w:val="16"/>
        </w:rPr>
        <w:t>em</w:t>
      </w:r>
      <w:r>
        <w:rPr>
          <w:spacing w:val="-3"/>
          <w:sz w:val="16"/>
        </w:rPr>
        <w:t xml:space="preserve"> </w:t>
      </w:r>
      <w:r>
        <w:rPr>
          <w:sz w:val="16"/>
        </w:rPr>
        <w:t>05/01/2010].</w:t>
      </w:r>
      <w:r>
        <w:rPr>
          <w:spacing w:val="-3"/>
          <w:sz w:val="16"/>
        </w:rPr>
        <w:t xml:space="preserve"> </w:t>
      </w:r>
      <w:r>
        <w:rPr>
          <w:sz w:val="16"/>
        </w:rPr>
        <w:t>Disponível</w:t>
      </w:r>
      <w:r>
        <w:rPr>
          <w:spacing w:val="-3"/>
          <w:sz w:val="16"/>
        </w:rPr>
        <w:t xml:space="preserve"> </w:t>
      </w:r>
      <w:r>
        <w:rPr>
          <w:sz w:val="16"/>
        </w:rPr>
        <w:t>em:</w:t>
      </w:r>
      <w:r>
        <w:rPr>
          <w:spacing w:val="1"/>
          <w:sz w:val="16"/>
        </w:rPr>
        <w:t xml:space="preserve"> </w:t>
      </w:r>
      <w:hyperlink r:id="rId8">
        <w:r>
          <w:rPr>
            <w:sz w:val="16"/>
          </w:rPr>
          <w:t>http://www.uptodate.com/contents/reactive-arthritis</w:t>
        </w:r>
      </w:hyperlink>
    </w:p>
    <w:p w:rsidR="008C175A" w:rsidRDefault="000C2793">
      <w:pPr>
        <w:pStyle w:val="PargrafodaLista"/>
        <w:numPr>
          <w:ilvl w:val="0"/>
          <w:numId w:val="1"/>
        </w:numPr>
        <w:tabs>
          <w:tab w:val="left" w:pos="838"/>
        </w:tabs>
        <w:spacing w:line="240" w:lineRule="auto"/>
        <w:ind w:right="114" w:firstLine="566"/>
        <w:jc w:val="both"/>
        <w:rPr>
          <w:sz w:val="16"/>
        </w:rPr>
      </w:pPr>
      <w:r w:rsidRPr="000C2793">
        <w:rPr>
          <w:sz w:val="16"/>
          <w:lang w:val="en-US"/>
        </w:rPr>
        <w:t xml:space="preserve">Braun J, Kingsley G, van der </w:t>
      </w:r>
      <w:proofErr w:type="spellStart"/>
      <w:r w:rsidRPr="000C2793">
        <w:rPr>
          <w:sz w:val="16"/>
          <w:lang w:val="en-US"/>
        </w:rPr>
        <w:t>Heijde</w:t>
      </w:r>
      <w:proofErr w:type="spellEnd"/>
      <w:r w:rsidRPr="000C2793">
        <w:rPr>
          <w:sz w:val="16"/>
          <w:lang w:val="en-US"/>
        </w:rPr>
        <w:t xml:space="preserve"> D, </w:t>
      </w:r>
      <w:proofErr w:type="spellStart"/>
      <w:r w:rsidRPr="000C2793">
        <w:rPr>
          <w:sz w:val="16"/>
          <w:lang w:val="en-US"/>
        </w:rPr>
        <w:t>Sieper</w:t>
      </w:r>
      <w:proofErr w:type="spellEnd"/>
      <w:r w:rsidRPr="000C2793">
        <w:rPr>
          <w:sz w:val="16"/>
          <w:lang w:val="en-US"/>
        </w:rPr>
        <w:t xml:space="preserve"> J. On the difficulties of establishing a consensus on the definition of and diagnostic investigations for reactive arthritis. Results and discussion of a questionnaire prepared for the 4th International Worksho</w:t>
      </w:r>
      <w:r w:rsidRPr="000C2793">
        <w:rPr>
          <w:sz w:val="16"/>
          <w:lang w:val="en-US"/>
        </w:rPr>
        <w:t xml:space="preserve">p on Reactive Arthritis, Berlin, Germany, July 3-6, 1999. </w:t>
      </w:r>
      <w:r>
        <w:rPr>
          <w:sz w:val="16"/>
        </w:rPr>
        <w:t xml:space="preserve">J </w:t>
      </w:r>
      <w:proofErr w:type="spellStart"/>
      <w:r>
        <w:rPr>
          <w:sz w:val="16"/>
        </w:rPr>
        <w:t>Rheumatol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2000;</w:t>
      </w:r>
      <w:proofErr w:type="gramEnd"/>
      <w:r>
        <w:rPr>
          <w:sz w:val="16"/>
        </w:rPr>
        <w:t>27(9):2185-92.</w:t>
      </w:r>
    </w:p>
    <w:p w:rsidR="008C175A" w:rsidRDefault="000C2793">
      <w:pPr>
        <w:pStyle w:val="PargrafodaLista"/>
        <w:numPr>
          <w:ilvl w:val="0"/>
          <w:numId w:val="1"/>
        </w:numPr>
        <w:tabs>
          <w:tab w:val="left" w:pos="910"/>
        </w:tabs>
        <w:spacing w:line="240" w:lineRule="auto"/>
        <w:ind w:left="909" w:hanging="243"/>
        <w:rPr>
          <w:sz w:val="16"/>
        </w:rPr>
      </w:pPr>
      <w:proofErr w:type="spellStart"/>
      <w:r w:rsidRPr="000C2793">
        <w:rPr>
          <w:sz w:val="16"/>
          <w:lang w:val="en-US"/>
        </w:rPr>
        <w:t>Selmi</w:t>
      </w:r>
      <w:proofErr w:type="spellEnd"/>
      <w:r w:rsidRPr="000C2793">
        <w:rPr>
          <w:sz w:val="16"/>
          <w:lang w:val="en-US"/>
        </w:rPr>
        <w:t xml:space="preserve"> C, Gershwin ME. Diagnosis and classification of reactive arthritis. </w:t>
      </w:r>
      <w:proofErr w:type="spellStart"/>
      <w:r>
        <w:rPr>
          <w:sz w:val="16"/>
        </w:rPr>
        <w:t>Autoimmun</w:t>
      </w:r>
      <w:proofErr w:type="spellEnd"/>
      <w:r>
        <w:rPr>
          <w:sz w:val="16"/>
        </w:rPr>
        <w:t xml:space="preserve"> Rev. </w:t>
      </w:r>
      <w:proofErr w:type="gramStart"/>
      <w:r>
        <w:rPr>
          <w:sz w:val="16"/>
        </w:rPr>
        <w:t>2014;</w:t>
      </w:r>
      <w:proofErr w:type="gramEnd"/>
      <w:r>
        <w:rPr>
          <w:sz w:val="16"/>
        </w:rPr>
        <w:t xml:space="preserve">13(4-5):546-9. </w:t>
      </w:r>
      <w:proofErr w:type="spellStart"/>
      <w:r>
        <w:rPr>
          <w:sz w:val="16"/>
        </w:rPr>
        <w:t>Epub</w:t>
      </w:r>
      <w:proofErr w:type="spellEnd"/>
      <w:r>
        <w:rPr>
          <w:sz w:val="16"/>
        </w:rPr>
        <w:t xml:space="preserve"> 2014 Jan</w:t>
      </w:r>
      <w:r>
        <w:rPr>
          <w:spacing w:val="-24"/>
          <w:sz w:val="16"/>
        </w:rPr>
        <w:t xml:space="preserve"> </w:t>
      </w:r>
      <w:r>
        <w:rPr>
          <w:sz w:val="16"/>
        </w:rPr>
        <w:t>10.</w:t>
      </w:r>
    </w:p>
    <w:p w:rsidR="008C175A" w:rsidRDefault="000C2793">
      <w:pPr>
        <w:pStyle w:val="PargrafodaLista"/>
        <w:numPr>
          <w:ilvl w:val="0"/>
          <w:numId w:val="1"/>
        </w:numPr>
        <w:tabs>
          <w:tab w:val="left" w:pos="910"/>
        </w:tabs>
        <w:spacing w:line="240" w:lineRule="auto"/>
        <w:ind w:left="909" w:hanging="243"/>
        <w:rPr>
          <w:sz w:val="16"/>
        </w:rPr>
      </w:pPr>
      <w:proofErr w:type="spellStart"/>
      <w:r>
        <w:rPr>
          <w:sz w:val="16"/>
        </w:rPr>
        <w:t>Leirisalo-Repo</w:t>
      </w:r>
      <w:proofErr w:type="spellEnd"/>
      <w:r>
        <w:rPr>
          <w:sz w:val="16"/>
        </w:rPr>
        <w:t xml:space="preserve"> M. </w:t>
      </w:r>
      <w:proofErr w:type="spellStart"/>
      <w:r>
        <w:rPr>
          <w:sz w:val="16"/>
        </w:rPr>
        <w:t>Reactive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arthritis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Scand</w:t>
      </w:r>
      <w:proofErr w:type="spellEnd"/>
      <w:r>
        <w:rPr>
          <w:sz w:val="16"/>
        </w:rPr>
        <w:t xml:space="preserve"> J </w:t>
      </w:r>
      <w:proofErr w:type="spellStart"/>
      <w:r>
        <w:rPr>
          <w:sz w:val="16"/>
        </w:rPr>
        <w:t>Rheumatol</w:t>
      </w:r>
      <w:proofErr w:type="spellEnd"/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2005;</w:t>
      </w:r>
      <w:proofErr w:type="gramEnd"/>
      <w:r>
        <w:rPr>
          <w:sz w:val="16"/>
        </w:rPr>
        <w:t>34(4):251-9.</w:t>
      </w:r>
    </w:p>
    <w:p w:rsidR="008C175A" w:rsidRDefault="000C2793">
      <w:pPr>
        <w:pStyle w:val="PargrafodaLista"/>
        <w:numPr>
          <w:ilvl w:val="0"/>
          <w:numId w:val="1"/>
        </w:numPr>
        <w:tabs>
          <w:tab w:val="left" w:pos="931"/>
        </w:tabs>
        <w:spacing w:before="2" w:line="240" w:lineRule="auto"/>
        <w:ind w:right="119" w:firstLine="566"/>
        <w:rPr>
          <w:sz w:val="16"/>
        </w:rPr>
      </w:pPr>
      <w:proofErr w:type="spellStart"/>
      <w:r>
        <w:rPr>
          <w:sz w:val="16"/>
        </w:rPr>
        <w:t>Verztman</w:t>
      </w:r>
      <w:proofErr w:type="spellEnd"/>
      <w:r>
        <w:rPr>
          <w:sz w:val="16"/>
        </w:rPr>
        <w:t xml:space="preserve"> JF, Leite NH, </w:t>
      </w:r>
      <w:proofErr w:type="spellStart"/>
      <w:r>
        <w:rPr>
          <w:sz w:val="16"/>
        </w:rPr>
        <w:t>Goldfarb</w:t>
      </w:r>
      <w:proofErr w:type="spellEnd"/>
      <w:r>
        <w:rPr>
          <w:sz w:val="16"/>
        </w:rPr>
        <w:t xml:space="preserve"> M, Guimarães S, Nava JJ, </w:t>
      </w:r>
      <w:proofErr w:type="spellStart"/>
      <w:r>
        <w:rPr>
          <w:sz w:val="16"/>
        </w:rPr>
        <w:t>Manhães</w:t>
      </w:r>
      <w:proofErr w:type="spellEnd"/>
      <w:r>
        <w:rPr>
          <w:sz w:val="16"/>
        </w:rPr>
        <w:t xml:space="preserve"> LM. Manifestações </w:t>
      </w:r>
      <w:proofErr w:type="spellStart"/>
      <w:r>
        <w:rPr>
          <w:sz w:val="16"/>
        </w:rPr>
        <w:t>reumatológicas</w:t>
      </w:r>
      <w:proofErr w:type="spellEnd"/>
      <w:r>
        <w:rPr>
          <w:sz w:val="16"/>
        </w:rPr>
        <w:t xml:space="preserve"> da AIDS estudo de 72 casos. Revista Médica.</w:t>
      </w:r>
      <w:r>
        <w:rPr>
          <w:spacing w:val="-3"/>
          <w:sz w:val="16"/>
        </w:rPr>
        <w:t xml:space="preserve"> </w:t>
      </w:r>
      <w:r>
        <w:rPr>
          <w:sz w:val="16"/>
        </w:rPr>
        <w:t>36(4)</w:t>
      </w:r>
      <w:proofErr w:type="gramStart"/>
      <w:r>
        <w:rPr>
          <w:sz w:val="16"/>
        </w:rPr>
        <w:t>H.S.</w:t>
      </w:r>
      <w:proofErr w:type="gramEnd"/>
      <w:r>
        <w:rPr>
          <w:sz w:val="16"/>
        </w:rPr>
        <w:t>E/R.J./M.S./DATASUS/2009.</w:t>
      </w:r>
    </w:p>
    <w:p w:rsidR="008C175A" w:rsidRDefault="000C2793">
      <w:pPr>
        <w:pStyle w:val="PargrafodaLista"/>
        <w:numPr>
          <w:ilvl w:val="0"/>
          <w:numId w:val="1"/>
        </w:numPr>
        <w:tabs>
          <w:tab w:val="left" w:pos="948"/>
        </w:tabs>
        <w:spacing w:line="240" w:lineRule="auto"/>
        <w:ind w:right="119" w:firstLine="566"/>
        <w:rPr>
          <w:sz w:val="16"/>
        </w:rPr>
      </w:pPr>
      <w:proofErr w:type="spellStart"/>
      <w:r w:rsidRPr="000C2793">
        <w:rPr>
          <w:sz w:val="16"/>
          <w:lang w:val="en-US"/>
        </w:rPr>
        <w:t>Maksymowych</w:t>
      </w:r>
      <w:proofErr w:type="spellEnd"/>
      <w:r w:rsidRPr="000C2793">
        <w:rPr>
          <w:sz w:val="16"/>
          <w:lang w:val="en-US"/>
        </w:rPr>
        <w:t xml:space="preserve"> WP, </w:t>
      </w:r>
      <w:proofErr w:type="spellStart"/>
      <w:r w:rsidRPr="000C2793">
        <w:rPr>
          <w:sz w:val="16"/>
          <w:lang w:val="en-US"/>
        </w:rPr>
        <w:t>Breban</w:t>
      </w:r>
      <w:proofErr w:type="spellEnd"/>
      <w:r w:rsidRPr="000C2793">
        <w:rPr>
          <w:sz w:val="16"/>
          <w:lang w:val="en-US"/>
        </w:rPr>
        <w:t xml:space="preserve"> M, Braun J. </w:t>
      </w:r>
      <w:proofErr w:type="spellStart"/>
      <w:r w:rsidRPr="000C2793">
        <w:rPr>
          <w:sz w:val="16"/>
          <w:lang w:val="en-US"/>
        </w:rPr>
        <w:t>Ankylos</w:t>
      </w:r>
      <w:r w:rsidRPr="000C2793">
        <w:rPr>
          <w:sz w:val="16"/>
          <w:lang w:val="en-US"/>
        </w:rPr>
        <w:t>ing</w:t>
      </w:r>
      <w:proofErr w:type="spellEnd"/>
      <w:r w:rsidRPr="000C2793">
        <w:rPr>
          <w:sz w:val="16"/>
          <w:lang w:val="en-US"/>
        </w:rPr>
        <w:t xml:space="preserve"> spondylitis and current disease-controlling agents: do they work? </w:t>
      </w:r>
      <w:r>
        <w:rPr>
          <w:sz w:val="16"/>
        </w:rPr>
        <w:t xml:space="preserve">Best </w:t>
      </w:r>
      <w:proofErr w:type="spellStart"/>
      <w:r>
        <w:rPr>
          <w:sz w:val="16"/>
        </w:rPr>
        <w:t>Pract</w:t>
      </w:r>
      <w:proofErr w:type="spellEnd"/>
      <w:r>
        <w:rPr>
          <w:sz w:val="16"/>
        </w:rPr>
        <w:t xml:space="preserve"> Res </w:t>
      </w:r>
      <w:proofErr w:type="spellStart"/>
      <w:r>
        <w:rPr>
          <w:sz w:val="16"/>
        </w:rPr>
        <w:t>Clin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Rheumatol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2002;</w:t>
      </w:r>
      <w:proofErr w:type="gramEnd"/>
      <w:r>
        <w:rPr>
          <w:sz w:val="16"/>
        </w:rPr>
        <w:t>16(4):619-30.</w:t>
      </w:r>
    </w:p>
    <w:p w:rsidR="008C175A" w:rsidRDefault="000C2793">
      <w:pPr>
        <w:pStyle w:val="PargrafodaLista"/>
        <w:numPr>
          <w:ilvl w:val="0"/>
          <w:numId w:val="1"/>
        </w:numPr>
        <w:tabs>
          <w:tab w:val="left" w:pos="910"/>
        </w:tabs>
        <w:ind w:left="909" w:hanging="243"/>
        <w:rPr>
          <w:sz w:val="16"/>
        </w:rPr>
      </w:pPr>
      <w:proofErr w:type="spellStart"/>
      <w:r w:rsidRPr="000C2793">
        <w:rPr>
          <w:sz w:val="16"/>
          <w:lang w:val="en-US"/>
        </w:rPr>
        <w:t>Sampaio</w:t>
      </w:r>
      <w:proofErr w:type="spellEnd"/>
      <w:r w:rsidRPr="000C2793">
        <w:rPr>
          <w:sz w:val="16"/>
          <w:lang w:val="en-US"/>
        </w:rPr>
        <w:t xml:space="preserve">-Barros PD. Epidemiology of </w:t>
      </w:r>
      <w:proofErr w:type="spellStart"/>
      <w:r w:rsidRPr="000C2793">
        <w:rPr>
          <w:sz w:val="16"/>
          <w:lang w:val="en-US"/>
        </w:rPr>
        <w:t>spondyloarthritis</w:t>
      </w:r>
      <w:proofErr w:type="spellEnd"/>
      <w:r w:rsidRPr="000C2793">
        <w:rPr>
          <w:sz w:val="16"/>
          <w:lang w:val="en-US"/>
        </w:rPr>
        <w:t xml:space="preserve"> in Brazil. </w:t>
      </w:r>
      <w:proofErr w:type="spellStart"/>
      <w:proofErr w:type="gramStart"/>
      <w:r>
        <w:rPr>
          <w:sz w:val="16"/>
        </w:rPr>
        <w:t>Am</w:t>
      </w:r>
      <w:proofErr w:type="spellEnd"/>
      <w:proofErr w:type="gramEnd"/>
      <w:r>
        <w:rPr>
          <w:sz w:val="16"/>
        </w:rPr>
        <w:t xml:space="preserve"> J </w:t>
      </w:r>
      <w:proofErr w:type="spellStart"/>
      <w:r>
        <w:rPr>
          <w:sz w:val="16"/>
        </w:rPr>
        <w:t>Med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Sci</w:t>
      </w:r>
      <w:proofErr w:type="spellEnd"/>
      <w:r>
        <w:rPr>
          <w:sz w:val="16"/>
        </w:rPr>
        <w:t>.</w:t>
      </w:r>
      <w:r>
        <w:rPr>
          <w:spacing w:val="-16"/>
          <w:sz w:val="16"/>
        </w:rPr>
        <w:t xml:space="preserve"> </w:t>
      </w:r>
      <w:proofErr w:type="gramStart"/>
      <w:r>
        <w:rPr>
          <w:sz w:val="16"/>
        </w:rPr>
        <w:t>2011;</w:t>
      </w:r>
      <w:proofErr w:type="gramEnd"/>
      <w:r>
        <w:rPr>
          <w:sz w:val="16"/>
        </w:rPr>
        <w:t>341(4):287-8.</w:t>
      </w:r>
    </w:p>
    <w:p w:rsidR="008C175A" w:rsidRDefault="000C2793">
      <w:pPr>
        <w:pStyle w:val="PargrafodaLista"/>
        <w:numPr>
          <w:ilvl w:val="0"/>
          <w:numId w:val="1"/>
        </w:numPr>
        <w:tabs>
          <w:tab w:val="left" w:pos="919"/>
        </w:tabs>
        <w:spacing w:line="240" w:lineRule="auto"/>
        <w:ind w:right="121" w:firstLine="566"/>
        <w:rPr>
          <w:sz w:val="16"/>
        </w:rPr>
      </w:pPr>
      <w:proofErr w:type="spellStart"/>
      <w:r>
        <w:rPr>
          <w:sz w:val="16"/>
        </w:rPr>
        <w:t>Yli-Kerttula</w:t>
      </w:r>
      <w:proofErr w:type="spellEnd"/>
      <w:r>
        <w:rPr>
          <w:sz w:val="16"/>
        </w:rPr>
        <w:t xml:space="preserve"> T, </w:t>
      </w:r>
      <w:proofErr w:type="spellStart"/>
      <w:r>
        <w:rPr>
          <w:sz w:val="16"/>
        </w:rPr>
        <w:t>Luukkainen</w:t>
      </w:r>
      <w:proofErr w:type="spellEnd"/>
      <w:r>
        <w:rPr>
          <w:sz w:val="16"/>
        </w:rPr>
        <w:t xml:space="preserve"> R, </w:t>
      </w:r>
      <w:proofErr w:type="spellStart"/>
      <w:r>
        <w:rPr>
          <w:sz w:val="16"/>
        </w:rPr>
        <w:t>Yli-Kertt</w:t>
      </w:r>
      <w:r>
        <w:rPr>
          <w:sz w:val="16"/>
        </w:rPr>
        <w:t>ula</w:t>
      </w:r>
      <w:proofErr w:type="spellEnd"/>
      <w:r>
        <w:rPr>
          <w:sz w:val="16"/>
        </w:rPr>
        <w:t xml:space="preserve"> U, </w:t>
      </w:r>
      <w:proofErr w:type="spellStart"/>
      <w:r>
        <w:rPr>
          <w:sz w:val="16"/>
        </w:rPr>
        <w:t>Möttönen</w:t>
      </w:r>
      <w:proofErr w:type="spellEnd"/>
      <w:r>
        <w:rPr>
          <w:sz w:val="16"/>
        </w:rPr>
        <w:t xml:space="preserve"> T, </w:t>
      </w:r>
      <w:proofErr w:type="spellStart"/>
      <w:r>
        <w:rPr>
          <w:sz w:val="16"/>
        </w:rPr>
        <w:t>Hakola</w:t>
      </w:r>
      <w:proofErr w:type="spellEnd"/>
      <w:r>
        <w:rPr>
          <w:sz w:val="16"/>
        </w:rPr>
        <w:t xml:space="preserve"> M, </w:t>
      </w:r>
      <w:proofErr w:type="spellStart"/>
      <w:r>
        <w:rPr>
          <w:sz w:val="16"/>
        </w:rPr>
        <w:t>Korpela</w:t>
      </w:r>
      <w:proofErr w:type="spellEnd"/>
      <w:r>
        <w:rPr>
          <w:sz w:val="16"/>
        </w:rPr>
        <w:t xml:space="preserve"> M,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0C2793">
        <w:rPr>
          <w:sz w:val="16"/>
          <w:lang w:val="en-US"/>
        </w:rPr>
        <w:t xml:space="preserve">Effect of a three month course of ciprofloxacin on the late prognosis of reactive arthritis. </w:t>
      </w:r>
      <w:r>
        <w:rPr>
          <w:spacing w:val="-2"/>
          <w:sz w:val="16"/>
        </w:rPr>
        <w:t xml:space="preserve">Ann </w:t>
      </w:r>
      <w:proofErr w:type="spellStart"/>
      <w:r>
        <w:rPr>
          <w:sz w:val="16"/>
        </w:rPr>
        <w:t>Rheum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Dis</w:t>
      </w:r>
      <w:proofErr w:type="spellEnd"/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2003;</w:t>
      </w:r>
      <w:proofErr w:type="gramEnd"/>
      <w:r>
        <w:rPr>
          <w:sz w:val="16"/>
        </w:rPr>
        <w:t>62(9):880-4.</w:t>
      </w:r>
    </w:p>
    <w:p w:rsidR="008C175A" w:rsidRDefault="000C2793">
      <w:pPr>
        <w:pStyle w:val="PargrafodaLista"/>
        <w:numPr>
          <w:ilvl w:val="0"/>
          <w:numId w:val="1"/>
        </w:numPr>
        <w:tabs>
          <w:tab w:val="left" w:pos="919"/>
        </w:tabs>
        <w:spacing w:line="240" w:lineRule="auto"/>
        <w:ind w:right="117" w:firstLine="566"/>
        <w:rPr>
          <w:sz w:val="16"/>
        </w:rPr>
      </w:pPr>
      <w:r w:rsidRPr="000C2793">
        <w:rPr>
          <w:sz w:val="16"/>
          <w:lang w:val="en-US"/>
        </w:rPr>
        <w:t xml:space="preserve">Bernini </w:t>
      </w:r>
      <w:r w:rsidRPr="000C2793">
        <w:rPr>
          <w:spacing w:val="-3"/>
          <w:sz w:val="16"/>
          <w:lang w:val="en-US"/>
        </w:rPr>
        <w:t xml:space="preserve">L, </w:t>
      </w:r>
      <w:proofErr w:type="spellStart"/>
      <w:r w:rsidRPr="000C2793">
        <w:rPr>
          <w:sz w:val="16"/>
          <w:lang w:val="en-US"/>
        </w:rPr>
        <w:t>Manzini</w:t>
      </w:r>
      <w:proofErr w:type="spellEnd"/>
      <w:r w:rsidRPr="000C2793">
        <w:rPr>
          <w:sz w:val="16"/>
          <w:lang w:val="en-US"/>
        </w:rPr>
        <w:t xml:space="preserve"> CU, </w:t>
      </w:r>
      <w:proofErr w:type="spellStart"/>
      <w:r w:rsidRPr="000C2793">
        <w:rPr>
          <w:sz w:val="16"/>
          <w:lang w:val="en-US"/>
        </w:rPr>
        <w:t>Giuggioli</w:t>
      </w:r>
      <w:proofErr w:type="spellEnd"/>
      <w:r w:rsidRPr="000C2793">
        <w:rPr>
          <w:sz w:val="16"/>
          <w:lang w:val="en-US"/>
        </w:rPr>
        <w:t xml:space="preserve"> D, </w:t>
      </w:r>
      <w:proofErr w:type="spellStart"/>
      <w:r w:rsidRPr="000C2793">
        <w:rPr>
          <w:sz w:val="16"/>
          <w:lang w:val="en-US"/>
        </w:rPr>
        <w:t>Sebastiani</w:t>
      </w:r>
      <w:proofErr w:type="spellEnd"/>
      <w:r w:rsidRPr="000C2793">
        <w:rPr>
          <w:sz w:val="16"/>
          <w:lang w:val="en-US"/>
        </w:rPr>
        <w:t xml:space="preserve"> M, </w:t>
      </w:r>
      <w:proofErr w:type="spellStart"/>
      <w:r w:rsidRPr="000C2793">
        <w:rPr>
          <w:sz w:val="16"/>
          <w:lang w:val="en-US"/>
        </w:rPr>
        <w:t>Ferri</w:t>
      </w:r>
      <w:proofErr w:type="spellEnd"/>
      <w:r w:rsidRPr="000C2793">
        <w:rPr>
          <w:sz w:val="16"/>
          <w:lang w:val="en-US"/>
        </w:rPr>
        <w:t xml:space="preserve"> C. Reactive arthritis induc</w:t>
      </w:r>
      <w:r w:rsidRPr="000C2793">
        <w:rPr>
          <w:sz w:val="16"/>
          <w:lang w:val="en-US"/>
        </w:rPr>
        <w:t xml:space="preserve">ed by </w:t>
      </w:r>
      <w:proofErr w:type="spellStart"/>
      <w:r w:rsidRPr="000C2793">
        <w:rPr>
          <w:sz w:val="16"/>
          <w:lang w:val="en-US"/>
        </w:rPr>
        <w:t>intravesical</w:t>
      </w:r>
      <w:proofErr w:type="spellEnd"/>
      <w:r w:rsidRPr="000C2793">
        <w:rPr>
          <w:sz w:val="16"/>
          <w:lang w:val="en-US"/>
        </w:rPr>
        <w:t xml:space="preserve"> BCG therapy for bladder cancer: our clinical experience and systematic review of the literature. </w:t>
      </w:r>
      <w:proofErr w:type="spellStart"/>
      <w:r>
        <w:rPr>
          <w:sz w:val="16"/>
        </w:rPr>
        <w:t>Autoimmun</w:t>
      </w:r>
      <w:proofErr w:type="spellEnd"/>
      <w:r>
        <w:rPr>
          <w:sz w:val="16"/>
        </w:rPr>
        <w:t xml:space="preserve"> Rev. </w:t>
      </w:r>
      <w:proofErr w:type="gramStart"/>
      <w:r>
        <w:rPr>
          <w:sz w:val="16"/>
        </w:rPr>
        <w:t>2013;</w:t>
      </w:r>
      <w:proofErr w:type="gramEnd"/>
      <w:r>
        <w:rPr>
          <w:sz w:val="16"/>
        </w:rPr>
        <w:t xml:space="preserve">12(12):1150-9. </w:t>
      </w:r>
      <w:proofErr w:type="spellStart"/>
      <w:r>
        <w:rPr>
          <w:sz w:val="16"/>
        </w:rPr>
        <w:t>Epub</w:t>
      </w:r>
      <w:proofErr w:type="spellEnd"/>
      <w:r>
        <w:rPr>
          <w:sz w:val="16"/>
        </w:rPr>
        <w:t xml:space="preserve"> 2013 </w:t>
      </w:r>
      <w:proofErr w:type="spellStart"/>
      <w:r>
        <w:rPr>
          <w:sz w:val="16"/>
        </w:rPr>
        <w:t>Jun</w:t>
      </w:r>
      <w:proofErr w:type="spellEnd"/>
      <w:r>
        <w:rPr>
          <w:spacing w:val="-16"/>
          <w:sz w:val="16"/>
        </w:rPr>
        <w:t xml:space="preserve"> </w:t>
      </w:r>
      <w:r>
        <w:rPr>
          <w:sz w:val="16"/>
        </w:rPr>
        <w:t>29.</w:t>
      </w:r>
    </w:p>
    <w:p w:rsidR="008C175A" w:rsidRDefault="000C2793">
      <w:pPr>
        <w:pStyle w:val="PargrafodaLista"/>
        <w:numPr>
          <w:ilvl w:val="0"/>
          <w:numId w:val="1"/>
        </w:numPr>
        <w:tabs>
          <w:tab w:val="left" w:pos="907"/>
        </w:tabs>
        <w:ind w:left="906" w:hanging="240"/>
        <w:rPr>
          <w:sz w:val="16"/>
        </w:rPr>
      </w:pPr>
      <w:proofErr w:type="spellStart"/>
      <w:r w:rsidRPr="000C2793">
        <w:rPr>
          <w:sz w:val="16"/>
          <w:lang w:val="en-US"/>
        </w:rPr>
        <w:t>Mease</w:t>
      </w:r>
      <w:proofErr w:type="spellEnd"/>
      <w:r w:rsidRPr="000C2793">
        <w:rPr>
          <w:spacing w:val="-6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PJ.</w:t>
      </w:r>
      <w:r w:rsidRPr="000C2793">
        <w:rPr>
          <w:spacing w:val="-2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Disease-modifying</w:t>
      </w:r>
      <w:r w:rsidRPr="000C2793">
        <w:rPr>
          <w:spacing w:val="-4"/>
          <w:sz w:val="16"/>
          <w:lang w:val="en-US"/>
        </w:rPr>
        <w:t xml:space="preserve"> </w:t>
      </w:r>
      <w:proofErr w:type="spellStart"/>
      <w:r w:rsidRPr="000C2793">
        <w:rPr>
          <w:sz w:val="16"/>
          <w:lang w:val="en-US"/>
        </w:rPr>
        <w:t>antirheumatic</w:t>
      </w:r>
      <w:proofErr w:type="spellEnd"/>
      <w:r w:rsidRPr="000C2793">
        <w:rPr>
          <w:spacing w:val="-6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drug</w:t>
      </w:r>
      <w:r w:rsidRPr="000C2793">
        <w:rPr>
          <w:spacing w:val="-4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therapy</w:t>
      </w:r>
      <w:r w:rsidRPr="000C2793">
        <w:rPr>
          <w:spacing w:val="-6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for</w:t>
      </w:r>
      <w:r w:rsidRPr="000C2793">
        <w:rPr>
          <w:spacing w:val="-4"/>
          <w:sz w:val="16"/>
          <w:lang w:val="en-US"/>
        </w:rPr>
        <w:t xml:space="preserve"> </w:t>
      </w:r>
      <w:proofErr w:type="spellStart"/>
      <w:r w:rsidRPr="000C2793">
        <w:rPr>
          <w:sz w:val="16"/>
          <w:lang w:val="en-US"/>
        </w:rPr>
        <w:t>spondyloarthropathies</w:t>
      </w:r>
      <w:proofErr w:type="spellEnd"/>
      <w:r w:rsidRPr="000C2793">
        <w:rPr>
          <w:sz w:val="16"/>
          <w:lang w:val="en-US"/>
        </w:rPr>
        <w:t>:</w:t>
      </w:r>
      <w:r w:rsidRPr="000C2793">
        <w:rPr>
          <w:spacing w:val="-5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advances</w:t>
      </w:r>
      <w:r w:rsidRPr="000C2793">
        <w:rPr>
          <w:spacing w:val="-3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in</w:t>
      </w:r>
      <w:r w:rsidRPr="000C2793">
        <w:rPr>
          <w:spacing w:val="-2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treatment.</w:t>
      </w:r>
      <w:r w:rsidRPr="000C2793">
        <w:rPr>
          <w:spacing w:val="-6"/>
          <w:sz w:val="16"/>
          <w:lang w:val="en-US"/>
        </w:rPr>
        <w:t xml:space="preserve"> </w:t>
      </w:r>
      <w:proofErr w:type="spellStart"/>
      <w:r>
        <w:rPr>
          <w:sz w:val="16"/>
        </w:rPr>
        <w:t>Curr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Opin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Rheumatol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2003;</w:t>
      </w:r>
      <w:proofErr w:type="gramEnd"/>
      <w:r>
        <w:rPr>
          <w:sz w:val="16"/>
        </w:rPr>
        <w:t>15(3):205-12.</w:t>
      </w:r>
    </w:p>
    <w:p w:rsidR="008C175A" w:rsidRDefault="000C2793">
      <w:pPr>
        <w:pStyle w:val="PargrafodaLista"/>
        <w:numPr>
          <w:ilvl w:val="0"/>
          <w:numId w:val="1"/>
        </w:numPr>
        <w:tabs>
          <w:tab w:val="left" w:pos="931"/>
        </w:tabs>
        <w:spacing w:line="240" w:lineRule="auto"/>
        <w:ind w:right="115" w:firstLine="566"/>
        <w:rPr>
          <w:sz w:val="16"/>
        </w:rPr>
      </w:pPr>
      <w:proofErr w:type="spellStart"/>
      <w:r w:rsidRPr="000C2793">
        <w:rPr>
          <w:sz w:val="16"/>
          <w:lang w:val="en-US"/>
        </w:rPr>
        <w:t>Putschky</w:t>
      </w:r>
      <w:proofErr w:type="spellEnd"/>
      <w:r w:rsidRPr="000C2793">
        <w:rPr>
          <w:sz w:val="16"/>
          <w:lang w:val="en-US"/>
        </w:rPr>
        <w:t xml:space="preserve"> N, </w:t>
      </w:r>
      <w:proofErr w:type="spellStart"/>
      <w:r w:rsidRPr="000C2793">
        <w:rPr>
          <w:sz w:val="16"/>
          <w:lang w:val="en-US"/>
        </w:rPr>
        <w:t>Pott</w:t>
      </w:r>
      <w:proofErr w:type="spellEnd"/>
      <w:r w:rsidRPr="000C2793">
        <w:rPr>
          <w:sz w:val="16"/>
          <w:lang w:val="en-US"/>
        </w:rPr>
        <w:t xml:space="preserve"> HG, </w:t>
      </w:r>
      <w:proofErr w:type="spellStart"/>
      <w:r w:rsidRPr="000C2793">
        <w:rPr>
          <w:sz w:val="16"/>
          <w:lang w:val="en-US"/>
        </w:rPr>
        <w:t>Kuipers</w:t>
      </w:r>
      <w:proofErr w:type="spellEnd"/>
      <w:r w:rsidRPr="000C2793">
        <w:rPr>
          <w:sz w:val="16"/>
          <w:lang w:val="en-US"/>
        </w:rPr>
        <w:t xml:space="preserve"> </w:t>
      </w:r>
      <w:r w:rsidRPr="000C2793">
        <w:rPr>
          <w:spacing w:val="-3"/>
          <w:sz w:val="16"/>
          <w:lang w:val="en-US"/>
        </w:rPr>
        <w:t xml:space="preserve">JG, </w:t>
      </w:r>
      <w:proofErr w:type="spellStart"/>
      <w:r w:rsidRPr="000C2793">
        <w:rPr>
          <w:sz w:val="16"/>
          <w:lang w:val="en-US"/>
        </w:rPr>
        <w:t>Zeidler</w:t>
      </w:r>
      <w:proofErr w:type="spellEnd"/>
      <w:r w:rsidRPr="000C2793">
        <w:rPr>
          <w:sz w:val="16"/>
          <w:lang w:val="en-US"/>
        </w:rPr>
        <w:t xml:space="preserve"> H, Hammer M, </w:t>
      </w:r>
      <w:proofErr w:type="spellStart"/>
      <w:r w:rsidRPr="000C2793">
        <w:rPr>
          <w:sz w:val="16"/>
          <w:lang w:val="en-US"/>
        </w:rPr>
        <w:t>Wollenhaupt</w:t>
      </w:r>
      <w:proofErr w:type="spellEnd"/>
      <w:r w:rsidRPr="000C2793">
        <w:rPr>
          <w:sz w:val="16"/>
          <w:lang w:val="en-US"/>
        </w:rPr>
        <w:t xml:space="preserve"> J. Comparing 10-day and 4-month doxycycline courses for treatment of Chlamydia trachomatis-reactive arthritis: a prospective, double-blind trial. </w:t>
      </w:r>
      <w:r>
        <w:rPr>
          <w:sz w:val="16"/>
        </w:rPr>
        <w:t xml:space="preserve">Ann </w:t>
      </w:r>
      <w:proofErr w:type="spellStart"/>
      <w:r>
        <w:rPr>
          <w:sz w:val="16"/>
        </w:rPr>
        <w:t>Rheum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Dis</w:t>
      </w:r>
      <w:proofErr w:type="spellEnd"/>
      <w:r>
        <w:rPr>
          <w:sz w:val="16"/>
        </w:rPr>
        <w:t>.</w:t>
      </w:r>
      <w:r>
        <w:rPr>
          <w:spacing w:val="-19"/>
          <w:sz w:val="16"/>
        </w:rPr>
        <w:t xml:space="preserve"> </w:t>
      </w:r>
      <w:proofErr w:type="gramStart"/>
      <w:r>
        <w:rPr>
          <w:sz w:val="16"/>
        </w:rPr>
        <w:t>2006;</w:t>
      </w:r>
      <w:proofErr w:type="gramEnd"/>
      <w:r>
        <w:rPr>
          <w:sz w:val="16"/>
        </w:rPr>
        <w:t>65(11):1521-4.</w:t>
      </w:r>
    </w:p>
    <w:p w:rsidR="008C175A" w:rsidRDefault="000C2793">
      <w:pPr>
        <w:pStyle w:val="PargrafodaLista"/>
        <w:numPr>
          <w:ilvl w:val="0"/>
          <w:numId w:val="1"/>
        </w:numPr>
        <w:tabs>
          <w:tab w:val="left" w:pos="924"/>
        </w:tabs>
        <w:spacing w:before="1" w:line="240" w:lineRule="auto"/>
        <w:ind w:right="119" w:firstLine="566"/>
        <w:rPr>
          <w:sz w:val="16"/>
        </w:rPr>
      </w:pPr>
      <w:r w:rsidRPr="000C2793">
        <w:rPr>
          <w:sz w:val="16"/>
          <w:lang w:val="en-US"/>
        </w:rPr>
        <w:t xml:space="preserve">Barber CE, Kim J, Inman RD, </w:t>
      </w:r>
      <w:proofErr w:type="spellStart"/>
      <w:r w:rsidRPr="000C2793">
        <w:rPr>
          <w:sz w:val="16"/>
          <w:lang w:val="en-US"/>
        </w:rPr>
        <w:t>Esdaile</w:t>
      </w:r>
      <w:proofErr w:type="spellEnd"/>
      <w:r w:rsidRPr="000C2793">
        <w:rPr>
          <w:sz w:val="16"/>
          <w:lang w:val="en-US"/>
        </w:rPr>
        <w:t xml:space="preserve"> J, Jam</w:t>
      </w:r>
      <w:r w:rsidRPr="000C2793">
        <w:rPr>
          <w:sz w:val="16"/>
          <w:lang w:val="en-US"/>
        </w:rPr>
        <w:t xml:space="preserve">es MT. A systematic review and meta-analysis of antibiotic treatment for reactive arthritis [abstract]. </w:t>
      </w:r>
      <w:proofErr w:type="spellStart"/>
      <w:r>
        <w:rPr>
          <w:sz w:val="16"/>
        </w:rPr>
        <w:t>Arthritis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Rheum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2012;</w:t>
      </w:r>
      <w:proofErr w:type="gramEnd"/>
      <w:r>
        <w:rPr>
          <w:sz w:val="16"/>
        </w:rPr>
        <w:t xml:space="preserve">64 </w:t>
      </w:r>
      <w:proofErr w:type="spellStart"/>
      <w:r>
        <w:rPr>
          <w:sz w:val="16"/>
        </w:rPr>
        <w:t>Suppl</w:t>
      </w:r>
      <w:proofErr w:type="spellEnd"/>
      <w:r>
        <w:rPr>
          <w:sz w:val="16"/>
        </w:rPr>
        <w:t xml:space="preserve"> 10:172. Disponível</w:t>
      </w:r>
      <w:r>
        <w:rPr>
          <w:spacing w:val="-20"/>
          <w:sz w:val="16"/>
        </w:rPr>
        <w:t xml:space="preserve"> </w:t>
      </w:r>
      <w:proofErr w:type="gramStart"/>
      <w:r>
        <w:rPr>
          <w:sz w:val="16"/>
        </w:rPr>
        <w:t>em:</w:t>
      </w:r>
      <w:proofErr w:type="gramEnd"/>
      <w:r>
        <w:fldChar w:fldCharType="begin"/>
      </w:r>
      <w:r>
        <w:instrText xml:space="preserve"> HYPERLINK "http://www.blackwellpublishing.com/acrmeeting/abstract.asp?MeetingID=789&amp;amp;id=10090</w:instrText>
      </w:r>
      <w:r>
        <w:instrText xml:space="preserve">1" \h </w:instrText>
      </w:r>
      <w:r>
        <w:fldChar w:fldCharType="separate"/>
      </w:r>
      <w:r>
        <w:rPr>
          <w:sz w:val="16"/>
        </w:rPr>
        <w:t>http://www.blackwellpublishing.com/acrmeeting/abstract.asp?MeetingID=789&amp;id=100901.</w:t>
      </w:r>
      <w:r>
        <w:rPr>
          <w:sz w:val="16"/>
        </w:rPr>
        <w:fldChar w:fldCharType="end"/>
      </w:r>
    </w:p>
    <w:p w:rsidR="008C175A" w:rsidRDefault="000C2793">
      <w:pPr>
        <w:pStyle w:val="PargrafodaLista"/>
        <w:numPr>
          <w:ilvl w:val="0"/>
          <w:numId w:val="1"/>
        </w:numPr>
        <w:tabs>
          <w:tab w:val="left" w:pos="924"/>
        </w:tabs>
        <w:spacing w:line="240" w:lineRule="auto"/>
        <w:ind w:right="115" w:firstLine="566"/>
        <w:rPr>
          <w:sz w:val="16"/>
        </w:rPr>
      </w:pPr>
      <w:proofErr w:type="spellStart"/>
      <w:r>
        <w:rPr>
          <w:sz w:val="16"/>
        </w:rPr>
        <w:t>Kuuliala</w:t>
      </w:r>
      <w:proofErr w:type="spellEnd"/>
      <w:r>
        <w:rPr>
          <w:sz w:val="16"/>
        </w:rPr>
        <w:t xml:space="preserve"> A, </w:t>
      </w:r>
      <w:proofErr w:type="spellStart"/>
      <w:r>
        <w:rPr>
          <w:sz w:val="16"/>
        </w:rPr>
        <w:t>Julkunen</w:t>
      </w:r>
      <w:proofErr w:type="spellEnd"/>
      <w:r>
        <w:rPr>
          <w:sz w:val="16"/>
        </w:rPr>
        <w:t xml:space="preserve"> H, </w:t>
      </w:r>
      <w:proofErr w:type="spellStart"/>
      <w:r>
        <w:rPr>
          <w:sz w:val="16"/>
        </w:rPr>
        <w:t>Paimela</w:t>
      </w:r>
      <w:proofErr w:type="spellEnd"/>
      <w:r>
        <w:rPr>
          <w:sz w:val="16"/>
        </w:rPr>
        <w:t xml:space="preserve"> </w:t>
      </w:r>
      <w:r>
        <w:rPr>
          <w:spacing w:val="-3"/>
          <w:sz w:val="16"/>
        </w:rPr>
        <w:t xml:space="preserve">L, </w:t>
      </w:r>
      <w:proofErr w:type="spellStart"/>
      <w:r>
        <w:rPr>
          <w:sz w:val="16"/>
        </w:rPr>
        <w:t>Peltomaa</w:t>
      </w:r>
      <w:proofErr w:type="spellEnd"/>
      <w:r>
        <w:rPr>
          <w:sz w:val="16"/>
        </w:rPr>
        <w:t xml:space="preserve"> R, </w:t>
      </w:r>
      <w:proofErr w:type="spellStart"/>
      <w:r>
        <w:rPr>
          <w:sz w:val="16"/>
        </w:rPr>
        <w:t>Kautiainen</w:t>
      </w:r>
      <w:proofErr w:type="spellEnd"/>
      <w:r>
        <w:rPr>
          <w:sz w:val="16"/>
        </w:rPr>
        <w:t xml:space="preserve"> H, </w:t>
      </w:r>
      <w:proofErr w:type="spellStart"/>
      <w:r>
        <w:rPr>
          <w:sz w:val="16"/>
        </w:rPr>
        <w:t>Repo</w:t>
      </w:r>
      <w:proofErr w:type="spellEnd"/>
      <w:r>
        <w:rPr>
          <w:sz w:val="16"/>
        </w:rPr>
        <w:t xml:space="preserve"> H,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0C2793">
        <w:rPr>
          <w:sz w:val="16"/>
          <w:lang w:val="en-US"/>
        </w:rPr>
        <w:t>Double-blind, randomized, placebo-controlled study of three-month treatment</w:t>
      </w:r>
      <w:r w:rsidRPr="000C2793">
        <w:rPr>
          <w:spacing w:val="-3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with</w:t>
      </w:r>
      <w:r w:rsidRPr="000C2793">
        <w:rPr>
          <w:spacing w:val="-3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the</w:t>
      </w:r>
      <w:r w:rsidRPr="000C2793">
        <w:rPr>
          <w:spacing w:val="-4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comb</w:t>
      </w:r>
      <w:r w:rsidRPr="000C2793">
        <w:rPr>
          <w:sz w:val="16"/>
          <w:lang w:val="en-US"/>
        </w:rPr>
        <w:t>ination</w:t>
      </w:r>
      <w:r w:rsidRPr="000C2793">
        <w:rPr>
          <w:spacing w:val="-1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of</w:t>
      </w:r>
      <w:r w:rsidRPr="000C2793">
        <w:rPr>
          <w:spacing w:val="-3"/>
          <w:sz w:val="16"/>
          <w:lang w:val="en-US"/>
        </w:rPr>
        <w:t xml:space="preserve"> </w:t>
      </w:r>
      <w:proofErr w:type="spellStart"/>
      <w:r w:rsidRPr="000C2793">
        <w:rPr>
          <w:sz w:val="16"/>
          <w:lang w:val="en-US"/>
        </w:rPr>
        <w:t>ofloxacin</w:t>
      </w:r>
      <w:proofErr w:type="spellEnd"/>
      <w:r w:rsidRPr="000C2793">
        <w:rPr>
          <w:spacing w:val="-2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and</w:t>
      </w:r>
      <w:r w:rsidRPr="000C2793">
        <w:rPr>
          <w:spacing w:val="-3"/>
          <w:sz w:val="16"/>
          <w:lang w:val="en-US"/>
        </w:rPr>
        <w:t xml:space="preserve"> </w:t>
      </w:r>
      <w:proofErr w:type="spellStart"/>
      <w:r w:rsidRPr="000C2793">
        <w:rPr>
          <w:sz w:val="16"/>
          <w:lang w:val="en-US"/>
        </w:rPr>
        <w:t>roxithromycin</w:t>
      </w:r>
      <w:proofErr w:type="spellEnd"/>
      <w:r w:rsidRPr="000C2793">
        <w:rPr>
          <w:spacing w:val="-3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in</w:t>
      </w:r>
      <w:r w:rsidRPr="000C2793">
        <w:rPr>
          <w:spacing w:val="-1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recent-onset</w:t>
      </w:r>
      <w:r w:rsidRPr="000C2793">
        <w:rPr>
          <w:spacing w:val="-1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reactive</w:t>
      </w:r>
      <w:r w:rsidRPr="000C2793">
        <w:rPr>
          <w:spacing w:val="-4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arthritis.</w:t>
      </w:r>
      <w:r w:rsidRPr="000C2793">
        <w:rPr>
          <w:spacing w:val="-3"/>
          <w:sz w:val="16"/>
          <w:lang w:val="en-US"/>
        </w:rPr>
        <w:t xml:space="preserve"> </w:t>
      </w:r>
      <w:proofErr w:type="spellStart"/>
      <w:r>
        <w:rPr>
          <w:sz w:val="16"/>
        </w:rPr>
        <w:t>Rheumatol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Int.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2013;</w:t>
      </w:r>
      <w:proofErr w:type="gramEnd"/>
      <w:r>
        <w:rPr>
          <w:sz w:val="16"/>
        </w:rPr>
        <w:t>33(11):2723-9.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Epub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2013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Jun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20.</w:t>
      </w:r>
    </w:p>
    <w:p w:rsidR="008C175A" w:rsidRDefault="000C2793">
      <w:pPr>
        <w:pStyle w:val="PargrafodaLista"/>
        <w:numPr>
          <w:ilvl w:val="0"/>
          <w:numId w:val="1"/>
        </w:numPr>
        <w:tabs>
          <w:tab w:val="left" w:pos="922"/>
        </w:tabs>
        <w:spacing w:line="240" w:lineRule="auto"/>
        <w:ind w:right="114" w:firstLine="566"/>
        <w:rPr>
          <w:sz w:val="16"/>
        </w:rPr>
      </w:pPr>
      <w:r w:rsidRPr="000C2793">
        <w:rPr>
          <w:sz w:val="16"/>
          <w:lang w:val="en-US"/>
        </w:rPr>
        <w:t xml:space="preserve">Carter JD, Espinoza LR, Inman RD, Sneed KB, </w:t>
      </w:r>
      <w:proofErr w:type="spellStart"/>
      <w:r w:rsidRPr="000C2793">
        <w:rPr>
          <w:sz w:val="16"/>
          <w:lang w:val="en-US"/>
        </w:rPr>
        <w:t>Ricca</w:t>
      </w:r>
      <w:proofErr w:type="spellEnd"/>
      <w:r w:rsidRPr="000C2793">
        <w:rPr>
          <w:sz w:val="16"/>
          <w:lang w:val="en-US"/>
        </w:rPr>
        <w:t xml:space="preserve"> LR, </w:t>
      </w:r>
      <w:proofErr w:type="spellStart"/>
      <w:r w:rsidRPr="000C2793">
        <w:rPr>
          <w:sz w:val="16"/>
          <w:lang w:val="en-US"/>
        </w:rPr>
        <w:t>Vasey</w:t>
      </w:r>
      <w:proofErr w:type="spellEnd"/>
      <w:r w:rsidRPr="000C2793">
        <w:rPr>
          <w:sz w:val="16"/>
          <w:lang w:val="en-US"/>
        </w:rPr>
        <w:t xml:space="preserve"> FB, et al. Combination antibiotics as a treatment for chronic Chlamydia-induced reactive arthritis: a double-blind, placebo-controlled, prospective trial. </w:t>
      </w:r>
      <w:proofErr w:type="spellStart"/>
      <w:r>
        <w:rPr>
          <w:sz w:val="16"/>
        </w:rPr>
        <w:t>Arthritis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Rheum</w:t>
      </w:r>
      <w:proofErr w:type="spellEnd"/>
      <w:r>
        <w:rPr>
          <w:sz w:val="16"/>
        </w:rPr>
        <w:t>.</w:t>
      </w:r>
      <w:r>
        <w:rPr>
          <w:spacing w:val="-16"/>
          <w:sz w:val="16"/>
        </w:rPr>
        <w:t xml:space="preserve"> </w:t>
      </w:r>
      <w:proofErr w:type="gramStart"/>
      <w:r>
        <w:rPr>
          <w:sz w:val="16"/>
        </w:rPr>
        <w:t>2010;</w:t>
      </w:r>
      <w:proofErr w:type="gramEnd"/>
      <w:r>
        <w:rPr>
          <w:sz w:val="16"/>
        </w:rPr>
        <w:t>62(5):1298-307.</w:t>
      </w:r>
    </w:p>
    <w:p w:rsidR="008C175A" w:rsidRDefault="000C2793">
      <w:pPr>
        <w:pStyle w:val="PargrafodaLista"/>
        <w:numPr>
          <w:ilvl w:val="0"/>
          <w:numId w:val="1"/>
        </w:numPr>
        <w:tabs>
          <w:tab w:val="left" w:pos="919"/>
        </w:tabs>
        <w:spacing w:before="1" w:line="240" w:lineRule="auto"/>
        <w:ind w:right="122" w:firstLine="566"/>
        <w:rPr>
          <w:sz w:val="16"/>
        </w:rPr>
      </w:pPr>
      <w:r w:rsidRPr="000C2793">
        <w:rPr>
          <w:sz w:val="16"/>
          <w:lang w:val="en-US"/>
        </w:rPr>
        <w:t>Cle</w:t>
      </w:r>
      <w:r w:rsidRPr="000C2793">
        <w:rPr>
          <w:sz w:val="16"/>
          <w:lang w:val="en-US"/>
        </w:rPr>
        <w:t xml:space="preserve">gg DO, </w:t>
      </w:r>
      <w:proofErr w:type="spellStart"/>
      <w:r w:rsidRPr="000C2793">
        <w:rPr>
          <w:sz w:val="16"/>
          <w:lang w:val="en-US"/>
        </w:rPr>
        <w:t>Reda</w:t>
      </w:r>
      <w:proofErr w:type="spellEnd"/>
      <w:r w:rsidRPr="000C2793">
        <w:rPr>
          <w:sz w:val="16"/>
          <w:lang w:val="en-US"/>
        </w:rPr>
        <w:t xml:space="preserve"> DJ, </w:t>
      </w:r>
      <w:proofErr w:type="spellStart"/>
      <w:r w:rsidRPr="000C2793">
        <w:rPr>
          <w:sz w:val="16"/>
          <w:lang w:val="en-US"/>
        </w:rPr>
        <w:t>Abdellatif</w:t>
      </w:r>
      <w:proofErr w:type="spellEnd"/>
      <w:r w:rsidRPr="000C2793">
        <w:rPr>
          <w:sz w:val="16"/>
          <w:lang w:val="en-US"/>
        </w:rPr>
        <w:t xml:space="preserve"> M. Comparison of sulfasalazine and placebo for the treatment of axial and peripheral articular manifestations of the </w:t>
      </w:r>
      <w:proofErr w:type="spellStart"/>
      <w:r w:rsidRPr="000C2793">
        <w:rPr>
          <w:sz w:val="16"/>
          <w:lang w:val="en-US"/>
        </w:rPr>
        <w:t>seronegative</w:t>
      </w:r>
      <w:proofErr w:type="spellEnd"/>
      <w:r w:rsidRPr="000C2793">
        <w:rPr>
          <w:sz w:val="16"/>
          <w:lang w:val="en-US"/>
        </w:rPr>
        <w:t xml:space="preserve"> </w:t>
      </w:r>
      <w:proofErr w:type="spellStart"/>
      <w:r w:rsidRPr="000C2793">
        <w:rPr>
          <w:sz w:val="16"/>
          <w:lang w:val="en-US"/>
        </w:rPr>
        <w:t>spondylarthropathies</w:t>
      </w:r>
      <w:proofErr w:type="spellEnd"/>
      <w:r w:rsidRPr="000C2793">
        <w:rPr>
          <w:sz w:val="16"/>
          <w:lang w:val="en-US"/>
        </w:rPr>
        <w:t xml:space="preserve">: a Department of Veterans Affairs cooperative study. </w:t>
      </w:r>
      <w:proofErr w:type="spellStart"/>
      <w:r>
        <w:rPr>
          <w:sz w:val="16"/>
        </w:rPr>
        <w:t>Arthritis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Rheum</w:t>
      </w:r>
      <w:proofErr w:type="spellEnd"/>
      <w:r>
        <w:rPr>
          <w:sz w:val="16"/>
        </w:rPr>
        <w:t>.</w:t>
      </w:r>
      <w:r>
        <w:rPr>
          <w:spacing w:val="-20"/>
          <w:sz w:val="16"/>
        </w:rPr>
        <w:t xml:space="preserve"> </w:t>
      </w:r>
      <w:proofErr w:type="gramStart"/>
      <w:r>
        <w:rPr>
          <w:sz w:val="16"/>
        </w:rPr>
        <w:t>1999;</w:t>
      </w:r>
      <w:proofErr w:type="gramEnd"/>
      <w:r>
        <w:rPr>
          <w:sz w:val="16"/>
        </w:rPr>
        <w:t>42(</w:t>
      </w:r>
      <w:r>
        <w:rPr>
          <w:sz w:val="16"/>
        </w:rPr>
        <w:t>11):2325-9.</w:t>
      </w:r>
    </w:p>
    <w:p w:rsidR="008C175A" w:rsidRDefault="000C2793">
      <w:pPr>
        <w:pStyle w:val="PargrafodaLista"/>
        <w:numPr>
          <w:ilvl w:val="0"/>
          <w:numId w:val="1"/>
        </w:numPr>
        <w:tabs>
          <w:tab w:val="left" w:pos="931"/>
        </w:tabs>
        <w:spacing w:line="240" w:lineRule="auto"/>
        <w:ind w:right="124" w:firstLine="566"/>
        <w:rPr>
          <w:sz w:val="16"/>
        </w:rPr>
      </w:pPr>
      <w:r w:rsidRPr="000C2793">
        <w:rPr>
          <w:sz w:val="16"/>
          <w:lang w:val="en-US"/>
        </w:rPr>
        <w:t xml:space="preserve">Clegg DO, </w:t>
      </w:r>
      <w:proofErr w:type="spellStart"/>
      <w:r w:rsidRPr="000C2793">
        <w:rPr>
          <w:sz w:val="16"/>
          <w:lang w:val="en-US"/>
        </w:rPr>
        <w:t>Reda</w:t>
      </w:r>
      <w:proofErr w:type="spellEnd"/>
      <w:r w:rsidRPr="000C2793">
        <w:rPr>
          <w:sz w:val="16"/>
          <w:lang w:val="en-US"/>
        </w:rPr>
        <w:t xml:space="preserve"> DJ, Weisman MH, Cush JJ, </w:t>
      </w:r>
      <w:proofErr w:type="spellStart"/>
      <w:r w:rsidRPr="000C2793">
        <w:rPr>
          <w:sz w:val="16"/>
          <w:lang w:val="en-US"/>
        </w:rPr>
        <w:t>Vasey</w:t>
      </w:r>
      <w:proofErr w:type="spellEnd"/>
      <w:r w:rsidRPr="000C2793">
        <w:rPr>
          <w:sz w:val="16"/>
          <w:lang w:val="en-US"/>
        </w:rPr>
        <w:t xml:space="preserve"> FB, Schumacher HR </w:t>
      </w:r>
      <w:proofErr w:type="spellStart"/>
      <w:r w:rsidRPr="000C2793">
        <w:rPr>
          <w:sz w:val="16"/>
          <w:lang w:val="en-US"/>
        </w:rPr>
        <w:t>Jr</w:t>
      </w:r>
      <w:proofErr w:type="spellEnd"/>
      <w:r w:rsidRPr="000C2793">
        <w:rPr>
          <w:sz w:val="16"/>
          <w:lang w:val="en-US"/>
        </w:rPr>
        <w:t xml:space="preserve">, et al. Comparison of sulfasalazine and placebo in the treatment of reactive arthritis (Reiter's syndrome). </w:t>
      </w:r>
      <w:r>
        <w:rPr>
          <w:sz w:val="16"/>
        </w:rPr>
        <w:t xml:space="preserve">A </w:t>
      </w:r>
      <w:proofErr w:type="spellStart"/>
      <w:r>
        <w:rPr>
          <w:sz w:val="16"/>
        </w:rPr>
        <w:t>Department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Veterans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Affairs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Cooperative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Study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Arthritis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Rheum</w:t>
      </w:r>
      <w:proofErr w:type="spellEnd"/>
      <w:r>
        <w:rPr>
          <w:sz w:val="16"/>
        </w:rPr>
        <w:t>.</w:t>
      </w:r>
      <w:r>
        <w:rPr>
          <w:spacing w:val="-21"/>
          <w:sz w:val="16"/>
        </w:rPr>
        <w:t xml:space="preserve"> </w:t>
      </w:r>
      <w:proofErr w:type="gramStart"/>
      <w:r>
        <w:rPr>
          <w:sz w:val="16"/>
        </w:rPr>
        <w:t>1996;</w:t>
      </w:r>
      <w:proofErr w:type="gramEnd"/>
      <w:r>
        <w:rPr>
          <w:sz w:val="16"/>
        </w:rPr>
        <w:t>39(12):2021-7.</w:t>
      </w:r>
    </w:p>
    <w:p w:rsidR="008C175A" w:rsidRDefault="000C2793">
      <w:pPr>
        <w:pStyle w:val="PargrafodaLista"/>
        <w:numPr>
          <w:ilvl w:val="0"/>
          <w:numId w:val="1"/>
        </w:numPr>
        <w:tabs>
          <w:tab w:val="left" w:pos="910"/>
        </w:tabs>
        <w:ind w:left="909" w:hanging="243"/>
        <w:rPr>
          <w:sz w:val="16"/>
        </w:rPr>
      </w:pPr>
      <w:proofErr w:type="spellStart"/>
      <w:r w:rsidRPr="000C2793">
        <w:rPr>
          <w:sz w:val="16"/>
          <w:lang w:val="en-US"/>
        </w:rPr>
        <w:t>Olivieri</w:t>
      </w:r>
      <w:proofErr w:type="spellEnd"/>
      <w:r w:rsidRPr="000C2793">
        <w:rPr>
          <w:spacing w:val="-2"/>
          <w:sz w:val="16"/>
          <w:lang w:val="en-US"/>
        </w:rPr>
        <w:t xml:space="preserve"> </w:t>
      </w:r>
      <w:r w:rsidRPr="000C2793">
        <w:rPr>
          <w:spacing w:val="-3"/>
          <w:sz w:val="16"/>
          <w:lang w:val="en-US"/>
        </w:rPr>
        <w:t>I,</w:t>
      </w:r>
      <w:r w:rsidRPr="000C2793">
        <w:rPr>
          <w:spacing w:val="-1"/>
          <w:sz w:val="16"/>
          <w:lang w:val="en-US"/>
        </w:rPr>
        <w:t xml:space="preserve"> </w:t>
      </w:r>
      <w:proofErr w:type="spellStart"/>
      <w:r w:rsidRPr="000C2793">
        <w:rPr>
          <w:sz w:val="16"/>
          <w:lang w:val="en-US"/>
        </w:rPr>
        <w:t>Palazzi</w:t>
      </w:r>
      <w:proofErr w:type="spellEnd"/>
      <w:r w:rsidRPr="000C2793">
        <w:rPr>
          <w:spacing w:val="-1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C,</w:t>
      </w:r>
      <w:r w:rsidRPr="000C2793">
        <w:rPr>
          <w:spacing w:val="-2"/>
          <w:sz w:val="16"/>
          <w:lang w:val="en-US"/>
        </w:rPr>
        <w:t xml:space="preserve"> </w:t>
      </w:r>
      <w:proofErr w:type="spellStart"/>
      <w:r w:rsidRPr="000C2793">
        <w:rPr>
          <w:sz w:val="16"/>
          <w:lang w:val="en-US"/>
        </w:rPr>
        <w:t>Peruz</w:t>
      </w:r>
      <w:proofErr w:type="spellEnd"/>
      <w:r w:rsidRPr="000C2793">
        <w:rPr>
          <w:spacing w:val="-4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G,</w:t>
      </w:r>
      <w:r w:rsidRPr="000C2793">
        <w:rPr>
          <w:spacing w:val="-1"/>
          <w:sz w:val="16"/>
          <w:lang w:val="en-US"/>
        </w:rPr>
        <w:t xml:space="preserve"> </w:t>
      </w:r>
      <w:proofErr w:type="spellStart"/>
      <w:r w:rsidRPr="000C2793">
        <w:rPr>
          <w:sz w:val="16"/>
          <w:lang w:val="en-US"/>
        </w:rPr>
        <w:t>Padula</w:t>
      </w:r>
      <w:proofErr w:type="spellEnd"/>
      <w:r w:rsidRPr="000C2793">
        <w:rPr>
          <w:spacing w:val="-1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A.</w:t>
      </w:r>
      <w:r w:rsidRPr="000C2793">
        <w:rPr>
          <w:spacing w:val="-2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Management</w:t>
      </w:r>
      <w:r w:rsidRPr="000C2793">
        <w:rPr>
          <w:spacing w:val="-1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issues</w:t>
      </w:r>
      <w:r w:rsidRPr="000C2793">
        <w:rPr>
          <w:spacing w:val="-2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with</w:t>
      </w:r>
      <w:r w:rsidRPr="000C2793">
        <w:rPr>
          <w:spacing w:val="-3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elderly-onset</w:t>
      </w:r>
      <w:r w:rsidRPr="000C2793">
        <w:rPr>
          <w:spacing w:val="-2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rheumatoid</w:t>
      </w:r>
      <w:r w:rsidRPr="000C2793">
        <w:rPr>
          <w:spacing w:val="-3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arthritis:</w:t>
      </w:r>
      <w:r w:rsidRPr="000C2793">
        <w:rPr>
          <w:spacing w:val="-6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an</w:t>
      </w:r>
      <w:r w:rsidRPr="000C2793">
        <w:rPr>
          <w:spacing w:val="-3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update.</w:t>
      </w:r>
      <w:r w:rsidRPr="000C2793">
        <w:rPr>
          <w:spacing w:val="-2"/>
          <w:sz w:val="16"/>
          <w:lang w:val="en-US"/>
        </w:rPr>
        <w:t xml:space="preserve"> </w:t>
      </w:r>
      <w:proofErr w:type="spellStart"/>
      <w:r>
        <w:rPr>
          <w:sz w:val="16"/>
        </w:rPr>
        <w:t>Drugs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Aging</w:t>
      </w:r>
      <w:proofErr w:type="spellEnd"/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2005;</w:t>
      </w:r>
      <w:proofErr w:type="gramEnd"/>
      <w:r>
        <w:rPr>
          <w:sz w:val="16"/>
        </w:rPr>
        <w:t>22(10):809-22.</w:t>
      </w:r>
    </w:p>
    <w:p w:rsidR="008C175A" w:rsidRDefault="000C2793">
      <w:pPr>
        <w:pStyle w:val="PargrafodaLista"/>
        <w:numPr>
          <w:ilvl w:val="0"/>
          <w:numId w:val="1"/>
        </w:numPr>
        <w:tabs>
          <w:tab w:val="left" w:pos="907"/>
        </w:tabs>
        <w:spacing w:line="240" w:lineRule="auto"/>
        <w:ind w:left="906" w:hanging="240"/>
        <w:rPr>
          <w:sz w:val="16"/>
        </w:rPr>
      </w:pPr>
      <w:r w:rsidRPr="000C2793">
        <w:rPr>
          <w:sz w:val="16"/>
          <w:lang w:val="en-US"/>
        </w:rPr>
        <w:t>Morris</w:t>
      </w:r>
      <w:r w:rsidRPr="000C2793">
        <w:rPr>
          <w:spacing w:val="-2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D,</w:t>
      </w:r>
      <w:r w:rsidRPr="000C2793">
        <w:rPr>
          <w:spacing w:val="-1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Inman</w:t>
      </w:r>
      <w:r w:rsidRPr="000C2793">
        <w:rPr>
          <w:spacing w:val="-2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RD.</w:t>
      </w:r>
      <w:r w:rsidRPr="000C2793">
        <w:rPr>
          <w:spacing w:val="-4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Reactive</w:t>
      </w:r>
      <w:r w:rsidRPr="000C2793">
        <w:rPr>
          <w:spacing w:val="-3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arthritis:</w:t>
      </w:r>
      <w:r w:rsidRPr="000C2793">
        <w:rPr>
          <w:spacing w:val="-2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developments</w:t>
      </w:r>
      <w:r w:rsidRPr="000C2793">
        <w:rPr>
          <w:spacing w:val="-2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and challenges</w:t>
      </w:r>
      <w:r w:rsidRPr="000C2793">
        <w:rPr>
          <w:spacing w:val="-1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in</w:t>
      </w:r>
      <w:r w:rsidRPr="000C2793">
        <w:rPr>
          <w:spacing w:val="-2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diagnosis</w:t>
      </w:r>
      <w:r w:rsidRPr="000C2793">
        <w:rPr>
          <w:spacing w:val="-4"/>
          <w:sz w:val="16"/>
          <w:lang w:val="en-US"/>
        </w:rPr>
        <w:t xml:space="preserve"> </w:t>
      </w:r>
      <w:r w:rsidRPr="000C2793">
        <w:rPr>
          <w:sz w:val="16"/>
          <w:lang w:val="en-US"/>
        </w:rPr>
        <w:t>and treatm</w:t>
      </w:r>
      <w:r w:rsidRPr="000C2793">
        <w:rPr>
          <w:sz w:val="16"/>
          <w:lang w:val="en-US"/>
        </w:rPr>
        <w:t>ent.</w:t>
      </w:r>
      <w:r w:rsidRPr="000C2793">
        <w:rPr>
          <w:spacing w:val="-3"/>
          <w:sz w:val="16"/>
          <w:lang w:val="en-US"/>
        </w:rPr>
        <w:t xml:space="preserve"> </w:t>
      </w:r>
      <w:proofErr w:type="spellStart"/>
      <w:r>
        <w:rPr>
          <w:sz w:val="16"/>
        </w:rPr>
        <w:t>Curr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Rheumatol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Rep.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2012;</w:t>
      </w:r>
      <w:proofErr w:type="gramEnd"/>
      <w:r>
        <w:rPr>
          <w:sz w:val="16"/>
        </w:rPr>
        <w:t>14(5):390-4.</w:t>
      </w:r>
    </w:p>
    <w:sectPr w:rsidR="008C175A">
      <w:pgSz w:w="11910" w:h="16840"/>
      <w:pgMar w:top="8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45CE"/>
    <w:multiLevelType w:val="multilevel"/>
    <w:tmpl w:val="32B814B8"/>
    <w:lvl w:ilvl="0">
      <w:start w:val="1"/>
      <w:numFmt w:val="decimal"/>
      <w:lvlText w:val="%1."/>
      <w:lvlJc w:val="left"/>
      <w:pPr>
        <w:ind w:left="830" w:hanging="16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08" w:hanging="24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pt-BR" w:eastAsia="pt-BR" w:bidi="pt-BR"/>
      </w:rPr>
    </w:lvl>
    <w:lvl w:ilvl="2">
      <w:numFmt w:val="bullet"/>
      <w:lvlText w:val="•"/>
      <w:lvlJc w:val="left"/>
      <w:pPr>
        <w:ind w:left="1987" w:hanging="24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74" w:hanging="2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2" w:hanging="2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49" w:hanging="2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36" w:hanging="2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4" w:hanging="2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11" w:hanging="242"/>
      </w:pPr>
      <w:rPr>
        <w:rFonts w:hint="default"/>
        <w:lang w:val="pt-BR" w:eastAsia="pt-BR" w:bidi="pt-BR"/>
      </w:rPr>
    </w:lvl>
  </w:abstractNum>
  <w:abstractNum w:abstractNumId="1">
    <w:nsid w:val="3F6F51EE"/>
    <w:multiLevelType w:val="hybridMultilevel"/>
    <w:tmpl w:val="A6F6CD16"/>
    <w:lvl w:ilvl="0" w:tplc="7AEE8AE8">
      <w:start w:val="1"/>
      <w:numFmt w:val="decimal"/>
      <w:lvlText w:val="%1."/>
      <w:lvlJc w:val="left"/>
      <w:pPr>
        <w:ind w:left="100" w:hanging="1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t-BR" w:eastAsia="pt-BR" w:bidi="pt-BR"/>
      </w:rPr>
    </w:lvl>
    <w:lvl w:ilvl="1" w:tplc="58ECAE0A">
      <w:numFmt w:val="bullet"/>
      <w:lvlText w:val="•"/>
      <w:lvlJc w:val="left"/>
      <w:pPr>
        <w:ind w:left="1158" w:hanging="164"/>
      </w:pPr>
      <w:rPr>
        <w:rFonts w:hint="default"/>
        <w:lang w:val="pt-BR" w:eastAsia="pt-BR" w:bidi="pt-BR"/>
      </w:rPr>
    </w:lvl>
    <w:lvl w:ilvl="2" w:tplc="5D52A11E">
      <w:numFmt w:val="bullet"/>
      <w:lvlText w:val="•"/>
      <w:lvlJc w:val="left"/>
      <w:pPr>
        <w:ind w:left="2217" w:hanging="164"/>
      </w:pPr>
      <w:rPr>
        <w:rFonts w:hint="default"/>
        <w:lang w:val="pt-BR" w:eastAsia="pt-BR" w:bidi="pt-BR"/>
      </w:rPr>
    </w:lvl>
    <w:lvl w:ilvl="3" w:tplc="A59E4F00">
      <w:numFmt w:val="bullet"/>
      <w:lvlText w:val="•"/>
      <w:lvlJc w:val="left"/>
      <w:pPr>
        <w:ind w:left="3275" w:hanging="164"/>
      </w:pPr>
      <w:rPr>
        <w:rFonts w:hint="default"/>
        <w:lang w:val="pt-BR" w:eastAsia="pt-BR" w:bidi="pt-BR"/>
      </w:rPr>
    </w:lvl>
    <w:lvl w:ilvl="4" w:tplc="20E8D3FC">
      <w:numFmt w:val="bullet"/>
      <w:lvlText w:val="•"/>
      <w:lvlJc w:val="left"/>
      <w:pPr>
        <w:ind w:left="4334" w:hanging="164"/>
      </w:pPr>
      <w:rPr>
        <w:rFonts w:hint="default"/>
        <w:lang w:val="pt-BR" w:eastAsia="pt-BR" w:bidi="pt-BR"/>
      </w:rPr>
    </w:lvl>
    <w:lvl w:ilvl="5" w:tplc="F970EEAE">
      <w:numFmt w:val="bullet"/>
      <w:lvlText w:val="•"/>
      <w:lvlJc w:val="left"/>
      <w:pPr>
        <w:ind w:left="5393" w:hanging="164"/>
      </w:pPr>
      <w:rPr>
        <w:rFonts w:hint="default"/>
        <w:lang w:val="pt-BR" w:eastAsia="pt-BR" w:bidi="pt-BR"/>
      </w:rPr>
    </w:lvl>
    <w:lvl w:ilvl="6" w:tplc="22022884">
      <w:numFmt w:val="bullet"/>
      <w:lvlText w:val="•"/>
      <w:lvlJc w:val="left"/>
      <w:pPr>
        <w:ind w:left="6451" w:hanging="164"/>
      </w:pPr>
      <w:rPr>
        <w:rFonts w:hint="default"/>
        <w:lang w:val="pt-BR" w:eastAsia="pt-BR" w:bidi="pt-BR"/>
      </w:rPr>
    </w:lvl>
    <w:lvl w:ilvl="7" w:tplc="A5A2B794">
      <w:numFmt w:val="bullet"/>
      <w:lvlText w:val="•"/>
      <w:lvlJc w:val="left"/>
      <w:pPr>
        <w:ind w:left="7510" w:hanging="164"/>
      </w:pPr>
      <w:rPr>
        <w:rFonts w:hint="default"/>
        <w:lang w:val="pt-BR" w:eastAsia="pt-BR" w:bidi="pt-BR"/>
      </w:rPr>
    </w:lvl>
    <w:lvl w:ilvl="8" w:tplc="5A42305C">
      <w:numFmt w:val="bullet"/>
      <w:lvlText w:val="•"/>
      <w:lvlJc w:val="left"/>
      <w:pPr>
        <w:ind w:left="8569" w:hanging="164"/>
      </w:pPr>
      <w:rPr>
        <w:rFonts w:hint="default"/>
        <w:lang w:val="pt-BR" w:eastAsia="pt-BR" w:bidi="pt-BR"/>
      </w:rPr>
    </w:lvl>
  </w:abstractNum>
  <w:abstractNum w:abstractNumId="2">
    <w:nsid w:val="58D23B45"/>
    <w:multiLevelType w:val="multilevel"/>
    <w:tmpl w:val="549EB12A"/>
    <w:lvl w:ilvl="0">
      <w:start w:val="7"/>
      <w:numFmt w:val="decimal"/>
      <w:lvlText w:val="%1"/>
      <w:lvlJc w:val="left"/>
      <w:pPr>
        <w:ind w:left="909" w:hanging="243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909" w:hanging="2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pt-BR" w:eastAsia="pt-BR" w:bidi="pt-BR"/>
      </w:rPr>
    </w:lvl>
    <w:lvl w:ilvl="2">
      <w:numFmt w:val="bullet"/>
      <w:lvlText w:val="•"/>
      <w:lvlJc w:val="left"/>
      <w:pPr>
        <w:ind w:left="2857" w:hanging="2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835" w:hanging="2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14" w:hanging="2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93" w:hanging="2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71" w:hanging="2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50" w:hanging="2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29" w:hanging="243"/>
      </w:pPr>
      <w:rPr>
        <w:rFonts w:hint="default"/>
        <w:lang w:val="pt-BR" w:eastAsia="pt-BR" w:bidi="pt-BR"/>
      </w:rPr>
    </w:lvl>
  </w:abstractNum>
  <w:abstractNum w:abstractNumId="3">
    <w:nsid w:val="7CE702AB"/>
    <w:multiLevelType w:val="hybridMultilevel"/>
    <w:tmpl w:val="16CA8460"/>
    <w:lvl w:ilvl="0" w:tplc="D45A24DA">
      <w:numFmt w:val="bullet"/>
      <w:lvlText w:val="-"/>
      <w:lvlJc w:val="left"/>
      <w:pPr>
        <w:ind w:left="76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BR" w:eastAsia="pt-BR" w:bidi="pt-BR"/>
      </w:rPr>
    </w:lvl>
    <w:lvl w:ilvl="1" w:tplc="055C15FC">
      <w:numFmt w:val="bullet"/>
      <w:lvlText w:val="•"/>
      <w:lvlJc w:val="left"/>
      <w:pPr>
        <w:ind w:left="1752" w:hanging="94"/>
      </w:pPr>
      <w:rPr>
        <w:rFonts w:hint="default"/>
        <w:lang w:val="pt-BR" w:eastAsia="pt-BR" w:bidi="pt-BR"/>
      </w:rPr>
    </w:lvl>
    <w:lvl w:ilvl="2" w:tplc="D666859A">
      <w:numFmt w:val="bullet"/>
      <w:lvlText w:val="•"/>
      <w:lvlJc w:val="left"/>
      <w:pPr>
        <w:ind w:left="2745" w:hanging="94"/>
      </w:pPr>
      <w:rPr>
        <w:rFonts w:hint="default"/>
        <w:lang w:val="pt-BR" w:eastAsia="pt-BR" w:bidi="pt-BR"/>
      </w:rPr>
    </w:lvl>
    <w:lvl w:ilvl="3" w:tplc="D7521702">
      <w:numFmt w:val="bullet"/>
      <w:lvlText w:val="•"/>
      <w:lvlJc w:val="left"/>
      <w:pPr>
        <w:ind w:left="3737" w:hanging="94"/>
      </w:pPr>
      <w:rPr>
        <w:rFonts w:hint="default"/>
        <w:lang w:val="pt-BR" w:eastAsia="pt-BR" w:bidi="pt-BR"/>
      </w:rPr>
    </w:lvl>
    <w:lvl w:ilvl="4" w:tplc="F24CEE52">
      <w:numFmt w:val="bullet"/>
      <w:lvlText w:val="•"/>
      <w:lvlJc w:val="left"/>
      <w:pPr>
        <w:ind w:left="4730" w:hanging="94"/>
      </w:pPr>
      <w:rPr>
        <w:rFonts w:hint="default"/>
        <w:lang w:val="pt-BR" w:eastAsia="pt-BR" w:bidi="pt-BR"/>
      </w:rPr>
    </w:lvl>
    <w:lvl w:ilvl="5" w:tplc="5DFAD312">
      <w:numFmt w:val="bullet"/>
      <w:lvlText w:val="•"/>
      <w:lvlJc w:val="left"/>
      <w:pPr>
        <w:ind w:left="5723" w:hanging="94"/>
      </w:pPr>
      <w:rPr>
        <w:rFonts w:hint="default"/>
        <w:lang w:val="pt-BR" w:eastAsia="pt-BR" w:bidi="pt-BR"/>
      </w:rPr>
    </w:lvl>
    <w:lvl w:ilvl="6" w:tplc="E2A68CB8">
      <w:numFmt w:val="bullet"/>
      <w:lvlText w:val="•"/>
      <w:lvlJc w:val="left"/>
      <w:pPr>
        <w:ind w:left="6715" w:hanging="94"/>
      </w:pPr>
      <w:rPr>
        <w:rFonts w:hint="default"/>
        <w:lang w:val="pt-BR" w:eastAsia="pt-BR" w:bidi="pt-BR"/>
      </w:rPr>
    </w:lvl>
    <w:lvl w:ilvl="7" w:tplc="EEA8669E">
      <w:numFmt w:val="bullet"/>
      <w:lvlText w:val="•"/>
      <w:lvlJc w:val="left"/>
      <w:pPr>
        <w:ind w:left="7708" w:hanging="94"/>
      </w:pPr>
      <w:rPr>
        <w:rFonts w:hint="default"/>
        <w:lang w:val="pt-BR" w:eastAsia="pt-BR" w:bidi="pt-BR"/>
      </w:rPr>
    </w:lvl>
    <w:lvl w:ilvl="8" w:tplc="11485370">
      <w:numFmt w:val="bullet"/>
      <w:lvlText w:val="•"/>
      <w:lvlJc w:val="left"/>
      <w:pPr>
        <w:ind w:left="8701" w:hanging="94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C175A"/>
    <w:rsid w:val="000C2793"/>
    <w:rsid w:val="008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line="183" w:lineRule="exact"/>
      <w:ind w:left="830" w:hanging="164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 w:firstLine="566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line="183" w:lineRule="exact"/>
      <w:ind w:left="100" w:firstLine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C27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793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todate.com/contents/reactive-arthrit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ptodate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4067</Words>
  <Characters>21963</Characters>
  <Application>Microsoft Office Word</Application>
  <DocSecurity>0</DocSecurity>
  <Lines>183</Lines>
  <Paragraphs>51</Paragraphs>
  <ScaleCrop>false</ScaleCrop>
  <Company/>
  <LinksUpToDate>false</LinksUpToDate>
  <CharactersWithSpaces>25979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PCDT</dc:title>
  <dc:creator>JMSD</dc:creator>
  <cp:lastModifiedBy>VANESSA ALVES DE OLIVEIRA</cp:lastModifiedBy>
  <cp:revision>2</cp:revision>
  <dcterms:created xsi:type="dcterms:W3CDTF">2019-07-19T12:58:00Z</dcterms:created>
  <dcterms:modified xsi:type="dcterms:W3CDTF">2019-07-19T13:00:00Z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2019-07-19T00:00:00Z</vt:filetime>
  </property>
</Properties>
</file>