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59" w:rsidRDefault="00D90659" w:rsidP="00D90659">
      <w:pPr>
        <w:pStyle w:val="Corpodetexto"/>
        <w:rPr>
          <w:sz w:val="20"/>
        </w:rPr>
      </w:pPr>
      <w:r>
        <w:rPr>
          <w:noProof/>
          <w:lang w:bidi="ar-SA"/>
        </w:rPr>
        <w:drawing>
          <wp:inline distT="0" distB="0" distL="0" distR="0" wp14:anchorId="75E45FEF" wp14:editId="55415047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C9" w:rsidRDefault="00D90659">
      <w:pPr>
        <w:pStyle w:val="Corpodetexto"/>
        <w:spacing w:before="66"/>
        <w:ind w:left="3662" w:right="3101"/>
        <w:jc w:val="center"/>
      </w:pPr>
      <w:bookmarkStart w:id="0" w:name="_GoBack"/>
      <w:bookmarkEnd w:id="0"/>
      <w:r>
        <w:t>ANEXO</w:t>
      </w:r>
    </w:p>
    <w:p w:rsidR="00741AC9" w:rsidRDefault="00741AC9">
      <w:pPr>
        <w:pStyle w:val="Corpodetexto"/>
        <w:spacing w:before="1"/>
        <w:ind w:left="0"/>
        <w:rPr>
          <w:sz w:val="24"/>
        </w:rPr>
      </w:pPr>
    </w:p>
    <w:p w:rsidR="00741AC9" w:rsidRDefault="00D90659">
      <w:pPr>
        <w:pStyle w:val="Corpodetexto"/>
        <w:spacing w:before="1" w:line="480" w:lineRule="auto"/>
        <w:ind w:left="2664" w:right="2666"/>
        <w:jc w:val="center"/>
      </w:pPr>
      <w:proofErr w:type="gramStart"/>
      <w:r>
        <w:t>PROTOCOLO CLÍNICO E DIRETRIZES TERAPÊUTICAS</w:t>
      </w:r>
      <w:proofErr w:type="gramEnd"/>
      <w:r>
        <w:t xml:space="preserve"> APLASIA PURA ADQUIRIDA CRÔNICA DA SÉRIE VERMELHA</w:t>
      </w:r>
    </w:p>
    <w:p w:rsidR="00741AC9" w:rsidRDefault="00741AC9">
      <w:pPr>
        <w:pStyle w:val="Corpodetexto"/>
        <w:spacing w:before="10"/>
        <w:ind w:left="0"/>
        <w:rPr>
          <w:sz w:val="15"/>
        </w:rPr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4"/>
        </w:tabs>
        <w:rPr>
          <w:sz w:val="16"/>
        </w:rPr>
      </w:pPr>
      <w:r>
        <w:rPr>
          <w:sz w:val="16"/>
        </w:rPr>
        <w:t>METODOLOGIA DE BUSCA E AVALIAÇÃO DA</w:t>
      </w:r>
      <w:r>
        <w:rPr>
          <w:spacing w:val="-5"/>
          <w:sz w:val="16"/>
        </w:rPr>
        <w:t xml:space="preserve"> </w:t>
      </w:r>
      <w:r>
        <w:rPr>
          <w:sz w:val="16"/>
        </w:rPr>
        <w:t>LITERATURA</w:t>
      </w:r>
    </w:p>
    <w:p w:rsidR="00741AC9" w:rsidRDefault="00D90659">
      <w:pPr>
        <w:pStyle w:val="Corpodetexto"/>
        <w:spacing w:before="1"/>
        <w:ind w:left="821"/>
      </w:pPr>
      <w:r>
        <w:t>Foram realizadas buscas nas bases de dados do MEDLINE/</w:t>
      </w:r>
      <w:proofErr w:type="spellStart"/>
      <w:proofErr w:type="gramStart"/>
      <w:r>
        <w:t>PubMed</w:t>
      </w:r>
      <w:proofErr w:type="spellEnd"/>
      <w:proofErr w:type="gramEnd"/>
      <w:r>
        <w:t>, Embase e biblioteca Cochrane em 22 de fevereiro de 2010.</w:t>
      </w:r>
    </w:p>
    <w:p w:rsidR="00741AC9" w:rsidRDefault="00D90659">
      <w:pPr>
        <w:pStyle w:val="Corpodetexto"/>
        <w:spacing w:before="1"/>
        <w:ind w:right="109" w:firstLine="708"/>
        <w:jc w:val="right"/>
      </w:pPr>
      <w:r>
        <w:t>Na</w:t>
      </w:r>
      <w:r>
        <w:rPr>
          <w:spacing w:val="6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dados</w:t>
      </w:r>
      <w:r>
        <w:rPr>
          <w:spacing w:val="6"/>
        </w:rPr>
        <w:t xml:space="preserve"> </w:t>
      </w:r>
      <w:r>
        <w:t>MEDLINE/</w:t>
      </w:r>
      <w:proofErr w:type="spellStart"/>
      <w:proofErr w:type="gramStart"/>
      <w:r>
        <w:t>PubMed</w:t>
      </w:r>
      <w:proofErr w:type="spellEnd"/>
      <w:proofErr w:type="gramEnd"/>
      <w:r>
        <w:t>,</w:t>
      </w:r>
      <w:r>
        <w:rPr>
          <w:spacing w:val="8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utilizada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estratégia</w:t>
      </w:r>
      <w:r>
        <w:rPr>
          <w:spacing w:val="5"/>
        </w:rPr>
        <w:t xml:space="preserve"> </w:t>
      </w:r>
      <w:r>
        <w:t>"</w:t>
      </w:r>
      <w:proofErr w:type="spellStart"/>
      <w:r>
        <w:t>Red-Cell</w:t>
      </w:r>
      <w:proofErr w:type="spellEnd"/>
      <w:r>
        <w:rPr>
          <w:spacing w:val="5"/>
        </w:rPr>
        <w:t xml:space="preserve"> </w:t>
      </w:r>
      <w:r>
        <w:t>Aplasia,</w:t>
      </w:r>
      <w:r>
        <w:rPr>
          <w:spacing w:val="7"/>
        </w:rPr>
        <w:t xml:space="preserve"> </w:t>
      </w:r>
      <w:proofErr w:type="spellStart"/>
      <w:r>
        <w:t>Pure</w:t>
      </w:r>
      <w:proofErr w:type="spellEnd"/>
      <w:r>
        <w:t>"[</w:t>
      </w:r>
      <w:proofErr w:type="spellStart"/>
      <w:r>
        <w:t>Mesh</w:t>
      </w:r>
      <w:proofErr w:type="spellEnd"/>
      <w:r>
        <w:t>]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"</w:t>
      </w:r>
      <w:proofErr w:type="spellStart"/>
      <w:r>
        <w:t>Therapeutics</w:t>
      </w:r>
      <w:proofErr w:type="spellEnd"/>
      <w:r>
        <w:t>"[</w:t>
      </w:r>
      <w:proofErr w:type="spellStart"/>
      <w:r>
        <w:t>Mesh</w:t>
      </w:r>
      <w:proofErr w:type="spellEnd"/>
      <w:r>
        <w:t>],</w:t>
      </w:r>
      <w:r>
        <w:rPr>
          <w:spacing w:val="7"/>
        </w:rPr>
        <w:t xml:space="preserve"> </w:t>
      </w:r>
      <w:r>
        <w:t>sem</w:t>
      </w:r>
      <w:r>
        <w:rPr>
          <w:spacing w:val="7"/>
        </w:rPr>
        <w:t xml:space="preserve"> </w:t>
      </w:r>
      <w:r>
        <w:t>limite</w:t>
      </w:r>
      <w:r>
        <w:t xml:space="preserve"> </w:t>
      </w:r>
      <w:r>
        <w:t>de data, limitada para estudos em humanos. A busca resultou em 149 artigos. Nenhum ensaio clínico randomizado foi encontrado nessa</w:t>
      </w:r>
      <w:r>
        <w:rPr>
          <w:spacing w:val="16"/>
        </w:rPr>
        <w:t xml:space="preserve"> </w:t>
      </w:r>
      <w:r>
        <w:t>busca.</w:t>
      </w:r>
      <w:r>
        <w:rPr>
          <w:spacing w:val="13"/>
        </w:rPr>
        <w:t xml:space="preserve"> </w:t>
      </w:r>
      <w:r>
        <w:t>Os</w:t>
      </w:r>
      <w:r>
        <w:t xml:space="preserve"> </w:t>
      </w:r>
      <w:r>
        <w:t>artigos</w:t>
      </w:r>
      <w:r>
        <w:rPr>
          <w:spacing w:val="-3"/>
        </w:rPr>
        <w:t xml:space="preserve"> </w:t>
      </w:r>
      <w:r>
        <w:t>identificados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relatos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excluídos,</w:t>
      </w:r>
      <w:r>
        <w:rPr>
          <w:spacing w:val="-2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maio</w:t>
      </w:r>
      <w:r>
        <w:t>ria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recomendações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Protocolo</w:t>
      </w:r>
      <w:r>
        <w:rPr>
          <w:spacing w:val="-4"/>
        </w:rPr>
        <w:t xml:space="preserve"> </w:t>
      </w:r>
      <w:r>
        <w:t>deriva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estudos</w:t>
      </w:r>
      <w:r>
        <w:rPr>
          <w:spacing w:val="-3"/>
        </w:rPr>
        <w:t xml:space="preserve"> </w:t>
      </w:r>
      <w:r>
        <w:t>observacionais</w:t>
      </w:r>
      <w:r>
        <w:t xml:space="preserve"> </w:t>
      </w:r>
      <w:r>
        <w:t>e recomendações de especialistas. Na base de dados Embase, foi repetida a mesma busca acima e não foram identificados estudos relevantes</w:t>
      </w:r>
      <w:r>
        <w:rPr>
          <w:spacing w:val="39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não</w:t>
      </w:r>
      <w:r>
        <w:t xml:space="preserve"> </w:t>
      </w:r>
      <w:r>
        <w:t>haviam</w:t>
      </w:r>
      <w:r>
        <w:rPr>
          <w:spacing w:val="-4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encontrados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busca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MEDLINE/</w:t>
      </w:r>
      <w:proofErr w:type="spellStart"/>
      <w:proofErr w:type="gramStart"/>
      <w:r>
        <w:t>PubMed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biblioteca</w:t>
      </w:r>
      <w:r>
        <w:rPr>
          <w:spacing w:val="-5"/>
        </w:rPr>
        <w:t xml:space="preserve"> </w:t>
      </w:r>
      <w:r>
        <w:t>Cochrane,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localizadas</w:t>
      </w:r>
      <w:r>
        <w:rPr>
          <w:spacing w:val="-4"/>
        </w:rPr>
        <w:t xml:space="preserve"> </w:t>
      </w:r>
      <w:r>
        <w:t>revisões</w:t>
      </w:r>
      <w:r>
        <w:rPr>
          <w:spacing w:val="-3"/>
        </w:rPr>
        <w:t xml:space="preserve"> </w:t>
      </w:r>
      <w:r>
        <w:t>sistemáticas</w:t>
      </w:r>
      <w:r>
        <w:rPr>
          <w:spacing w:val="-3"/>
        </w:rPr>
        <w:t xml:space="preserve"> </w:t>
      </w:r>
      <w:r>
        <w:t>relacionadas</w:t>
      </w:r>
      <w:r>
        <w:rPr>
          <w:spacing w:val="-5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tema.</w:t>
      </w:r>
    </w:p>
    <w:p w:rsidR="00741AC9" w:rsidRDefault="00D90659">
      <w:pPr>
        <w:pStyle w:val="Corpodetexto"/>
        <w:ind w:right="114" w:firstLine="708"/>
        <w:jc w:val="both"/>
      </w:pPr>
      <w:r>
        <w:t xml:space="preserve">Também foram consultados livros-textos de hematologia e o </w:t>
      </w:r>
      <w:proofErr w:type="spellStart"/>
      <w:proofErr w:type="gramStart"/>
      <w:r>
        <w:t>UpToDate</w:t>
      </w:r>
      <w:proofErr w:type="spellEnd"/>
      <w:proofErr w:type="gramEnd"/>
      <w:r>
        <w:t xml:space="preserve"> 17.3, através do site</w:t>
      </w:r>
      <w:hyperlink r:id="rId7">
        <w:r>
          <w:t xml:space="preserve"> http://www.uptodateonline.com/online/index.do.</w:t>
        </w:r>
      </w:hyperlink>
    </w:p>
    <w:p w:rsidR="00741AC9" w:rsidRDefault="00D90659">
      <w:pPr>
        <w:pStyle w:val="Corpodetexto"/>
        <w:ind w:right="110" w:firstLine="708"/>
        <w:jc w:val="both"/>
      </w:pPr>
      <w:r>
        <w:t>Em 08/09/14, foi realizada atualização da busca na literatura, com os critérios de inclusão da busca original. Na base de dados MEDLINE/</w:t>
      </w:r>
      <w:proofErr w:type="spellStart"/>
      <w:proofErr w:type="gramStart"/>
      <w:r>
        <w:t>PubMed</w:t>
      </w:r>
      <w:proofErr w:type="spellEnd"/>
      <w:proofErr w:type="gramEnd"/>
      <w:r>
        <w:t>, utilizando-se a estratégia “("</w:t>
      </w:r>
      <w:proofErr w:type="spellStart"/>
      <w:r>
        <w:t>Red-Cell</w:t>
      </w:r>
      <w:proofErr w:type="spellEnd"/>
      <w:r>
        <w:t xml:space="preserve"> Aplasia, </w:t>
      </w:r>
      <w:proofErr w:type="spellStart"/>
      <w:r>
        <w:t>Pure</w:t>
      </w:r>
      <w:proofErr w:type="spellEnd"/>
      <w:r>
        <w:t>"[</w:t>
      </w:r>
      <w:proofErr w:type="spellStart"/>
      <w:r>
        <w:t>Mesh</w:t>
      </w:r>
      <w:proofErr w:type="spellEnd"/>
      <w:r>
        <w:t xml:space="preserve">]) </w:t>
      </w:r>
      <w:r>
        <w:t>AND "</w:t>
      </w:r>
      <w:proofErr w:type="spellStart"/>
      <w:r>
        <w:t>Therapeutics</w:t>
      </w:r>
      <w:proofErr w:type="spellEnd"/>
      <w:r>
        <w:t>"[</w:t>
      </w:r>
      <w:proofErr w:type="spellStart"/>
      <w:r>
        <w:t>Mesh</w:t>
      </w:r>
      <w:proofErr w:type="spellEnd"/>
      <w:r>
        <w:t xml:space="preserve">] </w:t>
      </w:r>
      <w:proofErr w:type="spellStart"/>
      <w:r>
        <w:t>Filters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2010/02/22, </w:t>
      </w:r>
      <w:proofErr w:type="spellStart"/>
      <w:r>
        <w:t>Humans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Portuguese</w:t>
      </w:r>
      <w:proofErr w:type="spellEnd"/>
      <w:r>
        <w:t>, Spanish”, foram localizados 59 estudos, dos quais cinco foram selecionados para leitura na íntegra. Nenhum foi incluído.</w:t>
      </w:r>
    </w:p>
    <w:p w:rsidR="00741AC9" w:rsidRDefault="00D90659">
      <w:pPr>
        <w:pStyle w:val="Corpodetexto"/>
        <w:ind w:right="110" w:firstLine="708"/>
        <w:jc w:val="both"/>
      </w:pPr>
      <w:r>
        <w:t>Na base Embase, foi utilizada a estratégia “'</w:t>
      </w:r>
      <w:proofErr w:type="spellStart"/>
      <w:r>
        <w:t>pure</w:t>
      </w:r>
      <w:proofErr w:type="spellEnd"/>
      <w:r>
        <w:t xml:space="preserve"> </w:t>
      </w:r>
      <w:proofErr w:type="spellStart"/>
      <w:r>
        <w:t>red-c</w:t>
      </w:r>
      <w:r>
        <w:t>ell</w:t>
      </w:r>
      <w:proofErr w:type="spellEnd"/>
      <w:r>
        <w:t xml:space="preserve"> aplasia'/</w:t>
      </w:r>
      <w:proofErr w:type="spellStart"/>
      <w:r>
        <w:t>mj</w:t>
      </w:r>
      <w:proofErr w:type="spellEnd"/>
      <w:r>
        <w:t xml:space="preserve"> AND '</w:t>
      </w:r>
      <w:proofErr w:type="spellStart"/>
      <w:r>
        <w:t>therapy</w:t>
      </w:r>
      <w:proofErr w:type="spellEnd"/>
      <w:r>
        <w:t>'/</w:t>
      </w:r>
      <w:proofErr w:type="spellStart"/>
      <w:r>
        <w:t>exp</w:t>
      </w:r>
      <w:proofErr w:type="spellEnd"/>
      <w:r>
        <w:t xml:space="preserve"> AND [embase</w:t>
      </w:r>
      <w:proofErr w:type="gramStart"/>
      <w:r>
        <w:t>]</w:t>
      </w:r>
      <w:proofErr w:type="gramEnd"/>
      <w:r>
        <w:t>/</w:t>
      </w:r>
      <w:proofErr w:type="spellStart"/>
      <w:r>
        <w:t>lim</w:t>
      </w:r>
      <w:proofErr w:type="spellEnd"/>
      <w:r>
        <w:t xml:space="preserve"> AND ([</w:t>
      </w:r>
      <w:proofErr w:type="spellStart"/>
      <w:r>
        <w:t>english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</w:t>
      </w:r>
      <w:proofErr w:type="spellStart"/>
      <w:r>
        <w:t>portuguese</w:t>
      </w:r>
      <w:proofErr w:type="spellEnd"/>
      <w:r>
        <w:t>]/</w:t>
      </w:r>
      <w:proofErr w:type="spellStart"/>
      <w:r>
        <w:t>lim</w:t>
      </w:r>
      <w:proofErr w:type="spellEnd"/>
      <w:r>
        <w:t xml:space="preserve"> OR [</w:t>
      </w:r>
      <w:proofErr w:type="spellStart"/>
      <w:r>
        <w:t>spanish</w:t>
      </w:r>
      <w:proofErr w:type="spellEnd"/>
      <w:r>
        <w:t>]/</w:t>
      </w:r>
      <w:proofErr w:type="spellStart"/>
      <w:r>
        <w:t>lim</w:t>
      </w:r>
      <w:proofErr w:type="spellEnd"/>
      <w:r>
        <w:t>) AND [</w:t>
      </w:r>
      <w:proofErr w:type="spellStart"/>
      <w:r>
        <w:t>humans</w:t>
      </w:r>
      <w:proofErr w:type="spellEnd"/>
      <w:r>
        <w:t>]/</w:t>
      </w:r>
      <w:proofErr w:type="spellStart"/>
      <w:r>
        <w:t>lim</w:t>
      </w:r>
      <w:proofErr w:type="spellEnd"/>
      <w:r>
        <w:t xml:space="preserve"> AND [22-2-2010]/</w:t>
      </w:r>
      <w:proofErr w:type="spellStart"/>
      <w:r>
        <w:t>sd</w:t>
      </w:r>
      <w:proofErr w:type="spellEnd"/>
      <w:r>
        <w:t xml:space="preserve"> AND [2010-2014]/</w:t>
      </w:r>
      <w:proofErr w:type="spellStart"/>
      <w:r>
        <w:t>py</w:t>
      </w:r>
      <w:proofErr w:type="spellEnd"/>
      <w:r>
        <w:t>”, tendo sido localizados 147 estudos. Destes, cinco foram selecionados para leitura na íntegr</w:t>
      </w:r>
      <w:r>
        <w:t>a. Essa busca não resultou na inclusão de novos</w:t>
      </w:r>
      <w:r>
        <w:rPr>
          <w:spacing w:val="-22"/>
        </w:rPr>
        <w:t xml:space="preserve"> </w:t>
      </w:r>
      <w:r>
        <w:t>estudos.</w:t>
      </w:r>
    </w:p>
    <w:p w:rsidR="00741AC9" w:rsidRDefault="00D90659">
      <w:pPr>
        <w:pStyle w:val="Corpodetexto"/>
        <w:ind w:right="116" w:firstLine="708"/>
        <w:jc w:val="both"/>
      </w:pPr>
      <w:proofErr w:type="gramStart"/>
      <w:r>
        <w:t>Na biblioteca Cochrane, foram utilizados os termos'"</w:t>
      </w:r>
      <w:proofErr w:type="gramEnd"/>
      <w:r>
        <w:t xml:space="preserve"> </w:t>
      </w:r>
      <w:proofErr w:type="spellStart"/>
      <w:r>
        <w:t>red-cell</w:t>
      </w:r>
      <w:proofErr w:type="spellEnd"/>
      <w:r>
        <w:t xml:space="preserve"> aplasia" OR "</w:t>
      </w:r>
      <w:proofErr w:type="spellStart"/>
      <w:r>
        <w:t>pure</w:t>
      </w:r>
      <w:proofErr w:type="spellEnd"/>
      <w:r>
        <w:t xml:space="preserve">  </w:t>
      </w:r>
      <w:proofErr w:type="spellStart"/>
      <w:r>
        <w:t>red</w:t>
      </w:r>
      <w:proofErr w:type="spellEnd"/>
      <w:r>
        <w:t xml:space="preserve">  </w:t>
      </w:r>
      <w:proofErr w:type="spellStart"/>
      <w:r>
        <w:t>cell</w:t>
      </w:r>
      <w:proofErr w:type="spellEnd"/>
      <w:r>
        <w:t xml:space="preserve">  </w:t>
      </w:r>
      <w:proofErr w:type="spellStart"/>
      <w:r>
        <w:t>acquired</w:t>
      </w:r>
      <w:proofErr w:type="spellEnd"/>
      <w:r>
        <w:t xml:space="preserve">  aplasia"  in  </w:t>
      </w:r>
      <w:proofErr w:type="spellStart"/>
      <w:r>
        <w:t>Title</w:t>
      </w:r>
      <w:proofErr w:type="spellEnd"/>
      <w:r>
        <w:t xml:space="preserve">,  Abstract,  </w:t>
      </w:r>
      <w:proofErr w:type="spellStart"/>
      <w:r>
        <w:t>Keywords</w:t>
      </w:r>
      <w:proofErr w:type="spellEnd"/>
      <w:r>
        <w:t xml:space="preserve"> in </w:t>
      </w:r>
      <w:proofErr w:type="spellStart"/>
      <w:r>
        <w:t>Trials</w:t>
      </w:r>
      <w:proofErr w:type="spellEnd"/>
      <w:r>
        <w:t xml:space="preserve">', tendo como resultado sete publicações. Não </w:t>
      </w:r>
      <w:r>
        <w:t>foi localizada revisão sistemática da Cochrane sobre o tema. Nenhum estudo foi selecionado.</w:t>
      </w:r>
    </w:p>
    <w:p w:rsidR="00741AC9" w:rsidRDefault="00D90659">
      <w:pPr>
        <w:pStyle w:val="Corpodetexto"/>
        <w:ind w:right="109" w:firstLine="708"/>
        <w:jc w:val="both"/>
      </w:pPr>
      <w:r>
        <w:t>Além de relatos de casos, foram excluídos estudos avaliando terapias não disponíveis no Brasil, assim como estudos que avaliaram desfechos não clínicos e que não re</w:t>
      </w:r>
      <w:r>
        <w:t xml:space="preserve">percutiram em novas recomendações. Na atualização da busca, foi ainda consultada a base de dados eletrônica </w:t>
      </w:r>
      <w:proofErr w:type="spellStart"/>
      <w:proofErr w:type="gramStart"/>
      <w:r>
        <w:t>UpToDate</w:t>
      </w:r>
      <w:proofErr w:type="spellEnd"/>
      <w:proofErr w:type="gramEnd"/>
      <w:r>
        <w:t>® versão 19.2 e incluídas referências de interesse dos autores.</w:t>
      </w:r>
    </w:p>
    <w:p w:rsidR="00741AC9" w:rsidRDefault="00741AC9">
      <w:pPr>
        <w:pStyle w:val="Corpodetexto"/>
        <w:ind w:left="0"/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6"/>
        </w:tabs>
        <w:ind w:left="275" w:hanging="163"/>
        <w:rPr>
          <w:sz w:val="16"/>
        </w:rPr>
      </w:pPr>
      <w:r>
        <w:rPr>
          <w:sz w:val="16"/>
        </w:rPr>
        <w:t>INTRODUÇÃO</w:t>
      </w:r>
    </w:p>
    <w:p w:rsidR="00741AC9" w:rsidRDefault="00D90659">
      <w:pPr>
        <w:pStyle w:val="Corpodetexto"/>
        <w:spacing w:before="1"/>
        <w:ind w:right="109" w:firstLine="566"/>
        <w:jc w:val="both"/>
      </w:pPr>
      <w:r>
        <w:t xml:space="preserve">A aplasia pura adquirida crônica da série vermelha (APASV) é uma síndrome clínica rara, caracterizada por anemia grave, </w:t>
      </w:r>
      <w:proofErr w:type="spellStart"/>
      <w:r>
        <w:t>hipoproliferativa</w:t>
      </w:r>
      <w:proofErr w:type="spellEnd"/>
      <w:r>
        <w:t xml:space="preserve"> (caracterizada por </w:t>
      </w:r>
      <w:proofErr w:type="spellStart"/>
      <w:r>
        <w:t>reticulocitopenia</w:t>
      </w:r>
      <w:proofErr w:type="spellEnd"/>
      <w:r>
        <w:t xml:space="preserve"> acentuada) e marcada por diminuição ou até inexistência de </w:t>
      </w:r>
      <w:proofErr w:type="spellStart"/>
      <w:r>
        <w:t>eritroblastos</w:t>
      </w:r>
      <w:proofErr w:type="spellEnd"/>
      <w:r>
        <w:t xml:space="preserve"> em medul</w:t>
      </w:r>
      <w:r>
        <w:t>a óssea apresentando presença normal de precursores das outras séries celulares (1-3).</w:t>
      </w:r>
    </w:p>
    <w:p w:rsidR="00741AC9" w:rsidRDefault="00D90659">
      <w:pPr>
        <w:pStyle w:val="Corpodetexto"/>
        <w:ind w:right="108" w:firstLine="566"/>
        <w:jc w:val="both"/>
      </w:pPr>
      <w:r>
        <w:t>A APASV pode ocorrer como doença primária (também chamada de idiopática) ou secundária a diversas outras doenças. Dentre as causas secundárias, destacam-se as doenças au</w:t>
      </w:r>
      <w:r>
        <w:t xml:space="preserve">toimunes, neoplasias, </w:t>
      </w:r>
      <w:proofErr w:type="spellStart"/>
      <w:r>
        <w:t>linfoproliferações</w:t>
      </w:r>
      <w:proofErr w:type="spellEnd"/>
      <w:r>
        <w:t xml:space="preserve">, infecções </w:t>
      </w:r>
      <w:proofErr w:type="gramStart"/>
      <w:r>
        <w:t xml:space="preserve">virais, além de doenças que surgem após transplante de células-tronco </w:t>
      </w:r>
      <w:proofErr w:type="spellStart"/>
      <w:r>
        <w:t>hematopoéticas</w:t>
      </w:r>
      <w:proofErr w:type="spellEnd"/>
      <w:r>
        <w:t xml:space="preserve"> </w:t>
      </w:r>
      <w:proofErr w:type="spellStart"/>
      <w:r>
        <w:t>alogênico</w:t>
      </w:r>
      <w:proofErr w:type="spellEnd"/>
      <w:r>
        <w:t xml:space="preserve"> ABO-incompatível</w:t>
      </w:r>
      <w:proofErr w:type="gramEnd"/>
      <w:r>
        <w:t xml:space="preserve"> e uso de medicamentos (1, 2) (Quadro 1).</w:t>
      </w:r>
    </w:p>
    <w:p w:rsidR="00741AC9" w:rsidRDefault="00D90659">
      <w:pPr>
        <w:pStyle w:val="Corpodetexto"/>
        <w:ind w:right="136" w:firstLine="566"/>
      </w:pPr>
      <w:r>
        <w:t>A APASV pode se manifestar de maneira aguda e autol</w:t>
      </w:r>
      <w:r>
        <w:t>imitada, mais comumente observada em crianças, e de maneira crônica, mais frequente em adultos (2).</w:t>
      </w:r>
    </w:p>
    <w:p w:rsidR="00741AC9" w:rsidRDefault="00D90659">
      <w:pPr>
        <w:pStyle w:val="Corpodetexto"/>
        <w:ind w:right="136" w:firstLine="566"/>
      </w:pPr>
      <w:r>
        <w:t>Estudos observacionais apontam uma sobrevida média superior a 10 anos para os casos de APASV idiopática, podendo ser significativamente</w:t>
      </w:r>
      <w:r>
        <w:rPr>
          <w:spacing w:val="-5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</w:t>
      </w:r>
      <w:r>
        <w:t>oença</w:t>
      </w:r>
      <w:r>
        <w:rPr>
          <w:spacing w:val="1"/>
        </w:rPr>
        <w:t xml:space="preserve"> </w:t>
      </w:r>
      <w:r>
        <w:t>secundária,</w:t>
      </w:r>
      <w:r>
        <w:rPr>
          <w:spacing w:val="-2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doença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(1).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localizados</w:t>
      </w:r>
      <w:r>
        <w:rPr>
          <w:spacing w:val="-5"/>
        </w:rPr>
        <w:t xml:space="preserve"> </w:t>
      </w:r>
      <w:r>
        <w:t>estudos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prevalência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APASV.</w:t>
      </w:r>
    </w:p>
    <w:p w:rsidR="00741AC9" w:rsidRDefault="00D90659">
      <w:pPr>
        <w:pStyle w:val="Corpodetexto"/>
        <w:ind w:right="136" w:firstLine="566"/>
      </w:pPr>
      <w:r>
        <w:t>Postula-se que um mecanismo envolvendo autoimunidade (</w:t>
      </w:r>
      <w:proofErr w:type="spellStart"/>
      <w:r>
        <w:t>autoanticorpos</w:t>
      </w:r>
      <w:proofErr w:type="spellEnd"/>
      <w:r>
        <w:t xml:space="preserve"> da classe </w:t>
      </w:r>
      <w:proofErr w:type="spellStart"/>
      <w:proofErr w:type="gramStart"/>
      <w:r>
        <w:t>IgG</w:t>
      </w:r>
      <w:proofErr w:type="spellEnd"/>
      <w:proofErr w:type="gramEnd"/>
      <w:r>
        <w:t xml:space="preserve">) e ativação de linfócitos T citotóxicos e </w:t>
      </w:r>
      <w:r>
        <w:rPr>
          <w:i/>
        </w:rPr>
        <w:t xml:space="preserve">natural </w:t>
      </w:r>
      <w:proofErr w:type="spellStart"/>
      <w:r>
        <w:rPr>
          <w:i/>
        </w:rPr>
        <w:t>killers</w:t>
      </w:r>
      <w:proofErr w:type="spellEnd"/>
      <w:r>
        <w:rPr>
          <w:i/>
        </w:rPr>
        <w:t xml:space="preserve"> </w:t>
      </w:r>
      <w:r>
        <w:t xml:space="preserve">esteja envolvido no desenvolvimento da aplasia, com destruição dos precursores </w:t>
      </w:r>
      <w:proofErr w:type="spellStart"/>
      <w:r>
        <w:t>eritroides</w:t>
      </w:r>
      <w:proofErr w:type="spellEnd"/>
      <w:r>
        <w:t xml:space="preserve"> ainda na medula óssea (1, 2).</w:t>
      </w:r>
    </w:p>
    <w:p w:rsidR="00741AC9" w:rsidRDefault="00D90659">
      <w:pPr>
        <w:pStyle w:val="Corpodetexto"/>
        <w:ind w:firstLine="566"/>
      </w:pPr>
      <w:r>
        <w:t>A identificação de fatores de risco e da doença em seu estágio inicial e o encaminhamento ágil e adequado para o atendimento especializa</w:t>
      </w:r>
      <w:r>
        <w:t xml:space="preserve">do </w:t>
      </w:r>
      <w:proofErr w:type="gramStart"/>
      <w:r>
        <w:t>dão</w:t>
      </w:r>
      <w:proofErr w:type="gramEnd"/>
      <w:r>
        <w:t xml:space="preserve"> à Atenção Básica um caráter essencial para um melhor resultado terapêutico e prognóstico dos casos.</w:t>
      </w:r>
    </w:p>
    <w:p w:rsidR="00741AC9" w:rsidRDefault="00741AC9">
      <w:pPr>
        <w:pStyle w:val="Corpodetexto"/>
        <w:ind w:left="0"/>
        <w:rPr>
          <w:sz w:val="18"/>
        </w:rPr>
      </w:pPr>
    </w:p>
    <w:p w:rsidR="00741AC9" w:rsidRDefault="00D90659">
      <w:pPr>
        <w:pStyle w:val="Corpodetexto"/>
        <w:spacing w:before="160" w:after="6"/>
      </w:pPr>
      <w:r>
        <w:t xml:space="preserve">Quadro </w:t>
      </w:r>
      <w:proofErr w:type="gramStart"/>
      <w:r>
        <w:t>1</w:t>
      </w:r>
      <w:proofErr w:type="gramEnd"/>
      <w:r>
        <w:t>: Causas secundárias de Aplasia Pura da Série Vermelha</w:t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9472"/>
      </w:tblGrid>
      <w:tr w:rsidR="00741AC9">
        <w:trPr>
          <w:trHeight w:val="181"/>
        </w:trPr>
        <w:tc>
          <w:tcPr>
            <w:tcW w:w="9472" w:type="dxa"/>
            <w:tcBorders>
              <w:top w:val="single" w:sz="4" w:space="0" w:color="000000"/>
            </w:tcBorders>
          </w:tcPr>
          <w:p w:rsidR="00741AC9" w:rsidRDefault="00D90659">
            <w:pPr>
              <w:pStyle w:val="TableParagraph"/>
              <w:spacing w:line="162" w:lineRule="exact"/>
              <w:ind w:left="635" w:right="120"/>
              <w:jc w:val="center"/>
              <w:rPr>
                <w:sz w:val="16"/>
              </w:rPr>
            </w:pPr>
            <w:r>
              <w:rPr>
                <w:sz w:val="16"/>
              </w:rPr>
              <w:t>Medicamentos</w:t>
            </w:r>
          </w:p>
        </w:tc>
      </w:tr>
      <w:tr w:rsidR="00741AC9">
        <w:trPr>
          <w:trHeight w:val="554"/>
        </w:trPr>
        <w:tc>
          <w:tcPr>
            <w:tcW w:w="9472" w:type="dxa"/>
            <w:tcBorders>
              <w:bottom w:val="single" w:sz="4" w:space="0" w:color="000000"/>
            </w:tcBorders>
          </w:tcPr>
          <w:p w:rsidR="00741AC9" w:rsidRDefault="00D90659">
            <w:pPr>
              <w:pStyle w:val="TableParagraph"/>
              <w:spacing w:line="237" w:lineRule="auto"/>
              <w:ind w:left="127" w:right="1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Fenitoína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carbamazepina</w:t>
            </w:r>
            <w:proofErr w:type="spellEnd"/>
            <w:r>
              <w:rPr>
                <w:sz w:val="16"/>
              </w:rPr>
              <w:t xml:space="preserve">, ácido </w:t>
            </w:r>
            <w:proofErr w:type="spellStart"/>
            <w:r>
              <w:rPr>
                <w:sz w:val="16"/>
              </w:rPr>
              <w:t>valproico</w:t>
            </w:r>
            <w:proofErr w:type="spellEnd"/>
            <w:r>
              <w:rPr>
                <w:sz w:val="16"/>
              </w:rPr>
              <w:t xml:space="preserve">, fenobarbital, </w:t>
            </w:r>
            <w:proofErr w:type="spellStart"/>
            <w:r>
              <w:rPr>
                <w:sz w:val="16"/>
              </w:rPr>
              <w:t>sulfametoxazol-trimetoprim</w:t>
            </w:r>
            <w:proofErr w:type="spellEnd"/>
            <w:r>
              <w:rPr>
                <w:sz w:val="16"/>
              </w:rPr>
              <w:t xml:space="preserve">, zidovudina, </w:t>
            </w:r>
            <w:proofErr w:type="spellStart"/>
            <w:r>
              <w:rPr>
                <w:sz w:val="16"/>
              </w:rPr>
              <w:t>cloranfenicol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linezolida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dapsona</w:t>
            </w:r>
            <w:proofErr w:type="spellEnd"/>
            <w:r>
              <w:rPr>
                <w:sz w:val="16"/>
              </w:rPr>
              <w:t xml:space="preserve">, penicilina, </w:t>
            </w:r>
            <w:proofErr w:type="spellStart"/>
            <w:r>
              <w:rPr>
                <w:sz w:val="16"/>
              </w:rPr>
              <w:t>rifampicina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lamivudina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clorpropamida</w:t>
            </w:r>
            <w:proofErr w:type="spellEnd"/>
            <w:r>
              <w:rPr>
                <w:sz w:val="16"/>
              </w:rPr>
              <w:t xml:space="preserve">, estimulantes da </w:t>
            </w:r>
            <w:proofErr w:type="spellStart"/>
            <w:r>
              <w:rPr>
                <w:sz w:val="16"/>
              </w:rPr>
              <w:t>eritropoiese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micofenolato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mofetila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azatioprina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</w:t>
            </w:r>
            <w:r>
              <w:rPr>
                <w:sz w:val="16"/>
              </w:rPr>
              <w:t>crolimo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fludarabina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cladribina</w:t>
            </w:r>
            <w:proofErr w:type="spellEnd"/>
            <w:r>
              <w:rPr>
                <w:sz w:val="16"/>
              </w:rPr>
              <w:t>,</w:t>
            </w:r>
          </w:p>
          <w:p w:rsidR="00741AC9" w:rsidRDefault="00D90659">
            <w:pPr>
              <w:pStyle w:val="TableParagraph"/>
              <w:spacing w:line="170" w:lineRule="exact"/>
              <w:ind w:left="128" w:right="12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alopurinol</w:t>
            </w:r>
            <w:proofErr w:type="spellEnd"/>
            <w:proofErr w:type="gramEnd"/>
            <w:r>
              <w:rPr>
                <w:sz w:val="16"/>
              </w:rPr>
              <w:t>, metildopa.</w:t>
            </w:r>
          </w:p>
        </w:tc>
      </w:tr>
      <w:tr w:rsidR="00741AC9">
        <w:trPr>
          <w:trHeight w:val="181"/>
        </w:trPr>
        <w:tc>
          <w:tcPr>
            <w:tcW w:w="9472" w:type="dxa"/>
            <w:tcBorders>
              <w:top w:val="single" w:sz="4" w:space="0" w:color="000000"/>
            </w:tcBorders>
          </w:tcPr>
          <w:p w:rsidR="00741AC9" w:rsidRDefault="00D90659">
            <w:pPr>
              <w:pStyle w:val="TableParagraph"/>
              <w:spacing w:line="161" w:lineRule="exact"/>
              <w:ind w:left="123" w:right="120"/>
              <w:jc w:val="center"/>
              <w:rPr>
                <w:sz w:val="16"/>
              </w:rPr>
            </w:pPr>
            <w:r>
              <w:rPr>
                <w:sz w:val="16"/>
              </w:rPr>
              <w:t>Infecções</w:t>
            </w:r>
          </w:p>
        </w:tc>
      </w:tr>
      <w:tr w:rsidR="00741AC9">
        <w:trPr>
          <w:trHeight w:val="186"/>
        </w:trPr>
        <w:tc>
          <w:tcPr>
            <w:tcW w:w="9472" w:type="dxa"/>
            <w:tcBorders>
              <w:bottom w:val="single" w:sz="4" w:space="0" w:color="000000"/>
            </w:tcBorders>
          </w:tcPr>
          <w:p w:rsidR="00741AC9" w:rsidRDefault="00D90659">
            <w:pPr>
              <w:pStyle w:val="TableParagraph"/>
              <w:spacing w:line="166" w:lineRule="exact"/>
              <w:ind w:left="126" w:right="12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Parvovírus</w:t>
            </w:r>
            <w:proofErr w:type="spellEnd"/>
            <w:r>
              <w:rPr>
                <w:sz w:val="16"/>
              </w:rPr>
              <w:t xml:space="preserve"> B19, HIV, hepatites virais.</w:t>
            </w:r>
          </w:p>
        </w:tc>
      </w:tr>
      <w:tr w:rsidR="00741AC9">
        <w:trPr>
          <w:trHeight w:val="181"/>
        </w:trPr>
        <w:tc>
          <w:tcPr>
            <w:tcW w:w="9472" w:type="dxa"/>
            <w:tcBorders>
              <w:top w:val="single" w:sz="4" w:space="0" w:color="000000"/>
            </w:tcBorders>
          </w:tcPr>
          <w:p w:rsidR="00741AC9" w:rsidRDefault="00D90659">
            <w:pPr>
              <w:pStyle w:val="TableParagraph"/>
              <w:spacing w:line="162" w:lineRule="exact"/>
              <w:ind w:left="126" w:right="120"/>
              <w:jc w:val="center"/>
              <w:rPr>
                <w:sz w:val="16"/>
              </w:rPr>
            </w:pPr>
            <w:r>
              <w:rPr>
                <w:sz w:val="16"/>
              </w:rPr>
              <w:t>Causas autoimunes</w:t>
            </w:r>
          </w:p>
        </w:tc>
      </w:tr>
      <w:tr w:rsidR="00741AC9">
        <w:trPr>
          <w:trHeight w:val="187"/>
        </w:trPr>
        <w:tc>
          <w:tcPr>
            <w:tcW w:w="9472" w:type="dxa"/>
            <w:tcBorders>
              <w:bottom w:val="single" w:sz="4" w:space="0" w:color="000000"/>
            </w:tcBorders>
          </w:tcPr>
          <w:p w:rsidR="00741AC9" w:rsidRDefault="00D90659">
            <w:pPr>
              <w:pStyle w:val="TableParagraph"/>
              <w:spacing w:line="167" w:lineRule="exact"/>
              <w:ind w:left="648"/>
              <w:rPr>
                <w:sz w:val="16"/>
              </w:rPr>
            </w:pPr>
            <w:r>
              <w:rPr>
                <w:sz w:val="16"/>
              </w:rPr>
              <w:t>Anemia hemolítica autoimune, lúpus eritematoso sistêmico, artrite reumatoide, transplante de medula óssea ABO incompatível.</w:t>
            </w:r>
          </w:p>
        </w:tc>
      </w:tr>
      <w:tr w:rsidR="00741AC9">
        <w:trPr>
          <w:trHeight w:val="180"/>
        </w:trPr>
        <w:tc>
          <w:tcPr>
            <w:tcW w:w="9472" w:type="dxa"/>
            <w:tcBorders>
              <w:top w:val="single" w:sz="4" w:space="0" w:color="000000"/>
            </w:tcBorders>
          </w:tcPr>
          <w:p w:rsidR="00741AC9" w:rsidRDefault="00D90659">
            <w:pPr>
              <w:pStyle w:val="TableParagraph"/>
              <w:spacing w:line="161" w:lineRule="exact"/>
              <w:ind w:left="126" w:right="120"/>
              <w:jc w:val="center"/>
              <w:rPr>
                <w:sz w:val="16"/>
              </w:rPr>
            </w:pPr>
            <w:r>
              <w:rPr>
                <w:sz w:val="16"/>
              </w:rPr>
              <w:t>Neoplasias linfoides</w:t>
            </w:r>
          </w:p>
        </w:tc>
      </w:tr>
      <w:tr w:rsidR="00741AC9">
        <w:trPr>
          <w:trHeight w:val="186"/>
        </w:trPr>
        <w:tc>
          <w:tcPr>
            <w:tcW w:w="9472" w:type="dxa"/>
            <w:tcBorders>
              <w:bottom w:val="single" w:sz="4" w:space="0" w:color="000000"/>
            </w:tcBorders>
          </w:tcPr>
          <w:p w:rsidR="00741AC9" w:rsidRDefault="00D90659">
            <w:pPr>
              <w:pStyle w:val="TableParagraph"/>
              <w:spacing w:line="166" w:lineRule="exact"/>
              <w:ind w:left="429"/>
              <w:rPr>
                <w:sz w:val="16"/>
              </w:rPr>
            </w:pPr>
            <w:r>
              <w:rPr>
                <w:sz w:val="16"/>
              </w:rPr>
              <w:t xml:space="preserve">Leucemia </w:t>
            </w:r>
            <w:proofErr w:type="spellStart"/>
            <w:r>
              <w:rPr>
                <w:sz w:val="16"/>
              </w:rPr>
              <w:t>linfocítica</w:t>
            </w:r>
            <w:proofErr w:type="spellEnd"/>
            <w:r>
              <w:rPr>
                <w:sz w:val="16"/>
              </w:rPr>
              <w:t xml:space="preserve"> crônica, leucemia de grandes linfócitos granulares, doença de Hodgkin, linfoma não-Hodgkin, </w:t>
            </w:r>
            <w:proofErr w:type="spellStart"/>
            <w:r>
              <w:rPr>
                <w:sz w:val="16"/>
              </w:rPr>
              <w:t>mieloma</w:t>
            </w:r>
            <w:proofErr w:type="spellEnd"/>
            <w:r>
              <w:rPr>
                <w:sz w:val="16"/>
              </w:rPr>
              <w:t xml:space="preserve"> múltiplo.</w:t>
            </w:r>
          </w:p>
        </w:tc>
      </w:tr>
      <w:tr w:rsidR="00741AC9">
        <w:trPr>
          <w:trHeight w:val="181"/>
        </w:trPr>
        <w:tc>
          <w:tcPr>
            <w:tcW w:w="9472" w:type="dxa"/>
            <w:tcBorders>
              <w:top w:val="single" w:sz="4" w:space="0" w:color="000000"/>
            </w:tcBorders>
          </w:tcPr>
          <w:p w:rsidR="00741AC9" w:rsidRDefault="00D90659">
            <w:pPr>
              <w:pStyle w:val="TableParagraph"/>
              <w:spacing w:line="162" w:lineRule="exact"/>
              <w:ind w:left="126" w:right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Neoplasias </w:t>
            </w:r>
            <w:proofErr w:type="spellStart"/>
            <w:r>
              <w:rPr>
                <w:sz w:val="16"/>
              </w:rPr>
              <w:t>mieloides</w:t>
            </w:r>
            <w:proofErr w:type="spellEnd"/>
          </w:p>
        </w:tc>
      </w:tr>
      <w:tr w:rsidR="00741AC9">
        <w:trPr>
          <w:trHeight w:val="187"/>
        </w:trPr>
        <w:tc>
          <w:tcPr>
            <w:tcW w:w="9472" w:type="dxa"/>
            <w:tcBorders>
              <w:bottom w:val="single" w:sz="4" w:space="0" w:color="000000"/>
            </w:tcBorders>
          </w:tcPr>
          <w:p w:rsidR="00741AC9" w:rsidRDefault="00D90659">
            <w:pPr>
              <w:pStyle w:val="TableParagraph"/>
              <w:spacing w:line="167" w:lineRule="exact"/>
              <w:ind w:left="914"/>
              <w:rPr>
                <w:sz w:val="16"/>
              </w:rPr>
            </w:pPr>
            <w:r>
              <w:rPr>
                <w:sz w:val="16"/>
              </w:rPr>
              <w:t xml:space="preserve">Leucemia </w:t>
            </w:r>
            <w:proofErr w:type="spellStart"/>
            <w:r>
              <w:rPr>
                <w:sz w:val="16"/>
              </w:rPr>
              <w:t>mieloide</w:t>
            </w:r>
            <w:proofErr w:type="spellEnd"/>
            <w:r>
              <w:rPr>
                <w:sz w:val="16"/>
              </w:rPr>
              <w:t xml:space="preserve"> crônica, </w:t>
            </w:r>
            <w:proofErr w:type="spellStart"/>
            <w:r>
              <w:rPr>
                <w:sz w:val="16"/>
              </w:rPr>
              <w:t>metaplasia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mieloide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agnogênica</w:t>
            </w:r>
            <w:proofErr w:type="spellEnd"/>
            <w:r>
              <w:rPr>
                <w:sz w:val="16"/>
              </w:rPr>
              <w:t xml:space="preserve"> com </w:t>
            </w:r>
            <w:proofErr w:type="spellStart"/>
            <w:r>
              <w:rPr>
                <w:sz w:val="16"/>
              </w:rPr>
              <w:t>mielofibrose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pródromo</w:t>
            </w:r>
            <w:proofErr w:type="spellEnd"/>
            <w:r>
              <w:rPr>
                <w:sz w:val="16"/>
              </w:rPr>
              <w:t xml:space="preserve"> de síndrome </w:t>
            </w:r>
            <w:proofErr w:type="spellStart"/>
            <w:r>
              <w:rPr>
                <w:sz w:val="16"/>
              </w:rPr>
              <w:t>mielodisplásica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741AC9">
        <w:trPr>
          <w:trHeight w:val="180"/>
        </w:trPr>
        <w:tc>
          <w:tcPr>
            <w:tcW w:w="9472" w:type="dxa"/>
            <w:tcBorders>
              <w:top w:val="single" w:sz="4" w:space="0" w:color="000000"/>
            </w:tcBorders>
          </w:tcPr>
          <w:p w:rsidR="00741AC9" w:rsidRDefault="00D90659">
            <w:pPr>
              <w:pStyle w:val="TableParagraph"/>
              <w:spacing w:line="161" w:lineRule="exact"/>
              <w:ind w:left="126" w:right="120"/>
              <w:jc w:val="center"/>
              <w:rPr>
                <w:sz w:val="16"/>
              </w:rPr>
            </w:pPr>
            <w:r>
              <w:rPr>
                <w:sz w:val="16"/>
              </w:rPr>
              <w:t>Outras causas</w:t>
            </w:r>
          </w:p>
        </w:tc>
      </w:tr>
      <w:tr w:rsidR="00741AC9">
        <w:trPr>
          <w:trHeight w:val="180"/>
        </w:trPr>
        <w:tc>
          <w:tcPr>
            <w:tcW w:w="9472" w:type="dxa"/>
          </w:tcPr>
          <w:p w:rsidR="00741AC9" w:rsidRDefault="00D90659">
            <w:pPr>
              <w:pStyle w:val="TableParagraph"/>
              <w:tabs>
                <w:tab w:val="left" w:pos="4133"/>
                <w:tab w:val="left" w:pos="9471"/>
              </w:tabs>
              <w:spacing w:line="160" w:lineRule="exact"/>
              <w:ind w:left="-1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  <w:u w:val="single"/>
              </w:rPr>
              <w:t>Timoma</w:t>
            </w:r>
            <w:proofErr w:type="spellEnd"/>
            <w:r>
              <w:rPr>
                <w:sz w:val="16"/>
                <w:u w:val="single"/>
              </w:rPr>
              <w:t>,</w:t>
            </w:r>
            <w:r>
              <w:rPr>
                <w:spacing w:val="-6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gestação.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741AC9" w:rsidRDefault="00741AC9">
      <w:pPr>
        <w:pStyle w:val="Corpodetexto"/>
        <w:spacing w:before="11"/>
        <w:ind w:left="0"/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5"/>
        </w:tabs>
        <w:ind w:left="274" w:hanging="162"/>
        <w:rPr>
          <w:sz w:val="16"/>
        </w:rPr>
      </w:pPr>
      <w:r>
        <w:rPr>
          <w:sz w:val="16"/>
        </w:rPr>
        <w:t>CLASSIFICAÇÃO ESTATÍSTICA INTERNACIONAL DE DOENÇAS E PROBLEMAS RELACIONADOS À SAÚDE</w:t>
      </w:r>
      <w:r>
        <w:rPr>
          <w:spacing w:val="-13"/>
          <w:sz w:val="16"/>
        </w:rPr>
        <w:t xml:space="preserve"> </w:t>
      </w:r>
      <w:r>
        <w:rPr>
          <w:sz w:val="16"/>
        </w:rPr>
        <w:t>(CID-10)</w:t>
      </w:r>
    </w:p>
    <w:p w:rsidR="00741AC9" w:rsidRDefault="00D90659">
      <w:pPr>
        <w:pStyle w:val="Corpodetexto"/>
        <w:spacing w:before="1"/>
        <w:ind w:left="679"/>
      </w:pPr>
      <w:r>
        <w:t xml:space="preserve">- </w:t>
      </w:r>
      <w:proofErr w:type="gramStart"/>
      <w:r>
        <w:t>D60.</w:t>
      </w:r>
      <w:proofErr w:type="gramEnd"/>
      <w:r>
        <w:t>0 Aplasia pura adquirida crônica da série vermelha</w:t>
      </w:r>
    </w:p>
    <w:p w:rsidR="00741AC9" w:rsidRDefault="00741AC9">
      <w:pPr>
        <w:pStyle w:val="Corpodetexto"/>
        <w:spacing w:before="10"/>
        <w:ind w:left="0"/>
        <w:rPr>
          <w:sz w:val="15"/>
        </w:rPr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6"/>
        </w:tabs>
        <w:ind w:left="275" w:hanging="163"/>
        <w:rPr>
          <w:sz w:val="16"/>
        </w:rPr>
      </w:pPr>
      <w:r>
        <w:rPr>
          <w:sz w:val="16"/>
        </w:rPr>
        <w:t>DIAGNÓSTICO</w:t>
      </w:r>
    </w:p>
    <w:p w:rsidR="00741AC9" w:rsidRDefault="00741AC9">
      <w:pPr>
        <w:pStyle w:val="Corpodetexto"/>
        <w:spacing w:before="11"/>
        <w:ind w:left="0"/>
        <w:rPr>
          <w:sz w:val="15"/>
        </w:rPr>
      </w:pPr>
    </w:p>
    <w:p w:rsidR="00741AC9" w:rsidRDefault="00D90659">
      <w:pPr>
        <w:pStyle w:val="PargrafodaLista"/>
        <w:numPr>
          <w:ilvl w:val="1"/>
          <w:numId w:val="8"/>
        </w:numPr>
        <w:tabs>
          <w:tab w:val="left" w:pos="915"/>
        </w:tabs>
        <w:ind w:hanging="235"/>
        <w:rPr>
          <w:sz w:val="16"/>
        </w:rPr>
      </w:pPr>
      <w:r>
        <w:rPr>
          <w:sz w:val="16"/>
        </w:rPr>
        <w:t>DIAGNÓSTICO</w:t>
      </w:r>
      <w:r>
        <w:rPr>
          <w:spacing w:val="-2"/>
          <w:sz w:val="16"/>
        </w:rPr>
        <w:t xml:space="preserve"> </w:t>
      </w:r>
      <w:r>
        <w:rPr>
          <w:sz w:val="16"/>
        </w:rPr>
        <w:t>CLÍNICO</w:t>
      </w:r>
    </w:p>
    <w:p w:rsidR="00741AC9" w:rsidRDefault="00D90659">
      <w:pPr>
        <w:pStyle w:val="Corpodetexto"/>
        <w:spacing w:before="1"/>
        <w:ind w:left="679"/>
      </w:pPr>
      <w:r>
        <w:t>As manifestações clínicas da doença são aquelas em consequência da anemia ou da doença de base causadora, quando esta estiver presente.</w:t>
      </w:r>
    </w:p>
    <w:p w:rsidR="00741AC9" w:rsidRDefault="00D90659">
      <w:pPr>
        <w:pStyle w:val="Corpodetexto"/>
        <w:spacing w:before="1" w:line="183" w:lineRule="exact"/>
      </w:pPr>
      <w:r>
        <w:t>Como a anemia tem início insidioso, é comum que os pacientes tenham sintomatologia leve ou ausente no diagnóstico.</w:t>
      </w:r>
    </w:p>
    <w:p w:rsidR="00741AC9" w:rsidRDefault="00D90659">
      <w:pPr>
        <w:pStyle w:val="Corpodetexto"/>
        <w:ind w:right="136" w:firstLine="566"/>
      </w:pPr>
      <w:r>
        <w:t xml:space="preserve">Para investigação das causas secundárias de APASV, deve-se pesquisar na anamnese o uso de medicamentos, exposição a fármacos e infecções. No </w:t>
      </w:r>
      <w:r>
        <w:t>exame físico, devem ser pesquisados sinais clínicos indicativos de alguma doença de base.</w:t>
      </w:r>
    </w:p>
    <w:p w:rsidR="00741AC9" w:rsidRDefault="00741AC9">
      <w:pPr>
        <w:pStyle w:val="Corpodetexto"/>
        <w:spacing w:before="11"/>
        <w:ind w:left="0"/>
        <w:rPr>
          <w:sz w:val="15"/>
        </w:rPr>
      </w:pPr>
    </w:p>
    <w:p w:rsidR="00741AC9" w:rsidRDefault="00D90659">
      <w:pPr>
        <w:pStyle w:val="PargrafodaLista"/>
        <w:numPr>
          <w:ilvl w:val="1"/>
          <w:numId w:val="8"/>
        </w:numPr>
        <w:tabs>
          <w:tab w:val="left" w:pos="915"/>
        </w:tabs>
        <w:ind w:hanging="235"/>
        <w:rPr>
          <w:sz w:val="16"/>
        </w:rPr>
      </w:pPr>
      <w:r>
        <w:rPr>
          <w:sz w:val="16"/>
        </w:rPr>
        <w:t>DIAGNÓSTICO</w:t>
      </w:r>
      <w:r>
        <w:rPr>
          <w:spacing w:val="1"/>
          <w:sz w:val="16"/>
        </w:rPr>
        <w:t xml:space="preserve"> </w:t>
      </w:r>
      <w:r>
        <w:rPr>
          <w:sz w:val="16"/>
        </w:rPr>
        <w:t>LABORATORIAL</w:t>
      </w:r>
    </w:p>
    <w:p w:rsidR="00741AC9" w:rsidRDefault="00D90659">
      <w:pPr>
        <w:pStyle w:val="Corpodetexto"/>
        <w:spacing w:before="1"/>
        <w:ind w:left="679"/>
      </w:pPr>
      <w:r>
        <w:t>O diagnóstico laboratorial é realizado na presença de todos os achados abaixo (1-3):</w:t>
      </w:r>
    </w:p>
    <w:p w:rsidR="00741AC9" w:rsidRDefault="00D90659">
      <w:pPr>
        <w:pStyle w:val="PargrafodaLista"/>
        <w:numPr>
          <w:ilvl w:val="0"/>
          <w:numId w:val="7"/>
        </w:numPr>
        <w:tabs>
          <w:tab w:val="left" w:pos="845"/>
        </w:tabs>
        <w:spacing w:line="183" w:lineRule="exact"/>
        <w:ind w:firstLine="0"/>
        <w:rPr>
          <w:sz w:val="16"/>
        </w:rPr>
      </w:pPr>
      <w:proofErr w:type="gramStart"/>
      <w:r>
        <w:rPr>
          <w:sz w:val="16"/>
        </w:rPr>
        <w:t>anemia</w:t>
      </w:r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normocítica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normocrômica</w:t>
      </w:r>
      <w:proofErr w:type="spellEnd"/>
      <w:r>
        <w:rPr>
          <w:sz w:val="16"/>
        </w:rPr>
        <w:t>, com série vermelha c</w:t>
      </w:r>
      <w:r>
        <w:rPr>
          <w:sz w:val="16"/>
        </w:rPr>
        <w:t>om morfologia normal na</w:t>
      </w:r>
      <w:r>
        <w:rPr>
          <w:spacing w:val="-16"/>
          <w:sz w:val="16"/>
        </w:rPr>
        <w:t xml:space="preserve"> </w:t>
      </w:r>
      <w:r>
        <w:rPr>
          <w:sz w:val="16"/>
        </w:rPr>
        <w:t>periferia;</w:t>
      </w:r>
    </w:p>
    <w:p w:rsidR="00741AC9" w:rsidRDefault="00D90659">
      <w:pPr>
        <w:pStyle w:val="PargrafodaLista"/>
        <w:numPr>
          <w:ilvl w:val="0"/>
          <w:numId w:val="7"/>
        </w:numPr>
        <w:tabs>
          <w:tab w:val="left" w:pos="855"/>
        </w:tabs>
        <w:spacing w:line="183" w:lineRule="exact"/>
        <w:ind w:left="854" w:hanging="175"/>
        <w:rPr>
          <w:sz w:val="16"/>
        </w:rPr>
      </w:pPr>
      <w:proofErr w:type="spellStart"/>
      <w:proofErr w:type="gramStart"/>
      <w:r>
        <w:rPr>
          <w:sz w:val="16"/>
        </w:rPr>
        <w:t>reticulocitopenia</w:t>
      </w:r>
      <w:proofErr w:type="spellEnd"/>
      <w:proofErr w:type="gramEnd"/>
      <w:r>
        <w:rPr>
          <w:sz w:val="16"/>
        </w:rPr>
        <w:t xml:space="preserve"> acentuada (</w:t>
      </w:r>
      <w:proofErr w:type="spellStart"/>
      <w:r>
        <w:rPr>
          <w:sz w:val="16"/>
        </w:rPr>
        <w:t>reticulócitos</w:t>
      </w:r>
      <w:proofErr w:type="spellEnd"/>
      <w:r>
        <w:rPr>
          <w:sz w:val="16"/>
        </w:rPr>
        <w:t xml:space="preserve"> &lt;</w:t>
      </w:r>
      <w:r>
        <w:rPr>
          <w:spacing w:val="-2"/>
          <w:sz w:val="16"/>
        </w:rPr>
        <w:t xml:space="preserve"> </w:t>
      </w:r>
      <w:r>
        <w:rPr>
          <w:sz w:val="16"/>
        </w:rPr>
        <w:t>10.000/microlitro);</w:t>
      </w:r>
    </w:p>
    <w:p w:rsidR="00741AC9" w:rsidRDefault="00D90659">
      <w:pPr>
        <w:pStyle w:val="PargrafodaLista"/>
        <w:numPr>
          <w:ilvl w:val="0"/>
          <w:numId w:val="7"/>
        </w:numPr>
        <w:tabs>
          <w:tab w:val="left" w:pos="845"/>
        </w:tabs>
        <w:spacing w:before="1"/>
        <w:ind w:firstLine="0"/>
        <w:rPr>
          <w:sz w:val="16"/>
        </w:rPr>
      </w:pPr>
      <w:proofErr w:type="gramStart"/>
      <w:r>
        <w:rPr>
          <w:sz w:val="16"/>
        </w:rPr>
        <w:t>contagens</w:t>
      </w:r>
      <w:proofErr w:type="gramEnd"/>
      <w:r>
        <w:rPr>
          <w:sz w:val="16"/>
        </w:rPr>
        <w:t xml:space="preserve"> normais de plaquetas e</w:t>
      </w:r>
      <w:r>
        <w:rPr>
          <w:spacing w:val="-13"/>
          <w:sz w:val="16"/>
        </w:rPr>
        <w:t xml:space="preserve"> </w:t>
      </w:r>
      <w:r>
        <w:rPr>
          <w:sz w:val="16"/>
        </w:rPr>
        <w:t>leucócitos;</w:t>
      </w:r>
    </w:p>
    <w:p w:rsidR="00741AC9" w:rsidRDefault="00741AC9">
      <w:pPr>
        <w:rPr>
          <w:sz w:val="16"/>
        </w:rPr>
        <w:sectPr w:rsidR="00741AC9">
          <w:pgSz w:w="11910" w:h="16850"/>
          <w:pgMar w:top="1060" w:right="1020" w:bottom="280" w:left="1020" w:header="720" w:footer="720" w:gutter="0"/>
          <w:cols w:space="720"/>
        </w:sectPr>
      </w:pPr>
    </w:p>
    <w:p w:rsidR="00741AC9" w:rsidRDefault="00D90659">
      <w:pPr>
        <w:pStyle w:val="PargrafodaLista"/>
        <w:numPr>
          <w:ilvl w:val="0"/>
          <w:numId w:val="7"/>
        </w:numPr>
        <w:tabs>
          <w:tab w:val="left" w:pos="855"/>
        </w:tabs>
        <w:spacing w:before="66"/>
        <w:ind w:right="313" w:firstLine="0"/>
        <w:rPr>
          <w:sz w:val="16"/>
        </w:rPr>
      </w:pPr>
      <w:proofErr w:type="gramStart"/>
      <w:r>
        <w:rPr>
          <w:sz w:val="16"/>
        </w:rPr>
        <w:lastRenderedPageBreak/>
        <w:t>medula</w:t>
      </w:r>
      <w:proofErr w:type="gramEnd"/>
      <w:r>
        <w:rPr>
          <w:sz w:val="16"/>
        </w:rPr>
        <w:t xml:space="preserve"> óssea com </w:t>
      </w:r>
      <w:proofErr w:type="spellStart"/>
      <w:r>
        <w:rPr>
          <w:sz w:val="16"/>
        </w:rPr>
        <w:t>megacariopoiese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linfopoiese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mielopoiese</w:t>
      </w:r>
      <w:proofErr w:type="spellEnd"/>
      <w:r>
        <w:rPr>
          <w:sz w:val="16"/>
        </w:rPr>
        <w:t xml:space="preserve"> normais com ausência ou redução significativa de precursores </w:t>
      </w:r>
      <w:proofErr w:type="spellStart"/>
      <w:r>
        <w:rPr>
          <w:sz w:val="16"/>
        </w:rPr>
        <w:t>eritroides</w:t>
      </w:r>
      <w:proofErr w:type="spellEnd"/>
      <w:r>
        <w:rPr>
          <w:sz w:val="16"/>
        </w:rPr>
        <w:t>. Para a investigação e exclusão de causas secundárias da APASV, os seguintes exames iniciais devem ser</w:t>
      </w:r>
      <w:r>
        <w:rPr>
          <w:spacing w:val="-25"/>
          <w:sz w:val="16"/>
        </w:rPr>
        <w:t xml:space="preserve"> </w:t>
      </w:r>
      <w:r>
        <w:rPr>
          <w:sz w:val="16"/>
        </w:rPr>
        <w:t>solicitados:</w:t>
      </w:r>
    </w:p>
    <w:p w:rsidR="00741AC9" w:rsidRDefault="00D90659">
      <w:pPr>
        <w:pStyle w:val="PargrafodaLista"/>
        <w:numPr>
          <w:ilvl w:val="0"/>
          <w:numId w:val="6"/>
        </w:numPr>
        <w:tabs>
          <w:tab w:val="left" w:pos="774"/>
        </w:tabs>
        <w:spacing w:before="2" w:line="183" w:lineRule="exact"/>
        <w:rPr>
          <w:sz w:val="16"/>
        </w:rPr>
      </w:pPr>
      <w:r>
        <w:rPr>
          <w:sz w:val="16"/>
        </w:rPr>
        <w:t>Hemogram</w:t>
      </w:r>
      <w:r>
        <w:rPr>
          <w:sz w:val="16"/>
        </w:rPr>
        <w:t>a completo, com análise de esfregaço periférico e contagem de</w:t>
      </w:r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reticulócitos</w:t>
      </w:r>
      <w:proofErr w:type="spellEnd"/>
      <w:r>
        <w:rPr>
          <w:sz w:val="16"/>
        </w:rPr>
        <w:t>;</w:t>
      </w:r>
    </w:p>
    <w:p w:rsidR="00741AC9" w:rsidRDefault="00D90659">
      <w:pPr>
        <w:pStyle w:val="PargrafodaLista"/>
        <w:numPr>
          <w:ilvl w:val="0"/>
          <w:numId w:val="6"/>
        </w:numPr>
        <w:tabs>
          <w:tab w:val="left" w:pos="774"/>
        </w:tabs>
        <w:spacing w:line="183" w:lineRule="exact"/>
        <w:rPr>
          <w:sz w:val="16"/>
        </w:rPr>
      </w:pPr>
      <w:r>
        <w:rPr>
          <w:sz w:val="16"/>
        </w:rPr>
        <w:t>Tomografia computadorizada de tórax para investigação de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timoma</w:t>
      </w:r>
      <w:proofErr w:type="spellEnd"/>
      <w:r>
        <w:rPr>
          <w:sz w:val="16"/>
        </w:rPr>
        <w:t>;</w:t>
      </w:r>
    </w:p>
    <w:p w:rsidR="00741AC9" w:rsidRDefault="00D90659">
      <w:pPr>
        <w:pStyle w:val="PargrafodaLista"/>
        <w:numPr>
          <w:ilvl w:val="0"/>
          <w:numId w:val="6"/>
        </w:numPr>
        <w:tabs>
          <w:tab w:val="left" w:pos="774"/>
        </w:tabs>
        <w:spacing w:before="1"/>
        <w:rPr>
          <w:sz w:val="16"/>
        </w:rPr>
      </w:pPr>
      <w:proofErr w:type="spellStart"/>
      <w:r>
        <w:rPr>
          <w:sz w:val="16"/>
        </w:rPr>
        <w:t>Anti-HIV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anti-HCV</w:t>
      </w:r>
      <w:proofErr w:type="spellEnd"/>
      <w:r>
        <w:rPr>
          <w:sz w:val="16"/>
        </w:rPr>
        <w:t>;</w:t>
      </w:r>
    </w:p>
    <w:p w:rsidR="00741AC9" w:rsidRDefault="00D90659">
      <w:pPr>
        <w:pStyle w:val="PargrafodaLista"/>
        <w:numPr>
          <w:ilvl w:val="0"/>
          <w:numId w:val="6"/>
        </w:numPr>
        <w:tabs>
          <w:tab w:val="left" w:pos="774"/>
        </w:tabs>
        <w:spacing w:before="1" w:line="183" w:lineRule="exact"/>
        <w:rPr>
          <w:sz w:val="16"/>
        </w:rPr>
      </w:pPr>
      <w:r>
        <w:rPr>
          <w:sz w:val="16"/>
        </w:rPr>
        <w:t>Biópsia e aspirado de medula</w:t>
      </w:r>
      <w:r>
        <w:rPr>
          <w:spacing w:val="-9"/>
          <w:sz w:val="16"/>
        </w:rPr>
        <w:t xml:space="preserve"> </w:t>
      </w:r>
      <w:r>
        <w:rPr>
          <w:sz w:val="16"/>
        </w:rPr>
        <w:t>óssea;</w:t>
      </w:r>
    </w:p>
    <w:p w:rsidR="00741AC9" w:rsidRDefault="00D90659">
      <w:pPr>
        <w:pStyle w:val="PargrafodaLista"/>
        <w:numPr>
          <w:ilvl w:val="0"/>
          <w:numId w:val="6"/>
        </w:numPr>
        <w:tabs>
          <w:tab w:val="left" w:pos="774"/>
        </w:tabs>
        <w:spacing w:line="183" w:lineRule="exact"/>
        <w:rPr>
          <w:sz w:val="16"/>
        </w:rPr>
      </w:pPr>
      <w:r>
        <w:rPr>
          <w:sz w:val="16"/>
        </w:rPr>
        <w:t>Anticorpo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antinuclear</w:t>
      </w:r>
      <w:proofErr w:type="spellEnd"/>
      <w:r>
        <w:rPr>
          <w:sz w:val="16"/>
        </w:rPr>
        <w:t>.</w:t>
      </w:r>
    </w:p>
    <w:p w:rsidR="00741AC9" w:rsidRDefault="00741AC9">
      <w:pPr>
        <w:pStyle w:val="Corpodetexto"/>
        <w:spacing w:before="1"/>
        <w:ind w:left="0"/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4"/>
        </w:tabs>
        <w:spacing w:before="1" w:line="183" w:lineRule="exact"/>
        <w:rPr>
          <w:sz w:val="16"/>
        </w:rPr>
      </w:pPr>
      <w:r>
        <w:rPr>
          <w:sz w:val="16"/>
        </w:rPr>
        <w:t>CRITÉRIOS DE</w:t>
      </w:r>
      <w:r>
        <w:rPr>
          <w:spacing w:val="2"/>
          <w:sz w:val="16"/>
        </w:rPr>
        <w:t xml:space="preserve"> </w:t>
      </w:r>
      <w:r>
        <w:rPr>
          <w:sz w:val="16"/>
        </w:rPr>
        <w:t>INCLUSÃO</w:t>
      </w:r>
    </w:p>
    <w:p w:rsidR="00741AC9" w:rsidRDefault="00D90659">
      <w:pPr>
        <w:pStyle w:val="Corpodetexto"/>
        <w:ind w:right="110" w:firstLine="566"/>
        <w:jc w:val="both"/>
      </w:pPr>
      <w:r>
        <w:t>Serão incluí</w:t>
      </w:r>
      <w:r>
        <w:t xml:space="preserve">dos neste Protocolo todos os pacientes com diagnóstico de APASV idiopática que não entrarem em remissão em </w:t>
      </w:r>
      <w:proofErr w:type="gramStart"/>
      <w:r>
        <w:t>1</w:t>
      </w:r>
      <w:proofErr w:type="gramEnd"/>
      <w:r>
        <w:t xml:space="preserve"> mês e, em caso de APASV secundária, que não tenham respondido ao tratamento da doença de base ou à retirada do medicamento causador por pelo menos </w:t>
      </w:r>
      <w:r>
        <w:t>1 mês.</w:t>
      </w:r>
    </w:p>
    <w:p w:rsidR="00741AC9" w:rsidRDefault="00741AC9">
      <w:pPr>
        <w:pStyle w:val="Corpodetexto"/>
        <w:spacing w:before="11"/>
        <w:ind w:left="0"/>
        <w:rPr>
          <w:sz w:val="15"/>
        </w:rPr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4"/>
        </w:tabs>
        <w:rPr>
          <w:sz w:val="16"/>
        </w:rPr>
      </w:pPr>
      <w:r>
        <w:rPr>
          <w:sz w:val="16"/>
        </w:rPr>
        <w:t>CRITÉRIOS DE</w:t>
      </w:r>
      <w:r>
        <w:rPr>
          <w:spacing w:val="1"/>
          <w:sz w:val="16"/>
        </w:rPr>
        <w:t xml:space="preserve"> </w:t>
      </w:r>
      <w:r>
        <w:rPr>
          <w:sz w:val="16"/>
        </w:rPr>
        <w:t>EXCLUSÃO</w:t>
      </w:r>
    </w:p>
    <w:p w:rsidR="00741AC9" w:rsidRDefault="00D90659">
      <w:pPr>
        <w:pStyle w:val="Corpodetexto"/>
        <w:spacing w:before="1"/>
        <w:ind w:left="679"/>
      </w:pPr>
      <w:r>
        <w:t>Serão excluídos pacientes com intolerância ou hipersensibilidade aos medicamentos constantes neste Protocolo.</w:t>
      </w:r>
    </w:p>
    <w:p w:rsidR="00741AC9" w:rsidRDefault="00741AC9">
      <w:pPr>
        <w:pStyle w:val="Corpodetexto"/>
        <w:spacing w:before="11"/>
        <w:ind w:left="0"/>
        <w:rPr>
          <w:sz w:val="15"/>
        </w:rPr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4"/>
        </w:tabs>
        <w:rPr>
          <w:sz w:val="16"/>
        </w:rPr>
      </w:pPr>
      <w:r>
        <w:rPr>
          <w:sz w:val="16"/>
        </w:rPr>
        <w:t>CASOS</w:t>
      </w:r>
      <w:r>
        <w:rPr>
          <w:spacing w:val="-1"/>
          <w:sz w:val="16"/>
        </w:rPr>
        <w:t xml:space="preserve"> </w:t>
      </w:r>
      <w:r>
        <w:rPr>
          <w:sz w:val="16"/>
        </w:rPr>
        <w:t>ESPECIAIS</w:t>
      </w:r>
    </w:p>
    <w:p w:rsidR="00741AC9" w:rsidRDefault="00741AC9">
      <w:pPr>
        <w:pStyle w:val="Corpodetexto"/>
        <w:spacing w:before="11"/>
        <w:ind w:left="0"/>
        <w:rPr>
          <w:sz w:val="15"/>
        </w:rPr>
      </w:pPr>
    </w:p>
    <w:p w:rsidR="00741AC9" w:rsidRDefault="00D90659">
      <w:pPr>
        <w:pStyle w:val="PargrafodaLista"/>
        <w:numPr>
          <w:ilvl w:val="1"/>
          <w:numId w:val="8"/>
        </w:numPr>
        <w:tabs>
          <w:tab w:val="left" w:pos="922"/>
        </w:tabs>
        <w:ind w:left="921" w:hanging="242"/>
        <w:rPr>
          <w:sz w:val="16"/>
        </w:rPr>
      </w:pPr>
      <w:r>
        <w:rPr>
          <w:sz w:val="16"/>
        </w:rPr>
        <w:t>PACIENTES COM TIMOMA</w:t>
      </w:r>
    </w:p>
    <w:p w:rsidR="00741AC9" w:rsidRDefault="00D90659">
      <w:pPr>
        <w:pStyle w:val="Corpodetexto"/>
        <w:spacing w:before="1"/>
        <w:ind w:right="108" w:firstLine="566"/>
        <w:jc w:val="both"/>
      </w:pPr>
      <w:r>
        <w:t xml:space="preserve">Em pacientes com diagnóstico de </w:t>
      </w:r>
      <w:proofErr w:type="spellStart"/>
      <w:r>
        <w:t>timoma</w:t>
      </w:r>
      <w:proofErr w:type="spellEnd"/>
      <w:r>
        <w:t xml:space="preserve">, a incidência de desenvolvimento de APASV é de 5%. Atualmente, recomenda-se a realização de </w:t>
      </w:r>
      <w:proofErr w:type="spellStart"/>
      <w:r>
        <w:t>timectomia</w:t>
      </w:r>
      <w:proofErr w:type="spellEnd"/>
      <w:r>
        <w:t xml:space="preserve"> nesses casos, com taxas de resposta descritas na literatura de 25%-30% (3). Alguns trabalhos mostraram que somente</w:t>
      </w:r>
      <w:r>
        <w:t xml:space="preserve"> a realização da </w:t>
      </w:r>
      <w:proofErr w:type="spellStart"/>
      <w:r>
        <w:t>timectomia</w:t>
      </w:r>
      <w:proofErr w:type="spellEnd"/>
      <w:r>
        <w:t xml:space="preserve"> não é suficiente para o tratamento, sendo necessário o uso de medicamentos imunossupressores (</w:t>
      </w:r>
      <w:proofErr w:type="gramStart"/>
      <w:r>
        <w:t>4, 5</w:t>
      </w:r>
      <w:proofErr w:type="gramEnd"/>
      <w:r>
        <w:t xml:space="preserve">). Um estudo com 41 pacientes com </w:t>
      </w:r>
      <w:proofErr w:type="spellStart"/>
      <w:r>
        <w:t>timoma</w:t>
      </w:r>
      <w:proofErr w:type="spellEnd"/>
      <w:r>
        <w:t xml:space="preserve"> e APASV sugeriu que a resposta a esquemas terapêuticos com ciclosporina seria maior e mai</w:t>
      </w:r>
      <w:r>
        <w:t>s sustentada (4). Apesar da limitação dos estudos, recomenda-se o uso de medicamentos imunossupressores nesses</w:t>
      </w:r>
      <w:r>
        <w:rPr>
          <w:spacing w:val="-11"/>
        </w:rPr>
        <w:t xml:space="preserve"> </w:t>
      </w:r>
      <w:r>
        <w:t>casos.</w:t>
      </w:r>
    </w:p>
    <w:p w:rsidR="00741AC9" w:rsidRDefault="00741AC9">
      <w:pPr>
        <w:pStyle w:val="Corpodetexto"/>
        <w:ind w:left="0"/>
      </w:pPr>
    </w:p>
    <w:p w:rsidR="00741AC9" w:rsidRDefault="00D90659">
      <w:pPr>
        <w:pStyle w:val="PargrafodaLista"/>
        <w:numPr>
          <w:ilvl w:val="1"/>
          <w:numId w:val="8"/>
        </w:numPr>
        <w:tabs>
          <w:tab w:val="left" w:pos="922"/>
        </w:tabs>
        <w:ind w:left="921" w:hanging="242"/>
        <w:rPr>
          <w:sz w:val="16"/>
        </w:rPr>
      </w:pPr>
      <w:r>
        <w:rPr>
          <w:sz w:val="16"/>
        </w:rPr>
        <w:t>GESTAÇÃO</w:t>
      </w:r>
    </w:p>
    <w:p w:rsidR="00741AC9" w:rsidRDefault="00D90659">
      <w:pPr>
        <w:pStyle w:val="Corpodetexto"/>
        <w:spacing w:before="1"/>
        <w:ind w:right="109" w:firstLine="607"/>
        <w:jc w:val="both"/>
      </w:pPr>
      <w:r>
        <w:t xml:space="preserve">A APASV adquirida relacionada à gestação é condição extremamente rara. Há relatos de remissão espontânea algumas semanas após o </w:t>
      </w:r>
      <w:r>
        <w:t>parto A opção terapêutica deve levar em conta o risco ao feto, ficando a escolha a critério do médico (1).</w:t>
      </w:r>
    </w:p>
    <w:p w:rsidR="00741AC9" w:rsidRDefault="00741AC9">
      <w:pPr>
        <w:pStyle w:val="Corpodetexto"/>
        <w:ind w:left="0"/>
      </w:pPr>
    </w:p>
    <w:p w:rsidR="00741AC9" w:rsidRDefault="00D90659">
      <w:pPr>
        <w:pStyle w:val="PargrafodaLista"/>
        <w:numPr>
          <w:ilvl w:val="1"/>
          <w:numId w:val="8"/>
        </w:numPr>
        <w:tabs>
          <w:tab w:val="left" w:pos="923"/>
        </w:tabs>
        <w:spacing w:line="183" w:lineRule="exact"/>
        <w:ind w:left="922" w:hanging="243"/>
        <w:rPr>
          <w:sz w:val="16"/>
        </w:rPr>
      </w:pPr>
      <w:r>
        <w:rPr>
          <w:sz w:val="16"/>
        </w:rPr>
        <w:t>PACIENTES COM INFECÇÃO POR PARVOVÍRUS</w:t>
      </w:r>
      <w:r>
        <w:rPr>
          <w:spacing w:val="3"/>
          <w:sz w:val="16"/>
        </w:rPr>
        <w:t xml:space="preserve"> </w:t>
      </w:r>
      <w:r>
        <w:rPr>
          <w:sz w:val="16"/>
        </w:rPr>
        <w:t>B19</w:t>
      </w:r>
    </w:p>
    <w:p w:rsidR="00741AC9" w:rsidRDefault="00D90659">
      <w:pPr>
        <w:pStyle w:val="Corpodetexto"/>
        <w:ind w:right="108" w:firstLine="566"/>
        <w:jc w:val="both"/>
      </w:pPr>
      <w:r>
        <w:t xml:space="preserve">Alguns estudos observacionais (série de casos) com pacientes infectados cronicamente pelo </w:t>
      </w:r>
      <w:proofErr w:type="spellStart"/>
      <w:r>
        <w:t>parvovírus</w:t>
      </w:r>
      <w:proofErr w:type="spellEnd"/>
      <w:r>
        <w:t xml:space="preserve"> B19 (</w:t>
      </w:r>
      <w:r>
        <w:t xml:space="preserve">presença de um pequeno número de </w:t>
      </w:r>
      <w:proofErr w:type="spellStart"/>
      <w:r>
        <w:t>proeritroblastos</w:t>
      </w:r>
      <w:proofErr w:type="spellEnd"/>
      <w:r>
        <w:t xml:space="preserve"> vacuolados gigantes na biópsia de medula óssea; presença de anticorpos anti-B19 </w:t>
      </w:r>
      <w:proofErr w:type="spellStart"/>
      <w:proofErr w:type="gramStart"/>
      <w:r>
        <w:t>IgM</w:t>
      </w:r>
      <w:proofErr w:type="spellEnd"/>
      <w:proofErr w:type="gramEnd"/>
      <w:r>
        <w:t xml:space="preserve"> no soro ou detecção do DNA viral no soro por técnicas de biologia molecular) sugerem a utilização da imunoglobulina intrav</w:t>
      </w:r>
      <w:r>
        <w:t>enosa nos casos de anemia com concentração de hemoglobina menor do que 7 g/</w:t>
      </w:r>
      <w:proofErr w:type="spellStart"/>
      <w:r>
        <w:t>dL</w:t>
      </w:r>
      <w:proofErr w:type="spellEnd"/>
      <w:r>
        <w:t xml:space="preserve"> e infecção crônica em pacientes </w:t>
      </w:r>
      <w:proofErr w:type="spellStart"/>
      <w:r>
        <w:t>imunossuprimidos</w:t>
      </w:r>
      <w:proofErr w:type="spellEnd"/>
      <w:r>
        <w:t>, demonstrando que o medicamento aparentemente apresenta boas taxas de remissão, porém provoca muitas recidivas (6-8). Pela gravid</w:t>
      </w:r>
      <w:r>
        <w:t>ade dessa condição clínica, sugere-se o uso da imunoglobulina, apesar da fragilidade da evidência encontrada na</w:t>
      </w:r>
      <w:r>
        <w:rPr>
          <w:spacing w:val="-1"/>
        </w:rPr>
        <w:t xml:space="preserve"> </w:t>
      </w:r>
      <w:r>
        <w:t>literatura.</w:t>
      </w:r>
    </w:p>
    <w:p w:rsidR="00741AC9" w:rsidRDefault="00741AC9">
      <w:pPr>
        <w:pStyle w:val="Corpodetexto"/>
        <w:ind w:left="0"/>
      </w:pPr>
    </w:p>
    <w:p w:rsidR="00741AC9" w:rsidRDefault="00D90659">
      <w:pPr>
        <w:pStyle w:val="PargrafodaLista"/>
        <w:numPr>
          <w:ilvl w:val="1"/>
          <w:numId w:val="8"/>
        </w:numPr>
        <w:tabs>
          <w:tab w:val="left" w:pos="923"/>
        </w:tabs>
        <w:ind w:left="922" w:hanging="243"/>
        <w:rPr>
          <w:sz w:val="16"/>
        </w:rPr>
      </w:pPr>
      <w:r>
        <w:rPr>
          <w:sz w:val="16"/>
        </w:rPr>
        <w:t>PACIENTES COM APASV SECUNDÁRIA AO USO DA ALFAEPOETINA</w:t>
      </w:r>
      <w:r>
        <w:rPr>
          <w:spacing w:val="-6"/>
          <w:sz w:val="16"/>
        </w:rPr>
        <w:t xml:space="preserve"> </w:t>
      </w:r>
      <w:r>
        <w:rPr>
          <w:sz w:val="16"/>
        </w:rPr>
        <w:t>HUMANA</w:t>
      </w:r>
    </w:p>
    <w:p w:rsidR="00741AC9" w:rsidRDefault="00D90659">
      <w:pPr>
        <w:pStyle w:val="Corpodetexto"/>
        <w:spacing w:before="1"/>
        <w:ind w:right="108" w:firstLine="566"/>
        <w:jc w:val="both"/>
      </w:pPr>
      <w:r>
        <w:t xml:space="preserve">Os pacientes que desenvolvem APASV secundária ao uso de </w:t>
      </w:r>
      <w:proofErr w:type="spellStart"/>
      <w:r>
        <w:t>alfaepoetina</w:t>
      </w:r>
      <w:proofErr w:type="spellEnd"/>
      <w:r>
        <w:t xml:space="preserve"> h</w:t>
      </w:r>
      <w:r>
        <w:t xml:space="preserve">umana devem ter seu atendimento inicial centrado na suspensão do medicamento. Como o mecanismo de desenvolvimento dessa complicação é a formação de anticorpos, fica indicado o uso dos medicamentos imunossupressores nesse cenário clínico. A </w:t>
      </w:r>
      <w:proofErr w:type="spellStart"/>
      <w:r>
        <w:t>peginesatida</w:t>
      </w:r>
      <w:proofErr w:type="spellEnd"/>
      <w:r>
        <w:t>, um</w:t>
      </w:r>
      <w:r>
        <w:t xml:space="preserve"> peptídeo agonista do receptor da </w:t>
      </w:r>
      <w:proofErr w:type="spellStart"/>
      <w:r>
        <w:t>eritropoetina</w:t>
      </w:r>
      <w:proofErr w:type="spellEnd"/>
      <w:r>
        <w:t xml:space="preserve">, foi avaliada em um estudo de nível II com 14 pacientes com insuficiência renal crônica e APASV (9); entretanto, em 2013 foi </w:t>
      </w:r>
      <w:proofErr w:type="gramStart"/>
      <w:r>
        <w:t>retirada</w:t>
      </w:r>
      <w:proofErr w:type="gramEnd"/>
      <w:r>
        <w:t xml:space="preserve"> do mercado pelo laboratório por questões de segurança</w:t>
      </w:r>
      <w:r>
        <w:rPr>
          <w:spacing w:val="-1"/>
        </w:rPr>
        <w:t xml:space="preserve"> </w:t>
      </w:r>
      <w:r>
        <w:t>(10).</w:t>
      </w:r>
    </w:p>
    <w:p w:rsidR="00741AC9" w:rsidRDefault="00741AC9">
      <w:pPr>
        <w:pStyle w:val="Corpodetexto"/>
        <w:ind w:left="0"/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6"/>
        </w:tabs>
        <w:spacing w:line="183" w:lineRule="exact"/>
        <w:ind w:left="275" w:hanging="163"/>
        <w:rPr>
          <w:sz w:val="16"/>
        </w:rPr>
      </w:pPr>
      <w:r>
        <w:rPr>
          <w:sz w:val="16"/>
        </w:rPr>
        <w:t>TRATAMENTO</w:t>
      </w:r>
    </w:p>
    <w:p w:rsidR="00741AC9" w:rsidRDefault="00D90659">
      <w:pPr>
        <w:pStyle w:val="Corpodetexto"/>
        <w:ind w:right="114" w:firstLine="566"/>
        <w:jc w:val="both"/>
      </w:pPr>
      <w:r>
        <w:t xml:space="preserve">O tratamento da APASV varia conforme sua etiologia. Durante a avaliação inicial do paciente, um suporte </w:t>
      </w:r>
      <w:proofErr w:type="spellStart"/>
      <w:r>
        <w:t>transfusional</w:t>
      </w:r>
      <w:proofErr w:type="spellEnd"/>
      <w:r>
        <w:t xml:space="preserve"> adequado deverá ser oferecido de acordo com os sintomas secundários à anemia. Nos casos de APASV secundária a outras doenças e medicamento</w:t>
      </w:r>
      <w:r>
        <w:t>s, o tratamento primário será dirigido à doença de base e à suspensão dos possíveis fármacos relacionados ao desenvolvimento da aplasia.</w:t>
      </w:r>
    </w:p>
    <w:p w:rsidR="00741AC9" w:rsidRDefault="00D90659">
      <w:pPr>
        <w:pStyle w:val="Corpodetexto"/>
        <w:ind w:right="109" w:firstLine="566"/>
        <w:jc w:val="both"/>
      </w:pPr>
      <w:r>
        <w:t>Em cerca de 10%-12% dos casos de APASV idiopática, pode ocorrer remissão espontânea da doença em curto espaço de tempo,</w:t>
      </w:r>
      <w:r>
        <w:t xml:space="preserve"> recomendando-se aguardar pelo menos </w:t>
      </w:r>
      <w:proofErr w:type="gramStart"/>
      <w:r>
        <w:t>1</w:t>
      </w:r>
      <w:proofErr w:type="gramEnd"/>
      <w:r>
        <w:t xml:space="preserve"> mês antes de iniciar tratamento imunossupressor específico (3).</w:t>
      </w:r>
    </w:p>
    <w:p w:rsidR="00741AC9" w:rsidRDefault="00D90659">
      <w:pPr>
        <w:pStyle w:val="Corpodetexto"/>
        <w:spacing w:before="1"/>
        <w:ind w:right="109" w:firstLine="566"/>
        <w:jc w:val="both"/>
      </w:pPr>
      <w:r>
        <w:t>Nos pacientes em que não houver melhora com o tratamento da doença de base, a APASV deve ser tratada como uma doença imunológica, sendo então recomendado</w:t>
      </w:r>
      <w:r>
        <w:t>s medicamentos imunossupressores, para os quais já foram propostos diversos esquemas terapêuticos. Inicialmente utiliza- se prednisona, seguido de adição ou substituição de ciclofosfamida caso não ocorra resposta adequada. Nos pacientes resistentes a esses</w:t>
      </w:r>
      <w:r>
        <w:t xml:space="preserve"> dois medicamentos, pode ser utilizada a ciclosporina de forma isolada ou associada à prednisona. Em geral, a ciclosporina não é associada à ciclofosfamida</w:t>
      </w:r>
      <w:r>
        <w:rPr>
          <w:spacing w:val="1"/>
        </w:rPr>
        <w:t xml:space="preserve"> </w:t>
      </w:r>
      <w:r>
        <w:t>(1-3).</w:t>
      </w:r>
    </w:p>
    <w:p w:rsidR="00741AC9" w:rsidRDefault="00D90659">
      <w:pPr>
        <w:pStyle w:val="Corpodetexto"/>
        <w:ind w:right="109" w:firstLine="566"/>
        <w:jc w:val="both"/>
      </w:pPr>
      <w:r>
        <w:t>As respostas a todos os medicamentos atualmente disponíveis para o tratamento da APASV são se</w:t>
      </w:r>
      <w:r>
        <w:t>melhantes, e não existem estudos comparativos que permitam a comparação entre eles. Portanto, a seleção é baseada nos seus perfis de efeitos adversos.</w:t>
      </w:r>
    </w:p>
    <w:p w:rsidR="00741AC9" w:rsidRDefault="00D90659">
      <w:pPr>
        <w:pStyle w:val="Corpodetexto"/>
        <w:ind w:right="110" w:firstLine="566"/>
        <w:jc w:val="both"/>
      </w:pPr>
      <w:r>
        <w:t xml:space="preserve">Para os pacientes com infecção crônica pelo </w:t>
      </w:r>
      <w:proofErr w:type="spellStart"/>
      <w:r>
        <w:t>parvovírus</w:t>
      </w:r>
      <w:proofErr w:type="spellEnd"/>
      <w:r>
        <w:t xml:space="preserve"> B19 e em imunossupressão, recomenda-se o uso de im</w:t>
      </w:r>
      <w:r>
        <w:t>unoglobulina humana (ver Casos Especiais).</w:t>
      </w:r>
    </w:p>
    <w:p w:rsidR="00741AC9" w:rsidRDefault="00741AC9">
      <w:pPr>
        <w:pStyle w:val="Corpodetexto"/>
        <w:spacing w:before="11"/>
        <w:ind w:left="0"/>
        <w:rPr>
          <w:sz w:val="15"/>
        </w:rPr>
      </w:pPr>
    </w:p>
    <w:p w:rsidR="00741AC9" w:rsidRDefault="00D90659">
      <w:pPr>
        <w:pStyle w:val="Corpodetexto"/>
        <w:ind w:left="679"/>
      </w:pPr>
      <w:r>
        <w:t>PREDNISONA</w:t>
      </w:r>
    </w:p>
    <w:p w:rsidR="00741AC9" w:rsidRDefault="00D90659">
      <w:pPr>
        <w:pStyle w:val="Corpodetexto"/>
        <w:spacing w:before="1"/>
        <w:ind w:right="108" w:firstLine="566"/>
        <w:jc w:val="both"/>
      </w:pPr>
      <w:r>
        <w:t>A prednisona foi o primeiro medicamento a ser utilizado para o tratamento da APASV e atualmente permanece como a primeira escolha no tratamento dessa doença (1-3). Em uma série de pacientes descrita po</w:t>
      </w:r>
      <w:r>
        <w:t xml:space="preserve">r Clark </w:t>
      </w:r>
      <w:proofErr w:type="gramStart"/>
      <w:r>
        <w:t>et</w:t>
      </w:r>
      <w:proofErr w:type="gramEnd"/>
      <w:r>
        <w:t xml:space="preserve"> al. em 1984, 10 dos 27 (37%) pacientes responderam ao tratamento, com um período médio de resposta de 2,5 semanas (11). Outro estudo retrospectivo com 25 pacientes mostrou taxas semelhantes de resposta com esse medicamento (36%), e as taxas desc</w:t>
      </w:r>
      <w:r>
        <w:t>ritas na literatura variam de 30%- 62% (3). A taxa de remissão dos 185 pacientes que usaram corticosteroides, em um estudo retrospectivo proveniente de um registro nacional japonês, foi de 60% (12).</w:t>
      </w:r>
    </w:p>
    <w:p w:rsidR="00741AC9" w:rsidRDefault="00D90659">
      <w:pPr>
        <w:pStyle w:val="Corpodetexto"/>
        <w:ind w:right="107" w:firstLine="566"/>
        <w:jc w:val="both"/>
      </w:pPr>
      <w:r>
        <w:t>Apesar da boa resposta, uma das limitações ao uso dessa c</w:t>
      </w:r>
      <w:r>
        <w:t xml:space="preserve">lasse de medicamentos é a alta taxa de recidiva: até 80% quando a dose é diminuída nos </w:t>
      </w:r>
      <w:proofErr w:type="gramStart"/>
      <w:r>
        <w:t>2</w:t>
      </w:r>
      <w:proofErr w:type="gramEnd"/>
      <w:r>
        <w:t xml:space="preserve"> primeiros anos de tratamento (3, 11). </w:t>
      </w:r>
      <w:proofErr w:type="gramStart"/>
      <w:r>
        <w:t>Uma outra</w:t>
      </w:r>
      <w:proofErr w:type="gramEnd"/>
      <w:r>
        <w:t xml:space="preserve"> limitação é o grande índice de morbidade decorrente do uso crônico, como </w:t>
      </w:r>
      <w:proofErr w:type="spellStart"/>
      <w:r>
        <w:t>miopatia</w:t>
      </w:r>
      <w:proofErr w:type="spellEnd"/>
      <w:r>
        <w:t>, infecções, hiperglicemia e osteoporo</w:t>
      </w:r>
      <w:r>
        <w:t xml:space="preserve">se (3). No mesmo estudo de Clark </w:t>
      </w:r>
      <w:proofErr w:type="gramStart"/>
      <w:r>
        <w:t>et</w:t>
      </w:r>
      <w:proofErr w:type="gramEnd"/>
      <w:r>
        <w:t xml:space="preserve"> al., os pacientes com recidiva que voltaram a receber corticosteroides apresentavam novamente boa taxa de resposta (10/13, 77%) (11). É recomendado que o fármaco iniciado </w:t>
      </w:r>
      <w:proofErr w:type="gramStart"/>
      <w:r>
        <w:t>seja</w:t>
      </w:r>
      <w:proofErr w:type="gramEnd"/>
      <w:r>
        <w:t xml:space="preserve"> retirado gradualmente, em uma tentativa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</w:t>
      </w:r>
      <w:r>
        <w:t>iminuir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incidência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recidiva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atingir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dose</w:t>
      </w:r>
      <w:r>
        <w:rPr>
          <w:spacing w:val="-3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paciente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remissão.</w:t>
      </w:r>
    </w:p>
    <w:p w:rsidR="00741AC9" w:rsidRDefault="00741AC9">
      <w:pPr>
        <w:pStyle w:val="Corpodetexto"/>
        <w:spacing w:before="11"/>
        <w:ind w:left="0"/>
        <w:rPr>
          <w:sz w:val="15"/>
        </w:rPr>
      </w:pPr>
    </w:p>
    <w:p w:rsidR="00741AC9" w:rsidRDefault="00D90659">
      <w:pPr>
        <w:pStyle w:val="Corpodetexto"/>
        <w:ind w:left="679"/>
      </w:pPr>
      <w:r>
        <w:t>CICLOFOSFAMIDA</w:t>
      </w:r>
    </w:p>
    <w:p w:rsidR="00741AC9" w:rsidRDefault="00D90659">
      <w:pPr>
        <w:pStyle w:val="Corpodetexto"/>
        <w:spacing w:before="1"/>
        <w:ind w:right="107" w:firstLine="566"/>
        <w:jc w:val="both"/>
      </w:pPr>
      <w:r>
        <w:t xml:space="preserve">A ciclofosfamida é um agente </w:t>
      </w:r>
      <w:proofErr w:type="spellStart"/>
      <w:r>
        <w:t>alquilante</w:t>
      </w:r>
      <w:proofErr w:type="spellEnd"/>
      <w:r>
        <w:t xml:space="preserve"> que pode ser utilizado no tratamento da APASV isoladamente ou em associação ao corticosteroide nos casos em que a resposta a ele não for adequada (1). O uso desse medicamento isoladamente tem taxas de resposta descri</w:t>
      </w:r>
      <w:r>
        <w:t>tas na literatura entre 7%- 20%, enquanto seu uso combinado com corticosteroides pode atingir 40%-60%, sendo esta a forma recomendada atualmente (2). O tempo médio para resposta é de 11-12 semanas. Atingida a resposta adequada, ou seja, recuperação da hemo</w:t>
      </w:r>
      <w:r>
        <w:t xml:space="preserve">globina e normalização dos </w:t>
      </w:r>
      <w:proofErr w:type="spellStart"/>
      <w:r>
        <w:t>reticulócitos</w:t>
      </w:r>
      <w:proofErr w:type="spellEnd"/>
      <w:r>
        <w:t>, o tratamento com corticosteroide deve ser diminuído e o tratamento com ciclofosfamida deve ser reduzido até a sua suspensão após a normalização do hematócrito (3).</w:t>
      </w:r>
    </w:p>
    <w:p w:rsidR="00741AC9" w:rsidRDefault="00741AC9">
      <w:pPr>
        <w:jc w:val="both"/>
        <w:sectPr w:rsidR="00741AC9">
          <w:pgSz w:w="11910" w:h="16850"/>
          <w:pgMar w:top="1060" w:right="1020" w:bottom="280" w:left="1020" w:header="720" w:footer="720" w:gutter="0"/>
          <w:cols w:space="720"/>
        </w:sectPr>
      </w:pPr>
    </w:p>
    <w:p w:rsidR="00741AC9" w:rsidRDefault="00D90659">
      <w:pPr>
        <w:pStyle w:val="Corpodetexto"/>
        <w:spacing w:before="66"/>
        <w:ind w:right="109" w:firstLine="566"/>
        <w:jc w:val="both"/>
      </w:pPr>
      <w:r>
        <w:lastRenderedPageBreak/>
        <w:t>A remissão obtida com esquemas conte</w:t>
      </w:r>
      <w:r>
        <w:t xml:space="preserve">ndo ciclofosfamida parece ser maior quando comparada com esquemas utilizando somente corticosteroides ou mesmo ciclosporina (3). Porém, cabe salientar que o uso crônico de agentes </w:t>
      </w:r>
      <w:proofErr w:type="spellStart"/>
      <w:r>
        <w:t>alquilantes</w:t>
      </w:r>
      <w:proofErr w:type="spellEnd"/>
      <w:r>
        <w:t xml:space="preserve"> pode trazer complicações importantes, como neoplasias secundária</w:t>
      </w:r>
      <w:r>
        <w:t xml:space="preserve">s e infertilidade, relacionadas à dose cumulativa e ao tempo de tratamento. Em razão desses efeitos adversos graves, não é recomendado o uso de ciclofosfamida por mais de </w:t>
      </w:r>
      <w:proofErr w:type="gramStart"/>
      <w:r>
        <w:t>6</w:t>
      </w:r>
      <w:proofErr w:type="gramEnd"/>
      <w:r>
        <w:t xml:space="preserve"> meses.</w:t>
      </w:r>
    </w:p>
    <w:p w:rsidR="00741AC9" w:rsidRDefault="00741AC9">
      <w:pPr>
        <w:pStyle w:val="Corpodetexto"/>
        <w:spacing w:before="2"/>
        <w:ind w:left="0"/>
      </w:pPr>
    </w:p>
    <w:p w:rsidR="00741AC9" w:rsidRDefault="00D90659">
      <w:pPr>
        <w:pStyle w:val="Corpodetexto"/>
        <w:spacing w:line="183" w:lineRule="exact"/>
        <w:ind w:left="679"/>
      </w:pPr>
      <w:r>
        <w:t>CICLOSPORINA</w:t>
      </w:r>
    </w:p>
    <w:p w:rsidR="00741AC9" w:rsidRDefault="00D90659">
      <w:pPr>
        <w:pStyle w:val="Corpodetexto"/>
        <w:ind w:right="110" w:firstLine="566"/>
        <w:jc w:val="both"/>
      </w:pPr>
      <w:r>
        <w:t>Estudos que avaliaram a utilização da ciclosporina no tratamento da APASV mostraram taxas de resposta entre 65%-87% (3). Em um estudo com 150 pacientes, dentre os quais 38 receberam ciclosporina, a taxa de resposta foi de 82%, sendo de 87% nos pacientes co</w:t>
      </w:r>
      <w:r>
        <w:t>m APASV primária e 73% nos com causas secundárias (13).</w:t>
      </w:r>
    </w:p>
    <w:p w:rsidR="00741AC9" w:rsidRDefault="00D90659">
      <w:pPr>
        <w:pStyle w:val="Corpodetexto"/>
        <w:ind w:right="108" w:firstLine="566"/>
        <w:jc w:val="both"/>
      </w:pPr>
      <w:r>
        <w:t>Em um estudo retrospectivo proveniente de um registro nacional japonês que incluiu 185 pacientes, dos quais 62 apresentavam APASV primária, a taxa de remissão foi de 74% nos que usaram ciclosporina. O</w:t>
      </w:r>
      <w:r>
        <w:t xml:space="preserve">s pacientes tratados somente com ciclosporina (n=23) ficaram livres de transfusão em média 82 dias após o início do tratamento (12). Em pacientes que necessitaram de tratamento de manutenção, pareceu haver aumento do tempo livre de recidiva: 103 meses nos </w:t>
      </w:r>
      <w:r>
        <w:t>pacientes em uso de terapia combinada de ciclosporina com corticosteroides e 33 meses nos pacientes somente em uso de corticosteroides (p&lt;0,01) (12). Apesar dessas possíveis vantagens do tratamento com ciclosporina, não foi possível comprovar até o momento</w:t>
      </w:r>
      <w:r>
        <w:t xml:space="preserve"> uma superioridade desse medicamento em relação aos corticosteroides em termos de sobrevida geral</w:t>
      </w:r>
      <w:r>
        <w:rPr>
          <w:spacing w:val="-15"/>
        </w:rPr>
        <w:t xml:space="preserve"> </w:t>
      </w:r>
      <w:r>
        <w:t>(3).</w:t>
      </w:r>
    </w:p>
    <w:p w:rsidR="00741AC9" w:rsidRDefault="00D90659">
      <w:pPr>
        <w:pStyle w:val="Corpodetexto"/>
        <w:ind w:right="107" w:firstLine="566"/>
        <w:jc w:val="both"/>
      </w:pPr>
      <w:r>
        <w:t xml:space="preserve">Quando utilizada, a ciclosporina deve ser mantida por até </w:t>
      </w:r>
      <w:proofErr w:type="gramStart"/>
      <w:r>
        <w:t>3</w:t>
      </w:r>
      <w:proofErr w:type="gramEnd"/>
      <w:r>
        <w:t xml:space="preserve"> meses caso ocorra normalização da concentração da hemoglobina. Sua retirada deve ser gradual,</w:t>
      </w:r>
      <w:r>
        <w:t xml:space="preserve"> a exemplo dos </w:t>
      </w:r>
      <w:proofErr w:type="spellStart"/>
      <w:r>
        <w:t>corticoesteroides</w:t>
      </w:r>
      <w:proofErr w:type="spellEnd"/>
      <w:r>
        <w:t>, uma vez que a recidiva da doença é comum quando o fármaco é suspenso abruptamente (</w:t>
      </w:r>
      <w:proofErr w:type="gramStart"/>
      <w:r>
        <w:t>3, 12</w:t>
      </w:r>
      <w:proofErr w:type="gramEnd"/>
      <w:r>
        <w:t xml:space="preserve">). Cabe ressaltar que a terapia com ciclosporina não é isenta de complicações, e a </w:t>
      </w:r>
      <w:proofErr w:type="spellStart"/>
      <w:r>
        <w:t>nefrotoxicidade</w:t>
      </w:r>
      <w:proofErr w:type="spellEnd"/>
      <w:r>
        <w:t xml:space="preserve"> pode representar uma limitação rele</w:t>
      </w:r>
      <w:r>
        <w:t>vante do tratamento.</w:t>
      </w:r>
    </w:p>
    <w:p w:rsidR="00741AC9" w:rsidRDefault="00741AC9">
      <w:pPr>
        <w:pStyle w:val="Corpodetexto"/>
        <w:spacing w:before="2"/>
        <w:ind w:left="0"/>
      </w:pPr>
    </w:p>
    <w:p w:rsidR="00741AC9" w:rsidRDefault="00D90659">
      <w:pPr>
        <w:pStyle w:val="PargrafodaLista"/>
        <w:numPr>
          <w:ilvl w:val="1"/>
          <w:numId w:val="5"/>
        </w:numPr>
        <w:tabs>
          <w:tab w:val="left" w:pos="922"/>
        </w:tabs>
        <w:spacing w:line="183" w:lineRule="exact"/>
        <w:rPr>
          <w:sz w:val="16"/>
        </w:rPr>
      </w:pPr>
      <w:r>
        <w:rPr>
          <w:sz w:val="16"/>
        </w:rPr>
        <w:t>FÁRMACOS</w:t>
      </w:r>
    </w:p>
    <w:p w:rsidR="00741AC9" w:rsidRDefault="00D90659">
      <w:pPr>
        <w:pStyle w:val="PargrafodaLista"/>
        <w:numPr>
          <w:ilvl w:val="0"/>
          <w:numId w:val="4"/>
        </w:numPr>
        <w:tabs>
          <w:tab w:val="left" w:pos="774"/>
        </w:tabs>
        <w:spacing w:line="183" w:lineRule="exact"/>
        <w:rPr>
          <w:sz w:val="16"/>
        </w:rPr>
      </w:pPr>
      <w:r>
        <w:rPr>
          <w:sz w:val="16"/>
        </w:rPr>
        <w:t xml:space="preserve">Prednisona: comprimidos de </w:t>
      </w:r>
      <w:proofErr w:type="gramStart"/>
      <w:r>
        <w:rPr>
          <w:sz w:val="16"/>
        </w:rPr>
        <w:t>5</w:t>
      </w:r>
      <w:proofErr w:type="gramEnd"/>
      <w:r>
        <w:rPr>
          <w:sz w:val="16"/>
        </w:rPr>
        <w:t xml:space="preserve"> e 20</w:t>
      </w:r>
      <w:r>
        <w:rPr>
          <w:spacing w:val="-8"/>
          <w:sz w:val="16"/>
        </w:rPr>
        <w:t xml:space="preserve"> </w:t>
      </w:r>
      <w:r>
        <w:rPr>
          <w:sz w:val="16"/>
        </w:rPr>
        <w:t>mg;</w:t>
      </w:r>
    </w:p>
    <w:p w:rsidR="00741AC9" w:rsidRDefault="00D90659">
      <w:pPr>
        <w:pStyle w:val="PargrafodaLista"/>
        <w:numPr>
          <w:ilvl w:val="0"/>
          <w:numId w:val="4"/>
        </w:numPr>
        <w:tabs>
          <w:tab w:val="left" w:pos="774"/>
        </w:tabs>
        <w:spacing w:before="1"/>
        <w:rPr>
          <w:sz w:val="16"/>
        </w:rPr>
      </w:pPr>
      <w:r>
        <w:rPr>
          <w:sz w:val="16"/>
        </w:rPr>
        <w:t>Ciclofosfamida: drágeas de 50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mg</w:t>
      </w:r>
      <w:proofErr w:type="gramEnd"/>
      <w:r>
        <w:rPr>
          <w:sz w:val="16"/>
        </w:rPr>
        <w:t>;</w:t>
      </w:r>
    </w:p>
    <w:p w:rsidR="00741AC9" w:rsidRDefault="00D90659">
      <w:pPr>
        <w:pStyle w:val="PargrafodaLista"/>
        <w:numPr>
          <w:ilvl w:val="0"/>
          <w:numId w:val="4"/>
        </w:numPr>
        <w:tabs>
          <w:tab w:val="left" w:pos="774"/>
        </w:tabs>
        <w:spacing w:before="1" w:line="183" w:lineRule="exact"/>
        <w:rPr>
          <w:sz w:val="16"/>
        </w:rPr>
      </w:pPr>
      <w:r>
        <w:rPr>
          <w:sz w:val="16"/>
        </w:rPr>
        <w:t xml:space="preserve">Ciclosporina: cápsulas de 10, 25, 50 e 100 </w:t>
      </w:r>
      <w:proofErr w:type="gramStart"/>
      <w:r>
        <w:rPr>
          <w:sz w:val="16"/>
        </w:rPr>
        <w:t>mg</w:t>
      </w:r>
      <w:proofErr w:type="gramEnd"/>
      <w:r>
        <w:rPr>
          <w:sz w:val="16"/>
        </w:rPr>
        <w:t>, solução oral de 100</w:t>
      </w:r>
      <w:r>
        <w:rPr>
          <w:spacing w:val="-24"/>
          <w:sz w:val="16"/>
        </w:rPr>
        <w:t xml:space="preserve"> </w:t>
      </w:r>
      <w:r>
        <w:rPr>
          <w:sz w:val="16"/>
        </w:rPr>
        <w:t>mg/</w:t>
      </w:r>
      <w:proofErr w:type="spellStart"/>
      <w:r>
        <w:rPr>
          <w:sz w:val="16"/>
        </w:rPr>
        <w:t>mL</w:t>
      </w:r>
      <w:proofErr w:type="spellEnd"/>
      <w:r>
        <w:rPr>
          <w:sz w:val="16"/>
        </w:rPr>
        <w:t>;</w:t>
      </w:r>
    </w:p>
    <w:p w:rsidR="00741AC9" w:rsidRDefault="00D90659">
      <w:pPr>
        <w:pStyle w:val="PargrafodaLista"/>
        <w:numPr>
          <w:ilvl w:val="0"/>
          <w:numId w:val="4"/>
        </w:numPr>
        <w:tabs>
          <w:tab w:val="left" w:pos="776"/>
        </w:tabs>
        <w:spacing w:line="183" w:lineRule="exact"/>
        <w:ind w:left="775" w:hanging="96"/>
        <w:rPr>
          <w:sz w:val="16"/>
        </w:rPr>
      </w:pPr>
      <w:r>
        <w:rPr>
          <w:sz w:val="16"/>
        </w:rPr>
        <w:t xml:space="preserve">Imunoglobulina humana: frascos-ampola de 0,5; 1,0; </w:t>
      </w:r>
      <w:proofErr w:type="gramStart"/>
      <w:r>
        <w:rPr>
          <w:sz w:val="16"/>
        </w:rPr>
        <w:t>2,5, 3,0</w:t>
      </w:r>
      <w:proofErr w:type="gramEnd"/>
      <w:r>
        <w:rPr>
          <w:sz w:val="16"/>
        </w:rPr>
        <w:t>; 5,0 e 6,0</w:t>
      </w:r>
      <w:r>
        <w:rPr>
          <w:spacing w:val="-11"/>
          <w:sz w:val="16"/>
        </w:rPr>
        <w:t xml:space="preserve"> </w:t>
      </w:r>
      <w:r>
        <w:rPr>
          <w:sz w:val="16"/>
        </w:rPr>
        <w:t>g.</w:t>
      </w:r>
    </w:p>
    <w:p w:rsidR="00741AC9" w:rsidRDefault="00741AC9">
      <w:pPr>
        <w:pStyle w:val="Corpodetexto"/>
        <w:spacing w:before="1"/>
        <w:ind w:left="0"/>
      </w:pPr>
    </w:p>
    <w:p w:rsidR="00741AC9" w:rsidRDefault="00D90659">
      <w:pPr>
        <w:pStyle w:val="PargrafodaLista"/>
        <w:numPr>
          <w:ilvl w:val="1"/>
          <w:numId w:val="5"/>
        </w:numPr>
        <w:tabs>
          <w:tab w:val="left" w:pos="922"/>
        </w:tabs>
        <w:spacing w:line="183" w:lineRule="exact"/>
        <w:rPr>
          <w:sz w:val="16"/>
        </w:rPr>
      </w:pPr>
      <w:r>
        <w:rPr>
          <w:sz w:val="16"/>
        </w:rPr>
        <w:t>ESQU</w:t>
      </w:r>
      <w:r>
        <w:rPr>
          <w:sz w:val="16"/>
        </w:rPr>
        <w:t>EMAS DE</w:t>
      </w:r>
      <w:r>
        <w:rPr>
          <w:spacing w:val="-1"/>
          <w:sz w:val="16"/>
        </w:rPr>
        <w:t xml:space="preserve"> </w:t>
      </w:r>
      <w:r>
        <w:rPr>
          <w:sz w:val="16"/>
        </w:rPr>
        <w:t>ADMINISTRAÇÃO</w:t>
      </w:r>
    </w:p>
    <w:p w:rsidR="00741AC9" w:rsidRDefault="00D90659">
      <w:pPr>
        <w:pStyle w:val="Corpodetexto"/>
        <w:ind w:right="111" w:firstLine="566"/>
        <w:jc w:val="both"/>
      </w:pPr>
      <w:r>
        <w:t xml:space="preserve">PREDNISONA: 60 </w:t>
      </w:r>
      <w:proofErr w:type="gramStart"/>
      <w:r>
        <w:t>mg</w:t>
      </w:r>
      <w:proofErr w:type="gramEnd"/>
      <w:r>
        <w:t>/dia, por via oral, em dose única ou dividida em duas ou três administrações. O medicamento deve ter a sua dose diminuída gradativamente depois de alcançada resposta clínica.</w:t>
      </w:r>
    </w:p>
    <w:p w:rsidR="00741AC9" w:rsidRDefault="00D90659">
      <w:pPr>
        <w:pStyle w:val="Corpodetexto"/>
        <w:spacing w:before="1"/>
        <w:ind w:right="109" w:firstLine="566"/>
        <w:jc w:val="both"/>
      </w:pPr>
      <w:r>
        <w:t xml:space="preserve">CICLOFOSFAMIDA: dose inicial deve ser de 2 a 3 </w:t>
      </w:r>
      <w:proofErr w:type="gramStart"/>
      <w:r>
        <w:t>mg</w:t>
      </w:r>
      <w:proofErr w:type="gramEnd"/>
      <w:r>
        <w:t xml:space="preserve">/kg/dia, por via oral. Outro esquema proposto é iniciar com 50 </w:t>
      </w:r>
      <w:proofErr w:type="gramStart"/>
      <w:r>
        <w:t>mg</w:t>
      </w:r>
      <w:proofErr w:type="gramEnd"/>
      <w:r>
        <w:t>/dia e aumentar a dose em 50 mg semanalmente ou a cada 2 semanas, até uma dose máxima de 150 mg/dia, de acordo com as contagens de plaquetas e</w:t>
      </w:r>
      <w:r>
        <w:t xml:space="preserve"> leucócitos. Atingida resposta clínica adequada, a dose deve ser gradualmente reduzida em </w:t>
      </w:r>
      <w:proofErr w:type="gramStart"/>
      <w:r>
        <w:t>3</w:t>
      </w:r>
      <w:proofErr w:type="gramEnd"/>
      <w:r>
        <w:t xml:space="preserve"> meses.</w:t>
      </w:r>
    </w:p>
    <w:p w:rsidR="00741AC9" w:rsidRDefault="00D90659">
      <w:pPr>
        <w:pStyle w:val="Corpodetexto"/>
        <w:ind w:right="106" w:firstLine="566"/>
        <w:jc w:val="both"/>
      </w:pPr>
      <w:r>
        <w:t xml:space="preserve">CICLOSPORINA: não há consenso na literatura sobre a melhor dose a ser utilizada. Um esquema proposto é o uso de 12 </w:t>
      </w:r>
      <w:proofErr w:type="gramStart"/>
      <w:r>
        <w:t>mg</w:t>
      </w:r>
      <w:proofErr w:type="gramEnd"/>
      <w:r>
        <w:t>/kg/dia, por via oral, divididos em duas</w:t>
      </w:r>
      <w:r>
        <w:t xml:space="preserve"> administrações diárias (1). Alguns estudos demonstraram que doses menores podem ser adequadas e, por isso, preconiza-se que seja utilizada a dosagem sérica dos níveis de ciclosporina (a serem mantidos entre 100-200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>), como monitorização da dose ideal</w:t>
      </w:r>
      <w:r>
        <w:t xml:space="preserve"> a ser utilizada (3).</w:t>
      </w:r>
    </w:p>
    <w:p w:rsidR="00741AC9" w:rsidRDefault="00D90659">
      <w:pPr>
        <w:pStyle w:val="Corpodetexto"/>
        <w:ind w:right="109" w:firstLine="708"/>
        <w:jc w:val="both"/>
      </w:pPr>
      <w:r>
        <w:t>IMUNOGLOBULINA HUMANA: Pela natureza da evidência disponível para esse medicamento, diversos esquemas terapêuticos já foram descritos, inexistindo um esquema terapêutico padrão. A dose total utilizada nos estudos variou entre 2-3 g/kg</w:t>
      </w:r>
      <w:r>
        <w:t xml:space="preserve">, uso intravenoso, em esquemas de 3 a 5 dias, ambos com bons resultados. Não havendo evidências de superioridade da dose maior, recomenda-se o uso de 400 </w:t>
      </w:r>
      <w:proofErr w:type="gramStart"/>
      <w:r>
        <w:t>mg</w:t>
      </w:r>
      <w:proofErr w:type="gramEnd"/>
      <w:r>
        <w:t>/kg/dia , uso intravenoso, por 5 dias (14).</w:t>
      </w:r>
    </w:p>
    <w:p w:rsidR="00741AC9" w:rsidRDefault="00741AC9">
      <w:pPr>
        <w:pStyle w:val="Corpodetexto"/>
        <w:spacing w:before="1"/>
        <w:ind w:left="0"/>
      </w:pPr>
    </w:p>
    <w:p w:rsidR="00741AC9" w:rsidRDefault="00D90659">
      <w:pPr>
        <w:pStyle w:val="PargrafodaLista"/>
        <w:numPr>
          <w:ilvl w:val="1"/>
          <w:numId w:val="5"/>
        </w:numPr>
        <w:tabs>
          <w:tab w:val="left" w:pos="922"/>
        </w:tabs>
        <w:spacing w:line="183" w:lineRule="exact"/>
        <w:rPr>
          <w:sz w:val="16"/>
        </w:rPr>
      </w:pPr>
      <w:r>
        <w:rPr>
          <w:sz w:val="16"/>
        </w:rPr>
        <w:t>TEMPO DE TRATAMENTO - CRITÉRIOS DE</w:t>
      </w:r>
      <w:r>
        <w:rPr>
          <w:spacing w:val="-2"/>
          <w:sz w:val="16"/>
        </w:rPr>
        <w:t xml:space="preserve"> </w:t>
      </w:r>
      <w:r>
        <w:rPr>
          <w:sz w:val="16"/>
        </w:rPr>
        <w:t>INTERRUPÇÃO</w:t>
      </w:r>
    </w:p>
    <w:p w:rsidR="00741AC9" w:rsidRDefault="00D90659">
      <w:pPr>
        <w:pStyle w:val="Corpodetexto"/>
        <w:ind w:right="112" w:firstLine="566"/>
        <w:jc w:val="both"/>
      </w:pPr>
      <w:r>
        <w:t xml:space="preserve">O tempo </w:t>
      </w:r>
      <w:r>
        <w:t>de tratamento varia conforme o medicamento utilizado, idealmente até obter-se a remissão da doença. Pacientes com recidivas frequentes podem necessitar de tratamento continuado para manter a remissão. Preconiza-se que o tratamento com imunoglobulina não ul</w:t>
      </w:r>
      <w:r>
        <w:t xml:space="preserve">trapasse </w:t>
      </w:r>
      <w:proofErr w:type="gramStart"/>
      <w:r>
        <w:t>5</w:t>
      </w:r>
      <w:proofErr w:type="gramEnd"/>
      <w:r>
        <w:t xml:space="preserve"> dias, que a ciclofosfamida não ultrapasse 6 meses e que a ciclosporina deva ser mantida por até 3 meses após a normalização da concentração da hemoglobina.</w:t>
      </w:r>
    </w:p>
    <w:p w:rsidR="00741AC9" w:rsidRDefault="00741AC9">
      <w:pPr>
        <w:pStyle w:val="Corpodetexto"/>
        <w:ind w:left="0"/>
      </w:pPr>
    </w:p>
    <w:p w:rsidR="00741AC9" w:rsidRDefault="00D90659">
      <w:pPr>
        <w:pStyle w:val="PargrafodaLista"/>
        <w:numPr>
          <w:ilvl w:val="1"/>
          <w:numId w:val="5"/>
        </w:numPr>
        <w:tabs>
          <w:tab w:val="left" w:pos="920"/>
        </w:tabs>
        <w:spacing w:before="1" w:line="183" w:lineRule="exact"/>
        <w:ind w:left="919" w:hanging="240"/>
        <w:rPr>
          <w:sz w:val="16"/>
        </w:rPr>
      </w:pPr>
      <w:r>
        <w:rPr>
          <w:sz w:val="16"/>
        </w:rPr>
        <w:t>BENEFÍCIOS</w:t>
      </w:r>
      <w:r>
        <w:rPr>
          <w:spacing w:val="-1"/>
          <w:sz w:val="16"/>
        </w:rPr>
        <w:t xml:space="preserve"> </w:t>
      </w:r>
      <w:r>
        <w:rPr>
          <w:sz w:val="16"/>
        </w:rPr>
        <w:t>ESPERADOS</w:t>
      </w:r>
    </w:p>
    <w:p w:rsidR="00741AC9" w:rsidRDefault="00D90659">
      <w:pPr>
        <w:pStyle w:val="PargrafodaLista"/>
        <w:numPr>
          <w:ilvl w:val="0"/>
          <w:numId w:val="4"/>
        </w:numPr>
        <w:tabs>
          <w:tab w:val="left" w:pos="774"/>
        </w:tabs>
        <w:spacing w:line="183" w:lineRule="exact"/>
        <w:rPr>
          <w:sz w:val="16"/>
        </w:rPr>
      </w:pPr>
      <w:r>
        <w:rPr>
          <w:sz w:val="16"/>
        </w:rPr>
        <w:t xml:space="preserve">Recuperação da anemia com aumento do número de </w:t>
      </w:r>
      <w:proofErr w:type="spellStart"/>
      <w:r>
        <w:rPr>
          <w:sz w:val="16"/>
        </w:rPr>
        <w:t>reticulócitos</w:t>
      </w:r>
      <w:proofErr w:type="spellEnd"/>
      <w:r>
        <w:rPr>
          <w:sz w:val="16"/>
        </w:rPr>
        <w:t xml:space="preserve"> e redu</w:t>
      </w:r>
      <w:r>
        <w:rPr>
          <w:sz w:val="16"/>
        </w:rPr>
        <w:t>ção dos sintomas clínicos de</w:t>
      </w:r>
      <w:r>
        <w:rPr>
          <w:spacing w:val="-27"/>
          <w:sz w:val="16"/>
        </w:rPr>
        <w:t xml:space="preserve"> </w:t>
      </w:r>
      <w:r>
        <w:rPr>
          <w:sz w:val="16"/>
        </w:rPr>
        <w:t>anemia;</w:t>
      </w:r>
    </w:p>
    <w:p w:rsidR="00741AC9" w:rsidRDefault="00D90659">
      <w:pPr>
        <w:pStyle w:val="PargrafodaLista"/>
        <w:numPr>
          <w:ilvl w:val="0"/>
          <w:numId w:val="4"/>
        </w:numPr>
        <w:tabs>
          <w:tab w:val="left" w:pos="774"/>
        </w:tabs>
        <w:rPr>
          <w:sz w:val="16"/>
        </w:rPr>
      </w:pPr>
      <w:r>
        <w:rPr>
          <w:sz w:val="16"/>
        </w:rPr>
        <w:t>Redução da necessidade de</w:t>
      </w:r>
      <w:r>
        <w:rPr>
          <w:spacing w:val="-8"/>
          <w:sz w:val="16"/>
        </w:rPr>
        <w:t xml:space="preserve"> </w:t>
      </w:r>
      <w:r>
        <w:rPr>
          <w:sz w:val="16"/>
        </w:rPr>
        <w:t>transfusões.</w:t>
      </w:r>
    </w:p>
    <w:p w:rsidR="00741AC9" w:rsidRDefault="00741AC9">
      <w:pPr>
        <w:pStyle w:val="Corpodetexto"/>
        <w:spacing w:before="11"/>
        <w:ind w:left="0"/>
        <w:rPr>
          <w:sz w:val="15"/>
        </w:rPr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274"/>
        </w:tabs>
        <w:rPr>
          <w:sz w:val="16"/>
        </w:rPr>
      </w:pPr>
      <w:r>
        <w:rPr>
          <w:sz w:val="16"/>
        </w:rPr>
        <w:t>MONITORIZAÇÃO</w:t>
      </w:r>
    </w:p>
    <w:p w:rsidR="00741AC9" w:rsidRDefault="00D90659">
      <w:pPr>
        <w:pStyle w:val="Corpodetexto"/>
        <w:spacing w:before="2"/>
        <w:ind w:right="109" w:firstLine="566"/>
        <w:jc w:val="both"/>
      </w:pPr>
      <w:r>
        <w:t xml:space="preserve">PREDNISONA: devem ser dosados glicemia de jejum, potássio, colesterol total, </w:t>
      </w:r>
      <w:proofErr w:type="gramStart"/>
      <w:r>
        <w:t>triglicerídeos e aferida</w:t>
      </w:r>
      <w:proofErr w:type="gramEnd"/>
      <w:r>
        <w:t xml:space="preserve"> a pressão arterial antes do início do tratamento. Durante o uso do corticosteroide, o paciente deve ser reavaliado clinicamente no mínimo a cada </w:t>
      </w:r>
      <w:proofErr w:type="gramStart"/>
      <w:r>
        <w:t>3</w:t>
      </w:r>
      <w:proofErr w:type="gramEnd"/>
      <w:r>
        <w:t xml:space="preserve"> meses e</w:t>
      </w:r>
      <w:r>
        <w:t xml:space="preserve"> laboratorialmente no mínimo a cada ano. As alterações devem ser acompanhadas pelo médico assistente e o tratamento indicado de acordo com a alteração. Esse medicamento deve ser usado pelo menor tempo possível, desde que haja resposta clínica adequada.</w:t>
      </w:r>
    </w:p>
    <w:p w:rsidR="00741AC9" w:rsidRDefault="00D90659">
      <w:pPr>
        <w:pStyle w:val="Corpodetexto"/>
        <w:ind w:right="107" w:firstLine="566"/>
        <w:jc w:val="both"/>
      </w:pPr>
      <w:r>
        <w:t>CIC</w:t>
      </w:r>
      <w:r>
        <w:t>LOFOSFAMIDA: devem ser realizados hemograma e dosagem de plaquetas semanalmente no primeiro mês, quinzenalmente no segundo e terceiro meses e, após, mensalmente ou se houver mudança nas doses. Também deve ser realizado controle da função hepática (alanina-</w:t>
      </w:r>
      <w:r>
        <w:t xml:space="preserve"> </w:t>
      </w:r>
      <w:proofErr w:type="spellStart"/>
      <w:r>
        <w:t>aminotransferase</w:t>
      </w:r>
      <w:proofErr w:type="spellEnd"/>
      <w:r>
        <w:t xml:space="preserve"> - ALT</w:t>
      </w:r>
      <w:r>
        <w:rPr>
          <w:rFonts w:ascii="Verdana" w:hAnsi="Verdana"/>
        </w:rPr>
        <w:t>/</w:t>
      </w:r>
      <w:r>
        <w:t xml:space="preserve">TGP, </w:t>
      </w:r>
      <w:proofErr w:type="spellStart"/>
      <w:r>
        <w:t>aspartato-aminotransferase</w:t>
      </w:r>
      <w:proofErr w:type="spellEnd"/>
      <w:r>
        <w:t xml:space="preserve"> - AST</w:t>
      </w:r>
      <w:r>
        <w:rPr>
          <w:rFonts w:ascii="Verdana" w:hAnsi="Verdana"/>
        </w:rPr>
        <w:t>/</w:t>
      </w:r>
      <w:r>
        <w:t xml:space="preserve">TGO, </w:t>
      </w:r>
      <w:proofErr w:type="spellStart"/>
      <w:r>
        <w:t>gamaglutamiltransferase</w:t>
      </w:r>
      <w:proofErr w:type="spellEnd"/>
      <w:r>
        <w:t xml:space="preserve"> e bilirrubinas), na mesma periodicidade dos hemogramas nos primeiros </w:t>
      </w:r>
      <w:proofErr w:type="gramStart"/>
      <w:r>
        <w:t>6</w:t>
      </w:r>
      <w:proofErr w:type="gramEnd"/>
      <w:r>
        <w:t xml:space="preserve"> meses e depois trimestralmente. Em caso de toxicidade medular, caracterizada por leucócitos in</w:t>
      </w:r>
      <w:r>
        <w:t>ferior a 1000/mm</w:t>
      </w:r>
      <w:r>
        <w:rPr>
          <w:vertAlign w:val="superscript"/>
        </w:rPr>
        <w:t>3</w:t>
      </w:r>
      <w:r>
        <w:t xml:space="preserve"> ou plaquetas inferior a 50.000/mm</w:t>
      </w:r>
      <w:r>
        <w:rPr>
          <w:vertAlign w:val="superscript"/>
        </w:rPr>
        <w:t>3</w:t>
      </w:r>
      <w:r>
        <w:t xml:space="preserve">, ou toxicidade hepática caracterizada por TGO ou TGP em um valor </w:t>
      </w:r>
      <w:proofErr w:type="gramStart"/>
      <w:r>
        <w:t>5</w:t>
      </w:r>
      <w:proofErr w:type="gramEnd"/>
      <w:r>
        <w:t xml:space="preserve"> vezes maior que o limite superior de  referência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método, o</w:t>
      </w:r>
      <w:r>
        <w:rPr>
          <w:spacing w:val="-3"/>
        </w:rPr>
        <w:t xml:space="preserve"> </w:t>
      </w:r>
      <w:r>
        <w:t>medicamento</w:t>
      </w:r>
      <w:r>
        <w:rPr>
          <w:spacing w:val="-4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interrompido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reiniciado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dose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baixa após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normalização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parâmetros</w:t>
      </w:r>
      <w:r>
        <w:rPr>
          <w:spacing w:val="-1"/>
        </w:rPr>
        <w:t xml:space="preserve"> </w:t>
      </w:r>
      <w:r>
        <w:t>laboratoriais.</w:t>
      </w:r>
    </w:p>
    <w:p w:rsidR="00741AC9" w:rsidRDefault="00D90659">
      <w:pPr>
        <w:pStyle w:val="Corpodetexto"/>
        <w:ind w:right="107" w:firstLine="566"/>
        <w:jc w:val="both"/>
      </w:pPr>
      <w:r>
        <w:t xml:space="preserve">CICLOSPORINA: deve ser realizada monitorização dos níveis séricos do fármaco (a serem mantidos entre 100-200 </w:t>
      </w:r>
      <w:proofErr w:type="spellStart"/>
      <w:r>
        <w:t>ng</w:t>
      </w:r>
      <w:proofErr w:type="spellEnd"/>
      <w:r>
        <w:t>/</w:t>
      </w:r>
      <w:proofErr w:type="spellStart"/>
      <w:r>
        <w:t>mL</w:t>
      </w:r>
      <w:proofErr w:type="spellEnd"/>
      <w:r>
        <w:t>), da pressão arterial sistêmica e da função renal (creatinina sérica) antes do início do tratament</w:t>
      </w:r>
      <w:r>
        <w:t xml:space="preserve">o, a cada </w:t>
      </w:r>
      <w:proofErr w:type="gramStart"/>
      <w:r>
        <w:t>2</w:t>
      </w:r>
      <w:proofErr w:type="gramEnd"/>
      <w:r>
        <w:t xml:space="preserve"> semanas nos primeiros 3 meses de tratamento e, após, mensalmente se o paciente estiver clinicamente estável. A ciclosporina está contraindicada em pacientes com creatinina basal superior a 3,0 </w:t>
      </w:r>
      <w:proofErr w:type="gramStart"/>
      <w:r>
        <w:t>mg</w:t>
      </w:r>
      <w:proofErr w:type="gramEnd"/>
      <w:r>
        <w:t>/</w:t>
      </w:r>
      <w:proofErr w:type="spellStart"/>
      <w:r>
        <w:t>dL</w:t>
      </w:r>
      <w:proofErr w:type="spellEnd"/>
      <w:r>
        <w:t>. Nos casos em que houver aumento da creatinin</w:t>
      </w:r>
      <w:r>
        <w:t>a durante o tratamento, deve ser realizado ajuste de dose a seguir:</w:t>
      </w:r>
    </w:p>
    <w:p w:rsidR="00741AC9" w:rsidRDefault="00D90659">
      <w:pPr>
        <w:pStyle w:val="PargrafodaLista"/>
        <w:numPr>
          <w:ilvl w:val="0"/>
          <w:numId w:val="3"/>
        </w:numPr>
        <w:tabs>
          <w:tab w:val="left" w:pos="774"/>
        </w:tabs>
        <w:spacing w:line="183" w:lineRule="exact"/>
        <w:rPr>
          <w:sz w:val="16"/>
        </w:rPr>
      </w:pPr>
      <w:r>
        <w:rPr>
          <w:sz w:val="16"/>
        </w:rPr>
        <w:t xml:space="preserve">Creatinina entre 1,5 e 2 </w:t>
      </w:r>
      <w:proofErr w:type="gramStart"/>
      <w:r>
        <w:rPr>
          <w:sz w:val="16"/>
        </w:rPr>
        <w:t>mg</w:t>
      </w:r>
      <w:proofErr w:type="gramEnd"/>
      <w:r>
        <w:rPr>
          <w:sz w:val="16"/>
        </w:rPr>
        <w:t>/</w:t>
      </w:r>
      <w:proofErr w:type="spellStart"/>
      <w:r>
        <w:rPr>
          <w:sz w:val="16"/>
        </w:rPr>
        <w:t>dL</w:t>
      </w:r>
      <w:proofErr w:type="spellEnd"/>
      <w:r>
        <w:rPr>
          <w:sz w:val="16"/>
        </w:rPr>
        <w:t xml:space="preserve"> ou aumento em 50% da creatinina basal - reduzir dose em</w:t>
      </w:r>
      <w:r>
        <w:rPr>
          <w:spacing w:val="-18"/>
          <w:sz w:val="16"/>
        </w:rPr>
        <w:t xml:space="preserve"> </w:t>
      </w:r>
      <w:r>
        <w:rPr>
          <w:sz w:val="16"/>
        </w:rPr>
        <w:t>50%;</w:t>
      </w:r>
    </w:p>
    <w:p w:rsidR="00741AC9" w:rsidRDefault="00D90659">
      <w:pPr>
        <w:pStyle w:val="PargrafodaLista"/>
        <w:numPr>
          <w:ilvl w:val="0"/>
          <w:numId w:val="3"/>
        </w:numPr>
        <w:tabs>
          <w:tab w:val="left" w:pos="774"/>
        </w:tabs>
        <w:spacing w:line="183" w:lineRule="exact"/>
        <w:rPr>
          <w:sz w:val="16"/>
        </w:rPr>
      </w:pPr>
      <w:r>
        <w:rPr>
          <w:sz w:val="16"/>
        </w:rPr>
        <w:t xml:space="preserve">Creatinina entre </w:t>
      </w:r>
      <w:proofErr w:type="gramStart"/>
      <w:r>
        <w:rPr>
          <w:sz w:val="16"/>
        </w:rPr>
        <w:t>2</w:t>
      </w:r>
      <w:proofErr w:type="gramEnd"/>
      <w:r>
        <w:rPr>
          <w:sz w:val="16"/>
        </w:rPr>
        <w:t xml:space="preserve"> e 3 mg/</w:t>
      </w:r>
      <w:proofErr w:type="spellStart"/>
      <w:r>
        <w:rPr>
          <w:sz w:val="16"/>
        </w:rPr>
        <w:t>dL</w:t>
      </w:r>
      <w:proofErr w:type="spellEnd"/>
      <w:r>
        <w:rPr>
          <w:sz w:val="16"/>
        </w:rPr>
        <w:t xml:space="preserve"> - interromper por 48 horas, e reiniciar conforme nível</w:t>
      </w:r>
      <w:r>
        <w:rPr>
          <w:spacing w:val="-25"/>
          <w:sz w:val="16"/>
        </w:rPr>
        <w:t xml:space="preserve"> </w:t>
      </w:r>
      <w:r>
        <w:rPr>
          <w:sz w:val="16"/>
        </w:rPr>
        <w:t>sérico.</w:t>
      </w:r>
    </w:p>
    <w:p w:rsidR="00741AC9" w:rsidRDefault="00D90659">
      <w:pPr>
        <w:pStyle w:val="Corpodetexto"/>
        <w:ind w:right="107" w:firstLine="566"/>
        <w:jc w:val="both"/>
      </w:pPr>
      <w:r>
        <w:t>Se h</w:t>
      </w:r>
      <w:r>
        <w:t>ouver desenvolvimento de hipertensão, deve ser realizada redução de 25%-50% da dose de ciclosporina; persistindo a hipertensão, o tratamento deve ser suspenso.</w:t>
      </w:r>
    </w:p>
    <w:p w:rsidR="00741AC9" w:rsidRDefault="00D90659">
      <w:pPr>
        <w:pStyle w:val="Corpodetexto"/>
        <w:ind w:right="107" w:firstLine="566"/>
        <w:jc w:val="both"/>
      </w:pPr>
      <w:r>
        <w:t>IMUNOGLOBULINA HUMANA: pacientes em uso desse medicamento podem apresentar reações adversas rela</w:t>
      </w:r>
      <w:r>
        <w:t xml:space="preserve">cionadas à infusão (febre, náusea, vômito), que deve ser suspensa se houver qualquer um desses sintomas. Requer uso cuidadoso em pacientes com condições que possam levar à perda de função renal (idosos, doença renal prévia, diabete </w:t>
      </w:r>
      <w:proofErr w:type="spellStart"/>
      <w:r>
        <w:t>melito</w:t>
      </w:r>
      <w:proofErr w:type="spellEnd"/>
      <w:r>
        <w:t>, sepse), por exis</w:t>
      </w:r>
      <w:r>
        <w:t xml:space="preserve">tirem relatos de casos de indução de insuficiência renal aguda com o seu uso. Outra complicação descrita é anemia hemolítica. Para a monitorização desses efeitos adversos, devem ser realizados exames laboratoriais (nível sérico de creatinina, hemograma) e </w:t>
      </w:r>
      <w:r>
        <w:t xml:space="preserve">avaliação clínica de efeitos adversos relacionados à infusão e ao débito urinário. Em caso de perda de função renal (creatinina acima de 50% ou mais em relação ao </w:t>
      </w:r>
      <w:proofErr w:type="spellStart"/>
      <w:r>
        <w:t>pré</w:t>
      </w:r>
      <w:proofErr w:type="spellEnd"/>
      <w:r>
        <w:t>-tratamento ou acima de 2mg/</w:t>
      </w:r>
      <w:proofErr w:type="spellStart"/>
      <w:r>
        <w:t>dL</w:t>
      </w:r>
      <w:proofErr w:type="spellEnd"/>
      <w:r>
        <w:t xml:space="preserve"> em adultos) ou redução de débito urinário, a administração </w:t>
      </w:r>
      <w:r>
        <w:t>do fármaco deve ser</w:t>
      </w:r>
      <w:r>
        <w:rPr>
          <w:spacing w:val="-8"/>
        </w:rPr>
        <w:t xml:space="preserve"> </w:t>
      </w:r>
      <w:r>
        <w:t>interrompida.</w:t>
      </w:r>
    </w:p>
    <w:p w:rsidR="00741AC9" w:rsidRDefault="00741AC9">
      <w:pPr>
        <w:pStyle w:val="Corpodetexto"/>
        <w:spacing w:before="1"/>
        <w:ind w:left="0"/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355"/>
        </w:tabs>
        <w:spacing w:before="1"/>
        <w:ind w:left="354" w:hanging="242"/>
        <w:rPr>
          <w:sz w:val="16"/>
        </w:rPr>
      </w:pPr>
      <w:r>
        <w:rPr>
          <w:sz w:val="16"/>
        </w:rPr>
        <w:t>ACOMPANHAMENTO</w:t>
      </w:r>
      <w:r>
        <w:rPr>
          <w:spacing w:val="-2"/>
          <w:sz w:val="16"/>
        </w:rPr>
        <w:t xml:space="preserve"> </w:t>
      </w:r>
      <w:r>
        <w:rPr>
          <w:sz w:val="16"/>
        </w:rPr>
        <w:t>PÓS-TRATAMENTO</w:t>
      </w:r>
    </w:p>
    <w:p w:rsidR="00741AC9" w:rsidRDefault="00741AC9">
      <w:pPr>
        <w:rPr>
          <w:sz w:val="16"/>
        </w:rPr>
        <w:sectPr w:rsidR="00741AC9">
          <w:pgSz w:w="11910" w:h="16850"/>
          <w:pgMar w:top="1060" w:right="1020" w:bottom="280" w:left="1020" w:header="720" w:footer="720" w:gutter="0"/>
          <w:cols w:space="720"/>
        </w:sectPr>
      </w:pPr>
    </w:p>
    <w:p w:rsidR="00741AC9" w:rsidRDefault="00D90659">
      <w:pPr>
        <w:pStyle w:val="Corpodetexto"/>
        <w:spacing w:before="66"/>
        <w:ind w:right="108" w:firstLine="566"/>
        <w:jc w:val="both"/>
      </w:pPr>
      <w:r>
        <w:lastRenderedPageBreak/>
        <w:t>Inexiste uma recomendação formal de tempo para o acompanhamento pós-tratamento dos pacientes com APASV. Como a recidiva é</w:t>
      </w:r>
      <w:proofErr w:type="gramStart"/>
      <w:r>
        <w:t xml:space="preserve">  </w:t>
      </w:r>
      <w:proofErr w:type="gramEnd"/>
      <w:r>
        <w:t>bastante comum com os esquemas terapêuticos atualmente</w:t>
      </w:r>
      <w:r>
        <w:t xml:space="preserve"> disponíveis e os níveis de evidência na literatura não são ideais, visto tratar-se de uma doença</w:t>
      </w:r>
      <w:r>
        <w:rPr>
          <w:spacing w:val="-4"/>
        </w:rPr>
        <w:t xml:space="preserve"> </w:t>
      </w:r>
      <w:r>
        <w:t>rara,</w:t>
      </w:r>
      <w:r>
        <w:rPr>
          <w:spacing w:val="-3"/>
        </w:rPr>
        <w:t xml:space="preserve"> </w:t>
      </w:r>
      <w:r>
        <w:t>sugere-se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pacientes</w:t>
      </w:r>
      <w:r>
        <w:rPr>
          <w:spacing w:val="-1"/>
        </w:rPr>
        <w:t xml:space="preserve"> </w:t>
      </w:r>
      <w:r>
        <w:t>sejam</w:t>
      </w:r>
      <w:r>
        <w:rPr>
          <w:spacing w:val="-4"/>
        </w:rPr>
        <w:t xml:space="preserve"> </w:t>
      </w:r>
      <w:r>
        <w:t>acompanhados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especializado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Hematologia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Hemoterapia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anos.</w:t>
      </w:r>
    </w:p>
    <w:p w:rsidR="00741AC9" w:rsidRDefault="00741AC9">
      <w:pPr>
        <w:pStyle w:val="Corpodetexto"/>
        <w:spacing w:before="1"/>
        <w:ind w:left="0"/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353"/>
        </w:tabs>
        <w:spacing w:before="1"/>
        <w:ind w:left="352" w:hanging="240"/>
        <w:rPr>
          <w:sz w:val="16"/>
        </w:rPr>
      </w:pPr>
      <w:r>
        <w:rPr>
          <w:sz w:val="16"/>
        </w:rPr>
        <w:t>REGULAÇÃO/CONTROLE/AVALIAÇÃO PELO GESTOR</w:t>
      </w:r>
    </w:p>
    <w:p w:rsidR="00741AC9" w:rsidRDefault="00D90659">
      <w:pPr>
        <w:pStyle w:val="Corpodetexto"/>
        <w:ind w:right="107" w:firstLine="566"/>
        <w:jc w:val="both"/>
      </w:pPr>
      <w:r>
        <w:t xml:space="preserve">Pacientes </w:t>
      </w:r>
      <w:proofErr w:type="gramStart"/>
      <w:r>
        <w:t>sob suspeita</w:t>
      </w:r>
      <w:proofErr w:type="gramEnd"/>
      <w:r>
        <w:t xml:space="preserve"> de terem adquirido APASV devem ser encaminhados a serviços especializados em Hematologia para um adequado diagnóstico e inclusão no Protocolo.</w:t>
      </w:r>
    </w:p>
    <w:p w:rsidR="00741AC9" w:rsidRDefault="00D90659">
      <w:pPr>
        <w:pStyle w:val="Corpodetexto"/>
        <w:ind w:right="116" w:firstLine="566"/>
        <w:jc w:val="both"/>
      </w:pPr>
      <w:r>
        <w:t>Devem ser observados os critérios de inclusão e exclusão dos pacientes neste Protocolo, a duração e a monitorização do tratamento, bem como a verificação periódica das doses dos medicamentos prescritos e dispensados, da adequação do uso e do acompanhamento</w:t>
      </w:r>
      <w:r>
        <w:t xml:space="preserve"> pós-tratamento.</w:t>
      </w:r>
    </w:p>
    <w:p w:rsidR="00741AC9" w:rsidRDefault="00D90659">
      <w:pPr>
        <w:pStyle w:val="Corpodetexto"/>
        <w:ind w:right="117" w:firstLine="566"/>
        <w:jc w:val="both"/>
      </w:pPr>
      <w:r>
        <w:t xml:space="preserve">Verificar na Relação Nacional de Medicamentos </w:t>
      </w:r>
      <w:proofErr w:type="gramStart"/>
      <w:r>
        <w:t>Essenciais (RENAME) vigente</w:t>
      </w:r>
      <w:proofErr w:type="gramEnd"/>
      <w:r>
        <w:t xml:space="preserve"> em qual componente da Assistência Farmacêutica se encontram os medicamentos preconizados neste Protocolo.</w:t>
      </w:r>
    </w:p>
    <w:p w:rsidR="00741AC9" w:rsidRDefault="00741AC9">
      <w:pPr>
        <w:pStyle w:val="Corpodetexto"/>
        <w:spacing w:before="10"/>
        <w:ind w:left="0"/>
        <w:rPr>
          <w:sz w:val="15"/>
        </w:rPr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355"/>
        </w:tabs>
        <w:ind w:left="354" w:hanging="242"/>
        <w:rPr>
          <w:sz w:val="16"/>
        </w:rPr>
      </w:pPr>
      <w:r>
        <w:rPr>
          <w:sz w:val="16"/>
        </w:rPr>
        <w:t>TERMO DE RESPONSABILIDADE E ESCLARECIMENTO -</w:t>
      </w:r>
      <w:r>
        <w:rPr>
          <w:spacing w:val="-5"/>
          <w:sz w:val="16"/>
        </w:rPr>
        <w:t xml:space="preserve"> </w:t>
      </w:r>
      <w:r>
        <w:rPr>
          <w:sz w:val="16"/>
        </w:rPr>
        <w:t>TER</w:t>
      </w:r>
    </w:p>
    <w:p w:rsidR="00741AC9" w:rsidRDefault="00D90659">
      <w:pPr>
        <w:pStyle w:val="Corpodetexto"/>
        <w:spacing w:before="1"/>
        <w:ind w:right="115" w:firstLine="852"/>
      </w:pPr>
      <w:r>
        <w:t>Deve-se i</w:t>
      </w:r>
      <w:r>
        <w:t>nformar ao paciente, ou seu responsável legal, sobre os potenciais riscos, benefícios e efeitos colaterais relacionados ao uso dos medicamentos preconizados neste Protocolo, levando-se em consideração as informações contidas no TER.</w:t>
      </w:r>
    </w:p>
    <w:p w:rsidR="00741AC9" w:rsidRDefault="00741AC9">
      <w:pPr>
        <w:pStyle w:val="Corpodetexto"/>
        <w:ind w:left="0"/>
      </w:pPr>
    </w:p>
    <w:p w:rsidR="00741AC9" w:rsidRDefault="00D90659">
      <w:pPr>
        <w:pStyle w:val="PargrafodaLista"/>
        <w:numPr>
          <w:ilvl w:val="0"/>
          <w:numId w:val="8"/>
        </w:numPr>
        <w:tabs>
          <w:tab w:val="left" w:pos="347"/>
        </w:tabs>
        <w:ind w:left="346" w:hanging="234"/>
        <w:rPr>
          <w:sz w:val="16"/>
        </w:rPr>
      </w:pPr>
      <w:r>
        <w:rPr>
          <w:sz w:val="16"/>
        </w:rPr>
        <w:t>REFERÊNCIAS</w:t>
      </w:r>
      <w:r>
        <w:rPr>
          <w:spacing w:val="-8"/>
          <w:sz w:val="16"/>
        </w:rPr>
        <w:t xml:space="preserve"> </w:t>
      </w:r>
      <w:r>
        <w:rPr>
          <w:sz w:val="16"/>
        </w:rPr>
        <w:t>BIBLIOGRÁF</w:t>
      </w:r>
      <w:r>
        <w:rPr>
          <w:sz w:val="16"/>
        </w:rPr>
        <w:t>ICAS</w:t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before="1"/>
        <w:ind w:right="2321" w:firstLine="0"/>
        <w:rPr>
          <w:sz w:val="16"/>
        </w:rPr>
      </w:pPr>
      <w:proofErr w:type="spellStart"/>
      <w:r w:rsidRPr="00D90659">
        <w:rPr>
          <w:sz w:val="16"/>
          <w:lang w:val="en-US"/>
        </w:rPr>
        <w:t>Schier</w:t>
      </w:r>
      <w:proofErr w:type="spellEnd"/>
      <w:r w:rsidRPr="00D90659">
        <w:rPr>
          <w:sz w:val="16"/>
          <w:lang w:val="en-US"/>
        </w:rPr>
        <w:t xml:space="preserve"> SL. Acquired pure red cell aplasia [Internet]. </w:t>
      </w:r>
      <w:proofErr w:type="spellStart"/>
      <w:proofErr w:type="gramStart"/>
      <w:r>
        <w:rPr>
          <w:sz w:val="16"/>
        </w:rPr>
        <w:t>UpToDate</w:t>
      </w:r>
      <w:proofErr w:type="spellEnd"/>
      <w:proofErr w:type="gramEnd"/>
      <w:r>
        <w:rPr>
          <w:sz w:val="16"/>
        </w:rPr>
        <w:t xml:space="preserve">; 2009 [acesso em 25/05/2010]. Disponível </w:t>
      </w:r>
      <w:proofErr w:type="gramStart"/>
      <w:r>
        <w:rPr>
          <w:sz w:val="16"/>
        </w:rPr>
        <w:t>em:</w:t>
      </w:r>
      <w:proofErr w:type="gramEnd"/>
      <w:r>
        <w:fldChar w:fldCharType="begin"/>
      </w:r>
      <w:r>
        <w:instrText xml:space="preserve"> HYPERLINK "http://www.uptodate.com/patients/content/topic.do?topicKey=%7EZbPxAEEkDJzkXZ&amp;amp;selectTitle=1%7E150" \h </w:instrText>
      </w:r>
      <w:r>
        <w:fldChar w:fldCharType="separate"/>
      </w:r>
      <w:r>
        <w:rPr>
          <w:sz w:val="16"/>
        </w:rPr>
        <w:t xml:space="preserve"> http://www.uptodate.com</w:t>
      </w:r>
      <w:r>
        <w:rPr>
          <w:sz w:val="16"/>
        </w:rPr>
        <w:t>/patients/content/topic.do?topicKey=~ZbPxAEEkDJzkXZ&amp;selectTitle=1~150</w:t>
      </w:r>
      <w:r>
        <w:rPr>
          <w:sz w:val="16"/>
        </w:rPr>
        <w:fldChar w:fldCharType="end"/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ind w:right="114" w:firstLine="0"/>
        <w:rPr>
          <w:sz w:val="16"/>
        </w:rPr>
      </w:pPr>
      <w:r w:rsidRPr="00D90659">
        <w:rPr>
          <w:sz w:val="16"/>
          <w:lang w:val="en-US"/>
        </w:rPr>
        <w:t xml:space="preserve">Sawada K, </w:t>
      </w:r>
      <w:proofErr w:type="spellStart"/>
      <w:r w:rsidRPr="00D90659">
        <w:rPr>
          <w:sz w:val="16"/>
          <w:lang w:val="en-US"/>
        </w:rPr>
        <w:t>Hirokawa</w:t>
      </w:r>
      <w:proofErr w:type="spellEnd"/>
      <w:r w:rsidRPr="00D90659">
        <w:rPr>
          <w:sz w:val="16"/>
          <w:lang w:val="en-US"/>
        </w:rPr>
        <w:t xml:space="preserve"> M, </w:t>
      </w:r>
      <w:proofErr w:type="spellStart"/>
      <w:r w:rsidRPr="00D90659">
        <w:rPr>
          <w:sz w:val="16"/>
          <w:lang w:val="en-US"/>
        </w:rPr>
        <w:t>Fujishima</w:t>
      </w:r>
      <w:proofErr w:type="spellEnd"/>
      <w:r w:rsidRPr="00D90659">
        <w:rPr>
          <w:sz w:val="16"/>
          <w:lang w:val="en-US"/>
        </w:rPr>
        <w:t xml:space="preserve"> N. Diagnosis and management of acquired pure red cell aplasia. </w:t>
      </w:r>
      <w:proofErr w:type="spellStart"/>
      <w:r>
        <w:rPr>
          <w:sz w:val="16"/>
        </w:rPr>
        <w:t>Hematol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Oncol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Clin</w:t>
      </w:r>
      <w:proofErr w:type="spellEnd"/>
      <w:r>
        <w:rPr>
          <w:sz w:val="16"/>
        </w:rPr>
        <w:t xml:space="preserve"> North </w:t>
      </w:r>
      <w:proofErr w:type="gramStart"/>
      <w:r>
        <w:rPr>
          <w:sz w:val="16"/>
        </w:rPr>
        <w:t>Am</w:t>
      </w:r>
      <w:proofErr w:type="gramEnd"/>
      <w:r>
        <w:rPr>
          <w:sz w:val="16"/>
        </w:rPr>
        <w:t xml:space="preserve">. </w:t>
      </w:r>
      <w:proofErr w:type="gramStart"/>
      <w:r>
        <w:rPr>
          <w:sz w:val="16"/>
        </w:rPr>
        <w:t>2009;</w:t>
      </w:r>
      <w:proofErr w:type="gramEnd"/>
      <w:r>
        <w:rPr>
          <w:sz w:val="16"/>
        </w:rPr>
        <w:t>23(2):249-59.</w:t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line="183" w:lineRule="exact"/>
        <w:ind w:firstLine="0"/>
        <w:rPr>
          <w:sz w:val="16"/>
        </w:rPr>
      </w:pPr>
      <w:r w:rsidRPr="00D90659">
        <w:rPr>
          <w:sz w:val="16"/>
          <w:lang w:val="en-US"/>
        </w:rPr>
        <w:t>Sawada</w:t>
      </w:r>
      <w:r w:rsidRPr="00D90659">
        <w:rPr>
          <w:spacing w:val="-1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K,</w:t>
      </w:r>
      <w:r w:rsidRPr="00D90659">
        <w:rPr>
          <w:spacing w:val="-1"/>
          <w:sz w:val="16"/>
          <w:lang w:val="en-US"/>
        </w:rPr>
        <w:t xml:space="preserve"> </w:t>
      </w:r>
      <w:proofErr w:type="spellStart"/>
      <w:r w:rsidRPr="00D90659">
        <w:rPr>
          <w:sz w:val="16"/>
          <w:lang w:val="en-US"/>
        </w:rPr>
        <w:t>Fujishima</w:t>
      </w:r>
      <w:proofErr w:type="spellEnd"/>
      <w:r w:rsidRPr="00D90659">
        <w:rPr>
          <w:sz w:val="16"/>
          <w:lang w:val="en-US"/>
        </w:rPr>
        <w:t xml:space="preserve"> N,</w:t>
      </w:r>
      <w:r w:rsidRPr="00D90659">
        <w:rPr>
          <w:spacing w:val="-3"/>
          <w:sz w:val="16"/>
          <w:lang w:val="en-US"/>
        </w:rPr>
        <w:t xml:space="preserve"> </w:t>
      </w:r>
      <w:proofErr w:type="spellStart"/>
      <w:r w:rsidRPr="00D90659">
        <w:rPr>
          <w:sz w:val="16"/>
          <w:lang w:val="en-US"/>
        </w:rPr>
        <w:t>Hirokawa</w:t>
      </w:r>
      <w:proofErr w:type="spellEnd"/>
      <w:r w:rsidRPr="00D90659">
        <w:rPr>
          <w:spacing w:val="-4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M. Acquired</w:t>
      </w:r>
      <w:r w:rsidRPr="00D90659">
        <w:rPr>
          <w:spacing w:val="-3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pure</w:t>
      </w:r>
      <w:r w:rsidRPr="00D90659">
        <w:rPr>
          <w:spacing w:val="-3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red</w:t>
      </w:r>
      <w:r w:rsidRPr="00D90659">
        <w:rPr>
          <w:spacing w:val="-1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cell</w:t>
      </w:r>
      <w:r w:rsidRPr="00D90659">
        <w:rPr>
          <w:spacing w:val="-2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aplasia:</w:t>
      </w:r>
      <w:r w:rsidRPr="00D90659">
        <w:rPr>
          <w:spacing w:val="-3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updated review</w:t>
      </w:r>
      <w:r w:rsidRPr="00D90659">
        <w:rPr>
          <w:spacing w:val="-4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of</w:t>
      </w:r>
      <w:r w:rsidRPr="00D90659">
        <w:rPr>
          <w:spacing w:val="-3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treatment.</w:t>
      </w:r>
      <w:r w:rsidRPr="00D90659">
        <w:rPr>
          <w:spacing w:val="-3"/>
          <w:sz w:val="16"/>
          <w:lang w:val="en-US"/>
        </w:rPr>
        <w:t xml:space="preserve"> </w:t>
      </w:r>
      <w:proofErr w:type="spellStart"/>
      <w:proofErr w:type="gramStart"/>
      <w:r>
        <w:rPr>
          <w:sz w:val="16"/>
        </w:rPr>
        <w:t>Br</w:t>
      </w:r>
      <w:proofErr w:type="spellEnd"/>
      <w:proofErr w:type="gramEnd"/>
      <w:r>
        <w:rPr>
          <w:spacing w:val="-3"/>
          <w:sz w:val="16"/>
        </w:rPr>
        <w:t xml:space="preserve"> </w:t>
      </w:r>
      <w:r>
        <w:rPr>
          <w:sz w:val="16"/>
        </w:rPr>
        <w:t>J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Haematol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2008;</w:t>
      </w:r>
      <w:proofErr w:type="gramEnd"/>
      <w:r>
        <w:rPr>
          <w:sz w:val="16"/>
        </w:rPr>
        <w:t>142(4):505-14.</w:t>
      </w:r>
    </w:p>
    <w:p w:rsidR="00741AC9" w:rsidRPr="00D90659" w:rsidRDefault="00D90659">
      <w:pPr>
        <w:pStyle w:val="PargrafodaLista"/>
        <w:numPr>
          <w:ilvl w:val="0"/>
          <w:numId w:val="2"/>
        </w:numPr>
        <w:tabs>
          <w:tab w:val="left" w:pos="474"/>
        </w:tabs>
        <w:spacing w:before="1"/>
        <w:ind w:right="110" w:firstLine="0"/>
        <w:jc w:val="both"/>
        <w:rPr>
          <w:sz w:val="16"/>
          <w:lang w:val="en-US"/>
        </w:rPr>
      </w:pPr>
      <w:proofErr w:type="spellStart"/>
      <w:r w:rsidRPr="00D90659">
        <w:rPr>
          <w:sz w:val="16"/>
          <w:lang w:val="en-US"/>
        </w:rPr>
        <w:t>Hirokawa</w:t>
      </w:r>
      <w:proofErr w:type="spellEnd"/>
      <w:r w:rsidRPr="00D90659">
        <w:rPr>
          <w:sz w:val="16"/>
          <w:lang w:val="en-US"/>
        </w:rPr>
        <w:t xml:space="preserve"> M, Sawada K, </w:t>
      </w:r>
      <w:proofErr w:type="spellStart"/>
      <w:r w:rsidRPr="00D90659">
        <w:rPr>
          <w:sz w:val="16"/>
          <w:lang w:val="en-US"/>
        </w:rPr>
        <w:t>Fujishima</w:t>
      </w:r>
      <w:proofErr w:type="spellEnd"/>
      <w:r w:rsidRPr="00D90659">
        <w:rPr>
          <w:sz w:val="16"/>
          <w:lang w:val="en-US"/>
        </w:rPr>
        <w:t xml:space="preserve"> N, </w:t>
      </w:r>
      <w:proofErr w:type="spellStart"/>
      <w:r w:rsidRPr="00D90659">
        <w:rPr>
          <w:sz w:val="16"/>
          <w:lang w:val="en-US"/>
        </w:rPr>
        <w:t>Nakao</w:t>
      </w:r>
      <w:proofErr w:type="spellEnd"/>
      <w:r w:rsidRPr="00D90659">
        <w:rPr>
          <w:sz w:val="16"/>
          <w:lang w:val="en-US"/>
        </w:rPr>
        <w:t xml:space="preserve"> S, Urabe A, Dan K, et al. Long-term response and outcome following immunosuppressive therapy in </w:t>
      </w:r>
      <w:proofErr w:type="spellStart"/>
      <w:r w:rsidRPr="00D90659">
        <w:rPr>
          <w:sz w:val="16"/>
          <w:lang w:val="en-US"/>
        </w:rPr>
        <w:t>thymoma</w:t>
      </w:r>
      <w:proofErr w:type="spellEnd"/>
      <w:r w:rsidRPr="00D90659">
        <w:rPr>
          <w:sz w:val="16"/>
          <w:lang w:val="en-US"/>
        </w:rPr>
        <w:t xml:space="preserve">-associated pure red cell aplasia: a nationwide cohort study in Japan by the PRCA collaborative study group. </w:t>
      </w:r>
      <w:proofErr w:type="spellStart"/>
      <w:r w:rsidRPr="00D90659">
        <w:rPr>
          <w:sz w:val="16"/>
          <w:lang w:val="en-US"/>
        </w:rPr>
        <w:t>Hae</w:t>
      </w:r>
      <w:r w:rsidRPr="00D90659">
        <w:rPr>
          <w:sz w:val="16"/>
          <w:lang w:val="en-US"/>
        </w:rPr>
        <w:t>matologica</w:t>
      </w:r>
      <w:proofErr w:type="spellEnd"/>
      <w:r w:rsidRPr="00D90659">
        <w:rPr>
          <w:sz w:val="16"/>
          <w:lang w:val="en-US"/>
        </w:rPr>
        <w:t>. 2008</w:t>
      </w:r>
      <w:proofErr w:type="gramStart"/>
      <w:r w:rsidRPr="00D90659">
        <w:rPr>
          <w:sz w:val="16"/>
          <w:lang w:val="en-US"/>
        </w:rPr>
        <w:t>;93</w:t>
      </w:r>
      <w:proofErr w:type="gramEnd"/>
      <w:r w:rsidRPr="00D90659">
        <w:rPr>
          <w:sz w:val="16"/>
          <w:lang w:val="en-US"/>
        </w:rPr>
        <w:t>(1):27-33.</w:t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ind w:right="110" w:firstLine="0"/>
        <w:rPr>
          <w:sz w:val="16"/>
        </w:rPr>
      </w:pPr>
      <w:r w:rsidRPr="00D90659">
        <w:rPr>
          <w:sz w:val="16"/>
          <w:lang w:val="en-US"/>
        </w:rPr>
        <w:t xml:space="preserve">Thompson CA, </w:t>
      </w:r>
      <w:proofErr w:type="spellStart"/>
      <w:r w:rsidRPr="00D90659">
        <w:rPr>
          <w:sz w:val="16"/>
          <w:lang w:val="en-US"/>
        </w:rPr>
        <w:t>Steensma</w:t>
      </w:r>
      <w:proofErr w:type="spellEnd"/>
      <w:r w:rsidRPr="00D90659">
        <w:rPr>
          <w:sz w:val="16"/>
          <w:lang w:val="en-US"/>
        </w:rPr>
        <w:t xml:space="preserve"> DP. Pure red cell aplasia associated with </w:t>
      </w:r>
      <w:proofErr w:type="spellStart"/>
      <w:r w:rsidRPr="00D90659">
        <w:rPr>
          <w:sz w:val="16"/>
          <w:lang w:val="en-US"/>
        </w:rPr>
        <w:t>thymoma</w:t>
      </w:r>
      <w:proofErr w:type="spellEnd"/>
      <w:r w:rsidRPr="00D90659">
        <w:rPr>
          <w:sz w:val="16"/>
          <w:lang w:val="en-US"/>
        </w:rPr>
        <w:t xml:space="preserve">: clinical insights from a 50-year single-institution experience. </w:t>
      </w:r>
      <w:proofErr w:type="spellStart"/>
      <w:proofErr w:type="gramStart"/>
      <w:r>
        <w:rPr>
          <w:sz w:val="16"/>
        </w:rPr>
        <w:t>Br</w:t>
      </w:r>
      <w:proofErr w:type="spellEnd"/>
      <w:proofErr w:type="gramEnd"/>
      <w:r>
        <w:rPr>
          <w:sz w:val="16"/>
        </w:rPr>
        <w:t xml:space="preserve"> J </w:t>
      </w:r>
      <w:proofErr w:type="spellStart"/>
      <w:r>
        <w:rPr>
          <w:sz w:val="16"/>
        </w:rPr>
        <w:t>Haematol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2006;</w:t>
      </w:r>
      <w:proofErr w:type="gramEnd"/>
      <w:r>
        <w:rPr>
          <w:sz w:val="16"/>
        </w:rPr>
        <w:t>135(3):405-7.</w:t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ind w:right="112" w:firstLine="0"/>
        <w:rPr>
          <w:sz w:val="16"/>
        </w:rPr>
      </w:pPr>
      <w:proofErr w:type="spellStart"/>
      <w:r w:rsidRPr="00D90659">
        <w:rPr>
          <w:sz w:val="16"/>
          <w:lang w:val="en-US"/>
        </w:rPr>
        <w:t>Koduri</w:t>
      </w:r>
      <w:proofErr w:type="spellEnd"/>
      <w:r w:rsidRPr="00D90659">
        <w:rPr>
          <w:sz w:val="16"/>
          <w:lang w:val="en-US"/>
        </w:rPr>
        <w:t xml:space="preserve"> PR, </w:t>
      </w:r>
      <w:proofErr w:type="spellStart"/>
      <w:r w:rsidRPr="00D90659">
        <w:rPr>
          <w:sz w:val="16"/>
          <w:lang w:val="en-US"/>
        </w:rPr>
        <w:t>Kumapley</w:t>
      </w:r>
      <w:proofErr w:type="spellEnd"/>
      <w:r w:rsidRPr="00D90659">
        <w:rPr>
          <w:sz w:val="16"/>
          <w:lang w:val="en-US"/>
        </w:rPr>
        <w:t xml:space="preserve"> R, </w:t>
      </w:r>
      <w:proofErr w:type="spellStart"/>
      <w:r w:rsidRPr="00D90659">
        <w:rPr>
          <w:sz w:val="16"/>
          <w:lang w:val="en-US"/>
        </w:rPr>
        <w:t>Valladares</w:t>
      </w:r>
      <w:proofErr w:type="spellEnd"/>
      <w:r w:rsidRPr="00D90659">
        <w:rPr>
          <w:sz w:val="16"/>
          <w:lang w:val="en-US"/>
        </w:rPr>
        <w:t xml:space="preserve"> J, </w:t>
      </w:r>
      <w:proofErr w:type="spellStart"/>
      <w:r w:rsidRPr="00D90659">
        <w:rPr>
          <w:sz w:val="16"/>
          <w:lang w:val="en-US"/>
        </w:rPr>
        <w:t>Teter</w:t>
      </w:r>
      <w:proofErr w:type="spellEnd"/>
      <w:r w:rsidRPr="00D90659">
        <w:rPr>
          <w:sz w:val="16"/>
          <w:lang w:val="en-US"/>
        </w:rPr>
        <w:t xml:space="preserve"> C. Chronic p</w:t>
      </w:r>
      <w:r w:rsidRPr="00D90659">
        <w:rPr>
          <w:sz w:val="16"/>
          <w:lang w:val="en-US"/>
        </w:rPr>
        <w:t xml:space="preserve">ure red cell aplasia caused by parvovirus B19 in AIDS: use of intravenous immunoglobulin--a report of eight patients. </w:t>
      </w:r>
      <w:proofErr w:type="spellStart"/>
      <w:proofErr w:type="gramStart"/>
      <w:r>
        <w:rPr>
          <w:sz w:val="16"/>
        </w:rPr>
        <w:t>Am</w:t>
      </w:r>
      <w:proofErr w:type="spellEnd"/>
      <w:proofErr w:type="gramEnd"/>
      <w:r>
        <w:rPr>
          <w:sz w:val="16"/>
        </w:rPr>
        <w:t xml:space="preserve"> J </w:t>
      </w:r>
      <w:proofErr w:type="spellStart"/>
      <w:r>
        <w:rPr>
          <w:sz w:val="16"/>
        </w:rPr>
        <w:t>Hematol</w:t>
      </w:r>
      <w:proofErr w:type="spell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1999;</w:t>
      </w:r>
      <w:proofErr w:type="gramEnd"/>
      <w:r>
        <w:rPr>
          <w:sz w:val="16"/>
        </w:rPr>
        <w:t>61(1):16-20.</w:t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spacing w:before="1"/>
        <w:ind w:right="109" w:firstLine="0"/>
        <w:rPr>
          <w:sz w:val="16"/>
        </w:rPr>
      </w:pPr>
      <w:proofErr w:type="spellStart"/>
      <w:r w:rsidRPr="00D90659">
        <w:rPr>
          <w:sz w:val="16"/>
          <w:lang w:val="en-US"/>
        </w:rPr>
        <w:t>Kurtzman</w:t>
      </w:r>
      <w:proofErr w:type="spellEnd"/>
      <w:r w:rsidRPr="00D90659">
        <w:rPr>
          <w:sz w:val="16"/>
          <w:lang w:val="en-US"/>
        </w:rPr>
        <w:t xml:space="preserve"> G, </w:t>
      </w:r>
      <w:proofErr w:type="spellStart"/>
      <w:r w:rsidRPr="00D90659">
        <w:rPr>
          <w:sz w:val="16"/>
          <w:lang w:val="en-US"/>
        </w:rPr>
        <w:t>Frickhofen</w:t>
      </w:r>
      <w:proofErr w:type="spellEnd"/>
      <w:r w:rsidRPr="00D90659">
        <w:rPr>
          <w:sz w:val="16"/>
          <w:lang w:val="en-US"/>
        </w:rPr>
        <w:t xml:space="preserve"> N, Kimball J, Jenkins DW, </w:t>
      </w:r>
      <w:proofErr w:type="spellStart"/>
      <w:r w:rsidRPr="00D90659">
        <w:rPr>
          <w:sz w:val="16"/>
          <w:lang w:val="en-US"/>
        </w:rPr>
        <w:t>Nienhuis</w:t>
      </w:r>
      <w:proofErr w:type="spellEnd"/>
      <w:r w:rsidRPr="00D90659">
        <w:rPr>
          <w:sz w:val="16"/>
          <w:lang w:val="en-US"/>
        </w:rPr>
        <w:t xml:space="preserve"> </w:t>
      </w:r>
      <w:r w:rsidRPr="00D90659">
        <w:rPr>
          <w:spacing w:val="-3"/>
          <w:sz w:val="16"/>
          <w:lang w:val="en-US"/>
        </w:rPr>
        <w:t xml:space="preserve">AW, </w:t>
      </w:r>
      <w:r w:rsidRPr="00D90659">
        <w:rPr>
          <w:sz w:val="16"/>
          <w:lang w:val="en-US"/>
        </w:rPr>
        <w:t>Young NS. Pure red-cell aplasia of 10 years'</w:t>
      </w:r>
      <w:r w:rsidRPr="00D90659">
        <w:rPr>
          <w:sz w:val="16"/>
          <w:lang w:val="en-US"/>
        </w:rPr>
        <w:t xml:space="preserve"> duration due to persistent parvovirus B19 infection and its cure with immunoglobulin therapy. </w:t>
      </w:r>
      <w:r>
        <w:rPr>
          <w:sz w:val="16"/>
        </w:rPr>
        <w:t xml:space="preserve">N </w:t>
      </w:r>
      <w:proofErr w:type="spellStart"/>
      <w:r>
        <w:rPr>
          <w:sz w:val="16"/>
        </w:rPr>
        <w:t>Engl</w:t>
      </w:r>
      <w:proofErr w:type="spellEnd"/>
      <w:r>
        <w:rPr>
          <w:sz w:val="16"/>
        </w:rPr>
        <w:t xml:space="preserve"> J Med.</w:t>
      </w:r>
      <w:r>
        <w:rPr>
          <w:spacing w:val="-23"/>
          <w:sz w:val="16"/>
        </w:rPr>
        <w:t xml:space="preserve"> </w:t>
      </w:r>
      <w:proofErr w:type="gramStart"/>
      <w:r>
        <w:rPr>
          <w:sz w:val="16"/>
        </w:rPr>
        <w:t>1989;</w:t>
      </w:r>
      <w:proofErr w:type="gramEnd"/>
      <w:r>
        <w:rPr>
          <w:sz w:val="16"/>
        </w:rPr>
        <w:t>321(8):519-23.</w:t>
      </w:r>
    </w:p>
    <w:p w:rsidR="00741AC9" w:rsidRPr="00D90659" w:rsidRDefault="00D9065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ind w:right="114" w:firstLine="0"/>
        <w:rPr>
          <w:sz w:val="16"/>
          <w:lang w:val="en-US"/>
        </w:rPr>
      </w:pPr>
      <w:proofErr w:type="spellStart"/>
      <w:r w:rsidRPr="00D90659">
        <w:rPr>
          <w:sz w:val="16"/>
          <w:lang w:val="en-US"/>
        </w:rPr>
        <w:t>Frickhofen</w:t>
      </w:r>
      <w:proofErr w:type="spellEnd"/>
      <w:r w:rsidRPr="00D90659">
        <w:rPr>
          <w:sz w:val="16"/>
          <w:lang w:val="en-US"/>
        </w:rPr>
        <w:t xml:space="preserve"> N, </w:t>
      </w:r>
      <w:proofErr w:type="spellStart"/>
      <w:r w:rsidRPr="00D90659">
        <w:rPr>
          <w:sz w:val="16"/>
          <w:lang w:val="en-US"/>
        </w:rPr>
        <w:t>Abkowitz</w:t>
      </w:r>
      <w:proofErr w:type="spellEnd"/>
      <w:r w:rsidRPr="00D90659">
        <w:rPr>
          <w:sz w:val="16"/>
          <w:lang w:val="en-US"/>
        </w:rPr>
        <w:t xml:space="preserve"> JL, Safford M, Berry JM, </w:t>
      </w:r>
      <w:proofErr w:type="spellStart"/>
      <w:r w:rsidRPr="00D90659">
        <w:rPr>
          <w:sz w:val="16"/>
          <w:lang w:val="en-US"/>
        </w:rPr>
        <w:t>Antunez</w:t>
      </w:r>
      <w:proofErr w:type="spellEnd"/>
      <w:r w:rsidRPr="00D90659">
        <w:rPr>
          <w:sz w:val="16"/>
          <w:lang w:val="en-US"/>
        </w:rPr>
        <w:t>-de-</w:t>
      </w:r>
      <w:proofErr w:type="spellStart"/>
      <w:r w:rsidRPr="00D90659">
        <w:rPr>
          <w:sz w:val="16"/>
          <w:lang w:val="en-US"/>
        </w:rPr>
        <w:t>Mayolo</w:t>
      </w:r>
      <w:proofErr w:type="spellEnd"/>
      <w:r w:rsidRPr="00D90659">
        <w:rPr>
          <w:sz w:val="16"/>
          <w:lang w:val="en-US"/>
        </w:rPr>
        <w:t xml:space="preserve"> J, </w:t>
      </w:r>
      <w:proofErr w:type="spellStart"/>
      <w:r w:rsidRPr="00D90659">
        <w:rPr>
          <w:sz w:val="16"/>
          <w:lang w:val="en-US"/>
        </w:rPr>
        <w:t>Astrow</w:t>
      </w:r>
      <w:proofErr w:type="spellEnd"/>
      <w:r w:rsidRPr="00D90659">
        <w:rPr>
          <w:sz w:val="16"/>
          <w:lang w:val="en-US"/>
        </w:rPr>
        <w:t xml:space="preserve"> A, et al. Persistent B19 parvovirus infection in pa</w:t>
      </w:r>
      <w:r w:rsidRPr="00D90659">
        <w:rPr>
          <w:sz w:val="16"/>
          <w:lang w:val="en-US"/>
        </w:rPr>
        <w:t>tients infected</w:t>
      </w:r>
      <w:r w:rsidRPr="00D90659">
        <w:rPr>
          <w:spacing w:val="-3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with</w:t>
      </w:r>
      <w:r w:rsidRPr="00D90659">
        <w:rPr>
          <w:spacing w:val="-2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human</w:t>
      </w:r>
      <w:r w:rsidRPr="00D90659">
        <w:rPr>
          <w:spacing w:val="-3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immunodeficiency</w:t>
      </w:r>
      <w:r w:rsidRPr="00D90659">
        <w:rPr>
          <w:spacing w:val="-4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virus</w:t>
      </w:r>
      <w:r w:rsidRPr="00D90659">
        <w:rPr>
          <w:spacing w:val="-1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type</w:t>
      </w:r>
      <w:r w:rsidRPr="00D90659">
        <w:rPr>
          <w:spacing w:val="-4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1 (HIV-1):</w:t>
      </w:r>
      <w:r w:rsidRPr="00D90659">
        <w:rPr>
          <w:spacing w:val="-3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a treatable</w:t>
      </w:r>
      <w:r w:rsidRPr="00D90659">
        <w:rPr>
          <w:spacing w:val="-4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cause</w:t>
      </w:r>
      <w:r w:rsidRPr="00D90659">
        <w:rPr>
          <w:spacing w:val="-3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of</w:t>
      </w:r>
      <w:r w:rsidRPr="00D90659">
        <w:rPr>
          <w:spacing w:val="-2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anemia</w:t>
      </w:r>
      <w:r w:rsidRPr="00D90659">
        <w:rPr>
          <w:spacing w:val="-4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in</w:t>
      </w:r>
      <w:r w:rsidRPr="00D90659">
        <w:rPr>
          <w:spacing w:val="-2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AIDS.</w:t>
      </w:r>
      <w:r w:rsidRPr="00D90659">
        <w:rPr>
          <w:spacing w:val="1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Ann Intern</w:t>
      </w:r>
      <w:r w:rsidRPr="00D90659">
        <w:rPr>
          <w:spacing w:val="-1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Med. 1990</w:t>
      </w:r>
      <w:proofErr w:type="gramStart"/>
      <w:r w:rsidRPr="00D90659">
        <w:rPr>
          <w:sz w:val="16"/>
          <w:lang w:val="en-US"/>
        </w:rPr>
        <w:t>;113</w:t>
      </w:r>
      <w:proofErr w:type="gramEnd"/>
      <w:r w:rsidRPr="00D90659">
        <w:rPr>
          <w:sz w:val="16"/>
          <w:lang w:val="en-US"/>
        </w:rPr>
        <w:t>(12):926-33.</w:t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3"/>
          <w:tab w:val="left" w:pos="474"/>
        </w:tabs>
        <w:ind w:right="107" w:firstLine="0"/>
        <w:rPr>
          <w:sz w:val="16"/>
        </w:rPr>
      </w:pPr>
      <w:proofErr w:type="spellStart"/>
      <w:r w:rsidRPr="00D90659">
        <w:rPr>
          <w:sz w:val="16"/>
          <w:lang w:val="en-US"/>
        </w:rPr>
        <w:t>Macdougall</w:t>
      </w:r>
      <w:proofErr w:type="spellEnd"/>
      <w:r w:rsidRPr="00D90659">
        <w:rPr>
          <w:sz w:val="16"/>
          <w:lang w:val="en-US"/>
        </w:rPr>
        <w:t xml:space="preserve"> IC, </w:t>
      </w:r>
      <w:proofErr w:type="spellStart"/>
      <w:r w:rsidRPr="00D90659">
        <w:rPr>
          <w:sz w:val="16"/>
          <w:lang w:val="en-US"/>
        </w:rPr>
        <w:t>Rossert</w:t>
      </w:r>
      <w:proofErr w:type="spellEnd"/>
      <w:r w:rsidRPr="00D90659">
        <w:rPr>
          <w:sz w:val="16"/>
          <w:lang w:val="en-US"/>
        </w:rPr>
        <w:t xml:space="preserve"> J, </w:t>
      </w:r>
      <w:proofErr w:type="spellStart"/>
      <w:r w:rsidRPr="00D90659">
        <w:rPr>
          <w:sz w:val="16"/>
          <w:lang w:val="en-US"/>
        </w:rPr>
        <w:t>Casadevall</w:t>
      </w:r>
      <w:proofErr w:type="spellEnd"/>
      <w:r w:rsidRPr="00D90659">
        <w:rPr>
          <w:sz w:val="16"/>
          <w:lang w:val="en-US"/>
        </w:rPr>
        <w:t xml:space="preserve"> N, Stead RB, </w:t>
      </w:r>
      <w:proofErr w:type="spellStart"/>
      <w:r w:rsidRPr="00D90659">
        <w:rPr>
          <w:sz w:val="16"/>
          <w:lang w:val="en-US"/>
        </w:rPr>
        <w:t>Duliege</w:t>
      </w:r>
      <w:proofErr w:type="spellEnd"/>
      <w:r w:rsidRPr="00D90659">
        <w:rPr>
          <w:sz w:val="16"/>
          <w:lang w:val="en-US"/>
        </w:rPr>
        <w:t xml:space="preserve"> AM, Froissart M, et al. A peptide-based erythropoietin-rec</w:t>
      </w:r>
      <w:r w:rsidRPr="00D90659">
        <w:rPr>
          <w:sz w:val="16"/>
          <w:lang w:val="en-US"/>
        </w:rPr>
        <w:t xml:space="preserve">eptor agonist for pure red-cell aplasia. </w:t>
      </w:r>
      <w:r>
        <w:rPr>
          <w:sz w:val="16"/>
        </w:rPr>
        <w:t xml:space="preserve">N </w:t>
      </w:r>
      <w:proofErr w:type="spellStart"/>
      <w:r>
        <w:rPr>
          <w:sz w:val="16"/>
        </w:rPr>
        <w:t>Engl</w:t>
      </w:r>
      <w:proofErr w:type="spellEnd"/>
      <w:r>
        <w:rPr>
          <w:sz w:val="16"/>
        </w:rPr>
        <w:t xml:space="preserve"> J Med.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2009;</w:t>
      </w:r>
      <w:proofErr w:type="gramEnd"/>
      <w:r>
        <w:rPr>
          <w:sz w:val="16"/>
        </w:rPr>
        <w:t>361(19):1848-55.</w:t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4"/>
        </w:tabs>
        <w:ind w:right="109" w:firstLine="0"/>
        <w:jc w:val="both"/>
        <w:rPr>
          <w:sz w:val="16"/>
        </w:rPr>
      </w:pPr>
      <w:r w:rsidRPr="00D90659">
        <w:rPr>
          <w:sz w:val="16"/>
          <w:lang w:val="en-US"/>
        </w:rPr>
        <w:t xml:space="preserve">Takeda Pharmaceutical Company Limited. Takeda announces withdrawal of marketing authorization application for </w:t>
      </w:r>
      <w:proofErr w:type="spellStart"/>
      <w:r w:rsidRPr="00D90659">
        <w:rPr>
          <w:sz w:val="16"/>
          <w:lang w:val="en-US"/>
        </w:rPr>
        <w:t>peginesatide</w:t>
      </w:r>
      <w:proofErr w:type="spellEnd"/>
      <w:r w:rsidRPr="00D90659">
        <w:rPr>
          <w:sz w:val="16"/>
          <w:lang w:val="en-US"/>
        </w:rPr>
        <w:t xml:space="preserve"> injection in Europe [Internet]. </w:t>
      </w:r>
      <w:r>
        <w:rPr>
          <w:sz w:val="16"/>
        </w:rPr>
        <w:t xml:space="preserve">Takeda </w:t>
      </w:r>
      <w:proofErr w:type="spellStart"/>
      <w:r>
        <w:rPr>
          <w:sz w:val="16"/>
        </w:rPr>
        <w:t>Pharmaceutical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</w:t>
      </w:r>
      <w:r>
        <w:rPr>
          <w:sz w:val="16"/>
        </w:rPr>
        <w:t>mpany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Limited</w:t>
      </w:r>
      <w:proofErr w:type="spellEnd"/>
      <w:r>
        <w:rPr>
          <w:sz w:val="16"/>
        </w:rPr>
        <w:t xml:space="preserve">; 2013 [acesso em 9/09/14]. Disponível em: </w:t>
      </w:r>
      <w:proofErr w:type="gramStart"/>
      <w:r>
        <w:rPr>
          <w:sz w:val="16"/>
        </w:rPr>
        <w:t>https</w:t>
      </w:r>
      <w:proofErr w:type="gramEnd"/>
      <w:r>
        <w:rPr>
          <w:sz w:val="16"/>
        </w:rPr>
        <w:t>://</w:t>
      </w:r>
      <w:hyperlink r:id="rId8">
        <w:r>
          <w:rPr>
            <w:sz w:val="16"/>
          </w:rPr>
          <w:t>www.takeda.com/news/2013/20130701_5854.html</w:t>
        </w:r>
      </w:hyperlink>
    </w:p>
    <w:p w:rsidR="00741AC9" w:rsidRPr="00D90659" w:rsidRDefault="00D90659">
      <w:pPr>
        <w:pStyle w:val="PargrafodaLista"/>
        <w:numPr>
          <w:ilvl w:val="0"/>
          <w:numId w:val="2"/>
        </w:numPr>
        <w:tabs>
          <w:tab w:val="left" w:pos="474"/>
        </w:tabs>
        <w:ind w:right="117" w:firstLine="0"/>
        <w:rPr>
          <w:sz w:val="16"/>
          <w:lang w:val="en-US"/>
        </w:rPr>
      </w:pPr>
      <w:r>
        <w:rPr>
          <w:sz w:val="16"/>
        </w:rPr>
        <w:t xml:space="preserve">Clark DA, </w:t>
      </w:r>
      <w:proofErr w:type="spellStart"/>
      <w:r>
        <w:rPr>
          <w:sz w:val="16"/>
        </w:rPr>
        <w:t>Dessypris</w:t>
      </w:r>
      <w:proofErr w:type="spellEnd"/>
      <w:r>
        <w:rPr>
          <w:sz w:val="16"/>
        </w:rPr>
        <w:t xml:space="preserve"> EN, </w:t>
      </w:r>
      <w:proofErr w:type="spellStart"/>
      <w:r>
        <w:rPr>
          <w:sz w:val="16"/>
        </w:rPr>
        <w:t>Krantz</w:t>
      </w:r>
      <w:proofErr w:type="spellEnd"/>
      <w:r>
        <w:rPr>
          <w:sz w:val="16"/>
        </w:rPr>
        <w:t xml:space="preserve"> SB. </w:t>
      </w:r>
      <w:r w:rsidRPr="00D90659">
        <w:rPr>
          <w:sz w:val="16"/>
          <w:lang w:val="en-US"/>
        </w:rPr>
        <w:t>Studies on pure red cell aplasia. XI. Resul</w:t>
      </w:r>
      <w:r w:rsidRPr="00D90659">
        <w:rPr>
          <w:sz w:val="16"/>
          <w:lang w:val="en-US"/>
        </w:rPr>
        <w:t>ts of immunosuppressive treatment of 37 patients. Blood. 1984</w:t>
      </w:r>
      <w:proofErr w:type="gramStart"/>
      <w:r w:rsidRPr="00D90659">
        <w:rPr>
          <w:sz w:val="16"/>
          <w:lang w:val="en-US"/>
        </w:rPr>
        <w:t>;63</w:t>
      </w:r>
      <w:proofErr w:type="gramEnd"/>
      <w:r w:rsidRPr="00D90659">
        <w:rPr>
          <w:sz w:val="16"/>
          <w:lang w:val="en-US"/>
        </w:rPr>
        <w:t>(2):277-86.</w:t>
      </w:r>
    </w:p>
    <w:p w:rsidR="00741AC9" w:rsidRPr="00D90659" w:rsidRDefault="00D90659">
      <w:pPr>
        <w:pStyle w:val="PargrafodaLista"/>
        <w:numPr>
          <w:ilvl w:val="0"/>
          <w:numId w:val="2"/>
        </w:numPr>
        <w:tabs>
          <w:tab w:val="left" w:pos="474"/>
        </w:tabs>
        <w:ind w:right="112" w:firstLine="0"/>
        <w:jc w:val="both"/>
        <w:rPr>
          <w:sz w:val="16"/>
          <w:lang w:val="en-US"/>
        </w:rPr>
      </w:pPr>
      <w:proofErr w:type="spellStart"/>
      <w:r>
        <w:rPr>
          <w:sz w:val="16"/>
        </w:rPr>
        <w:t>Sawada</w:t>
      </w:r>
      <w:proofErr w:type="spellEnd"/>
      <w:r>
        <w:rPr>
          <w:sz w:val="16"/>
        </w:rPr>
        <w:t xml:space="preserve"> K, </w:t>
      </w:r>
      <w:proofErr w:type="spellStart"/>
      <w:r>
        <w:rPr>
          <w:sz w:val="16"/>
        </w:rPr>
        <w:t>Hirokawa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Fujishima</w:t>
      </w:r>
      <w:proofErr w:type="spellEnd"/>
      <w:r>
        <w:rPr>
          <w:sz w:val="16"/>
        </w:rPr>
        <w:t xml:space="preserve"> N, </w:t>
      </w:r>
      <w:proofErr w:type="spellStart"/>
      <w:r>
        <w:rPr>
          <w:sz w:val="16"/>
        </w:rPr>
        <w:t>Teramura</w:t>
      </w:r>
      <w:proofErr w:type="spellEnd"/>
      <w:r>
        <w:rPr>
          <w:sz w:val="16"/>
        </w:rPr>
        <w:t xml:space="preserve"> M, </w:t>
      </w:r>
      <w:proofErr w:type="spellStart"/>
      <w:r>
        <w:rPr>
          <w:sz w:val="16"/>
        </w:rPr>
        <w:t>Bessho</w:t>
      </w:r>
      <w:proofErr w:type="spellEnd"/>
      <w:r>
        <w:rPr>
          <w:sz w:val="16"/>
        </w:rPr>
        <w:t xml:space="preserve"> M, Dan K,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D90659">
        <w:rPr>
          <w:sz w:val="16"/>
          <w:lang w:val="en-US"/>
        </w:rPr>
        <w:t>Long-term outcome of patients with acquired primary idiopathic pure red cell aplasia receiving cyclosporine A</w:t>
      </w:r>
      <w:r w:rsidRPr="00D90659">
        <w:rPr>
          <w:sz w:val="16"/>
          <w:lang w:val="en-US"/>
        </w:rPr>
        <w:t xml:space="preserve">. A nationwide cohort study in Japan for the PRCA Collaborative Study Group. </w:t>
      </w:r>
      <w:proofErr w:type="spellStart"/>
      <w:r w:rsidRPr="00D90659">
        <w:rPr>
          <w:sz w:val="16"/>
          <w:lang w:val="en-US"/>
        </w:rPr>
        <w:t>Haematologica</w:t>
      </w:r>
      <w:proofErr w:type="spellEnd"/>
      <w:r w:rsidRPr="00D90659">
        <w:rPr>
          <w:sz w:val="16"/>
          <w:lang w:val="en-US"/>
        </w:rPr>
        <w:t>. 2007</w:t>
      </w:r>
      <w:proofErr w:type="gramStart"/>
      <w:r w:rsidRPr="00D90659">
        <w:rPr>
          <w:sz w:val="16"/>
          <w:lang w:val="en-US"/>
        </w:rPr>
        <w:t>;92</w:t>
      </w:r>
      <w:proofErr w:type="gramEnd"/>
      <w:r w:rsidRPr="00D90659">
        <w:rPr>
          <w:sz w:val="16"/>
          <w:lang w:val="en-US"/>
        </w:rPr>
        <w:t>(8):1021-8.</w:t>
      </w:r>
    </w:p>
    <w:p w:rsidR="00741AC9" w:rsidRPr="00D90659" w:rsidRDefault="00D90659">
      <w:pPr>
        <w:pStyle w:val="PargrafodaLista"/>
        <w:numPr>
          <w:ilvl w:val="0"/>
          <w:numId w:val="2"/>
        </w:numPr>
        <w:tabs>
          <w:tab w:val="left" w:pos="474"/>
        </w:tabs>
        <w:ind w:firstLine="0"/>
        <w:rPr>
          <w:sz w:val="16"/>
          <w:lang w:val="en-US"/>
        </w:rPr>
      </w:pPr>
      <w:proofErr w:type="spellStart"/>
      <w:r w:rsidRPr="00D90659">
        <w:rPr>
          <w:sz w:val="16"/>
          <w:lang w:val="en-US"/>
        </w:rPr>
        <w:t>Mamiya</w:t>
      </w:r>
      <w:proofErr w:type="spellEnd"/>
      <w:r w:rsidRPr="00D90659">
        <w:rPr>
          <w:sz w:val="16"/>
          <w:lang w:val="en-US"/>
        </w:rPr>
        <w:t xml:space="preserve"> S, </w:t>
      </w:r>
      <w:proofErr w:type="spellStart"/>
      <w:r w:rsidRPr="00D90659">
        <w:rPr>
          <w:sz w:val="16"/>
          <w:lang w:val="en-US"/>
        </w:rPr>
        <w:t>Itoh</w:t>
      </w:r>
      <w:proofErr w:type="spellEnd"/>
      <w:r w:rsidRPr="00D90659">
        <w:rPr>
          <w:sz w:val="16"/>
          <w:lang w:val="en-US"/>
        </w:rPr>
        <w:t xml:space="preserve"> T, Miura AB. Acquired pure red cell aplasia in Japan. </w:t>
      </w:r>
      <w:proofErr w:type="spellStart"/>
      <w:r w:rsidRPr="00D90659">
        <w:rPr>
          <w:sz w:val="16"/>
          <w:lang w:val="en-US"/>
        </w:rPr>
        <w:t>Eur</w:t>
      </w:r>
      <w:proofErr w:type="spellEnd"/>
      <w:r w:rsidRPr="00D90659">
        <w:rPr>
          <w:sz w:val="16"/>
          <w:lang w:val="en-US"/>
        </w:rPr>
        <w:t xml:space="preserve"> J </w:t>
      </w:r>
      <w:proofErr w:type="spellStart"/>
      <w:r w:rsidRPr="00D90659">
        <w:rPr>
          <w:sz w:val="16"/>
          <w:lang w:val="en-US"/>
        </w:rPr>
        <w:t>Haematol</w:t>
      </w:r>
      <w:proofErr w:type="spellEnd"/>
      <w:r w:rsidRPr="00D90659">
        <w:rPr>
          <w:sz w:val="16"/>
          <w:lang w:val="en-US"/>
        </w:rPr>
        <w:t>.</w:t>
      </w:r>
      <w:r w:rsidRPr="00D90659">
        <w:rPr>
          <w:spacing w:val="-11"/>
          <w:sz w:val="16"/>
          <w:lang w:val="en-US"/>
        </w:rPr>
        <w:t xml:space="preserve"> </w:t>
      </w:r>
      <w:r w:rsidRPr="00D90659">
        <w:rPr>
          <w:sz w:val="16"/>
          <w:lang w:val="en-US"/>
        </w:rPr>
        <w:t>1997</w:t>
      </w:r>
      <w:proofErr w:type="gramStart"/>
      <w:r w:rsidRPr="00D90659">
        <w:rPr>
          <w:sz w:val="16"/>
          <w:lang w:val="en-US"/>
        </w:rPr>
        <w:t>;59</w:t>
      </w:r>
      <w:proofErr w:type="gramEnd"/>
      <w:r w:rsidRPr="00D90659">
        <w:rPr>
          <w:sz w:val="16"/>
          <w:lang w:val="en-US"/>
        </w:rPr>
        <w:t>(4):199-205.</w:t>
      </w:r>
    </w:p>
    <w:p w:rsidR="00741AC9" w:rsidRDefault="00D90659">
      <w:pPr>
        <w:pStyle w:val="PargrafodaLista"/>
        <w:numPr>
          <w:ilvl w:val="0"/>
          <w:numId w:val="2"/>
        </w:numPr>
        <w:tabs>
          <w:tab w:val="left" w:pos="474"/>
        </w:tabs>
        <w:ind w:right="112" w:firstLine="0"/>
        <w:rPr>
          <w:sz w:val="16"/>
        </w:rPr>
      </w:pPr>
      <w:r w:rsidRPr="00D90659">
        <w:rPr>
          <w:sz w:val="16"/>
          <w:lang w:val="en-US"/>
        </w:rPr>
        <w:t xml:space="preserve">Jordan J. Treatment and prevention of parvovirus B19 infection [Internet]. </w:t>
      </w:r>
      <w:proofErr w:type="spellStart"/>
      <w:proofErr w:type="gramStart"/>
      <w:r>
        <w:rPr>
          <w:sz w:val="16"/>
        </w:rPr>
        <w:t>UptoDate</w:t>
      </w:r>
      <w:proofErr w:type="spellEnd"/>
      <w:proofErr w:type="gramEnd"/>
      <w:r>
        <w:rPr>
          <w:sz w:val="16"/>
        </w:rPr>
        <w:t xml:space="preserve">; 2014 [acesso em 09/09/14]. Disponível </w:t>
      </w:r>
      <w:proofErr w:type="gramStart"/>
      <w:r>
        <w:rPr>
          <w:sz w:val="16"/>
        </w:rPr>
        <w:t>em:</w:t>
      </w:r>
      <w:proofErr w:type="gramEnd"/>
      <w:r>
        <w:fldChar w:fldCharType="begin"/>
      </w:r>
      <w:r>
        <w:instrText xml:space="preserve"> HYPERLINK "http://www.uptodate.com/contents/treatment-and-prevention-of-parvovirus-b19-infection" \h </w:instrText>
      </w:r>
      <w:r>
        <w:fldChar w:fldCharType="separate"/>
      </w:r>
      <w:r>
        <w:rPr>
          <w:sz w:val="16"/>
        </w:rPr>
        <w:t xml:space="preserve"> http://www.uptodate.com/</w:t>
      </w:r>
      <w:r>
        <w:rPr>
          <w:sz w:val="16"/>
        </w:rPr>
        <w:t>contents/treatment-and-prevention-of-parvovirus-b19-infection.</w:t>
      </w:r>
      <w:r>
        <w:rPr>
          <w:sz w:val="16"/>
        </w:rPr>
        <w:fldChar w:fldCharType="end"/>
      </w:r>
    </w:p>
    <w:p w:rsidR="00741AC9" w:rsidRDefault="00741AC9">
      <w:pPr>
        <w:pStyle w:val="Corpodetexto"/>
        <w:ind w:left="0"/>
        <w:rPr>
          <w:sz w:val="18"/>
        </w:rPr>
      </w:pPr>
    </w:p>
    <w:p w:rsidR="00741AC9" w:rsidRDefault="00741AC9">
      <w:pPr>
        <w:pStyle w:val="Corpodetexto"/>
        <w:ind w:left="0"/>
        <w:rPr>
          <w:sz w:val="18"/>
        </w:rPr>
      </w:pPr>
    </w:p>
    <w:p w:rsidR="00741AC9" w:rsidRDefault="00D90659">
      <w:pPr>
        <w:pStyle w:val="Corpodetexto"/>
        <w:spacing w:before="138"/>
        <w:ind w:left="2909"/>
      </w:pPr>
      <w:r>
        <w:t>TERMO DE ESCLARECIMENTO E RESPONSABILIDADE</w:t>
      </w:r>
    </w:p>
    <w:p w:rsidR="00741AC9" w:rsidRDefault="00741AC9">
      <w:pPr>
        <w:pStyle w:val="Corpodetexto"/>
        <w:spacing w:before="10"/>
        <w:ind w:left="0"/>
        <w:rPr>
          <w:sz w:val="15"/>
        </w:rPr>
      </w:pPr>
    </w:p>
    <w:p w:rsidR="00741AC9" w:rsidRDefault="00D90659">
      <w:pPr>
        <w:pStyle w:val="Corpodetexto"/>
        <w:ind w:left="2117"/>
      </w:pPr>
      <w:r>
        <w:t>PREDNISONA, CICLOFOSFAMIDA, CICLOSPORINA E IMUNOGLOBULINA HUMANA.</w:t>
      </w:r>
    </w:p>
    <w:p w:rsidR="00741AC9" w:rsidRDefault="00741AC9">
      <w:pPr>
        <w:pStyle w:val="Corpodetexto"/>
        <w:ind w:left="0"/>
      </w:pPr>
    </w:p>
    <w:p w:rsidR="00741AC9" w:rsidRDefault="00D90659">
      <w:pPr>
        <w:pStyle w:val="Corpodetexto"/>
        <w:tabs>
          <w:tab w:val="left" w:pos="5174"/>
        </w:tabs>
        <w:ind w:right="110" w:firstLine="56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t>nome do(a) paciente), declaro ter sido informado(a) claramente sobre os be</w:t>
      </w:r>
      <w:r>
        <w:t>nefícios, riscos, contraindicações e principais efeitos adversos relacionados ao uso do(s) medicamento(s) ciclofosfamida, ciclosporina e imunoglobulina humana, indicado(s) para o tratamento da aplasia pura adquirida da série</w:t>
      </w:r>
      <w:r>
        <w:rPr>
          <w:spacing w:val="-23"/>
        </w:rPr>
        <w:t xml:space="preserve"> </w:t>
      </w:r>
      <w:r>
        <w:t>vermelha.</w:t>
      </w:r>
    </w:p>
    <w:p w:rsidR="00741AC9" w:rsidRDefault="00D90659">
      <w:pPr>
        <w:pStyle w:val="Corpodetexto"/>
        <w:tabs>
          <w:tab w:val="left" w:pos="1099"/>
          <w:tab w:val="left" w:pos="1776"/>
          <w:tab w:val="left" w:pos="2553"/>
          <w:tab w:val="left" w:pos="2991"/>
          <w:tab w:val="left" w:pos="3615"/>
          <w:tab w:val="left" w:pos="4540"/>
          <w:tab w:val="left" w:pos="4852"/>
          <w:tab w:val="left" w:pos="5433"/>
          <w:tab w:val="left" w:pos="5807"/>
          <w:tab w:val="left" w:pos="6510"/>
          <w:tab w:val="left" w:pos="7251"/>
          <w:tab w:val="left" w:pos="7874"/>
          <w:tab w:val="left" w:pos="8764"/>
          <w:tab w:val="left" w:pos="9280"/>
        </w:tabs>
        <w:ind w:left="679"/>
      </w:pPr>
      <w:r>
        <w:t>Os</w:t>
      </w:r>
      <w:r>
        <w:tab/>
        <w:t>termos</w:t>
      </w:r>
      <w:r>
        <w:tab/>
        <w:t>médicos</w:t>
      </w:r>
      <w:r>
        <w:tab/>
        <w:t>me</w:t>
      </w:r>
      <w:r>
        <w:tab/>
      </w:r>
      <w:r>
        <w:t>foram</w:t>
      </w:r>
      <w:r>
        <w:tab/>
        <w:t>explicados</w:t>
      </w:r>
      <w:r>
        <w:tab/>
        <w:t>e</w:t>
      </w:r>
      <w:r>
        <w:tab/>
        <w:t>todas</w:t>
      </w:r>
      <w:r>
        <w:tab/>
        <w:t>as</w:t>
      </w:r>
      <w:r>
        <w:tab/>
        <w:t>minhas</w:t>
      </w:r>
      <w:r>
        <w:tab/>
        <w:t>dúvidas</w:t>
      </w:r>
      <w:r>
        <w:tab/>
        <w:t>foram</w:t>
      </w:r>
      <w:r>
        <w:tab/>
        <w:t>resolvidas</w:t>
      </w:r>
      <w:r>
        <w:tab/>
        <w:t>pelo</w:t>
      </w:r>
      <w:r>
        <w:tab/>
        <w:t>médico</w:t>
      </w:r>
    </w:p>
    <w:p w:rsidR="00741AC9" w:rsidRDefault="00D90659">
      <w:pPr>
        <w:pStyle w:val="Corpodetexto"/>
        <w:tabs>
          <w:tab w:val="left" w:pos="4389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 do médico que</w:t>
      </w:r>
      <w:r>
        <w:rPr>
          <w:spacing w:val="-11"/>
        </w:rPr>
        <w:t xml:space="preserve"> </w:t>
      </w:r>
      <w:r>
        <w:t>prescreve).</w:t>
      </w:r>
    </w:p>
    <w:p w:rsidR="00741AC9" w:rsidRDefault="00D90659">
      <w:pPr>
        <w:pStyle w:val="Corpodetexto"/>
        <w:spacing w:before="1" w:line="183" w:lineRule="exact"/>
        <w:ind w:left="679"/>
      </w:pPr>
      <w:r>
        <w:t xml:space="preserve">Assim, declaro que fui claramente </w:t>
      </w:r>
      <w:proofErr w:type="gramStart"/>
      <w:r>
        <w:t>informado(</w:t>
      </w:r>
      <w:proofErr w:type="gramEnd"/>
      <w:r>
        <w:t>a) de que o medicamento que passo a receber pode trazer os seguintes benefícios:</w:t>
      </w: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74"/>
        </w:tabs>
        <w:spacing w:line="183" w:lineRule="exact"/>
        <w:ind w:firstLine="567"/>
        <w:rPr>
          <w:sz w:val="16"/>
        </w:rPr>
      </w:pPr>
      <w:proofErr w:type="gramStart"/>
      <w:r>
        <w:rPr>
          <w:sz w:val="16"/>
        </w:rPr>
        <w:t>recuperação</w:t>
      </w:r>
      <w:proofErr w:type="gramEnd"/>
      <w:r>
        <w:rPr>
          <w:sz w:val="16"/>
        </w:rPr>
        <w:t xml:space="preserve"> da anemia, co</w:t>
      </w:r>
      <w:r>
        <w:rPr>
          <w:sz w:val="16"/>
        </w:rPr>
        <w:t>m aumento do número de</w:t>
      </w:r>
      <w:r>
        <w:rPr>
          <w:spacing w:val="-9"/>
          <w:sz w:val="16"/>
        </w:rPr>
        <w:t xml:space="preserve"> </w:t>
      </w:r>
      <w:proofErr w:type="spellStart"/>
      <w:r>
        <w:rPr>
          <w:sz w:val="16"/>
        </w:rPr>
        <w:t>reticulócitos</w:t>
      </w:r>
      <w:proofErr w:type="spellEnd"/>
      <w:r>
        <w:rPr>
          <w:sz w:val="16"/>
        </w:rPr>
        <w:t>;</w:t>
      </w: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74"/>
        </w:tabs>
        <w:spacing w:before="1"/>
        <w:ind w:firstLine="567"/>
        <w:rPr>
          <w:sz w:val="16"/>
        </w:rPr>
      </w:pPr>
      <w:proofErr w:type="gramStart"/>
      <w:r>
        <w:rPr>
          <w:sz w:val="16"/>
        </w:rPr>
        <w:t>redução</w:t>
      </w:r>
      <w:proofErr w:type="gramEnd"/>
      <w:r>
        <w:rPr>
          <w:sz w:val="16"/>
        </w:rPr>
        <w:t xml:space="preserve"> dos sintomas clínicos de</w:t>
      </w:r>
      <w:r>
        <w:rPr>
          <w:spacing w:val="-10"/>
          <w:sz w:val="16"/>
        </w:rPr>
        <w:t xml:space="preserve"> </w:t>
      </w:r>
      <w:r>
        <w:rPr>
          <w:sz w:val="16"/>
        </w:rPr>
        <w:t>anemia;</w:t>
      </w: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74"/>
        </w:tabs>
        <w:spacing w:line="183" w:lineRule="exact"/>
        <w:ind w:firstLine="567"/>
        <w:rPr>
          <w:sz w:val="16"/>
        </w:rPr>
      </w:pPr>
      <w:proofErr w:type="gramStart"/>
      <w:r>
        <w:rPr>
          <w:sz w:val="16"/>
        </w:rPr>
        <w:t>redução</w:t>
      </w:r>
      <w:proofErr w:type="gramEnd"/>
      <w:r>
        <w:rPr>
          <w:sz w:val="16"/>
        </w:rPr>
        <w:t xml:space="preserve"> da necessidade de</w:t>
      </w:r>
      <w:r>
        <w:rPr>
          <w:spacing w:val="-12"/>
          <w:sz w:val="16"/>
        </w:rPr>
        <w:t xml:space="preserve"> </w:t>
      </w:r>
      <w:r>
        <w:rPr>
          <w:sz w:val="16"/>
        </w:rPr>
        <w:t>transfusões.</w:t>
      </w:r>
    </w:p>
    <w:p w:rsidR="00741AC9" w:rsidRDefault="00D90659">
      <w:pPr>
        <w:pStyle w:val="Corpodetexto"/>
        <w:spacing w:line="183" w:lineRule="exact"/>
        <w:ind w:left="679"/>
      </w:pPr>
      <w:r>
        <w:t xml:space="preserve">Fui também claramente </w:t>
      </w:r>
      <w:proofErr w:type="gramStart"/>
      <w:r>
        <w:t>informado(</w:t>
      </w:r>
      <w:proofErr w:type="gramEnd"/>
      <w:r>
        <w:t>a) a respeito das seguintes contraindicações, potenciais efeitos adversos e riscos:</w:t>
      </w: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76"/>
        </w:tabs>
        <w:spacing w:before="1"/>
        <w:ind w:right="109" w:firstLine="567"/>
        <w:jc w:val="both"/>
        <w:rPr>
          <w:sz w:val="16"/>
        </w:rPr>
      </w:pPr>
      <w:proofErr w:type="gramStart"/>
      <w:r>
        <w:rPr>
          <w:sz w:val="16"/>
        </w:rPr>
        <w:t>não</w:t>
      </w:r>
      <w:proofErr w:type="gramEnd"/>
      <w:r>
        <w:rPr>
          <w:sz w:val="16"/>
        </w:rPr>
        <w:t xml:space="preserve"> se sabe ao certo os riscos do uso da ciclosporina e imunoglobulina na gravidez; portanto, caso engravide, devo avisar imediatamente ao meu médico;</w:t>
      </w: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74"/>
        </w:tabs>
        <w:spacing w:line="183" w:lineRule="exact"/>
        <w:ind w:firstLine="567"/>
        <w:rPr>
          <w:sz w:val="16"/>
        </w:rPr>
      </w:pP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 ciclofosfamida não deve ser usada durante a gestação, devido ao risco de má formação do</w:t>
      </w:r>
      <w:r>
        <w:rPr>
          <w:spacing w:val="-25"/>
          <w:sz w:val="16"/>
        </w:rPr>
        <w:t xml:space="preserve"> </w:t>
      </w:r>
      <w:r>
        <w:rPr>
          <w:sz w:val="16"/>
        </w:rPr>
        <w:t>feto;</w:t>
      </w: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88"/>
        </w:tabs>
        <w:spacing w:before="1"/>
        <w:ind w:right="109" w:firstLine="567"/>
        <w:jc w:val="both"/>
        <w:rPr>
          <w:sz w:val="16"/>
        </w:rPr>
      </w:pPr>
      <w:proofErr w:type="gramStart"/>
      <w:r>
        <w:rPr>
          <w:b/>
          <w:sz w:val="16"/>
        </w:rPr>
        <w:t>efeitos</w:t>
      </w:r>
      <w:proofErr w:type="gramEnd"/>
      <w:r>
        <w:rPr>
          <w:b/>
          <w:sz w:val="16"/>
        </w:rPr>
        <w:t xml:space="preserve"> a</w:t>
      </w:r>
      <w:r>
        <w:rPr>
          <w:b/>
          <w:sz w:val="16"/>
        </w:rPr>
        <w:t>dversos mais comuns do uso prolongado da prednisona</w:t>
      </w:r>
      <w:r>
        <w:rPr>
          <w:sz w:val="16"/>
        </w:rPr>
        <w:t xml:space="preserve">: insônia, nervosismo, dor de cabeça, náusea, vômitos, úlcera péptica (gástrica ou duodenal), aumento do apetite, hiperglicemia (diabete </w:t>
      </w:r>
      <w:proofErr w:type="spellStart"/>
      <w:r>
        <w:rPr>
          <w:sz w:val="16"/>
        </w:rPr>
        <w:t>mélito</w:t>
      </w:r>
      <w:proofErr w:type="spellEnd"/>
      <w:r>
        <w:rPr>
          <w:sz w:val="16"/>
        </w:rPr>
        <w:t xml:space="preserve">), pressão alta, </w:t>
      </w:r>
      <w:proofErr w:type="spellStart"/>
      <w:r>
        <w:rPr>
          <w:sz w:val="16"/>
        </w:rPr>
        <w:t>miopatia</w:t>
      </w:r>
      <w:proofErr w:type="spellEnd"/>
      <w:r>
        <w:rPr>
          <w:sz w:val="16"/>
        </w:rPr>
        <w:t xml:space="preserve"> (fraqueza muscular), infecções, rete</w:t>
      </w:r>
      <w:r>
        <w:rPr>
          <w:sz w:val="16"/>
        </w:rPr>
        <w:t>nção de líquidos, parada da menstruação e</w:t>
      </w:r>
      <w:r>
        <w:rPr>
          <w:spacing w:val="-2"/>
          <w:sz w:val="16"/>
        </w:rPr>
        <w:t xml:space="preserve"> </w:t>
      </w:r>
      <w:r>
        <w:rPr>
          <w:sz w:val="16"/>
        </w:rPr>
        <w:t>osteoporose.</w:t>
      </w: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91"/>
        </w:tabs>
        <w:ind w:right="113" w:firstLine="567"/>
        <w:jc w:val="both"/>
        <w:rPr>
          <w:sz w:val="16"/>
        </w:rPr>
      </w:pPr>
      <w:proofErr w:type="gramStart"/>
      <w:r>
        <w:rPr>
          <w:b/>
          <w:sz w:val="16"/>
        </w:rPr>
        <w:t>efeitos</w:t>
      </w:r>
      <w:proofErr w:type="gramEnd"/>
      <w:r>
        <w:rPr>
          <w:b/>
          <w:sz w:val="16"/>
        </w:rPr>
        <w:t xml:space="preserve"> adversos mais comuns da ciclofosfamida</w:t>
      </w:r>
      <w:r>
        <w:rPr>
          <w:sz w:val="16"/>
        </w:rPr>
        <w:t xml:space="preserve">: náusea, vômitos, perda de cabelo, risco aumentado de infecções, anemia, toxicidade para medula óssea, infecções na bexiga, risco de sangramento (redução </w:t>
      </w:r>
      <w:r>
        <w:rPr>
          <w:sz w:val="16"/>
        </w:rPr>
        <w:t>do número de</w:t>
      </w:r>
      <w:r>
        <w:rPr>
          <w:spacing w:val="-20"/>
          <w:sz w:val="16"/>
        </w:rPr>
        <w:t xml:space="preserve"> </w:t>
      </w:r>
      <w:r>
        <w:rPr>
          <w:sz w:val="16"/>
        </w:rPr>
        <w:t>plaquetas);</w:t>
      </w: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79"/>
        </w:tabs>
        <w:ind w:right="110" w:firstLine="567"/>
        <w:jc w:val="both"/>
        <w:rPr>
          <w:sz w:val="16"/>
        </w:rPr>
      </w:pPr>
      <w:proofErr w:type="gramStart"/>
      <w:r>
        <w:rPr>
          <w:b/>
          <w:sz w:val="16"/>
        </w:rPr>
        <w:t>efeitos</w:t>
      </w:r>
      <w:proofErr w:type="gramEnd"/>
      <w:r>
        <w:rPr>
          <w:b/>
          <w:sz w:val="16"/>
        </w:rPr>
        <w:t xml:space="preserve"> adversos mais comuns da ciclosporina</w:t>
      </w:r>
      <w:r>
        <w:rPr>
          <w:sz w:val="16"/>
        </w:rPr>
        <w:t>: problemas nos rins e fígado, tremores, aumento da quantidade de pelos no corpo, pressão alta, aumento do crescimento da gengiva, aumento do colesterol e triglicerídeos, formigamentos, d</w:t>
      </w:r>
      <w:r>
        <w:rPr>
          <w:sz w:val="16"/>
        </w:rPr>
        <w:t>or no peito, batimentos rápidos do coração, convulsões, confusão, ansiedade, depressão, fraqueza, dores de cabeça, unhas e cabelos quebradiços, coceira, espinhas, náusea, vômitos, perda de apetite, soluços, inflamação na boca, dificuldade para engolir, san</w:t>
      </w:r>
      <w:r>
        <w:rPr>
          <w:sz w:val="16"/>
        </w:rPr>
        <w:t>gramentos, inflamação do pâncreas, prisão de ventre, desconforto abdominal, diminuição das células brancas do sangue, linfoma, calorões, aumento da quantidade de cálcio, magnésio e ácido úrico no sangue, toxicidade para os músculos, problemas respiratórios</w:t>
      </w:r>
      <w:r>
        <w:rPr>
          <w:sz w:val="16"/>
        </w:rPr>
        <w:t>, sensibilidade aumentada a temperatura e aumento das</w:t>
      </w:r>
      <w:r>
        <w:rPr>
          <w:spacing w:val="-16"/>
          <w:sz w:val="16"/>
        </w:rPr>
        <w:t xml:space="preserve"> </w:t>
      </w:r>
      <w:r>
        <w:rPr>
          <w:sz w:val="16"/>
        </w:rPr>
        <w:t>mamas;</w:t>
      </w:r>
    </w:p>
    <w:p w:rsidR="00741AC9" w:rsidRDefault="00741AC9">
      <w:pPr>
        <w:jc w:val="both"/>
        <w:rPr>
          <w:sz w:val="16"/>
        </w:rPr>
        <w:sectPr w:rsidR="00741AC9">
          <w:pgSz w:w="11910" w:h="16850"/>
          <w:pgMar w:top="1060" w:right="1020" w:bottom="280" w:left="1020" w:header="720" w:footer="720" w:gutter="0"/>
          <w:cols w:space="720"/>
        </w:sectPr>
      </w:pPr>
    </w:p>
    <w:p w:rsidR="00741AC9" w:rsidRDefault="00D90659">
      <w:pPr>
        <w:pStyle w:val="PargrafodaLista"/>
        <w:numPr>
          <w:ilvl w:val="0"/>
          <w:numId w:val="1"/>
        </w:numPr>
        <w:tabs>
          <w:tab w:val="left" w:pos="783"/>
        </w:tabs>
        <w:spacing w:before="66"/>
        <w:ind w:right="111" w:firstLine="567"/>
        <w:jc w:val="both"/>
        <w:rPr>
          <w:sz w:val="16"/>
        </w:rPr>
      </w:pPr>
      <w:proofErr w:type="gramStart"/>
      <w:r>
        <w:rPr>
          <w:b/>
          <w:sz w:val="16"/>
        </w:rPr>
        <w:lastRenderedPageBreak/>
        <w:t>efeitos</w:t>
      </w:r>
      <w:proofErr w:type="gramEnd"/>
      <w:r>
        <w:rPr>
          <w:b/>
          <w:sz w:val="16"/>
        </w:rPr>
        <w:t xml:space="preserve"> adversos mais comuns da imunoglobulina</w:t>
      </w:r>
      <w:r>
        <w:rPr>
          <w:sz w:val="16"/>
        </w:rPr>
        <w:t>: dor de cabeça, calafrios, febre, reações no local de aplicação da injeção que incluem dor, coceira e vermelhidão. Problemas renais ta</w:t>
      </w:r>
      <w:r>
        <w:rPr>
          <w:sz w:val="16"/>
        </w:rPr>
        <w:t xml:space="preserve">mbém já foram relatados (aumento de creatinina e ureia no sangue, seguido de </w:t>
      </w:r>
      <w:proofErr w:type="spellStart"/>
      <w:r>
        <w:rPr>
          <w:sz w:val="16"/>
        </w:rPr>
        <w:t>oligúria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anúria</w:t>
      </w:r>
      <w:proofErr w:type="spellEnd"/>
      <w:r>
        <w:rPr>
          <w:sz w:val="16"/>
        </w:rPr>
        <w:t xml:space="preserve">, insuficiência renal aguda, necrose tubular aguda, </w:t>
      </w:r>
      <w:proofErr w:type="spellStart"/>
      <w:r>
        <w:rPr>
          <w:sz w:val="16"/>
        </w:rPr>
        <w:t>nefropatia</w:t>
      </w:r>
      <w:proofErr w:type="spellEnd"/>
      <w:r>
        <w:rPr>
          <w:sz w:val="16"/>
        </w:rPr>
        <w:t xml:space="preserve"> tubular proximal, nefrose</w:t>
      </w:r>
      <w:r>
        <w:rPr>
          <w:spacing w:val="-16"/>
          <w:sz w:val="16"/>
        </w:rPr>
        <w:t xml:space="preserve"> </w:t>
      </w:r>
      <w:r>
        <w:rPr>
          <w:sz w:val="16"/>
        </w:rPr>
        <w:t>osmótica).</w:t>
      </w:r>
    </w:p>
    <w:p w:rsidR="00741AC9" w:rsidRDefault="00D90659">
      <w:pPr>
        <w:pStyle w:val="PargrafodaLista"/>
        <w:numPr>
          <w:ilvl w:val="1"/>
          <w:numId w:val="1"/>
        </w:numPr>
        <w:tabs>
          <w:tab w:val="left" w:pos="915"/>
        </w:tabs>
        <w:spacing w:before="1"/>
        <w:ind w:hanging="93"/>
        <w:rPr>
          <w:sz w:val="16"/>
        </w:rPr>
      </w:pPr>
      <w:proofErr w:type="gramStart"/>
      <w:r>
        <w:rPr>
          <w:sz w:val="16"/>
        </w:rPr>
        <w:t>são</w:t>
      </w:r>
      <w:proofErr w:type="gramEnd"/>
      <w:r>
        <w:rPr>
          <w:sz w:val="16"/>
        </w:rPr>
        <w:t xml:space="preserve"> medicamentos contraindicados em casos de hipersensibilidade (alergia) aos fármacos ou aos componentes da</w:t>
      </w:r>
      <w:r>
        <w:rPr>
          <w:spacing w:val="-20"/>
          <w:sz w:val="16"/>
        </w:rPr>
        <w:t xml:space="preserve"> </w:t>
      </w:r>
      <w:r>
        <w:rPr>
          <w:sz w:val="16"/>
        </w:rPr>
        <w:t>fórmula;</w:t>
      </w:r>
    </w:p>
    <w:p w:rsidR="00741AC9" w:rsidRDefault="00D90659">
      <w:pPr>
        <w:pStyle w:val="PargrafodaLista"/>
        <w:numPr>
          <w:ilvl w:val="1"/>
          <w:numId w:val="1"/>
        </w:numPr>
        <w:tabs>
          <w:tab w:val="left" w:pos="915"/>
        </w:tabs>
        <w:spacing w:before="1"/>
        <w:ind w:hanging="93"/>
        <w:rPr>
          <w:sz w:val="16"/>
        </w:rPr>
      </w:pPr>
      <w:proofErr w:type="gramStart"/>
      <w:r>
        <w:rPr>
          <w:sz w:val="16"/>
        </w:rPr>
        <w:t>risco</w:t>
      </w:r>
      <w:proofErr w:type="gramEnd"/>
      <w:r>
        <w:rPr>
          <w:sz w:val="16"/>
        </w:rPr>
        <w:t xml:space="preserve"> da ocorrência de efeitos adversos aumenta com a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superdosagem</w:t>
      </w:r>
      <w:proofErr w:type="spellEnd"/>
      <w:r>
        <w:rPr>
          <w:sz w:val="16"/>
        </w:rPr>
        <w:t>.</w:t>
      </w:r>
    </w:p>
    <w:p w:rsidR="00741AC9" w:rsidRDefault="00D90659">
      <w:pPr>
        <w:pStyle w:val="Corpodetexto"/>
        <w:ind w:right="112" w:firstLine="566"/>
        <w:jc w:val="both"/>
      </w:pPr>
      <w:r>
        <w:t>Estou ciente de que este medicamento somente pode ser utilizado por mi</w:t>
      </w:r>
      <w:r>
        <w:t>m, comprometendo-me a devolvê-lo caso não queira ou não possa utilizá-lo ou se o tratamento for interrompido. Sei também que continuarei a ser atendido, inclusive se desistir de usar o medicamento.</w:t>
      </w:r>
    </w:p>
    <w:p w:rsidR="00741AC9" w:rsidRDefault="00D90659">
      <w:pPr>
        <w:pStyle w:val="Corpodetexto"/>
        <w:ind w:right="113" w:firstLine="566"/>
        <w:jc w:val="both"/>
      </w:pPr>
      <w:r>
        <w:t>Autorizo o Ministério da Saúde e as Secretarias de Saúde a</w:t>
      </w:r>
      <w:r>
        <w:t xml:space="preserve"> fazer uso de informações relativas ao meu tratamento, desde que assegurado o anonimato. </w:t>
      </w:r>
      <w:proofErr w:type="gramStart"/>
      <w:r>
        <w:t xml:space="preserve">( </w:t>
      </w:r>
      <w:proofErr w:type="gramEnd"/>
      <w:r>
        <w:t>) Sim ( ) Não</w:t>
      </w:r>
    </w:p>
    <w:p w:rsidR="00741AC9" w:rsidRDefault="00D90659">
      <w:pPr>
        <w:pStyle w:val="Corpodetexto"/>
        <w:ind w:left="679" w:right="5861"/>
      </w:pPr>
      <w:r>
        <w:t xml:space="preserve">Meu tratamento constará do seguinte medicamento: </w:t>
      </w:r>
      <w:proofErr w:type="gramStart"/>
      <w:r>
        <w:t xml:space="preserve">( </w:t>
      </w:r>
      <w:proofErr w:type="gramEnd"/>
      <w:r>
        <w:t>) prednisona</w:t>
      </w:r>
    </w:p>
    <w:p w:rsidR="00741AC9" w:rsidRDefault="00D90659">
      <w:pPr>
        <w:pStyle w:val="Corpodetexto"/>
        <w:ind w:left="679" w:right="8005"/>
      </w:pPr>
      <w:proofErr w:type="gramStart"/>
      <w:r>
        <w:t xml:space="preserve">( </w:t>
      </w:r>
      <w:proofErr w:type="gramEnd"/>
      <w:r>
        <w:t>) ciclofosfamida ( ) ciclosporina</w:t>
      </w:r>
    </w:p>
    <w:p w:rsidR="00741AC9" w:rsidRDefault="00D90659">
      <w:pPr>
        <w:pStyle w:val="Corpodetexto"/>
        <w:spacing w:line="183" w:lineRule="exact"/>
        <w:ind w:left="679"/>
      </w:pPr>
      <w:proofErr w:type="gramStart"/>
      <w:r>
        <w:t xml:space="preserve">( </w:t>
      </w:r>
      <w:proofErr w:type="gramEnd"/>
      <w:r>
        <w:t>) imunoglobulina humana</w:t>
      </w:r>
    </w:p>
    <w:p w:rsidR="00741AC9" w:rsidRDefault="00741AC9">
      <w:pPr>
        <w:pStyle w:val="Corpodetexto"/>
        <w:ind w:left="0"/>
        <w:rPr>
          <w:sz w:val="20"/>
        </w:rPr>
      </w:pPr>
    </w:p>
    <w:p w:rsidR="00741AC9" w:rsidRDefault="00741AC9">
      <w:pPr>
        <w:pStyle w:val="Corpodetexto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1572"/>
        <w:gridCol w:w="1618"/>
      </w:tblGrid>
      <w:tr w:rsidR="00741AC9">
        <w:trPr>
          <w:trHeight w:val="184"/>
        </w:trPr>
        <w:tc>
          <w:tcPr>
            <w:tcW w:w="8622" w:type="dxa"/>
            <w:gridSpan w:val="3"/>
          </w:tcPr>
          <w:p w:rsidR="00741AC9" w:rsidRDefault="00D90659">
            <w:pPr>
              <w:pStyle w:val="TableParagraph"/>
              <w:tabs>
                <w:tab w:val="left" w:pos="5194"/>
              </w:tabs>
              <w:ind w:left="112"/>
              <w:rPr>
                <w:sz w:val="16"/>
              </w:rPr>
            </w:pPr>
            <w:r>
              <w:rPr>
                <w:sz w:val="16"/>
              </w:rPr>
              <w:t>Local:</w:t>
            </w:r>
            <w:r>
              <w:rPr>
                <w:sz w:val="16"/>
              </w:rPr>
              <w:tab/>
              <w:t>Data:</w:t>
            </w:r>
          </w:p>
        </w:tc>
      </w:tr>
      <w:tr w:rsidR="00741AC9">
        <w:trPr>
          <w:trHeight w:val="184"/>
        </w:trPr>
        <w:tc>
          <w:tcPr>
            <w:tcW w:w="8622" w:type="dxa"/>
            <w:gridSpan w:val="3"/>
          </w:tcPr>
          <w:p w:rsidR="00741AC9" w:rsidRDefault="00D906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do paciente:</w:t>
            </w:r>
          </w:p>
        </w:tc>
      </w:tr>
      <w:tr w:rsidR="00741AC9">
        <w:trPr>
          <w:trHeight w:val="184"/>
        </w:trPr>
        <w:tc>
          <w:tcPr>
            <w:tcW w:w="8622" w:type="dxa"/>
            <w:gridSpan w:val="3"/>
          </w:tcPr>
          <w:p w:rsidR="00741AC9" w:rsidRDefault="00D90659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Cartão Nacional de Saúde:</w:t>
            </w:r>
          </w:p>
        </w:tc>
      </w:tr>
      <w:tr w:rsidR="00741AC9">
        <w:trPr>
          <w:trHeight w:val="182"/>
        </w:trPr>
        <w:tc>
          <w:tcPr>
            <w:tcW w:w="8622" w:type="dxa"/>
            <w:gridSpan w:val="3"/>
          </w:tcPr>
          <w:p w:rsidR="00741AC9" w:rsidRDefault="00D9065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Nome do responsável legal:</w:t>
            </w:r>
          </w:p>
        </w:tc>
      </w:tr>
      <w:tr w:rsidR="00741AC9">
        <w:trPr>
          <w:trHeight w:val="184"/>
        </w:trPr>
        <w:tc>
          <w:tcPr>
            <w:tcW w:w="8622" w:type="dxa"/>
            <w:gridSpan w:val="3"/>
          </w:tcPr>
          <w:p w:rsidR="00741AC9" w:rsidRDefault="00D906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Documento de identificação do responsável legal:</w:t>
            </w:r>
          </w:p>
        </w:tc>
      </w:tr>
      <w:tr w:rsidR="00741AC9">
        <w:trPr>
          <w:trHeight w:val="551"/>
        </w:trPr>
        <w:tc>
          <w:tcPr>
            <w:tcW w:w="8622" w:type="dxa"/>
            <w:gridSpan w:val="3"/>
          </w:tcPr>
          <w:p w:rsidR="00741AC9" w:rsidRDefault="00741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741AC9" w:rsidRDefault="00741AC9">
            <w:pPr>
              <w:pStyle w:val="TableParagraph"/>
              <w:spacing w:before="11" w:line="240" w:lineRule="auto"/>
              <w:ind w:left="0"/>
              <w:rPr>
                <w:sz w:val="10"/>
              </w:rPr>
            </w:pPr>
          </w:p>
          <w:p w:rsidR="00741AC9" w:rsidRDefault="00D90659">
            <w:pPr>
              <w:pStyle w:val="TableParagraph"/>
              <w:spacing w:line="20" w:lineRule="exact"/>
              <w:ind w:left="282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8pt;height:.35pt;mso-position-horizontal-relative:char;mso-position-vertical-relative:line" coordsize="2960,7">
                  <v:line id="_x0000_s1029" style="position:absolute" from="0,3" to="2959,3" strokeweight=".1134mm"/>
                  <w10:wrap type="none"/>
                  <w10:anchorlock/>
                </v:group>
              </w:pict>
            </w:r>
          </w:p>
          <w:p w:rsidR="00741AC9" w:rsidRDefault="00D90659">
            <w:pPr>
              <w:pStyle w:val="TableParagraph"/>
              <w:spacing w:line="155" w:lineRule="exact"/>
              <w:ind w:left="2810"/>
              <w:rPr>
                <w:sz w:val="16"/>
              </w:rPr>
            </w:pPr>
            <w:r>
              <w:rPr>
                <w:sz w:val="16"/>
              </w:rPr>
              <w:t>Assinatura do paciente ou do responsável legal</w:t>
            </w:r>
          </w:p>
        </w:tc>
      </w:tr>
      <w:tr w:rsidR="00741AC9">
        <w:trPr>
          <w:trHeight w:val="184"/>
        </w:trPr>
        <w:tc>
          <w:tcPr>
            <w:tcW w:w="5432" w:type="dxa"/>
          </w:tcPr>
          <w:p w:rsidR="00741AC9" w:rsidRDefault="00D906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Médico Responsável:</w:t>
            </w:r>
          </w:p>
        </w:tc>
        <w:tc>
          <w:tcPr>
            <w:tcW w:w="1572" w:type="dxa"/>
          </w:tcPr>
          <w:p w:rsidR="00741AC9" w:rsidRDefault="00D906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CRM:</w:t>
            </w:r>
          </w:p>
        </w:tc>
        <w:tc>
          <w:tcPr>
            <w:tcW w:w="1618" w:type="dxa"/>
          </w:tcPr>
          <w:p w:rsidR="00741AC9" w:rsidRDefault="00D9065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</w:tr>
      <w:tr w:rsidR="00741AC9">
        <w:trPr>
          <w:trHeight w:val="736"/>
        </w:trPr>
        <w:tc>
          <w:tcPr>
            <w:tcW w:w="8622" w:type="dxa"/>
            <w:gridSpan w:val="3"/>
          </w:tcPr>
          <w:p w:rsidR="00741AC9" w:rsidRDefault="00741AC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741AC9" w:rsidRDefault="00741AC9">
            <w:pPr>
              <w:pStyle w:val="TableParagraph"/>
              <w:spacing w:before="11" w:line="240" w:lineRule="auto"/>
              <w:ind w:left="0"/>
              <w:rPr>
                <w:sz w:val="10"/>
              </w:rPr>
            </w:pPr>
          </w:p>
          <w:p w:rsidR="00741AC9" w:rsidRDefault="00D90659">
            <w:pPr>
              <w:pStyle w:val="TableParagraph"/>
              <w:spacing w:line="20" w:lineRule="exact"/>
              <w:ind w:left="322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8.05pt;height:.35pt;mso-position-horizontal-relative:char;mso-position-vertical-relative:line" coordsize="2161,7">
                  <v:line id="_x0000_s1027" style="position:absolute" from="0,3" to="2160,3" strokeweight=".1134mm"/>
                  <w10:wrap type="none"/>
                  <w10:anchorlock/>
                </v:group>
              </w:pict>
            </w:r>
          </w:p>
          <w:p w:rsidR="00741AC9" w:rsidRDefault="00D90659">
            <w:pPr>
              <w:pStyle w:val="TableParagraph"/>
              <w:tabs>
                <w:tab w:val="left" w:pos="5258"/>
              </w:tabs>
              <w:spacing w:line="177" w:lineRule="exact"/>
              <w:ind w:left="3276" w:right="3263"/>
              <w:jc w:val="center"/>
              <w:rPr>
                <w:sz w:val="16"/>
              </w:rPr>
            </w:pPr>
            <w:r>
              <w:rPr>
                <w:sz w:val="16"/>
              </w:rPr>
              <w:t>Assinatura e carimbo do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médico Data: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000000" w:rsidRDefault="00D90659"/>
    <w:sectPr w:rsidR="00000000">
      <w:pgSz w:w="11910" w:h="1685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85C"/>
    <w:multiLevelType w:val="hybridMultilevel"/>
    <w:tmpl w:val="C9542EE4"/>
    <w:lvl w:ilvl="0" w:tplc="4C6641AA">
      <w:start w:val="1"/>
      <w:numFmt w:val="lowerLetter"/>
      <w:lvlText w:val="%1)"/>
      <w:lvlJc w:val="left"/>
      <w:pPr>
        <w:ind w:left="679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6C48870E">
      <w:numFmt w:val="bullet"/>
      <w:lvlText w:val="•"/>
      <w:lvlJc w:val="left"/>
      <w:pPr>
        <w:ind w:left="1598" w:hanging="166"/>
      </w:pPr>
      <w:rPr>
        <w:rFonts w:hint="default"/>
        <w:lang w:val="pt-BR" w:eastAsia="pt-BR" w:bidi="pt-BR"/>
      </w:rPr>
    </w:lvl>
    <w:lvl w:ilvl="2" w:tplc="AEBAAE02">
      <w:numFmt w:val="bullet"/>
      <w:lvlText w:val="•"/>
      <w:lvlJc w:val="left"/>
      <w:pPr>
        <w:ind w:left="2517" w:hanging="166"/>
      </w:pPr>
      <w:rPr>
        <w:rFonts w:hint="default"/>
        <w:lang w:val="pt-BR" w:eastAsia="pt-BR" w:bidi="pt-BR"/>
      </w:rPr>
    </w:lvl>
    <w:lvl w:ilvl="3" w:tplc="1B0E3536">
      <w:numFmt w:val="bullet"/>
      <w:lvlText w:val="•"/>
      <w:lvlJc w:val="left"/>
      <w:pPr>
        <w:ind w:left="3435" w:hanging="166"/>
      </w:pPr>
      <w:rPr>
        <w:rFonts w:hint="default"/>
        <w:lang w:val="pt-BR" w:eastAsia="pt-BR" w:bidi="pt-BR"/>
      </w:rPr>
    </w:lvl>
    <w:lvl w:ilvl="4" w:tplc="CA9C6C68">
      <w:numFmt w:val="bullet"/>
      <w:lvlText w:val="•"/>
      <w:lvlJc w:val="left"/>
      <w:pPr>
        <w:ind w:left="4354" w:hanging="166"/>
      </w:pPr>
      <w:rPr>
        <w:rFonts w:hint="default"/>
        <w:lang w:val="pt-BR" w:eastAsia="pt-BR" w:bidi="pt-BR"/>
      </w:rPr>
    </w:lvl>
    <w:lvl w:ilvl="5" w:tplc="4D6CB218">
      <w:numFmt w:val="bullet"/>
      <w:lvlText w:val="•"/>
      <w:lvlJc w:val="left"/>
      <w:pPr>
        <w:ind w:left="5273" w:hanging="166"/>
      </w:pPr>
      <w:rPr>
        <w:rFonts w:hint="default"/>
        <w:lang w:val="pt-BR" w:eastAsia="pt-BR" w:bidi="pt-BR"/>
      </w:rPr>
    </w:lvl>
    <w:lvl w:ilvl="6" w:tplc="B3D6A640">
      <w:numFmt w:val="bullet"/>
      <w:lvlText w:val="•"/>
      <w:lvlJc w:val="left"/>
      <w:pPr>
        <w:ind w:left="6191" w:hanging="166"/>
      </w:pPr>
      <w:rPr>
        <w:rFonts w:hint="default"/>
        <w:lang w:val="pt-BR" w:eastAsia="pt-BR" w:bidi="pt-BR"/>
      </w:rPr>
    </w:lvl>
    <w:lvl w:ilvl="7" w:tplc="832472CE">
      <w:numFmt w:val="bullet"/>
      <w:lvlText w:val="•"/>
      <w:lvlJc w:val="left"/>
      <w:pPr>
        <w:ind w:left="7110" w:hanging="166"/>
      </w:pPr>
      <w:rPr>
        <w:rFonts w:hint="default"/>
        <w:lang w:val="pt-BR" w:eastAsia="pt-BR" w:bidi="pt-BR"/>
      </w:rPr>
    </w:lvl>
    <w:lvl w:ilvl="8" w:tplc="C6C29B60">
      <w:numFmt w:val="bullet"/>
      <w:lvlText w:val="•"/>
      <w:lvlJc w:val="left"/>
      <w:pPr>
        <w:ind w:left="8029" w:hanging="166"/>
      </w:pPr>
      <w:rPr>
        <w:rFonts w:hint="default"/>
        <w:lang w:val="pt-BR" w:eastAsia="pt-BR" w:bidi="pt-BR"/>
      </w:rPr>
    </w:lvl>
  </w:abstractNum>
  <w:abstractNum w:abstractNumId="1">
    <w:nsid w:val="0CBF1E64"/>
    <w:multiLevelType w:val="multilevel"/>
    <w:tmpl w:val="66AEAF02"/>
    <w:lvl w:ilvl="0">
      <w:start w:val="1"/>
      <w:numFmt w:val="decimal"/>
      <w:lvlText w:val="%1."/>
      <w:lvlJc w:val="left"/>
      <w:pPr>
        <w:ind w:left="273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4" w:hanging="23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1914" w:hanging="2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08" w:hanging="2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2" w:hanging="2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96" w:hanging="2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0" w:hanging="2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84" w:hanging="2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78" w:hanging="236"/>
      </w:pPr>
      <w:rPr>
        <w:rFonts w:hint="default"/>
        <w:lang w:val="pt-BR" w:eastAsia="pt-BR" w:bidi="pt-BR"/>
      </w:rPr>
    </w:lvl>
  </w:abstractNum>
  <w:abstractNum w:abstractNumId="2">
    <w:nsid w:val="1D1F5663"/>
    <w:multiLevelType w:val="hybridMultilevel"/>
    <w:tmpl w:val="9AA40F88"/>
    <w:lvl w:ilvl="0" w:tplc="4A2CDC08">
      <w:numFmt w:val="bullet"/>
      <w:lvlText w:val="-"/>
      <w:lvlJc w:val="left"/>
      <w:pPr>
        <w:ind w:left="773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D0C6D9FA">
      <w:numFmt w:val="bullet"/>
      <w:lvlText w:val="•"/>
      <w:lvlJc w:val="left"/>
      <w:pPr>
        <w:ind w:left="1688" w:hanging="94"/>
      </w:pPr>
      <w:rPr>
        <w:rFonts w:hint="default"/>
        <w:lang w:val="pt-BR" w:eastAsia="pt-BR" w:bidi="pt-BR"/>
      </w:rPr>
    </w:lvl>
    <w:lvl w:ilvl="2" w:tplc="C964B50A">
      <w:numFmt w:val="bullet"/>
      <w:lvlText w:val="•"/>
      <w:lvlJc w:val="left"/>
      <w:pPr>
        <w:ind w:left="2597" w:hanging="94"/>
      </w:pPr>
      <w:rPr>
        <w:rFonts w:hint="default"/>
        <w:lang w:val="pt-BR" w:eastAsia="pt-BR" w:bidi="pt-BR"/>
      </w:rPr>
    </w:lvl>
    <w:lvl w:ilvl="3" w:tplc="C3FC22EA">
      <w:numFmt w:val="bullet"/>
      <w:lvlText w:val="•"/>
      <w:lvlJc w:val="left"/>
      <w:pPr>
        <w:ind w:left="3505" w:hanging="94"/>
      </w:pPr>
      <w:rPr>
        <w:rFonts w:hint="default"/>
        <w:lang w:val="pt-BR" w:eastAsia="pt-BR" w:bidi="pt-BR"/>
      </w:rPr>
    </w:lvl>
    <w:lvl w:ilvl="4" w:tplc="C71E7526">
      <w:numFmt w:val="bullet"/>
      <w:lvlText w:val="•"/>
      <w:lvlJc w:val="left"/>
      <w:pPr>
        <w:ind w:left="4414" w:hanging="94"/>
      </w:pPr>
      <w:rPr>
        <w:rFonts w:hint="default"/>
        <w:lang w:val="pt-BR" w:eastAsia="pt-BR" w:bidi="pt-BR"/>
      </w:rPr>
    </w:lvl>
    <w:lvl w:ilvl="5" w:tplc="BFFE246C">
      <w:numFmt w:val="bullet"/>
      <w:lvlText w:val="•"/>
      <w:lvlJc w:val="left"/>
      <w:pPr>
        <w:ind w:left="5323" w:hanging="94"/>
      </w:pPr>
      <w:rPr>
        <w:rFonts w:hint="default"/>
        <w:lang w:val="pt-BR" w:eastAsia="pt-BR" w:bidi="pt-BR"/>
      </w:rPr>
    </w:lvl>
    <w:lvl w:ilvl="6" w:tplc="C9E282A8">
      <w:numFmt w:val="bullet"/>
      <w:lvlText w:val="•"/>
      <w:lvlJc w:val="left"/>
      <w:pPr>
        <w:ind w:left="6231" w:hanging="94"/>
      </w:pPr>
      <w:rPr>
        <w:rFonts w:hint="default"/>
        <w:lang w:val="pt-BR" w:eastAsia="pt-BR" w:bidi="pt-BR"/>
      </w:rPr>
    </w:lvl>
    <w:lvl w:ilvl="7" w:tplc="DEA28EB4">
      <w:numFmt w:val="bullet"/>
      <w:lvlText w:val="•"/>
      <w:lvlJc w:val="left"/>
      <w:pPr>
        <w:ind w:left="7140" w:hanging="94"/>
      </w:pPr>
      <w:rPr>
        <w:rFonts w:hint="default"/>
        <w:lang w:val="pt-BR" w:eastAsia="pt-BR" w:bidi="pt-BR"/>
      </w:rPr>
    </w:lvl>
    <w:lvl w:ilvl="8" w:tplc="0456C890">
      <w:numFmt w:val="bullet"/>
      <w:lvlText w:val="•"/>
      <w:lvlJc w:val="left"/>
      <w:pPr>
        <w:ind w:left="8049" w:hanging="94"/>
      </w:pPr>
      <w:rPr>
        <w:rFonts w:hint="default"/>
        <w:lang w:val="pt-BR" w:eastAsia="pt-BR" w:bidi="pt-BR"/>
      </w:rPr>
    </w:lvl>
  </w:abstractNum>
  <w:abstractNum w:abstractNumId="3">
    <w:nsid w:val="52A96D82"/>
    <w:multiLevelType w:val="hybridMultilevel"/>
    <w:tmpl w:val="BC06C578"/>
    <w:lvl w:ilvl="0" w:tplc="329CF468">
      <w:numFmt w:val="bullet"/>
      <w:lvlText w:val="-"/>
      <w:lvlJc w:val="left"/>
      <w:pPr>
        <w:ind w:left="773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DE9C8AF0">
      <w:numFmt w:val="bullet"/>
      <w:lvlText w:val="•"/>
      <w:lvlJc w:val="left"/>
      <w:pPr>
        <w:ind w:left="1688" w:hanging="94"/>
      </w:pPr>
      <w:rPr>
        <w:rFonts w:hint="default"/>
        <w:lang w:val="pt-BR" w:eastAsia="pt-BR" w:bidi="pt-BR"/>
      </w:rPr>
    </w:lvl>
    <w:lvl w:ilvl="2" w:tplc="9800C5E2">
      <w:numFmt w:val="bullet"/>
      <w:lvlText w:val="•"/>
      <w:lvlJc w:val="left"/>
      <w:pPr>
        <w:ind w:left="2597" w:hanging="94"/>
      </w:pPr>
      <w:rPr>
        <w:rFonts w:hint="default"/>
        <w:lang w:val="pt-BR" w:eastAsia="pt-BR" w:bidi="pt-BR"/>
      </w:rPr>
    </w:lvl>
    <w:lvl w:ilvl="3" w:tplc="F5BA8188">
      <w:numFmt w:val="bullet"/>
      <w:lvlText w:val="•"/>
      <w:lvlJc w:val="left"/>
      <w:pPr>
        <w:ind w:left="3505" w:hanging="94"/>
      </w:pPr>
      <w:rPr>
        <w:rFonts w:hint="default"/>
        <w:lang w:val="pt-BR" w:eastAsia="pt-BR" w:bidi="pt-BR"/>
      </w:rPr>
    </w:lvl>
    <w:lvl w:ilvl="4" w:tplc="DE005E92">
      <w:numFmt w:val="bullet"/>
      <w:lvlText w:val="•"/>
      <w:lvlJc w:val="left"/>
      <w:pPr>
        <w:ind w:left="4414" w:hanging="94"/>
      </w:pPr>
      <w:rPr>
        <w:rFonts w:hint="default"/>
        <w:lang w:val="pt-BR" w:eastAsia="pt-BR" w:bidi="pt-BR"/>
      </w:rPr>
    </w:lvl>
    <w:lvl w:ilvl="5" w:tplc="A1DE7280">
      <w:numFmt w:val="bullet"/>
      <w:lvlText w:val="•"/>
      <w:lvlJc w:val="left"/>
      <w:pPr>
        <w:ind w:left="5323" w:hanging="94"/>
      </w:pPr>
      <w:rPr>
        <w:rFonts w:hint="default"/>
        <w:lang w:val="pt-BR" w:eastAsia="pt-BR" w:bidi="pt-BR"/>
      </w:rPr>
    </w:lvl>
    <w:lvl w:ilvl="6" w:tplc="2284A5AA">
      <w:numFmt w:val="bullet"/>
      <w:lvlText w:val="•"/>
      <w:lvlJc w:val="left"/>
      <w:pPr>
        <w:ind w:left="6231" w:hanging="94"/>
      </w:pPr>
      <w:rPr>
        <w:rFonts w:hint="default"/>
        <w:lang w:val="pt-BR" w:eastAsia="pt-BR" w:bidi="pt-BR"/>
      </w:rPr>
    </w:lvl>
    <w:lvl w:ilvl="7" w:tplc="FD02D57E">
      <w:numFmt w:val="bullet"/>
      <w:lvlText w:val="•"/>
      <w:lvlJc w:val="left"/>
      <w:pPr>
        <w:ind w:left="7140" w:hanging="94"/>
      </w:pPr>
      <w:rPr>
        <w:rFonts w:hint="default"/>
        <w:lang w:val="pt-BR" w:eastAsia="pt-BR" w:bidi="pt-BR"/>
      </w:rPr>
    </w:lvl>
    <w:lvl w:ilvl="8" w:tplc="CEE0FACC">
      <w:numFmt w:val="bullet"/>
      <w:lvlText w:val="•"/>
      <w:lvlJc w:val="left"/>
      <w:pPr>
        <w:ind w:left="8049" w:hanging="94"/>
      </w:pPr>
      <w:rPr>
        <w:rFonts w:hint="default"/>
        <w:lang w:val="pt-BR" w:eastAsia="pt-BR" w:bidi="pt-BR"/>
      </w:rPr>
    </w:lvl>
  </w:abstractNum>
  <w:abstractNum w:abstractNumId="4">
    <w:nsid w:val="56FE0DE6"/>
    <w:multiLevelType w:val="hybridMultilevel"/>
    <w:tmpl w:val="BF768846"/>
    <w:lvl w:ilvl="0" w:tplc="48AC3BFA">
      <w:numFmt w:val="bullet"/>
      <w:lvlText w:val="-"/>
      <w:lvlJc w:val="left"/>
      <w:pPr>
        <w:ind w:left="773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5832E5F2">
      <w:numFmt w:val="bullet"/>
      <w:lvlText w:val="•"/>
      <w:lvlJc w:val="left"/>
      <w:pPr>
        <w:ind w:left="1688" w:hanging="94"/>
      </w:pPr>
      <w:rPr>
        <w:rFonts w:hint="default"/>
        <w:lang w:val="pt-BR" w:eastAsia="pt-BR" w:bidi="pt-BR"/>
      </w:rPr>
    </w:lvl>
    <w:lvl w:ilvl="2" w:tplc="1EF63B26">
      <w:numFmt w:val="bullet"/>
      <w:lvlText w:val="•"/>
      <w:lvlJc w:val="left"/>
      <w:pPr>
        <w:ind w:left="2597" w:hanging="94"/>
      </w:pPr>
      <w:rPr>
        <w:rFonts w:hint="default"/>
        <w:lang w:val="pt-BR" w:eastAsia="pt-BR" w:bidi="pt-BR"/>
      </w:rPr>
    </w:lvl>
    <w:lvl w:ilvl="3" w:tplc="87F063CE">
      <w:numFmt w:val="bullet"/>
      <w:lvlText w:val="•"/>
      <w:lvlJc w:val="left"/>
      <w:pPr>
        <w:ind w:left="3505" w:hanging="94"/>
      </w:pPr>
      <w:rPr>
        <w:rFonts w:hint="default"/>
        <w:lang w:val="pt-BR" w:eastAsia="pt-BR" w:bidi="pt-BR"/>
      </w:rPr>
    </w:lvl>
    <w:lvl w:ilvl="4" w:tplc="2B92D18C">
      <w:numFmt w:val="bullet"/>
      <w:lvlText w:val="•"/>
      <w:lvlJc w:val="left"/>
      <w:pPr>
        <w:ind w:left="4414" w:hanging="94"/>
      </w:pPr>
      <w:rPr>
        <w:rFonts w:hint="default"/>
        <w:lang w:val="pt-BR" w:eastAsia="pt-BR" w:bidi="pt-BR"/>
      </w:rPr>
    </w:lvl>
    <w:lvl w:ilvl="5" w:tplc="82F09176">
      <w:numFmt w:val="bullet"/>
      <w:lvlText w:val="•"/>
      <w:lvlJc w:val="left"/>
      <w:pPr>
        <w:ind w:left="5323" w:hanging="94"/>
      </w:pPr>
      <w:rPr>
        <w:rFonts w:hint="default"/>
        <w:lang w:val="pt-BR" w:eastAsia="pt-BR" w:bidi="pt-BR"/>
      </w:rPr>
    </w:lvl>
    <w:lvl w:ilvl="6" w:tplc="CF50B77C">
      <w:numFmt w:val="bullet"/>
      <w:lvlText w:val="•"/>
      <w:lvlJc w:val="left"/>
      <w:pPr>
        <w:ind w:left="6231" w:hanging="94"/>
      </w:pPr>
      <w:rPr>
        <w:rFonts w:hint="default"/>
        <w:lang w:val="pt-BR" w:eastAsia="pt-BR" w:bidi="pt-BR"/>
      </w:rPr>
    </w:lvl>
    <w:lvl w:ilvl="7" w:tplc="C4349FC4">
      <w:numFmt w:val="bullet"/>
      <w:lvlText w:val="•"/>
      <w:lvlJc w:val="left"/>
      <w:pPr>
        <w:ind w:left="7140" w:hanging="94"/>
      </w:pPr>
      <w:rPr>
        <w:rFonts w:hint="default"/>
        <w:lang w:val="pt-BR" w:eastAsia="pt-BR" w:bidi="pt-BR"/>
      </w:rPr>
    </w:lvl>
    <w:lvl w:ilvl="8" w:tplc="C3D099D0">
      <w:numFmt w:val="bullet"/>
      <w:lvlText w:val="•"/>
      <w:lvlJc w:val="left"/>
      <w:pPr>
        <w:ind w:left="8049" w:hanging="94"/>
      </w:pPr>
      <w:rPr>
        <w:rFonts w:hint="default"/>
        <w:lang w:val="pt-BR" w:eastAsia="pt-BR" w:bidi="pt-BR"/>
      </w:rPr>
    </w:lvl>
  </w:abstractNum>
  <w:abstractNum w:abstractNumId="5">
    <w:nsid w:val="62EE09F9"/>
    <w:multiLevelType w:val="hybridMultilevel"/>
    <w:tmpl w:val="94305CD6"/>
    <w:lvl w:ilvl="0" w:tplc="E29AB31A">
      <w:start w:val="1"/>
      <w:numFmt w:val="decimal"/>
      <w:lvlText w:val="%1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 w:tplc="65DC2BEA">
      <w:numFmt w:val="bullet"/>
      <w:lvlText w:val="•"/>
      <w:lvlJc w:val="left"/>
      <w:pPr>
        <w:ind w:left="1094" w:hanging="361"/>
      </w:pPr>
      <w:rPr>
        <w:rFonts w:hint="default"/>
        <w:lang w:val="pt-BR" w:eastAsia="pt-BR" w:bidi="pt-BR"/>
      </w:rPr>
    </w:lvl>
    <w:lvl w:ilvl="2" w:tplc="09348F0E">
      <w:numFmt w:val="bullet"/>
      <w:lvlText w:val="•"/>
      <w:lvlJc w:val="left"/>
      <w:pPr>
        <w:ind w:left="2069" w:hanging="361"/>
      </w:pPr>
      <w:rPr>
        <w:rFonts w:hint="default"/>
        <w:lang w:val="pt-BR" w:eastAsia="pt-BR" w:bidi="pt-BR"/>
      </w:rPr>
    </w:lvl>
    <w:lvl w:ilvl="3" w:tplc="A5C86BA4">
      <w:numFmt w:val="bullet"/>
      <w:lvlText w:val="•"/>
      <w:lvlJc w:val="left"/>
      <w:pPr>
        <w:ind w:left="3043" w:hanging="361"/>
      </w:pPr>
      <w:rPr>
        <w:rFonts w:hint="default"/>
        <w:lang w:val="pt-BR" w:eastAsia="pt-BR" w:bidi="pt-BR"/>
      </w:rPr>
    </w:lvl>
    <w:lvl w:ilvl="4" w:tplc="023E7E2C">
      <w:numFmt w:val="bullet"/>
      <w:lvlText w:val="•"/>
      <w:lvlJc w:val="left"/>
      <w:pPr>
        <w:ind w:left="4018" w:hanging="361"/>
      </w:pPr>
      <w:rPr>
        <w:rFonts w:hint="default"/>
        <w:lang w:val="pt-BR" w:eastAsia="pt-BR" w:bidi="pt-BR"/>
      </w:rPr>
    </w:lvl>
    <w:lvl w:ilvl="5" w:tplc="F6826148">
      <w:numFmt w:val="bullet"/>
      <w:lvlText w:val="•"/>
      <w:lvlJc w:val="left"/>
      <w:pPr>
        <w:ind w:left="4993" w:hanging="361"/>
      </w:pPr>
      <w:rPr>
        <w:rFonts w:hint="default"/>
        <w:lang w:val="pt-BR" w:eastAsia="pt-BR" w:bidi="pt-BR"/>
      </w:rPr>
    </w:lvl>
    <w:lvl w:ilvl="6" w:tplc="61B28786">
      <w:numFmt w:val="bullet"/>
      <w:lvlText w:val="•"/>
      <w:lvlJc w:val="left"/>
      <w:pPr>
        <w:ind w:left="5967" w:hanging="361"/>
      </w:pPr>
      <w:rPr>
        <w:rFonts w:hint="default"/>
        <w:lang w:val="pt-BR" w:eastAsia="pt-BR" w:bidi="pt-BR"/>
      </w:rPr>
    </w:lvl>
    <w:lvl w:ilvl="7" w:tplc="A176C8E2">
      <w:numFmt w:val="bullet"/>
      <w:lvlText w:val="•"/>
      <w:lvlJc w:val="left"/>
      <w:pPr>
        <w:ind w:left="6942" w:hanging="361"/>
      </w:pPr>
      <w:rPr>
        <w:rFonts w:hint="default"/>
        <w:lang w:val="pt-BR" w:eastAsia="pt-BR" w:bidi="pt-BR"/>
      </w:rPr>
    </w:lvl>
    <w:lvl w:ilvl="8" w:tplc="0F2427F0">
      <w:numFmt w:val="bullet"/>
      <w:lvlText w:val="•"/>
      <w:lvlJc w:val="left"/>
      <w:pPr>
        <w:ind w:left="7917" w:hanging="361"/>
      </w:pPr>
      <w:rPr>
        <w:rFonts w:hint="default"/>
        <w:lang w:val="pt-BR" w:eastAsia="pt-BR" w:bidi="pt-BR"/>
      </w:rPr>
    </w:lvl>
  </w:abstractNum>
  <w:abstractNum w:abstractNumId="6">
    <w:nsid w:val="6D8F5ABC"/>
    <w:multiLevelType w:val="hybridMultilevel"/>
    <w:tmpl w:val="56CEA99C"/>
    <w:lvl w:ilvl="0" w:tplc="49301710">
      <w:numFmt w:val="bullet"/>
      <w:lvlText w:val="-"/>
      <w:lvlJc w:val="left"/>
      <w:pPr>
        <w:ind w:left="112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31E2F9A8">
      <w:numFmt w:val="bullet"/>
      <w:lvlText w:val="-"/>
      <w:lvlJc w:val="left"/>
      <w:pPr>
        <w:ind w:left="914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2" w:tplc="24DA3A16">
      <w:numFmt w:val="bullet"/>
      <w:lvlText w:val="•"/>
      <w:lvlJc w:val="left"/>
      <w:pPr>
        <w:ind w:left="1914" w:hanging="94"/>
      </w:pPr>
      <w:rPr>
        <w:rFonts w:hint="default"/>
        <w:lang w:val="pt-BR" w:eastAsia="pt-BR" w:bidi="pt-BR"/>
      </w:rPr>
    </w:lvl>
    <w:lvl w:ilvl="3" w:tplc="AA782AFC">
      <w:numFmt w:val="bullet"/>
      <w:lvlText w:val="•"/>
      <w:lvlJc w:val="left"/>
      <w:pPr>
        <w:ind w:left="2908" w:hanging="94"/>
      </w:pPr>
      <w:rPr>
        <w:rFonts w:hint="default"/>
        <w:lang w:val="pt-BR" w:eastAsia="pt-BR" w:bidi="pt-BR"/>
      </w:rPr>
    </w:lvl>
    <w:lvl w:ilvl="4" w:tplc="74AECA36">
      <w:numFmt w:val="bullet"/>
      <w:lvlText w:val="•"/>
      <w:lvlJc w:val="left"/>
      <w:pPr>
        <w:ind w:left="3902" w:hanging="94"/>
      </w:pPr>
      <w:rPr>
        <w:rFonts w:hint="default"/>
        <w:lang w:val="pt-BR" w:eastAsia="pt-BR" w:bidi="pt-BR"/>
      </w:rPr>
    </w:lvl>
    <w:lvl w:ilvl="5" w:tplc="0694AC9A">
      <w:numFmt w:val="bullet"/>
      <w:lvlText w:val="•"/>
      <w:lvlJc w:val="left"/>
      <w:pPr>
        <w:ind w:left="4896" w:hanging="94"/>
      </w:pPr>
      <w:rPr>
        <w:rFonts w:hint="default"/>
        <w:lang w:val="pt-BR" w:eastAsia="pt-BR" w:bidi="pt-BR"/>
      </w:rPr>
    </w:lvl>
    <w:lvl w:ilvl="6" w:tplc="3AB0EBC6">
      <w:numFmt w:val="bullet"/>
      <w:lvlText w:val="•"/>
      <w:lvlJc w:val="left"/>
      <w:pPr>
        <w:ind w:left="5890" w:hanging="94"/>
      </w:pPr>
      <w:rPr>
        <w:rFonts w:hint="default"/>
        <w:lang w:val="pt-BR" w:eastAsia="pt-BR" w:bidi="pt-BR"/>
      </w:rPr>
    </w:lvl>
    <w:lvl w:ilvl="7" w:tplc="8970221E">
      <w:numFmt w:val="bullet"/>
      <w:lvlText w:val="•"/>
      <w:lvlJc w:val="left"/>
      <w:pPr>
        <w:ind w:left="6884" w:hanging="94"/>
      </w:pPr>
      <w:rPr>
        <w:rFonts w:hint="default"/>
        <w:lang w:val="pt-BR" w:eastAsia="pt-BR" w:bidi="pt-BR"/>
      </w:rPr>
    </w:lvl>
    <w:lvl w:ilvl="8" w:tplc="45F8BAC0">
      <w:numFmt w:val="bullet"/>
      <w:lvlText w:val="•"/>
      <w:lvlJc w:val="left"/>
      <w:pPr>
        <w:ind w:left="7878" w:hanging="94"/>
      </w:pPr>
      <w:rPr>
        <w:rFonts w:hint="default"/>
        <w:lang w:val="pt-BR" w:eastAsia="pt-BR" w:bidi="pt-BR"/>
      </w:rPr>
    </w:lvl>
  </w:abstractNum>
  <w:abstractNum w:abstractNumId="7">
    <w:nsid w:val="6DEB314D"/>
    <w:multiLevelType w:val="multilevel"/>
    <w:tmpl w:val="787237AA"/>
    <w:lvl w:ilvl="0">
      <w:start w:val="8"/>
      <w:numFmt w:val="decimal"/>
      <w:lvlText w:val="%1"/>
      <w:lvlJc w:val="left"/>
      <w:pPr>
        <w:ind w:left="921" w:hanging="2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21" w:hanging="2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709" w:hanging="2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03" w:hanging="2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98" w:hanging="2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93" w:hanging="2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87" w:hanging="2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82" w:hanging="2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77" w:hanging="242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41AC9"/>
    <w:rsid w:val="00741AC9"/>
    <w:rsid w:val="00D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7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06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659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eda.com/news/2013/20130701_585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todateonline.com/online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4543</Words>
  <Characters>24536</Characters>
  <Application>Microsoft Office Word</Application>
  <DocSecurity>0</DocSecurity>
  <Lines>204</Lines>
  <Paragraphs>58</Paragraphs>
  <ScaleCrop>false</ScaleCrop>
  <Company/>
  <LinksUpToDate>false</LinksUpToDate>
  <CharactersWithSpaces>29021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##ATO PORTARIA SAS/MS Nº 227 DE 10 DE MAIO DE 2010</dc:title>
  <dc:creator>alemartins</dc:creator>
  <cp:lastModifiedBy>VANESSA ALVES DE OLIVEIRA</cp:lastModifiedBy>
  <cp:revision>2</cp:revision>
  <dcterms:created xsi:type="dcterms:W3CDTF">2019-07-19T12:53:00Z</dcterms:created>
  <dcterms:modified xsi:type="dcterms:W3CDTF">2019-07-19T12:55:00Z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2019-07-19T00:00:00Z</vt:filetime>
  </property>
</Properties>
</file>