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F1E1D">
      <w:pPr>
        <w:pStyle w:val="Corpodetexto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18F77F8C" wp14:editId="69E4EE1B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spacing w:before="9"/>
        <w:rPr>
          <w:sz w:val="18"/>
        </w:rPr>
      </w:pPr>
    </w:p>
    <w:p w:rsidR="0094156D" w:rsidRDefault="009F1E1D">
      <w:pPr>
        <w:pStyle w:val="Corpodetexto"/>
        <w:spacing w:before="90"/>
        <w:ind w:left="3945" w:right="3399"/>
        <w:jc w:val="center"/>
      </w:pPr>
      <w:r>
        <w:t>ANEXO</w:t>
      </w:r>
    </w:p>
    <w:p w:rsidR="0094156D" w:rsidRDefault="0094156D">
      <w:pPr>
        <w:pStyle w:val="Corpodetexto"/>
        <w:rPr>
          <w:sz w:val="26"/>
        </w:rPr>
      </w:pPr>
    </w:p>
    <w:p w:rsidR="0094156D" w:rsidRDefault="0094156D">
      <w:pPr>
        <w:pStyle w:val="Corpodetexto"/>
        <w:rPr>
          <w:sz w:val="22"/>
        </w:rPr>
      </w:pPr>
    </w:p>
    <w:p w:rsidR="0094156D" w:rsidRDefault="009F1E1D">
      <w:pPr>
        <w:pStyle w:val="Corpodetexto"/>
        <w:ind w:left="442" w:right="438"/>
        <w:jc w:val="center"/>
      </w:pPr>
      <w:proofErr w:type="gramStart"/>
      <w:r>
        <w:t>PROTOCOLO CLÍNICO E DIRETRIZES TERAPÊUTICAS</w:t>
      </w:r>
      <w:proofErr w:type="gramEnd"/>
    </w:p>
    <w:p w:rsidR="0094156D" w:rsidRDefault="0094156D">
      <w:pPr>
        <w:pStyle w:val="Corpodetexto"/>
      </w:pPr>
    </w:p>
    <w:p w:rsidR="0094156D" w:rsidRDefault="009F1E1D">
      <w:pPr>
        <w:pStyle w:val="Corpodetexto"/>
        <w:ind w:left="445" w:right="438"/>
        <w:jc w:val="center"/>
      </w:pPr>
      <w:r>
        <w:t>ANGIOEDEMA HEREDITÁRIO AS</w:t>
      </w:r>
      <w:r>
        <w:t>SOCIADO À DEFICIÊNCIA DE C1 ESTERASE (C1-INH)</w:t>
      </w:r>
    </w:p>
    <w:p w:rsidR="0094156D" w:rsidRDefault="0094156D">
      <w:pPr>
        <w:pStyle w:val="Corpodetexto"/>
        <w:rPr>
          <w:sz w:val="26"/>
        </w:rPr>
      </w:pPr>
    </w:p>
    <w:p w:rsidR="0094156D" w:rsidRDefault="0094156D">
      <w:pPr>
        <w:pStyle w:val="Corpodetexto"/>
        <w:rPr>
          <w:sz w:val="26"/>
        </w:rPr>
      </w:pPr>
    </w:p>
    <w:p w:rsidR="0094156D" w:rsidRDefault="009F1E1D">
      <w:pPr>
        <w:pStyle w:val="PargrafodaLista"/>
        <w:numPr>
          <w:ilvl w:val="0"/>
          <w:numId w:val="6"/>
        </w:numPr>
        <w:tabs>
          <w:tab w:val="left" w:pos="294"/>
        </w:tabs>
        <w:spacing w:before="231"/>
        <w:ind w:firstLine="0"/>
        <w:rPr>
          <w:sz w:val="24"/>
        </w:rPr>
      </w:pPr>
      <w:r>
        <w:rPr>
          <w:sz w:val="24"/>
        </w:rPr>
        <w:t>METODOLOGIA DE BUSCA E AVALIAÇÃO DA</w:t>
      </w:r>
      <w:r>
        <w:rPr>
          <w:spacing w:val="2"/>
          <w:sz w:val="24"/>
        </w:rPr>
        <w:t xml:space="preserve"> </w:t>
      </w:r>
      <w:r>
        <w:rPr>
          <w:sz w:val="24"/>
        </w:rPr>
        <w:t>LITERATURA</w:t>
      </w:r>
    </w:p>
    <w:p w:rsidR="0094156D" w:rsidRDefault="009F1E1D">
      <w:pPr>
        <w:pStyle w:val="Corpodetexto"/>
        <w:ind w:left="112" w:right="100" w:firstLine="708"/>
        <w:jc w:val="both"/>
      </w:pPr>
      <w:r>
        <w:t>A revisão da literatura foi realizada com pesquisa nas bases de dados MEDLINE/</w:t>
      </w:r>
      <w:proofErr w:type="spellStart"/>
      <w:proofErr w:type="gramStart"/>
      <w:r>
        <w:t>PubMed</w:t>
      </w:r>
      <w:proofErr w:type="spellEnd"/>
      <w:proofErr w:type="gramEnd"/>
      <w:r>
        <w:t xml:space="preserve"> e EMBASE usando a estratégia de busca “</w:t>
      </w:r>
      <w:proofErr w:type="spellStart"/>
      <w:r>
        <w:t>angioedema</w:t>
      </w:r>
      <w:proofErr w:type="spellEnd"/>
      <w:r>
        <w:t xml:space="preserve">, </w:t>
      </w:r>
      <w:proofErr w:type="spellStart"/>
      <w:r>
        <w:t>hereditary</w:t>
      </w:r>
      <w:proofErr w:type="spellEnd"/>
      <w:r>
        <w:t>”[</w:t>
      </w:r>
      <w:proofErr w:type="spellStart"/>
      <w:r>
        <w:t>mesh</w:t>
      </w:r>
      <w:proofErr w:type="spellEnd"/>
      <w:r>
        <w:t>] AND “</w:t>
      </w:r>
      <w:proofErr w:type="spellStart"/>
      <w:r>
        <w:t>drug</w:t>
      </w:r>
      <w:proofErr w:type="spellEnd"/>
      <w:r>
        <w:t xml:space="preserve"> </w:t>
      </w:r>
      <w:proofErr w:type="spellStart"/>
      <w:r>
        <w:t>therapy</w:t>
      </w:r>
      <w:proofErr w:type="spellEnd"/>
      <w:r>
        <w:t>”[</w:t>
      </w:r>
      <w:proofErr w:type="spellStart"/>
      <w:r>
        <w:t>mesh</w:t>
      </w:r>
      <w:proofErr w:type="spellEnd"/>
      <w:r>
        <w:t>] com os limites: tipo de estudo (ensaios clínicos, meta-análises, ensaios clín</w:t>
      </w:r>
      <w:r>
        <w:t xml:space="preserve">icos randomizados). Todos os artigos identificados foram revisados, sendo incluídos aqueles que versavam sobre </w:t>
      </w:r>
      <w:proofErr w:type="spellStart"/>
      <w:r>
        <w:t>angioedema</w:t>
      </w:r>
      <w:proofErr w:type="spellEnd"/>
      <w:r>
        <w:t xml:space="preserve"> e sua terapia com </w:t>
      </w:r>
      <w:proofErr w:type="spellStart"/>
      <w:r>
        <w:t>danazol</w:t>
      </w:r>
      <w:proofErr w:type="spellEnd"/>
      <w:r>
        <w:t>.</w:t>
      </w:r>
    </w:p>
    <w:p w:rsidR="0094156D" w:rsidRDefault="009F1E1D">
      <w:pPr>
        <w:pStyle w:val="Corpodetexto"/>
        <w:ind w:left="112" w:right="105" w:firstLine="708"/>
        <w:jc w:val="both"/>
      </w:pPr>
      <w:r>
        <w:t>Adicionalmente, foi realizada revisão na MEDLINE/</w:t>
      </w:r>
      <w:proofErr w:type="spellStart"/>
      <w:proofErr w:type="gramStart"/>
      <w:r>
        <w:t>PubMed</w:t>
      </w:r>
      <w:proofErr w:type="spellEnd"/>
      <w:proofErr w:type="gramEnd"/>
      <w:r>
        <w:t xml:space="preserve"> sobre a eficácia e a segurança do  uso de agentes </w:t>
      </w:r>
      <w:proofErr w:type="spellStart"/>
      <w:r>
        <w:t>a</w:t>
      </w:r>
      <w:r>
        <w:t>ntifibrinolíticos</w:t>
      </w:r>
      <w:proofErr w:type="spellEnd"/>
      <w:r>
        <w:t xml:space="preserve"> no tratamento do </w:t>
      </w:r>
      <w:proofErr w:type="spellStart"/>
      <w:r>
        <w:t>angioedema</w:t>
      </w:r>
      <w:proofErr w:type="spellEnd"/>
      <w:r>
        <w:t xml:space="preserve"> hereditário. A estratégia de busca utilizada foi “</w:t>
      </w:r>
      <w:proofErr w:type="spellStart"/>
      <w:r>
        <w:t>angioedema</w:t>
      </w:r>
      <w:proofErr w:type="spellEnd"/>
      <w:r>
        <w:t xml:space="preserve">, </w:t>
      </w:r>
      <w:proofErr w:type="spellStart"/>
      <w:r>
        <w:t>hereditary</w:t>
      </w:r>
      <w:proofErr w:type="spellEnd"/>
      <w:proofErr w:type="gramStart"/>
      <w:r>
        <w:t>”[</w:t>
      </w:r>
      <w:proofErr w:type="spellStart"/>
      <w:proofErr w:type="gramEnd"/>
      <w:r>
        <w:t>mesh</w:t>
      </w:r>
      <w:proofErr w:type="spellEnd"/>
      <w:r>
        <w:t>] AND “</w:t>
      </w:r>
      <w:proofErr w:type="spellStart"/>
      <w:r>
        <w:t>antifibrinolytics</w:t>
      </w:r>
      <w:proofErr w:type="spellEnd"/>
      <w:r>
        <w:t xml:space="preserve"> </w:t>
      </w:r>
      <w:proofErr w:type="spellStart"/>
      <w:r>
        <w:t>agents</w:t>
      </w:r>
      <w:proofErr w:type="spellEnd"/>
      <w:r>
        <w:t>”[</w:t>
      </w:r>
      <w:proofErr w:type="spellStart"/>
      <w:r>
        <w:t>mesh</w:t>
      </w:r>
      <w:proofErr w:type="spellEnd"/>
      <w:r>
        <w:t>], com o limite tipo de estudo (ensaios clínicos, meta-análises, ensaios clínicos randomizados)</w:t>
      </w:r>
      <w:r>
        <w:t xml:space="preserve">. Todos os artigos identificados foram revisados, sendo incluídos aqueles que versavam sobre </w:t>
      </w:r>
      <w:proofErr w:type="spellStart"/>
      <w:r>
        <w:t>angioedema</w:t>
      </w:r>
      <w:proofErr w:type="spellEnd"/>
      <w:r>
        <w:t xml:space="preserve"> e sua</w:t>
      </w:r>
      <w:r>
        <w:rPr>
          <w:spacing w:val="-8"/>
        </w:rPr>
        <w:t xml:space="preserve"> </w:t>
      </w:r>
      <w:r>
        <w:t>terapia.</w:t>
      </w:r>
    </w:p>
    <w:p w:rsidR="0094156D" w:rsidRDefault="009F1E1D">
      <w:pPr>
        <w:pStyle w:val="Corpodetexto"/>
        <w:ind w:left="112" w:right="105" w:firstLine="708"/>
        <w:jc w:val="both"/>
      </w:pPr>
      <w:r>
        <w:t>As bibliografias dos artigos incluídos também foram revisadas e artigos não indexados também foram incluídos. Outras fontes consultadas p</w:t>
      </w:r>
      <w:r>
        <w:t xml:space="preserve">ara elaboração deste Protocolo Clínico e Diretrizes Terapêuticas (PCDT) foram livros-texto e o </w:t>
      </w:r>
      <w:proofErr w:type="spellStart"/>
      <w:proofErr w:type="gramStart"/>
      <w:r>
        <w:rPr>
          <w:i/>
        </w:rPr>
        <w:t>UpToDate</w:t>
      </w:r>
      <w:proofErr w:type="spellEnd"/>
      <w:proofErr w:type="gramEnd"/>
      <w:r>
        <w:rPr>
          <w:i/>
        </w:rPr>
        <w:t xml:space="preserve"> </w:t>
      </w:r>
      <w:r>
        <w:t>versão 17.3.</w:t>
      </w:r>
    </w:p>
    <w:p w:rsidR="0094156D" w:rsidRDefault="009F1E1D">
      <w:pPr>
        <w:pStyle w:val="Corpodetexto"/>
        <w:ind w:left="112" w:right="101" w:firstLine="708"/>
        <w:jc w:val="both"/>
      </w:pPr>
      <w:r>
        <w:t>Em 29/02/2016 foi realizada atualização da busca na literatura. Foram incluídos estudos controlados, ensaios clínicos randomizados, revisõe</w:t>
      </w:r>
      <w:r>
        <w:t xml:space="preserve">s sistemáticas e meta-análises avaliando a terapêutica do </w:t>
      </w:r>
      <w:proofErr w:type="spellStart"/>
      <w:r>
        <w:t>angioedema</w:t>
      </w:r>
      <w:proofErr w:type="spellEnd"/>
      <w:r>
        <w:t xml:space="preserve"> hereditário. Na base MEDLINE/</w:t>
      </w:r>
      <w:proofErr w:type="spellStart"/>
      <w:proofErr w:type="gramStart"/>
      <w:r>
        <w:t>PubMed</w:t>
      </w:r>
      <w:proofErr w:type="spellEnd"/>
      <w:proofErr w:type="gramEnd"/>
      <w:r>
        <w:t>, foi utilizada a estratégia “</w:t>
      </w:r>
      <w:r>
        <w:rPr>
          <w:color w:val="212121"/>
        </w:rPr>
        <w:t>"</w:t>
      </w:r>
      <w:proofErr w:type="spellStart"/>
      <w:r>
        <w:rPr>
          <w:color w:val="212121"/>
        </w:rPr>
        <w:t>Angioedemas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Hereditary</w:t>
      </w:r>
      <w:proofErr w:type="spellEnd"/>
      <w:r>
        <w:rPr>
          <w:color w:val="212121"/>
        </w:rPr>
        <w:t>"[</w:t>
      </w:r>
      <w:proofErr w:type="spellStart"/>
      <w:r>
        <w:rPr>
          <w:color w:val="212121"/>
        </w:rPr>
        <w:t>Mesh</w:t>
      </w:r>
      <w:proofErr w:type="spellEnd"/>
      <w:r>
        <w:rPr>
          <w:color w:val="212121"/>
        </w:rPr>
        <w:t>]) AND "</w:t>
      </w:r>
      <w:proofErr w:type="spellStart"/>
      <w:r>
        <w:rPr>
          <w:color w:val="212121"/>
        </w:rPr>
        <w:t>Therapeutics</w:t>
      </w:r>
      <w:proofErr w:type="spellEnd"/>
      <w:r>
        <w:rPr>
          <w:color w:val="212121"/>
        </w:rPr>
        <w:t>"[</w:t>
      </w:r>
      <w:proofErr w:type="spellStart"/>
      <w:r>
        <w:rPr>
          <w:color w:val="212121"/>
        </w:rPr>
        <w:t>Mesh</w:t>
      </w:r>
      <w:proofErr w:type="spellEnd"/>
      <w:r>
        <w:rPr>
          <w:color w:val="212121"/>
        </w:rPr>
        <w:t xml:space="preserve">] </w:t>
      </w:r>
      <w:proofErr w:type="spellStart"/>
      <w:r>
        <w:rPr>
          <w:color w:val="212121"/>
        </w:rPr>
        <w:t>Filters</w:t>
      </w:r>
      <w:proofErr w:type="spellEnd"/>
      <w:r>
        <w:rPr>
          <w:color w:val="212121"/>
        </w:rPr>
        <w:t xml:space="preserve">: </w:t>
      </w:r>
      <w:proofErr w:type="spellStart"/>
      <w:r>
        <w:rPr>
          <w:color w:val="212121"/>
        </w:rPr>
        <w:t>Randomized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Controlled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Trial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Clinical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Trial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Systematic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Reviews</w:t>
      </w:r>
      <w:proofErr w:type="spellEnd"/>
      <w:r>
        <w:rPr>
          <w:color w:val="212121"/>
        </w:rPr>
        <w:t>, Meta-</w:t>
      </w:r>
      <w:proofErr w:type="spellStart"/>
      <w:r>
        <w:rPr>
          <w:color w:val="212121"/>
        </w:rPr>
        <w:t>Analysis</w:t>
      </w:r>
      <w:proofErr w:type="spellEnd"/>
      <w:r>
        <w:rPr>
          <w:color w:val="212121"/>
        </w:rPr>
        <w:t>”, sendo localizados 34 estudos; nenhum foi selecionado para leitura na íntegra.</w:t>
      </w:r>
    </w:p>
    <w:p w:rsidR="0094156D" w:rsidRDefault="009F1E1D">
      <w:pPr>
        <w:pStyle w:val="Corpodetexto"/>
        <w:spacing w:before="1"/>
        <w:ind w:left="112" w:right="104" w:firstLine="708"/>
        <w:jc w:val="both"/>
      </w:pPr>
      <w:r>
        <w:rPr>
          <w:color w:val="212121"/>
        </w:rPr>
        <w:t>Na base Embase utilizou-se a estratégia “</w:t>
      </w:r>
      <w:proofErr w:type="spellStart"/>
      <w:proofErr w:type="gramStart"/>
      <w:r>
        <w:t>angioedema:</w:t>
      </w:r>
      <w:proofErr w:type="gramEnd"/>
      <w:r>
        <w:t>ti</w:t>
      </w:r>
      <w:proofErr w:type="spellEnd"/>
      <w:r>
        <w:t xml:space="preserve"> AND '</w:t>
      </w:r>
      <w:proofErr w:type="spellStart"/>
      <w:r>
        <w:t>therapy</w:t>
      </w:r>
      <w:proofErr w:type="spellEnd"/>
      <w:r>
        <w:t>'/</w:t>
      </w:r>
      <w:proofErr w:type="spellStart"/>
      <w:r>
        <w:t>exp</w:t>
      </w:r>
      <w:proofErr w:type="spellEnd"/>
      <w:r>
        <w:t xml:space="preserve"> AND ([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review</w:t>
      </w:r>
      <w:proofErr w:type="spellEnd"/>
      <w:r>
        <w:t>]/</w:t>
      </w:r>
      <w:proofErr w:type="spellStart"/>
      <w:r>
        <w:t>lim</w:t>
      </w:r>
      <w:proofErr w:type="spellEnd"/>
      <w:r>
        <w:t xml:space="preserve"> OR [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>]/</w:t>
      </w:r>
      <w:proofErr w:type="spellStart"/>
      <w:r>
        <w:t>lim</w:t>
      </w:r>
      <w:proofErr w:type="spellEnd"/>
      <w:r>
        <w:t xml:space="preserve"> OR [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</w:t>
      </w:r>
      <w:r>
        <w:t>rial</w:t>
      </w:r>
      <w:proofErr w:type="spellEnd"/>
      <w:r>
        <w:t>]/</w:t>
      </w:r>
      <w:proofErr w:type="spellStart"/>
      <w:r>
        <w:t>lim</w:t>
      </w:r>
      <w:proofErr w:type="spellEnd"/>
      <w:r>
        <w:t xml:space="preserve"> OR [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</w:t>
      </w:r>
      <w:proofErr w:type="spellEnd"/>
      <w:r>
        <w:t>]/</w:t>
      </w:r>
      <w:proofErr w:type="spellStart"/>
      <w:r>
        <w:t>lim</w:t>
      </w:r>
      <w:proofErr w:type="spellEnd"/>
      <w:r>
        <w:t xml:space="preserve"> OR [meta </w:t>
      </w:r>
      <w:proofErr w:type="spellStart"/>
      <w:r>
        <w:t>analysis</w:t>
      </w:r>
      <w:proofErr w:type="spellEnd"/>
      <w:r>
        <w:t>]/</w:t>
      </w:r>
      <w:proofErr w:type="spellStart"/>
      <w:r>
        <w:t>lim</w:t>
      </w:r>
      <w:proofErr w:type="spellEnd"/>
      <w:r>
        <w:t>) AND [</w:t>
      </w:r>
      <w:proofErr w:type="spellStart"/>
      <w:r>
        <w:t>humans</w:t>
      </w:r>
      <w:proofErr w:type="spellEnd"/>
      <w:r>
        <w:t>]/</w:t>
      </w:r>
      <w:proofErr w:type="spellStart"/>
      <w:r>
        <w:t>lim</w:t>
      </w:r>
      <w:proofErr w:type="spellEnd"/>
      <w:r>
        <w:t xml:space="preserve"> AND [embase]/</w:t>
      </w:r>
      <w:proofErr w:type="spellStart"/>
      <w:r>
        <w:t>lim</w:t>
      </w:r>
      <w:proofErr w:type="spellEnd"/>
      <w:r>
        <w:t>”, tendo sido localizados 102 estudos; destes, quatro foram selecionados para leitura na íntegra e um foi incluído neste Protocolo.</w:t>
      </w:r>
    </w:p>
    <w:p w:rsidR="0094156D" w:rsidRDefault="009F1E1D">
      <w:pPr>
        <w:pStyle w:val="Corpodetexto"/>
        <w:ind w:left="112" w:right="104" w:firstLine="708"/>
        <w:jc w:val="both"/>
      </w:pPr>
      <w:r>
        <w:t>Também foi realizada</w:t>
      </w:r>
      <w:r>
        <w:t xml:space="preserve"> busca na biblioteca Cochrane com a estratégia “</w:t>
      </w:r>
      <w:proofErr w:type="spellStart"/>
      <w:r>
        <w:t>hereditary</w:t>
      </w:r>
      <w:proofErr w:type="spellEnd"/>
      <w:r>
        <w:t xml:space="preserve"> </w:t>
      </w:r>
      <w:proofErr w:type="spellStart"/>
      <w:r>
        <w:t>angioedema</w:t>
      </w:r>
      <w:proofErr w:type="spellEnd"/>
      <w:r>
        <w:t>”, não sendo localizado nenhum</w:t>
      </w:r>
      <w:r>
        <w:rPr>
          <w:spacing w:val="-1"/>
        </w:rPr>
        <w:t xml:space="preserve"> </w:t>
      </w:r>
      <w:r>
        <w:t>estudo.</w:t>
      </w:r>
    </w:p>
    <w:p w:rsidR="0094156D" w:rsidRDefault="009F1E1D">
      <w:pPr>
        <w:pStyle w:val="Corpodetexto"/>
        <w:spacing w:before="2" w:line="292" w:lineRule="exact"/>
        <w:ind w:left="821"/>
      </w:pPr>
      <w:r>
        <w:t xml:space="preserve">Foi consultado também o </w:t>
      </w:r>
      <w:proofErr w:type="spellStart"/>
      <w:proofErr w:type="gramStart"/>
      <w:r>
        <w:rPr>
          <w:i/>
        </w:rPr>
        <w:t>UpToDate</w:t>
      </w:r>
      <w:proofErr w:type="spellEnd"/>
      <w:proofErr w:type="gramEnd"/>
      <w:r>
        <w:rPr>
          <w:rFonts w:ascii="Symbol" w:hAnsi="Symbol"/>
          <w:vertAlign w:val="superscript"/>
        </w:rPr>
        <w:t></w:t>
      </w:r>
      <w:r>
        <w:t xml:space="preserve"> versão 19.3.</w:t>
      </w:r>
    </w:p>
    <w:p w:rsidR="0094156D" w:rsidRDefault="009F1E1D">
      <w:pPr>
        <w:pStyle w:val="Corpodetexto"/>
        <w:ind w:left="112" w:right="104" w:firstLine="708"/>
        <w:jc w:val="both"/>
      </w:pPr>
      <w:r>
        <w:t>Foram excluídos estudos avaliando desfechos não clínicos e intervenções não disponíveis no Brasil e i</w:t>
      </w:r>
      <w:r>
        <w:t xml:space="preserve">ncluídos outros artigos de conhecimento dos autores, resultando na inclusão de oito novas referências, bem como de um relatório da </w:t>
      </w:r>
      <w:r>
        <w:rPr>
          <w:color w:val="05082C"/>
        </w:rPr>
        <w:t>Comissão Nacional de Incorporação de Tecnologias no SUS (CONITEC).</w:t>
      </w:r>
    </w:p>
    <w:p w:rsidR="0094156D" w:rsidRDefault="0094156D">
      <w:pPr>
        <w:pStyle w:val="Corpodetexto"/>
        <w:spacing w:before="10"/>
        <w:rPr>
          <w:sz w:val="23"/>
        </w:rPr>
      </w:pPr>
    </w:p>
    <w:p w:rsidR="0094156D" w:rsidRDefault="009F1E1D">
      <w:pPr>
        <w:pStyle w:val="PargrafodaLista"/>
        <w:numPr>
          <w:ilvl w:val="0"/>
          <w:numId w:val="6"/>
        </w:numPr>
        <w:tabs>
          <w:tab w:val="left" w:pos="296"/>
        </w:tabs>
        <w:spacing w:before="1"/>
        <w:ind w:left="295" w:hanging="183"/>
        <w:rPr>
          <w:sz w:val="24"/>
        </w:rPr>
      </w:pPr>
      <w:r>
        <w:rPr>
          <w:sz w:val="24"/>
        </w:rPr>
        <w:t>INTRODUÇÃO</w:t>
      </w:r>
    </w:p>
    <w:p w:rsidR="0094156D" w:rsidRDefault="009F1E1D">
      <w:pPr>
        <w:pStyle w:val="Corpodetexto"/>
        <w:ind w:left="112" w:right="101" w:firstLine="566"/>
        <w:jc w:val="both"/>
      </w:pPr>
      <w:proofErr w:type="spellStart"/>
      <w:r>
        <w:t>Angioedema</w:t>
      </w:r>
      <w:proofErr w:type="spellEnd"/>
      <w:r>
        <w:t xml:space="preserve"> é o termo utilizado para descrever </w:t>
      </w:r>
      <w:r>
        <w:t xml:space="preserve">um edema localizado e autolimitado do tecido submucoso e subcutâneo e que ocorre devido ao aumento temporário da permeabilidade vascular causada pela liberação de mediadores vasoativos. Ele geralmente ocorre como parte da urticária, estando, nesse </w:t>
      </w:r>
      <w:r>
        <w:lastRenderedPageBreak/>
        <w:t>caso, as</w:t>
      </w:r>
      <w:r>
        <w:t xml:space="preserve">sociado à ocorrência de pápulas. Quando o </w:t>
      </w:r>
      <w:proofErr w:type="spellStart"/>
      <w:r>
        <w:t>angioedema</w:t>
      </w:r>
      <w:proofErr w:type="spellEnd"/>
      <w:r>
        <w:t xml:space="preserve"> ocorre de forma repetida e sem pápulas, </w:t>
      </w:r>
      <w:proofErr w:type="gramStart"/>
      <w:r>
        <w:t>o</w:t>
      </w:r>
      <w:proofErr w:type="gramEnd"/>
    </w:p>
    <w:p w:rsidR="0094156D" w:rsidRDefault="0094156D">
      <w:pPr>
        <w:jc w:val="both"/>
        <w:sectPr w:rsidR="009415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600" w:right="460" w:bottom="280" w:left="1020" w:header="720" w:footer="720" w:gutter="0"/>
          <w:cols w:space="720"/>
        </w:sect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spacing w:before="9"/>
        <w:rPr>
          <w:sz w:val="18"/>
        </w:rPr>
      </w:pPr>
    </w:p>
    <w:p w:rsidR="0094156D" w:rsidRDefault="009F1E1D">
      <w:pPr>
        <w:pStyle w:val="Corpodetexto"/>
        <w:spacing w:before="90"/>
        <w:ind w:left="112" w:right="102"/>
        <w:jc w:val="both"/>
      </w:pPr>
      <w:proofErr w:type="gramStart"/>
      <w:r>
        <w:t>paciente</w:t>
      </w:r>
      <w:proofErr w:type="gramEnd"/>
      <w:r>
        <w:t xml:space="preserve"> provavelmente apresenta </w:t>
      </w:r>
      <w:proofErr w:type="spellStart"/>
      <w:r>
        <w:t>angioedema</w:t>
      </w:r>
      <w:proofErr w:type="spellEnd"/>
      <w:r>
        <w:t xml:space="preserve"> hereditário (AEH) ou </w:t>
      </w:r>
      <w:proofErr w:type="spellStart"/>
      <w:r>
        <w:t>angioedema</w:t>
      </w:r>
      <w:proofErr w:type="spellEnd"/>
      <w:r>
        <w:t xml:space="preserve"> adquirido (AEA), sendo este o mais frequente (1).</w:t>
      </w:r>
    </w:p>
    <w:p w:rsidR="0094156D" w:rsidRDefault="009F1E1D">
      <w:pPr>
        <w:pStyle w:val="Corpodetexto"/>
        <w:ind w:left="112" w:right="107" w:firstLine="566"/>
        <w:jc w:val="both"/>
      </w:pPr>
      <w:r>
        <w:t>O AEH é uma imunodeficiência primária do sistema complemento, com herança autossômica dominante, heterogeneidade de lócus e expressividade variável. A classificação mais atualizada do AEH</w:t>
      </w:r>
    </w:p>
    <w:p w:rsidR="0094156D" w:rsidRDefault="009F1E1D">
      <w:pPr>
        <w:pStyle w:val="Corpodetexto"/>
        <w:ind w:left="112" w:right="101"/>
        <w:jc w:val="both"/>
      </w:pPr>
      <w:r>
        <w:t>(1) agrupa os pacientes naqueles com deficiência do inibidor da C1-e</w:t>
      </w:r>
      <w:r>
        <w:t xml:space="preserve">sterase (C1-INH), codificado pelo gene </w:t>
      </w:r>
      <w:r>
        <w:rPr>
          <w:i/>
        </w:rPr>
        <w:t xml:space="preserve">SERPING1 </w:t>
      </w:r>
      <w:r>
        <w:t xml:space="preserve">(2-11), e naqueles sem deficiência de C1-INH (antigo tipo </w:t>
      </w:r>
      <w:proofErr w:type="gramStart"/>
      <w:r>
        <w:t>3</w:t>
      </w:r>
      <w:proofErr w:type="gramEnd"/>
      <w:r>
        <w:t xml:space="preserve">). O C1-INH é uma molécula inibidora da </w:t>
      </w:r>
      <w:proofErr w:type="spellStart"/>
      <w:r>
        <w:t>calicreína</w:t>
      </w:r>
      <w:proofErr w:type="spellEnd"/>
      <w:r>
        <w:t xml:space="preserve">, de bradicinina e de outras </w:t>
      </w:r>
      <w:proofErr w:type="spellStart"/>
      <w:r>
        <w:t>serases</w:t>
      </w:r>
      <w:proofErr w:type="spellEnd"/>
      <w:r>
        <w:t xml:space="preserve"> do plasma; quando deficiente, ocorre aumento dos níveis de bra</w:t>
      </w:r>
      <w:r>
        <w:t xml:space="preserve">dicinina, </w:t>
      </w:r>
      <w:proofErr w:type="spellStart"/>
      <w:r>
        <w:t>nanopeptídeo</w:t>
      </w:r>
      <w:proofErr w:type="spellEnd"/>
      <w:r>
        <w:t xml:space="preserve"> que tem ação vasodilatadora, ocasionando, em consequência, as manifestações clínicas associadas. O AEH sem deficiência do C1-INH pode ser idiopático ou causado pela presença de mutação em </w:t>
      </w:r>
      <w:proofErr w:type="spellStart"/>
      <w:r>
        <w:t>heterozigoze</w:t>
      </w:r>
      <w:proofErr w:type="spellEnd"/>
      <w:r>
        <w:t xml:space="preserve"> no gene que codifica o fator de </w:t>
      </w:r>
      <w:r>
        <w:t>coagulação XII. Essa forma de AEH ocorre principalmente no sexo feminino, devido aos níveis elevados de</w:t>
      </w:r>
      <w:r>
        <w:rPr>
          <w:spacing w:val="-2"/>
        </w:rPr>
        <w:t xml:space="preserve"> </w:t>
      </w:r>
      <w:r>
        <w:t>estrogênio.</w:t>
      </w:r>
    </w:p>
    <w:p w:rsidR="0094156D" w:rsidRDefault="009F1E1D">
      <w:pPr>
        <w:pStyle w:val="Corpodetexto"/>
        <w:spacing w:before="1"/>
        <w:ind w:left="112" w:right="99" w:firstLine="566"/>
        <w:jc w:val="both"/>
      </w:pPr>
      <w:r>
        <w:t>A forma mais comum de AEH é aquela associada à deficiência do C1-INH. Ocorre em 80%-85% dos casos, e os níveis plasmáticos do C1-INH usualme</w:t>
      </w:r>
      <w:r>
        <w:t xml:space="preserve">nte estão reduzidos em 5%-30% do normal. No tipo </w:t>
      </w:r>
      <w:proofErr w:type="gramStart"/>
      <w:r>
        <w:t>2</w:t>
      </w:r>
      <w:proofErr w:type="gramEnd"/>
      <w:r>
        <w:t>, que corresponde a 15%-20% dos casos, o C1-INH permanece com níveis séricos normais ou mesmo elevados, sendo diagnosticado mediante demonstração de que sua atividade está abaixo de 50% do normal (12). A cl</w:t>
      </w:r>
      <w:r>
        <w:t xml:space="preserve">assificação em tipo </w:t>
      </w:r>
      <w:proofErr w:type="gramStart"/>
      <w:r>
        <w:t>1</w:t>
      </w:r>
      <w:proofErr w:type="gramEnd"/>
      <w:r>
        <w:t xml:space="preserve"> e 2, portanto, depende da presença de defeitos quantitativos do C1-INH (tipo 1) ou de defeitos funcionais do C1-INH (tipo 2)</w:t>
      </w:r>
      <w:r>
        <w:rPr>
          <w:spacing w:val="-6"/>
        </w:rPr>
        <w:t xml:space="preserve"> </w:t>
      </w:r>
      <w:r>
        <w:t>(12).</w:t>
      </w:r>
    </w:p>
    <w:p w:rsidR="0094156D" w:rsidRDefault="009F1E1D">
      <w:pPr>
        <w:pStyle w:val="Corpodetexto"/>
        <w:ind w:left="112" w:right="103" w:firstLine="566"/>
        <w:jc w:val="both"/>
      </w:pPr>
      <w:r>
        <w:t>História familiar positiva fortalece a suspeita diagnóstica de AEH, mas sua ausência não exclui o diagn</w:t>
      </w:r>
      <w:r>
        <w:t xml:space="preserve">óstico. Não há estudos de prevalência do AEH no Brasil. Estima-se que </w:t>
      </w:r>
      <w:proofErr w:type="gramStart"/>
      <w:r>
        <w:t>1:10</w:t>
      </w:r>
      <w:proofErr w:type="gramEnd"/>
      <w:r>
        <w:t>.000-50.000 indivíduos sejam afetados pela doença (8).</w:t>
      </w:r>
    </w:p>
    <w:p w:rsidR="0094156D" w:rsidRDefault="009F1E1D">
      <w:pPr>
        <w:pStyle w:val="Corpodetexto"/>
        <w:ind w:left="112" w:right="104" w:firstLine="566"/>
        <w:jc w:val="both"/>
      </w:pPr>
      <w:r>
        <w:t>O AEH manifesta-se pelo surgimento de edema não pruriginoso, não doloroso e não eritematoso em qualquer parte do corpo, princip</w:t>
      </w:r>
      <w:r>
        <w:t>almente na face e nas extremidades (2,3), e afeta os sistemas respiratório e gastrointestinal, podendo desencadear edema de glote ou cólicas abdominais, respectivamente. O comprometimento da respiração pode resultar em asfixia e, se não tratado, pode ser r</w:t>
      </w:r>
      <w:r>
        <w:t xml:space="preserve">esponsável pelo óbito em </w:t>
      </w:r>
      <w:proofErr w:type="gramStart"/>
      <w:r>
        <w:t>cerca de 25</w:t>
      </w:r>
      <w:proofErr w:type="gramEnd"/>
      <w:r>
        <w:t xml:space="preserve">% dos pacientes. Além disso, as cólicas abdominais podem ser interpretadas como abdômen agudo, e muitos pacientes acabam sendo submetidos à </w:t>
      </w:r>
      <w:proofErr w:type="spellStart"/>
      <w:r>
        <w:t>laparotomia</w:t>
      </w:r>
      <w:proofErr w:type="spellEnd"/>
      <w:r>
        <w:t xml:space="preserve"> exploradora desnecessariamente. As crises podem ser espontâneas ou d</w:t>
      </w:r>
      <w:r>
        <w:t>esencadeadas por ansiedade, estresse,</w:t>
      </w:r>
      <w:proofErr w:type="gramStart"/>
      <w:r>
        <w:t xml:space="preserve">  </w:t>
      </w:r>
      <w:proofErr w:type="gramEnd"/>
      <w:r>
        <w:t xml:space="preserve">pequenos traumas, cirurgias, tratamentos dentários, menstruação ou gravidez (2-5). A suspeita de AEH deve ser considerada em pacientes com crises repetidas de </w:t>
      </w:r>
      <w:proofErr w:type="spellStart"/>
      <w:r>
        <w:t>angioedema</w:t>
      </w:r>
      <w:proofErr w:type="spellEnd"/>
      <w:r>
        <w:t xml:space="preserve"> e de dor abdominal sem quadros de urticária, e </w:t>
      </w:r>
      <w:r>
        <w:t>em pacientes com história familiar</w:t>
      </w:r>
      <w:r>
        <w:rPr>
          <w:spacing w:val="-3"/>
        </w:rPr>
        <w:t xml:space="preserve"> </w:t>
      </w:r>
      <w:r>
        <w:t>(7).</w:t>
      </w:r>
    </w:p>
    <w:p w:rsidR="0094156D" w:rsidRDefault="009F1E1D">
      <w:pPr>
        <w:pStyle w:val="Corpodetexto"/>
        <w:spacing w:before="1"/>
        <w:ind w:left="112" w:right="100" w:firstLine="566"/>
        <w:jc w:val="both"/>
      </w:pPr>
      <w:r>
        <w:t xml:space="preserve">O AEA pode ser idiopático (dos </w:t>
      </w:r>
      <w:proofErr w:type="gramStart"/>
      <w:r>
        <w:t>tipos histaminérgico</w:t>
      </w:r>
      <w:proofErr w:type="gramEnd"/>
      <w:r>
        <w:t xml:space="preserve"> e não histaminérgico), ocorrer devido ao uso de inibidores da enzima conversora da angiotensina ou, ainda, ser devido à deficiência não genética do C1-INH (1,5,9). </w:t>
      </w:r>
      <w:r>
        <w:t xml:space="preserve">Nessa última situação, a idade de início das manifestações clínicas é geralmente superior à do AEH, sem história familiar, e a metade dos pacientes possui doença hematológica subjacente, tais como </w:t>
      </w:r>
      <w:proofErr w:type="spellStart"/>
      <w:r>
        <w:t>gamopatia</w:t>
      </w:r>
      <w:proofErr w:type="spellEnd"/>
      <w:r>
        <w:t xml:space="preserve"> monoclonal de origem incerta ou neoplasia de célu</w:t>
      </w:r>
      <w:r>
        <w:t xml:space="preserve">las B. O AEA do tipo histaminérgico é a forma mais comum de </w:t>
      </w:r>
      <w:proofErr w:type="spellStart"/>
      <w:r>
        <w:t>angioedema</w:t>
      </w:r>
      <w:proofErr w:type="spellEnd"/>
      <w:r>
        <w:t>, e o seu tratamento envolve anti-histamínicos e corticoides</w:t>
      </w:r>
      <w:r>
        <w:rPr>
          <w:spacing w:val="-10"/>
        </w:rPr>
        <w:t xml:space="preserve"> </w:t>
      </w:r>
      <w:r>
        <w:t>(1).</w:t>
      </w:r>
    </w:p>
    <w:p w:rsidR="0094156D" w:rsidRDefault="009F1E1D">
      <w:pPr>
        <w:pStyle w:val="Corpodetexto"/>
        <w:ind w:left="112" w:right="111" w:firstLine="566"/>
        <w:jc w:val="both"/>
      </w:pPr>
      <w:r>
        <w:t>A identificação de fatores de risco e da doença em seu estágio inicial e o encaminhamento ágil e adequado para o atendim</w:t>
      </w:r>
      <w:r>
        <w:t xml:space="preserve">ento especializado </w:t>
      </w:r>
      <w:proofErr w:type="gramStart"/>
      <w:r>
        <w:t>dão</w:t>
      </w:r>
      <w:proofErr w:type="gramEnd"/>
      <w:r>
        <w:t xml:space="preserve"> à Atenção Básica um caráter essencial para um melhor resultado terapêutico e prognóstico dos casos.</w:t>
      </w:r>
    </w:p>
    <w:p w:rsidR="0094156D" w:rsidRDefault="009F1E1D">
      <w:pPr>
        <w:pStyle w:val="Corpodetexto"/>
        <w:spacing w:before="1"/>
        <w:ind w:left="112" w:right="110" w:firstLine="566"/>
        <w:jc w:val="both"/>
      </w:pPr>
      <w:r>
        <w:t>Como pode ser uma doença genética, também está indicada a realização de aconselhamento genético.</w:t>
      </w:r>
    </w:p>
    <w:p w:rsidR="0094156D" w:rsidRDefault="009F1E1D">
      <w:pPr>
        <w:pStyle w:val="Corpodetexto"/>
        <w:ind w:left="112" w:right="104" w:firstLine="566"/>
        <w:jc w:val="both"/>
      </w:pPr>
      <w:r>
        <w:t>Em relação ao tratamento, este Protocolo refere-se somente ao AEH associado à deficiência do C1- INH, uma vez que esta é a única forma que possui tratamento aprovado e evidência que lhe dê suporte. Para as demais formas, existem apenas pequenos estudos não</w:t>
      </w:r>
      <w:r>
        <w:t xml:space="preserve"> controlados e o uso dos medicamentos é </w:t>
      </w:r>
      <w:proofErr w:type="gramStart"/>
      <w:r>
        <w:rPr>
          <w:i/>
        </w:rPr>
        <w:t>off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label</w:t>
      </w:r>
      <w:proofErr w:type="spellEnd"/>
      <w:r>
        <w:rPr>
          <w:i/>
          <w:spacing w:val="-1"/>
        </w:rPr>
        <w:t xml:space="preserve"> </w:t>
      </w:r>
      <w:r>
        <w:t>(1).</w:t>
      </w:r>
    </w:p>
    <w:p w:rsidR="0094156D" w:rsidRDefault="0094156D">
      <w:pPr>
        <w:jc w:val="both"/>
        <w:sectPr w:rsidR="0094156D">
          <w:pgSz w:w="11910" w:h="16850"/>
          <w:pgMar w:top="1600" w:right="460" w:bottom="280" w:left="1020" w:header="720" w:footer="720" w:gutter="0"/>
          <w:cols w:space="720"/>
        </w:sect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spacing w:before="9"/>
        <w:rPr>
          <w:sz w:val="22"/>
        </w:rPr>
      </w:pPr>
    </w:p>
    <w:p w:rsidR="0094156D" w:rsidRDefault="009F1E1D">
      <w:pPr>
        <w:pStyle w:val="PargrafodaLista"/>
        <w:numPr>
          <w:ilvl w:val="0"/>
          <w:numId w:val="6"/>
        </w:numPr>
        <w:tabs>
          <w:tab w:val="left" w:pos="473"/>
          <w:tab w:val="left" w:pos="474"/>
          <w:tab w:val="left" w:pos="2593"/>
          <w:tab w:val="left" w:pos="4355"/>
          <w:tab w:val="left" w:pos="6558"/>
          <w:tab w:val="left" w:pos="7119"/>
          <w:tab w:val="left" w:pos="8491"/>
          <w:tab w:val="left" w:pos="8877"/>
        </w:tabs>
        <w:spacing w:before="90"/>
        <w:ind w:right="105" w:firstLine="0"/>
        <w:rPr>
          <w:sz w:val="24"/>
        </w:rPr>
      </w:pPr>
      <w:r>
        <w:rPr>
          <w:sz w:val="24"/>
        </w:rPr>
        <w:t>CLASSIFICAÇÃO</w:t>
      </w:r>
      <w:r>
        <w:rPr>
          <w:sz w:val="24"/>
        </w:rPr>
        <w:tab/>
        <w:t>ESTATÍSTICA</w:t>
      </w:r>
      <w:r>
        <w:rPr>
          <w:sz w:val="24"/>
        </w:rPr>
        <w:tab/>
        <w:t>INTERNACIONAL</w:t>
      </w:r>
      <w:r>
        <w:rPr>
          <w:sz w:val="24"/>
        </w:rPr>
        <w:tab/>
        <w:t>DE</w:t>
      </w:r>
      <w:r>
        <w:rPr>
          <w:sz w:val="24"/>
        </w:rPr>
        <w:tab/>
        <w:t>DOENÇAS</w:t>
      </w:r>
      <w:r>
        <w:rPr>
          <w:sz w:val="24"/>
        </w:rPr>
        <w:tab/>
        <w:t>E</w:t>
      </w:r>
      <w:r>
        <w:rPr>
          <w:sz w:val="24"/>
        </w:rPr>
        <w:tab/>
        <w:t>PROBLEMAS RELACIONADOS À SAÚDE (CID-10)</w:t>
      </w:r>
    </w:p>
    <w:p w:rsidR="0094156D" w:rsidRDefault="009F1E1D">
      <w:pPr>
        <w:pStyle w:val="Corpodetexto"/>
        <w:ind w:left="679"/>
      </w:pPr>
      <w:r>
        <w:rPr>
          <w:b/>
        </w:rPr>
        <w:t xml:space="preserve">- </w:t>
      </w:r>
      <w:proofErr w:type="gramStart"/>
      <w:r>
        <w:t>D84.</w:t>
      </w:r>
      <w:proofErr w:type="gramEnd"/>
      <w:r>
        <w:t>1 Defeito no sistema complemento</w:t>
      </w:r>
    </w:p>
    <w:p w:rsidR="0094156D" w:rsidRDefault="0094156D">
      <w:pPr>
        <w:pStyle w:val="Corpodetexto"/>
      </w:pPr>
    </w:p>
    <w:p w:rsidR="0094156D" w:rsidRDefault="009F1E1D">
      <w:pPr>
        <w:pStyle w:val="PargrafodaLista"/>
        <w:numPr>
          <w:ilvl w:val="0"/>
          <w:numId w:val="6"/>
        </w:numPr>
        <w:tabs>
          <w:tab w:val="left" w:pos="294"/>
        </w:tabs>
        <w:ind w:firstLine="0"/>
        <w:rPr>
          <w:sz w:val="24"/>
        </w:rPr>
      </w:pPr>
      <w:r>
        <w:rPr>
          <w:sz w:val="24"/>
        </w:rPr>
        <w:t>DIAGNÓSTICO</w:t>
      </w:r>
    </w:p>
    <w:p w:rsidR="0094156D" w:rsidRDefault="009F1E1D">
      <w:pPr>
        <w:pStyle w:val="Corpodetexto"/>
        <w:ind w:left="112" w:firstLine="566"/>
      </w:pPr>
      <w:r>
        <w:t xml:space="preserve">O diagnóstico de AEH associado à deficiência do C1-INH (tipos </w:t>
      </w:r>
      <w:proofErr w:type="gramStart"/>
      <w:r>
        <w:t>1</w:t>
      </w:r>
      <w:proofErr w:type="gramEnd"/>
      <w:r>
        <w:t xml:space="preserve"> e 2) é obtido pela presença dos seguintes critérios (8-11):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spacing w:before="1"/>
        <w:ind w:firstLine="567"/>
        <w:rPr>
          <w:sz w:val="24"/>
        </w:rPr>
      </w:pPr>
      <w:r>
        <w:rPr>
          <w:sz w:val="24"/>
        </w:rPr>
        <w:t xml:space="preserve">Anamnese, exame físico e quadro clínico compatível com AEH; </w:t>
      </w:r>
      <w:proofErr w:type="gramStart"/>
      <w:r>
        <w:rPr>
          <w:sz w:val="24"/>
        </w:rPr>
        <w:t>e</w:t>
      </w:r>
      <w:proofErr w:type="gramEnd"/>
    </w:p>
    <w:p w:rsidR="0094156D" w:rsidRDefault="009F1E1D">
      <w:pPr>
        <w:pStyle w:val="PargrafodaLista"/>
        <w:numPr>
          <w:ilvl w:val="1"/>
          <w:numId w:val="6"/>
        </w:numPr>
        <w:tabs>
          <w:tab w:val="left" w:pos="867"/>
        </w:tabs>
        <w:ind w:right="102" w:firstLine="567"/>
        <w:jc w:val="both"/>
        <w:rPr>
          <w:sz w:val="24"/>
        </w:rPr>
      </w:pPr>
      <w:r>
        <w:rPr>
          <w:sz w:val="24"/>
        </w:rPr>
        <w:t xml:space="preserve">Evidência bioquímica [constatação laboratorial de ausência ou redução (&lt;50%) ou de defeito funcional do C1-INH (função &lt;50%); de redução do complemento hemolítico total (CH50); e de diminuição da fração C4 do complemento]. </w:t>
      </w:r>
      <w:proofErr w:type="gramStart"/>
      <w:r>
        <w:rPr>
          <w:sz w:val="24"/>
        </w:rPr>
        <w:t>Deve-se ressaltar que C4 e CH50 p</w:t>
      </w:r>
      <w:r>
        <w:rPr>
          <w:sz w:val="24"/>
        </w:rPr>
        <w:t>odem encontrar-se normais fora das crises)</w:t>
      </w:r>
      <w:proofErr w:type="gram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ind w:firstLine="567"/>
        <w:rPr>
          <w:sz w:val="24"/>
        </w:rPr>
      </w:pPr>
      <w:r>
        <w:rPr>
          <w:sz w:val="24"/>
        </w:rPr>
        <w:t xml:space="preserve">Evidência genética (presença de mutação patogênica em </w:t>
      </w:r>
      <w:r>
        <w:rPr>
          <w:i/>
          <w:sz w:val="24"/>
        </w:rPr>
        <w:t>SERPING1</w:t>
      </w:r>
      <w:r>
        <w:rPr>
          <w:sz w:val="24"/>
        </w:rPr>
        <w:t>) da</w:t>
      </w:r>
      <w:r>
        <w:rPr>
          <w:spacing w:val="-3"/>
          <w:sz w:val="24"/>
        </w:rPr>
        <w:t xml:space="preserve"> </w:t>
      </w:r>
      <w:r>
        <w:rPr>
          <w:sz w:val="24"/>
        </w:rPr>
        <w:t>doença.</w:t>
      </w:r>
    </w:p>
    <w:p w:rsidR="0094156D" w:rsidRDefault="0094156D">
      <w:pPr>
        <w:pStyle w:val="Corpodetexto"/>
        <w:spacing w:before="11"/>
        <w:rPr>
          <w:sz w:val="23"/>
        </w:rPr>
      </w:pPr>
    </w:p>
    <w:p w:rsidR="0094156D" w:rsidRDefault="009F1E1D">
      <w:pPr>
        <w:pStyle w:val="PargrafodaLista"/>
        <w:numPr>
          <w:ilvl w:val="0"/>
          <w:numId w:val="6"/>
        </w:numPr>
        <w:tabs>
          <w:tab w:val="left" w:pos="294"/>
        </w:tabs>
        <w:ind w:firstLine="0"/>
        <w:rPr>
          <w:sz w:val="24"/>
        </w:rPr>
      </w:pPr>
      <w:r>
        <w:rPr>
          <w:sz w:val="24"/>
        </w:rPr>
        <w:t>CRITÉRIOS DE INCLUSÃO</w:t>
      </w:r>
    </w:p>
    <w:p w:rsidR="0094156D" w:rsidRDefault="009F1E1D">
      <w:pPr>
        <w:pStyle w:val="Corpodetexto"/>
        <w:ind w:left="112" w:firstLine="432"/>
      </w:pPr>
      <w:r>
        <w:t xml:space="preserve">Serão incluídos neste Protocolo os pacientes que apresentarem diagnóstico confirmado de AEH com deficiência de </w:t>
      </w:r>
      <w:r>
        <w:t>C1-INH conforme critérios especificados no item Diagnóstico.</w:t>
      </w:r>
    </w:p>
    <w:p w:rsidR="0094156D" w:rsidRDefault="0094156D">
      <w:pPr>
        <w:pStyle w:val="Corpodetexto"/>
      </w:pPr>
    </w:p>
    <w:p w:rsidR="0094156D" w:rsidRDefault="009F1E1D">
      <w:pPr>
        <w:pStyle w:val="PargrafodaLista"/>
        <w:numPr>
          <w:ilvl w:val="0"/>
          <w:numId w:val="6"/>
        </w:numPr>
        <w:tabs>
          <w:tab w:val="left" w:pos="294"/>
        </w:tabs>
        <w:spacing w:before="1"/>
        <w:ind w:firstLine="0"/>
        <w:rPr>
          <w:sz w:val="24"/>
        </w:rPr>
      </w:pPr>
      <w:r>
        <w:rPr>
          <w:sz w:val="24"/>
        </w:rPr>
        <w:t>CRITÉRIOS DE</w:t>
      </w:r>
      <w:r>
        <w:rPr>
          <w:spacing w:val="-1"/>
          <w:sz w:val="24"/>
        </w:rPr>
        <w:t xml:space="preserve"> </w:t>
      </w:r>
      <w:r>
        <w:rPr>
          <w:sz w:val="24"/>
        </w:rPr>
        <w:t>EXCLUSÃO</w:t>
      </w:r>
    </w:p>
    <w:p w:rsidR="0094156D" w:rsidRDefault="009F1E1D">
      <w:pPr>
        <w:pStyle w:val="Corpodetexto"/>
        <w:ind w:left="112" w:firstLine="566"/>
      </w:pPr>
      <w:r>
        <w:t>Serão excluídos deste Protocolo os pacientes que apresentarem pelo menos um dos critérios abaixo (</w:t>
      </w:r>
      <w:proofErr w:type="gramStart"/>
      <w:r>
        <w:t>1</w:t>
      </w:r>
      <w:proofErr w:type="gramEnd"/>
      <w:r>
        <w:t>,13,14):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ind w:left="679" w:firstLine="0"/>
        <w:rPr>
          <w:sz w:val="24"/>
        </w:rPr>
      </w:pPr>
      <w:r>
        <w:rPr>
          <w:sz w:val="24"/>
        </w:rPr>
        <w:t>Mulheres com sangramento genital de origem</w:t>
      </w:r>
      <w:r>
        <w:rPr>
          <w:spacing w:val="-2"/>
          <w:sz w:val="24"/>
        </w:rPr>
        <w:t xml:space="preserve"> </w:t>
      </w:r>
      <w:r>
        <w:rPr>
          <w:sz w:val="24"/>
        </w:rPr>
        <w:t>desconhecida;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ind w:left="679" w:firstLine="0"/>
        <w:rPr>
          <w:sz w:val="24"/>
        </w:rPr>
      </w:pPr>
      <w:r>
        <w:rPr>
          <w:sz w:val="24"/>
        </w:rPr>
        <w:t>Disfunç</w:t>
      </w:r>
      <w:r>
        <w:rPr>
          <w:sz w:val="24"/>
        </w:rPr>
        <w:t>ão grave hepática, renal ou cardíaca;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75"/>
        </w:tabs>
        <w:ind w:left="679" w:right="102" w:firstLine="0"/>
        <w:rPr>
          <w:sz w:val="24"/>
        </w:rPr>
      </w:pPr>
      <w:r>
        <w:rPr>
          <w:sz w:val="24"/>
        </w:rPr>
        <w:t>Gravidez ou lactação, devido à possibilidade de ocorrência de efeitos androgênicos no sexo feminino;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ind w:left="679" w:firstLine="0"/>
        <w:rPr>
          <w:sz w:val="24"/>
        </w:rPr>
      </w:pPr>
      <w:r>
        <w:rPr>
          <w:sz w:val="24"/>
        </w:rPr>
        <w:t>Porfiria;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ind w:left="679" w:firstLine="0"/>
        <w:rPr>
          <w:sz w:val="24"/>
        </w:rPr>
      </w:pPr>
      <w:r>
        <w:rPr>
          <w:sz w:val="24"/>
        </w:rPr>
        <w:t>Hipersensibilidade ou intolerância ao</w:t>
      </w:r>
      <w:r>
        <w:rPr>
          <w:spacing w:val="-1"/>
          <w:sz w:val="24"/>
        </w:rPr>
        <w:t xml:space="preserve"> </w:t>
      </w:r>
      <w:r>
        <w:rPr>
          <w:sz w:val="24"/>
        </w:rPr>
        <w:t>medicamento;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ind w:left="679" w:firstLine="0"/>
        <w:rPr>
          <w:sz w:val="24"/>
        </w:rPr>
      </w:pPr>
      <w:r>
        <w:rPr>
          <w:sz w:val="24"/>
        </w:rPr>
        <w:t>Tumor dependente de androgênio (neoplasia de fígado ou d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próstata);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spacing w:before="1"/>
        <w:ind w:left="679" w:firstLine="0"/>
        <w:rPr>
          <w:sz w:val="24"/>
        </w:rPr>
      </w:pPr>
      <w:r>
        <w:rPr>
          <w:sz w:val="24"/>
        </w:rPr>
        <w:t xml:space="preserve">História de icterícia ou </w:t>
      </w:r>
      <w:proofErr w:type="spellStart"/>
      <w:r>
        <w:rPr>
          <w:i/>
          <w:sz w:val="24"/>
        </w:rPr>
        <w:t>pruritus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gravidarum</w:t>
      </w:r>
      <w:proofErr w:type="spellEnd"/>
      <w:r>
        <w:rPr>
          <w:sz w:val="24"/>
        </w:rPr>
        <w:t>;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ind w:left="679" w:firstLine="0"/>
        <w:rPr>
          <w:sz w:val="24"/>
        </w:rPr>
      </w:pPr>
      <w:r>
        <w:rPr>
          <w:sz w:val="24"/>
        </w:rPr>
        <w:t>Presença ou história de eventos</w:t>
      </w:r>
      <w:r>
        <w:rPr>
          <w:spacing w:val="-2"/>
          <w:sz w:val="24"/>
        </w:rPr>
        <w:t xml:space="preserve"> </w:t>
      </w:r>
      <w:r>
        <w:rPr>
          <w:sz w:val="24"/>
        </w:rPr>
        <w:t>tromboembólicos;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ind w:left="679" w:firstLine="0"/>
        <w:rPr>
          <w:sz w:val="24"/>
        </w:rPr>
      </w:pPr>
      <w:r>
        <w:rPr>
          <w:sz w:val="24"/>
        </w:rPr>
        <w:t>Crianças (até 12 anos de</w:t>
      </w:r>
      <w:r>
        <w:rPr>
          <w:spacing w:val="-2"/>
          <w:sz w:val="24"/>
        </w:rPr>
        <w:t xml:space="preserve"> </w:t>
      </w:r>
      <w:r>
        <w:rPr>
          <w:sz w:val="24"/>
        </w:rPr>
        <w:t>idade).</w:t>
      </w:r>
    </w:p>
    <w:p w:rsidR="0094156D" w:rsidRDefault="0094156D">
      <w:pPr>
        <w:pStyle w:val="Corpodetexto"/>
        <w:spacing w:before="11"/>
        <w:rPr>
          <w:sz w:val="23"/>
        </w:rPr>
      </w:pPr>
    </w:p>
    <w:p w:rsidR="0094156D" w:rsidRDefault="009F1E1D">
      <w:pPr>
        <w:pStyle w:val="PargrafodaLista"/>
        <w:numPr>
          <w:ilvl w:val="0"/>
          <w:numId w:val="6"/>
        </w:numPr>
        <w:tabs>
          <w:tab w:val="left" w:pos="294"/>
        </w:tabs>
        <w:ind w:firstLine="0"/>
        <w:rPr>
          <w:sz w:val="24"/>
        </w:rPr>
      </w:pP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ESPECIAIS</w:t>
      </w:r>
    </w:p>
    <w:p w:rsidR="0094156D" w:rsidRDefault="009F1E1D">
      <w:pPr>
        <w:pStyle w:val="Corpodetexto"/>
        <w:ind w:left="112" w:right="102" w:firstLine="566"/>
        <w:jc w:val="both"/>
      </w:pPr>
      <w:r>
        <w:t>Os pacientes com AEH não associado à deficiência de C1-INH, assim como crianças até 12 anos de idade, deverão ser considerados casos especiais e encaminhados para acompanhamento em serviços de referência.</w:t>
      </w:r>
    </w:p>
    <w:p w:rsidR="0094156D" w:rsidRDefault="009F1E1D">
      <w:pPr>
        <w:pStyle w:val="Corpodetexto"/>
        <w:ind w:left="112" w:right="103" w:firstLine="566"/>
        <w:jc w:val="both"/>
      </w:pPr>
      <w:r>
        <w:t xml:space="preserve">Os pacientes expostos a situações que possam desencadear um evento grave, tais como manipulação da cavidade bucal para cirurgia odontológica ou manobras endoscópicas, devem utilizar o </w:t>
      </w:r>
      <w:proofErr w:type="spellStart"/>
      <w:r>
        <w:t>danazol</w:t>
      </w:r>
      <w:proofErr w:type="spellEnd"/>
      <w:r>
        <w:t xml:space="preserve"> com intuito profilático, conforme orientação constante no item E</w:t>
      </w:r>
      <w:r>
        <w:t>squema de Administração (15-26).</w:t>
      </w:r>
    </w:p>
    <w:p w:rsidR="0094156D" w:rsidRDefault="0094156D">
      <w:pPr>
        <w:pStyle w:val="Corpodetexto"/>
        <w:spacing w:before="1"/>
      </w:pPr>
    </w:p>
    <w:p w:rsidR="0094156D" w:rsidRDefault="009F1E1D">
      <w:pPr>
        <w:pStyle w:val="PargrafodaLista"/>
        <w:numPr>
          <w:ilvl w:val="0"/>
          <w:numId w:val="6"/>
        </w:numPr>
        <w:tabs>
          <w:tab w:val="left" w:pos="294"/>
        </w:tabs>
        <w:ind w:firstLine="0"/>
        <w:rPr>
          <w:sz w:val="24"/>
        </w:rPr>
      </w:pPr>
      <w:r>
        <w:rPr>
          <w:sz w:val="24"/>
        </w:rPr>
        <w:t>TRATAMENTO</w:t>
      </w:r>
    </w:p>
    <w:p w:rsidR="0094156D" w:rsidRDefault="009F1E1D">
      <w:pPr>
        <w:pStyle w:val="Corpodetexto"/>
        <w:ind w:left="679"/>
      </w:pPr>
      <w:r>
        <w:t>O tratamento do AEH com deficiência de C1-INH pode ser subdividido em:</w:t>
      </w:r>
    </w:p>
    <w:p w:rsidR="0094156D" w:rsidRDefault="009F1E1D">
      <w:pPr>
        <w:pStyle w:val="PargrafodaLista"/>
        <w:numPr>
          <w:ilvl w:val="0"/>
          <w:numId w:val="5"/>
        </w:numPr>
        <w:tabs>
          <w:tab w:val="left" w:pos="925"/>
        </w:tabs>
        <w:rPr>
          <w:sz w:val="24"/>
        </w:rPr>
      </w:pPr>
      <w:proofErr w:type="gramStart"/>
      <w:r>
        <w:rPr>
          <w:sz w:val="24"/>
        </w:rPr>
        <w:t>profilaxia</w:t>
      </w:r>
      <w:proofErr w:type="gramEnd"/>
      <w:r>
        <w:rPr>
          <w:sz w:val="24"/>
        </w:rPr>
        <w:t xml:space="preserve"> de crises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94156D" w:rsidRDefault="009F1E1D">
      <w:pPr>
        <w:pStyle w:val="PargrafodaLista"/>
        <w:numPr>
          <w:ilvl w:val="0"/>
          <w:numId w:val="5"/>
        </w:numPr>
        <w:tabs>
          <w:tab w:val="left" w:pos="939"/>
        </w:tabs>
        <w:ind w:left="938" w:hanging="259"/>
        <w:rPr>
          <w:sz w:val="24"/>
        </w:rPr>
      </w:pPr>
      <w:proofErr w:type="gramStart"/>
      <w:r>
        <w:rPr>
          <w:sz w:val="24"/>
        </w:rPr>
        <w:t>tratamento</w:t>
      </w:r>
      <w:proofErr w:type="gramEnd"/>
      <w:r>
        <w:rPr>
          <w:sz w:val="24"/>
        </w:rPr>
        <w:t xml:space="preserve"> das</w:t>
      </w:r>
      <w:r>
        <w:rPr>
          <w:spacing w:val="1"/>
          <w:sz w:val="24"/>
        </w:rPr>
        <w:t xml:space="preserve"> </w:t>
      </w:r>
      <w:r>
        <w:rPr>
          <w:sz w:val="24"/>
        </w:rPr>
        <w:t>crises</w:t>
      </w:r>
    </w:p>
    <w:p w:rsidR="0094156D" w:rsidRDefault="0094156D">
      <w:pPr>
        <w:rPr>
          <w:sz w:val="24"/>
        </w:rPr>
        <w:sectPr w:rsidR="0094156D">
          <w:pgSz w:w="11910" w:h="16850"/>
          <w:pgMar w:top="1600" w:right="460" w:bottom="280" w:left="1020" w:header="720" w:footer="720" w:gutter="0"/>
          <w:cols w:space="720"/>
        </w:sect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spacing w:before="9"/>
        <w:rPr>
          <w:sz w:val="18"/>
        </w:rPr>
      </w:pPr>
    </w:p>
    <w:p w:rsidR="0094156D" w:rsidRDefault="009F1E1D">
      <w:pPr>
        <w:pStyle w:val="Corpodetexto"/>
        <w:spacing w:before="90"/>
        <w:ind w:left="112" w:right="103" w:firstLine="566"/>
        <w:jc w:val="both"/>
      </w:pPr>
      <w:r>
        <w:t xml:space="preserve">Para a profilaxia das crises já foram avaliados agentes </w:t>
      </w:r>
      <w:proofErr w:type="spellStart"/>
      <w:proofErr w:type="gramStart"/>
      <w:r>
        <w:t>anti-fibrinolíticos</w:t>
      </w:r>
      <w:proofErr w:type="spellEnd"/>
      <w:proofErr w:type="gramEnd"/>
      <w:r>
        <w:t xml:space="preserve"> (ácido épsilon </w:t>
      </w:r>
      <w:proofErr w:type="spellStart"/>
      <w:r>
        <w:t>aminocaproico</w:t>
      </w:r>
      <w:proofErr w:type="spellEnd"/>
      <w:r>
        <w:t xml:space="preserve"> e ácido </w:t>
      </w:r>
      <w:proofErr w:type="spellStart"/>
      <w:r>
        <w:t>tranexâmico</w:t>
      </w:r>
      <w:proofErr w:type="spellEnd"/>
      <w:r>
        <w:t xml:space="preserve">, inibidores da </w:t>
      </w:r>
      <w:proofErr w:type="spellStart"/>
      <w:r>
        <w:t>plasmina</w:t>
      </w:r>
      <w:proofErr w:type="spellEnd"/>
      <w:r>
        <w:t xml:space="preserve"> e da ativação do </w:t>
      </w:r>
      <w:proofErr w:type="spellStart"/>
      <w:r>
        <w:t>plasminogênio</w:t>
      </w:r>
      <w:proofErr w:type="spellEnd"/>
      <w:r>
        <w:t>, respectivamente) e andrógenos atenuados, estes com maior eficácia (8-12,15-</w:t>
      </w:r>
      <w:r>
        <w:t>21).</w:t>
      </w:r>
    </w:p>
    <w:p w:rsidR="0094156D" w:rsidRDefault="009F1E1D">
      <w:pPr>
        <w:pStyle w:val="Corpodetexto"/>
        <w:ind w:left="112" w:right="102" w:firstLine="566"/>
        <w:jc w:val="both"/>
      </w:pPr>
      <w:r>
        <w:t xml:space="preserve">Entre os andrógenos atenuados, o mais utilizado é o </w:t>
      </w:r>
      <w:proofErr w:type="spellStart"/>
      <w:r>
        <w:t>danazol</w:t>
      </w:r>
      <w:proofErr w:type="spellEnd"/>
      <w:r>
        <w:t xml:space="preserve">, dado o maior nível de evidência de benefício. Ensaio clínico duplo-cego com nove pacientes comparou 93 cursos de 28 dias de </w:t>
      </w:r>
      <w:proofErr w:type="spellStart"/>
      <w:r>
        <w:t>danazol</w:t>
      </w:r>
      <w:proofErr w:type="spellEnd"/>
      <w:r>
        <w:t xml:space="preserve"> ou placebo em pacientes com </w:t>
      </w:r>
      <w:proofErr w:type="spellStart"/>
      <w:r>
        <w:t>angioedema</w:t>
      </w:r>
      <w:proofErr w:type="spellEnd"/>
      <w:r>
        <w:t xml:space="preserve"> hereditário. As cri</w:t>
      </w:r>
      <w:r>
        <w:t xml:space="preserve">ses ocorreram em 93,6% dos cursos com placebo contra 2,2% do </w:t>
      </w:r>
      <w:proofErr w:type="spellStart"/>
      <w:r>
        <w:t>danazol</w:t>
      </w:r>
      <w:proofErr w:type="spellEnd"/>
      <w:r>
        <w:t xml:space="preserve"> (p&lt;0,001). Análise do efeito do </w:t>
      </w:r>
      <w:proofErr w:type="spellStart"/>
      <w:r>
        <w:t>danazol</w:t>
      </w:r>
      <w:proofErr w:type="spellEnd"/>
      <w:r>
        <w:t xml:space="preserve"> demonstrou que as crises ocorreram mais tardiamente nos pacientes durante um curso de placebo precedido de um curso de </w:t>
      </w:r>
      <w:proofErr w:type="spellStart"/>
      <w:r>
        <w:t>danazol</w:t>
      </w:r>
      <w:proofErr w:type="spellEnd"/>
      <w:r>
        <w:t xml:space="preserve"> (média de 14 dias co</w:t>
      </w:r>
      <w:r>
        <w:t xml:space="preserve">ntra </w:t>
      </w:r>
      <w:proofErr w:type="gramStart"/>
      <w:r>
        <w:t>9</w:t>
      </w:r>
      <w:proofErr w:type="gramEnd"/>
      <w:r>
        <w:t xml:space="preserve"> dias se precedido de placebo; p&lt;0,05). Não houve diferença de efeitos adversos nos dois grupos (cursos) (19). Considerando a magnitude do efeito nesse ensaio clínico, o </w:t>
      </w:r>
      <w:proofErr w:type="spellStart"/>
      <w:r>
        <w:t>danazol</w:t>
      </w:r>
      <w:proofErr w:type="spellEnd"/>
      <w:r>
        <w:t xml:space="preserve"> continua sendo o medicamento de primeira escolha nessa doença para a pre</w:t>
      </w:r>
      <w:r>
        <w:t>venção de novas crises</w:t>
      </w:r>
      <w:r>
        <w:rPr>
          <w:spacing w:val="-1"/>
        </w:rPr>
        <w:t xml:space="preserve"> </w:t>
      </w:r>
      <w:r>
        <w:t>(22-25).</w:t>
      </w:r>
    </w:p>
    <w:p w:rsidR="0094156D" w:rsidRDefault="009F1E1D">
      <w:pPr>
        <w:pStyle w:val="Corpodetexto"/>
        <w:spacing w:before="1"/>
        <w:ind w:left="112" w:right="103" w:firstLine="566"/>
        <w:jc w:val="both"/>
      </w:pPr>
      <w:r>
        <w:t xml:space="preserve">Os estudos com outros medicamentos além do </w:t>
      </w:r>
      <w:proofErr w:type="spellStart"/>
      <w:r>
        <w:t>danazol</w:t>
      </w:r>
      <w:proofErr w:type="spellEnd"/>
      <w:r>
        <w:t xml:space="preserve">, inclusive inibidores da </w:t>
      </w:r>
      <w:proofErr w:type="spellStart"/>
      <w:r>
        <w:t>plasmina</w:t>
      </w:r>
      <w:proofErr w:type="spellEnd"/>
      <w:r>
        <w:t xml:space="preserve"> e da ativação do </w:t>
      </w:r>
      <w:proofErr w:type="spellStart"/>
      <w:r>
        <w:t>plasminogênio</w:t>
      </w:r>
      <w:proofErr w:type="spellEnd"/>
      <w:r>
        <w:t xml:space="preserve">, são metodologicamente limitados (26). A busca realizada não encontrou ensaios clínicos randomizados contra </w:t>
      </w:r>
      <w:r>
        <w:t xml:space="preserve">placebo (ou contra </w:t>
      </w:r>
      <w:proofErr w:type="spellStart"/>
      <w:r>
        <w:t>danazol</w:t>
      </w:r>
      <w:proofErr w:type="spellEnd"/>
      <w:r>
        <w:t xml:space="preserve">) envolvendo o ácido épsilon </w:t>
      </w:r>
      <w:proofErr w:type="spellStart"/>
      <w:r>
        <w:t>aminocaproico</w:t>
      </w:r>
      <w:proofErr w:type="spellEnd"/>
      <w:r>
        <w:t xml:space="preserve">. Em relação ao ácido </w:t>
      </w:r>
      <w:proofErr w:type="spellStart"/>
      <w:r>
        <w:t>tranexâmico</w:t>
      </w:r>
      <w:proofErr w:type="spellEnd"/>
      <w:r>
        <w:t>, foi localizado um ensaio clínico contra placebo, do tipo cruzado e duplo-cego, com cinco pacientes; efeito benéfico foi observado em três deles. (27). As</w:t>
      </w:r>
      <w:r>
        <w:t xml:space="preserve">sim, o </w:t>
      </w:r>
      <w:proofErr w:type="spellStart"/>
      <w:r>
        <w:t>danazol</w:t>
      </w:r>
      <w:proofErr w:type="spellEnd"/>
      <w:r>
        <w:t xml:space="preserve"> permanece como o medicamento mais bem estudado nessa condição clínica, e por isso recomendado neste PCDT como agente profilático das crises de AEH (28).</w:t>
      </w:r>
    </w:p>
    <w:p w:rsidR="0094156D" w:rsidRDefault="009F1E1D">
      <w:pPr>
        <w:pStyle w:val="Corpodetexto"/>
        <w:ind w:left="112" w:right="99" w:firstLine="708"/>
        <w:jc w:val="both"/>
      </w:pPr>
      <w:r>
        <w:t xml:space="preserve">O tratamento das crises é predominantemente hospitalar, e não inclui o uso de </w:t>
      </w:r>
      <w:proofErr w:type="spellStart"/>
      <w:r>
        <w:t>danazol</w:t>
      </w:r>
      <w:proofErr w:type="spellEnd"/>
      <w:r>
        <w:t xml:space="preserve"> (8</w:t>
      </w:r>
      <w:r>
        <w:t xml:space="preserve">,10). Caso haja risco de asfixia, pode-se utilizar plasma fresco. O </w:t>
      </w:r>
      <w:proofErr w:type="spellStart"/>
      <w:r>
        <w:t>icatibanto</w:t>
      </w:r>
      <w:proofErr w:type="spellEnd"/>
      <w:r>
        <w:t>, um antagonista seletivo do receptor tipo II da bradicinina é comercializado no Brasil para tratamento de crises em maiores de 18 anos. Sua eficácia no tratamento de crises de A</w:t>
      </w:r>
      <w:r>
        <w:t xml:space="preserve">EH foi avaliada em três ensaios clínicos (FAST 1, 2 e 3), nos quais foi comparado com placebo (FAST-1 e 3) e com ácido </w:t>
      </w:r>
      <w:proofErr w:type="spellStart"/>
      <w:r>
        <w:t>tranexâmico</w:t>
      </w:r>
      <w:proofErr w:type="spellEnd"/>
      <w:r>
        <w:t xml:space="preserve"> (FAST-2). No estudo FAST-1, indivíduos com crises de gravidade moderada ou alta foram randomizados para receber </w:t>
      </w:r>
      <w:proofErr w:type="spellStart"/>
      <w:r>
        <w:t>icatibanto</w:t>
      </w:r>
      <w:proofErr w:type="spellEnd"/>
      <w:r>
        <w:t xml:space="preserve"> 30</w:t>
      </w:r>
      <w:r>
        <w:t xml:space="preserve"> </w:t>
      </w:r>
      <w:proofErr w:type="gramStart"/>
      <w:r>
        <w:t>mg</w:t>
      </w:r>
      <w:proofErr w:type="gramEnd"/>
      <w:r>
        <w:t xml:space="preserve"> por via subcutânea (n=27) ou placebo (n=29). Nesse estudo, não se demonstrou diferença estatisticamente significativa entre os grupos no desfecho primário, definido como o tempo (mediana) até alívio clinicamente relevante do sintoma índice (2,5 </w:t>
      </w:r>
      <w:r>
        <w:rPr>
          <w:i/>
        </w:rPr>
        <w:t xml:space="preserve">versus </w:t>
      </w:r>
      <w:r>
        <w:t xml:space="preserve">4,6 horas com </w:t>
      </w:r>
      <w:proofErr w:type="spellStart"/>
      <w:r>
        <w:t>icatibanto</w:t>
      </w:r>
      <w:proofErr w:type="spellEnd"/>
      <w:r>
        <w:t xml:space="preserve"> e placebo, respectivamente; p=0,14). Oito pacientes tiveram edema de laringe e receberam </w:t>
      </w:r>
      <w:proofErr w:type="spellStart"/>
      <w:r>
        <w:t>icatibanto</w:t>
      </w:r>
      <w:proofErr w:type="spellEnd"/>
      <w:r>
        <w:t xml:space="preserve"> em regime aberto; destes, três usaram medicamento de resgate (concentrado de C1, </w:t>
      </w:r>
      <w:proofErr w:type="spellStart"/>
      <w:r>
        <w:t>opioides</w:t>
      </w:r>
      <w:proofErr w:type="spellEnd"/>
      <w:r>
        <w:t xml:space="preserve">, </w:t>
      </w:r>
      <w:proofErr w:type="spellStart"/>
      <w:r>
        <w:t>antieméticos</w:t>
      </w:r>
      <w:proofErr w:type="spellEnd"/>
      <w:r>
        <w:t xml:space="preserve">) dentro de 24 horas após a </w:t>
      </w:r>
      <w:r>
        <w:t xml:space="preserve">administração de </w:t>
      </w:r>
      <w:proofErr w:type="spellStart"/>
      <w:r>
        <w:t>icatibanto</w:t>
      </w:r>
      <w:proofErr w:type="spellEnd"/>
      <w:r>
        <w:t xml:space="preserve"> (29).</w:t>
      </w:r>
    </w:p>
    <w:p w:rsidR="0094156D" w:rsidRDefault="009F1E1D">
      <w:pPr>
        <w:pStyle w:val="Corpodetexto"/>
        <w:spacing w:before="1"/>
        <w:ind w:left="112" w:right="103" w:firstLine="708"/>
        <w:jc w:val="both"/>
      </w:pPr>
      <w:r>
        <w:t xml:space="preserve">No estudo FAST-2, pacientes com sintomas moderados ou graves foram randomizados para </w:t>
      </w:r>
      <w:proofErr w:type="spellStart"/>
      <w:r>
        <w:t>icatibanto</w:t>
      </w:r>
      <w:proofErr w:type="spellEnd"/>
      <w:r>
        <w:t xml:space="preserve"> 30 </w:t>
      </w:r>
      <w:proofErr w:type="gramStart"/>
      <w:r>
        <w:t>mg</w:t>
      </w:r>
      <w:proofErr w:type="gramEnd"/>
      <w:r>
        <w:t xml:space="preserve"> (n=36) ou ácido </w:t>
      </w:r>
      <w:proofErr w:type="spellStart"/>
      <w:r>
        <w:t>tranexâmico</w:t>
      </w:r>
      <w:proofErr w:type="spellEnd"/>
      <w:r>
        <w:t xml:space="preserve"> (n=38) uma vez ao dia por 2 dias consecutivos. O cegamento foi quebrado no caso de desenvolv</w:t>
      </w:r>
      <w:r>
        <w:t xml:space="preserve">imento de edema de laringe, de forma que esses casos viessem a receber </w:t>
      </w:r>
      <w:proofErr w:type="spellStart"/>
      <w:r>
        <w:t>icatibanto</w:t>
      </w:r>
      <w:proofErr w:type="spellEnd"/>
      <w:r>
        <w:t xml:space="preserve">; houve ainda uma extensão aberta em que foi avaliado o </w:t>
      </w:r>
      <w:proofErr w:type="spellStart"/>
      <w:r>
        <w:t>retratramento</w:t>
      </w:r>
      <w:proofErr w:type="spellEnd"/>
      <w:r>
        <w:t xml:space="preserve"> de crises subsequentes com </w:t>
      </w:r>
      <w:proofErr w:type="spellStart"/>
      <w:r>
        <w:t>icatibanto</w:t>
      </w:r>
      <w:proofErr w:type="spellEnd"/>
      <w:r>
        <w:t xml:space="preserve">. O tempo (mediana) para alívio do sintoma índice foi de 2 horas no </w:t>
      </w:r>
      <w:r>
        <w:t xml:space="preserve">grupo </w:t>
      </w:r>
      <w:proofErr w:type="spellStart"/>
      <w:r>
        <w:t>icatibanto</w:t>
      </w:r>
      <w:proofErr w:type="spellEnd"/>
      <w:r>
        <w:t xml:space="preserve"> e 12 horas no grupo controle (p&lt;0,001). Três pacientes tiveram sintomas laríngeos e receberam </w:t>
      </w:r>
      <w:proofErr w:type="spellStart"/>
      <w:r>
        <w:t>icatibanto</w:t>
      </w:r>
      <w:proofErr w:type="spellEnd"/>
      <w:r>
        <w:t>; destes, nenhum usou medicamento de resgate, e um veio a ser intubado. No estudo FAST-1, não foram observados efeitos adversos graves.</w:t>
      </w:r>
      <w:r>
        <w:t xml:space="preserve"> No estudo FAST-2, 11% dos indivíduos no grupo </w:t>
      </w:r>
      <w:proofErr w:type="spellStart"/>
      <w:r>
        <w:t>icatibanto</w:t>
      </w:r>
      <w:proofErr w:type="spellEnd"/>
      <w:r>
        <w:t xml:space="preserve"> e 3% no grupo controle desenvolveram efeitos adversos graves (29).</w:t>
      </w:r>
    </w:p>
    <w:p w:rsidR="0094156D" w:rsidRDefault="009F1E1D">
      <w:pPr>
        <w:pStyle w:val="Corpodetexto"/>
        <w:spacing w:before="1"/>
        <w:ind w:left="112" w:right="103" w:firstLine="708"/>
        <w:jc w:val="both"/>
      </w:pPr>
      <w:r>
        <w:t xml:space="preserve">No estudo FAST-3, pacientes foram randomizados para receber </w:t>
      </w:r>
      <w:proofErr w:type="spellStart"/>
      <w:r>
        <w:t>icatibanto</w:t>
      </w:r>
      <w:proofErr w:type="spellEnd"/>
      <w:r>
        <w:t xml:space="preserve"> (n=46) ou placebo (n=47) dentro de </w:t>
      </w:r>
      <w:proofErr w:type="gramStart"/>
      <w:r>
        <w:t>6</w:t>
      </w:r>
      <w:proofErr w:type="gramEnd"/>
      <w:r>
        <w:t xml:space="preserve"> ou 12 horas, de acordo </w:t>
      </w:r>
      <w:r>
        <w:t xml:space="preserve">com a gravidade dos sintomas. Pacientes com sintomas laríngeos graves (n=5) receberam </w:t>
      </w:r>
      <w:proofErr w:type="spellStart"/>
      <w:r>
        <w:t>icatibanto</w:t>
      </w:r>
      <w:proofErr w:type="spellEnd"/>
      <w:r>
        <w:t xml:space="preserve"> em esquema </w:t>
      </w:r>
      <w:r>
        <w:rPr>
          <w:i/>
        </w:rPr>
        <w:t>open-</w:t>
      </w:r>
      <w:proofErr w:type="spellStart"/>
      <w:r>
        <w:rPr>
          <w:i/>
        </w:rPr>
        <w:t>label</w:t>
      </w:r>
      <w:proofErr w:type="spellEnd"/>
      <w:r>
        <w:rPr>
          <w:i/>
        </w:rPr>
        <w:t xml:space="preserve">. </w:t>
      </w:r>
      <w:r>
        <w:t>O desfecho primário, para pacientes com sintomas abdominais ou cutâneos foi o tempo até melhora de 50% da gravidade dos sintomas; para p</w:t>
      </w:r>
      <w:r>
        <w:t>acientes com sintomas laríngeos, foi o tempo até a redução de 50% da pontuação na escala visual de gravidade dos sintomas. Houve diferença estatisticamente significativa quanto ao desfecho primário entre</w:t>
      </w:r>
    </w:p>
    <w:p w:rsidR="0094156D" w:rsidRDefault="0094156D">
      <w:pPr>
        <w:jc w:val="both"/>
        <w:sectPr w:rsidR="0094156D">
          <w:pgSz w:w="11910" w:h="16850"/>
          <w:pgMar w:top="1600" w:right="460" w:bottom="280" w:left="1020" w:header="720" w:footer="720" w:gutter="0"/>
          <w:cols w:space="720"/>
        </w:sect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spacing w:before="9"/>
        <w:rPr>
          <w:sz w:val="18"/>
        </w:rPr>
      </w:pPr>
    </w:p>
    <w:p w:rsidR="0094156D" w:rsidRDefault="009F1E1D">
      <w:pPr>
        <w:pStyle w:val="Corpodetexto"/>
        <w:spacing w:before="90"/>
        <w:ind w:left="112" w:right="105"/>
        <w:jc w:val="both"/>
      </w:pPr>
      <w:proofErr w:type="gramStart"/>
      <w:r>
        <w:t>pacientes</w:t>
      </w:r>
      <w:proofErr w:type="gramEnd"/>
      <w:r>
        <w:t xml:space="preserve"> com sintomas abdominais/cutâneos que receberam </w:t>
      </w:r>
      <w:proofErr w:type="spellStart"/>
      <w:r>
        <w:t>icatibanto</w:t>
      </w:r>
      <w:proofErr w:type="spellEnd"/>
      <w:r>
        <w:t xml:space="preserve"> e placebo (2 </w:t>
      </w:r>
      <w:r>
        <w:rPr>
          <w:i/>
        </w:rPr>
        <w:t xml:space="preserve">versus </w:t>
      </w:r>
      <w:r>
        <w:t xml:space="preserve">19,8 h, respectivamente; p &lt; 0,001); já em pacientes com sintomas laríngeos não se observou diferença estatisticamente significativa (2,5 e 3,2 h para </w:t>
      </w:r>
      <w:proofErr w:type="spellStart"/>
      <w:r>
        <w:t>icatibanto</w:t>
      </w:r>
      <w:proofErr w:type="spellEnd"/>
      <w:r>
        <w:t xml:space="preserve"> </w:t>
      </w:r>
      <w:r>
        <w:rPr>
          <w:i/>
        </w:rPr>
        <w:t>versus</w:t>
      </w:r>
      <w:r>
        <w:rPr>
          <w:i/>
        </w:rPr>
        <w:t xml:space="preserve"> </w:t>
      </w:r>
      <w:r>
        <w:t>placebo, respectivamente) (30).</w:t>
      </w:r>
    </w:p>
    <w:p w:rsidR="0094156D" w:rsidRDefault="009F1E1D">
      <w:pPr>
        <w:pStyle w:val="Corpodetexto"/>
        <w:ind w:left="112" w:right="103" w:firstLine="708"/>
        <w:jc w:val="both"/>
      </w:pPr>
      <w:r>
        <w:t xml:space="preserve">Críticas aos estudos com </w:t>
      </w:r>
      <w:proofErr w:type="spellStart"/>
      <w:r>
        <w:t>icatibanto</w:t>
      </w:r>
      <w:proofErr w:type="spellEnd"/>
      <w:r>
        <w:t xml:space="preserve"> incluem a falta de comparação com tratamento ativo (plasma) e problemas na apresentação dos dados. Em todos os estudos, foi permitido o uso de medicamentos de resgate, incluindo concentra</w:t>
      </w:r>
      <w:r>
        <w:t xml:space="preserve">do de C1; entretanto, o impacto de </w:t>
      </w:r>
      <w:proofErr w:type="spellStart"/>
      <w:r>
        <w:t>cointervenções</w:t>
      </w:r>
      <w:proofErr w:type="spellEnd"/>
      <w:r>
        <w:t xml:space="preserve"> nos resultados não foi devidamente avaliado. Desfechos duros como a necessidade de intubação e tempo de hospitalização também não foram avaliados. Além disso, o delineamento aberto prejudicou a avaliação do</w:t>
      </w:r>
      <w:r>
        <w:t xml:space="preserve"> efeito para sintomas laríngeos. Dessa forma, o uso do </w:t>
      </w:r>
      <w:proofErr w:type="spellStart"/>
      <w:r>
        <w:t>icatibanto</w:t>
      </w:r>
      <w:proofErr w:type="spellEnd"/>
      <w:r>
        <w:t xml:space="preserve"> não foi recomendado pela Comissão Nacional de Incorporação de Tecnologias (CONITEC) em junho de 2015, após Consulta Pública (</w:t>
      </w:r>
      <w:hyperlink r:id="rId15">
        <w:r>
          <w:t>http://conitec.gov.br/images/Consultas/Relatorios/2015/Relatorio_IcatibantoAngioedema_CP.pdf)</w:t>
        </w:r>
      </w:hyperlink>
      <w:proofErr w:type="gramStart"/>
      <w:r>
        <w:t xml:space="preserve">  </w:t>
      </w:r>
      <w:proofErr w:type="gramEnd"/>
      <w:r>
        <w:t>(31) e, sendo assim, não está indicado neste</w:t>
      </w:r>
      <w:r>
        <w:rPr>
          <w:spacing w:val="-2"/>
        </w:rPr>
        <w:t xml:space="preserve"> </w:t>
      </w:r>
      <w:r>
        <w:t>Protocolo.</w:t>
      </w:r>
    </w:p>
    <w:p w:rsidR="0094156D" w:rsidRDefault="0094156D">
      <w:pPr>
        <w:pStyle w:val="Corpodetexto"/>
      </w:pPr>
    </w:p>
    <w:p w:rsidR="0094156D" w:rsidRDefault="009F1E1D">
      <w:pPr>
        <w:pStyle w:val="PargrafodaLista"/>
        <w:numPr>
          <w:ilvl w:val="1"/>
          <w:numId w:val="4"/>
        </w:numPr>
        <w:tabs>
          <w:tab w:val="left" w:pos="1040"/>
        </w:tabs>
        <w:spacing w:before="1"/>
        <w:rPr>
          <w:sz w:val="24"/>
        </w:rPr>
      </w:pPr>
      <w:r>
        <w:rPr>
          <w:sz w:val="24"/>
        </w:rPr>
        <w:t>FÁRMACO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ind w:firstLine="567"/>
        <w:rPr>
          <w:sz w:val="24"/>
        </w:rPr>
      </w:pPr>
      <w:proofErr w:type="spellStart"/>
      <w:r>
        <w:rPr>
          <w:sz w:val="24"/>
        </w:rPr>
        <w:t>Danazol</w:t>
      </w:r>
      <w:proofErr w:type="spellEnd"/>
      <w:r>
        <w:rPr>
          <w:sz w:val="24"/>
        </w:rPr>
        <w:t>: cápsula de 100 e 200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mg</w:t>
      </w:r>
      <w:proofErr w:type="gramEnd"/>
    </w:p>
    <w:p w:rsidR="0094156D" w:rsidRDefault="0094156D">
      <w:pPr>
        <w:pStyle w:val="Corpodetexto"/>
      </w:pPr>
    </w:p>
    <w:p w:rsidR="0094156D" w:rsidRDefault="009F1E1D">
      <w:pPr>
        <w:pStyle w:val="PargrafodaLista"/>
        <w:numPr>
          <w:ilvl w:val="1"/>
          <w:numId w:val="4"/>
        </w:numPr>
        <w:tabs>
          <w:tab w:val="left" w:pos="1040"/>
        </w:tabs>
        <w:rPr>
          <w:sz w:val="24"/>
        </w:rPr>
      </w:pPr>
      <w:r>
        <w:rPr>
          <w:sz w:val="24"/>
        </w:rPr>
        <w:t>ESQUEMAS DE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z w:val="24"/>
        </w:rPr>
        <w:t>MINISTRAÇÃO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29"/>
        </w:tabs>
        <w:ind w:right="104" w:firstLine="567"/>
        <w:jc w:val="both"/>
        <w:rPr>
          <w:sz w:val="24"/>
        </w:rPr>
      </w:pPr>
      <w:proofErr w:type="spellStart"/>
      <w:r>
        <w:rPr>
          <w:sz w:val="24"/>
        </w:rPr>
        <w:t>Danazol</w:t>
      </w:r>
      <w:proofErr w:type="spellEnd"/>
      <w:r>
        <w:rPr>
          <w:sz w:val="24"/>
        </w:rPr>
        <w:t xml:space="preserve">: 200 </w:t>
      </w:r>
      <w:proofErr w:type="gramStart"/>
      <w:r>
        <w:rPr>
          <w:sz w:val="24"/>
        </w:rPr>
        <w:t>mg</w:t>
      </w:r>
      <w:proofErr w:type="gramEnd"/>
      <w:r>
        <w:rPr>
          <w:sz w:val="24"/>
        </w:rPr>
        <w:t xml:space="preserve">, por via oral, divididos em duas administrações diárias, durante o primeiro mês. Após o primeiro mês, a dose deve ser ajustada conforme resposta clínica e laboratorial (ver Monitorização). Dose máxima diária de 600 </w:t>
      </w:r>
      <w:proofErr w:type="gramStart"/>
      <w:r>
        <w:rPr>
          <w:sz w:val="24"/>
        </w:rPr>
        <w:t>mg</w:t>
      </w:r>
      <w:proofErr w:type="gramEnd"/>
      <w:r>
        <w:rPr>
          <w:sz w:val="24"/>
        </w:rPr>
        <w:t xml:space="preserve"> para profi</w:t>
      </w:r>
      <w:r>
        <w:rPr>
          <w:sz w:val="24"/>
        </w:rPr>
        <w:t>laxia a longo prazo (o uso de doses acima de 200 mg/dia, nesses casos, deve ser considerado somente em casos especiais – item 7 Casos Especiais) (14).</w:t>
      </w:r>
    </w:p>
    <w:p w:rsidR="0094156D" w:rsidRDefault="009F1E1D">
      <w:pPr>
        <w:pStyle w:val="Corpodetexto"/>
        <w:ind w:left="112" w:right="105" w:firstLine="566"/>
        <w:jc w:val="both"/>
      </w:pPr>
      <w:r>
        <w:t xml:space="preserve">Nos casos em que o paciente será exposto à situação potencialmente desencadeadora de crise, o </w:t>
      </w:r>
      <w:proofErr w:type="spellStart"/>
      <w:r>
        <w:t>danazol</w:t>
      </w:r>
      <w:proofErr w:type="spellEnd"/>
      <w:r>
        <w:t xml:space="preserve"> dev</w:t>
      </w:r>
      <w:r>
        <w:t xml:space="preserve">e ser administrado na dose de 400-600 </w:t>
      </w:r>
      <w:proofErr w:type="gramStart"/>
      <w:r>
        <w:t>mg</w:t>
      </w:r>
      <w:proofErr w:type="gramEnd"/>
      <w:r>
        <w:t>/dia nos 5 dias anteriores ao procedimento, e nos 3 dias posteriores ao procedimento (1).</w:t>
      </w:r>
    </w:p>
    <w:p w:rsidR="0094156D" w:rsidRDefault="0094156D">
      <w:pPr>
        <w:pStyle w:val="Corpodetexto"/>
      </w:pPr>
    </w:p>
    <w:p w:rsidR="0094156D" w:rsidRDefault="009F1E1D">
      <w:pPr>
        <w:pStyle w:val="PargrafodaLista"/>
        <w:numPr>
          <w:ilvl w:val="1"/>
          <w:numId w:val="4"/>
        </w:numPr>
        <w:tabs>
          <w:tab w:val="left" w:pos="1040"/>
        </w:tabs>
        <w:rPr>
          <w:sz w:val="24"/>
        </w:rPr>
      </w:pPr>
      <w:r>
        <w:rPr>
          <w:sz w:val="24"/>
        </w:rPr>
        <w:t>TEMPO DE TRATAMENTO - CRITÉRIOS DE INTERRUPÇÃO</w:t>
      </w:r>
    </w:p>
    <w:p w:rsidR="0094156D" w:rsidRDefault="009F1E1D">
      <w:pPr>
        <w:pStyle w:val="Corpodetexto"/>
        <w:ind w:left="112" w:right="105" w:firstLine="566"/>
        <w:jc w:val="both"/>
      </w:pPr>
      <w:r>
        <w:t>O tratamento deve ser mantido continuadamente. A menor dose do medicamento dev</w:t>
      </w:r>
      <w:r>
        <w:t>e ser estabelecida para o controle dos sintomas clínicos e minimização dos efeitos adversos. Na presença de tumores hepáticos, o tratamento deve ser interrompido.</w:t>
      </w:r>
    </w:p>
    <w:p w:rsidR="0094156D" w:rsidRDefault="0094156D">
      <w:pPr>
        <w:pStyle w:val="Corpodetexto"/>
        <w:spacing w:before="1"/>
      </w:pPr>
    </w:p>
    <w:p w:rsidR="0094156D" w:rsidRDefault="009F1E1D">
      <w:pPr>
        <w:pStyle w:val="PargrafodaLista"/>
        <w:numPr>
          <w:ilvl w:val="1"/>
          <w:numId w:val="4"/>
        </w:numPr>
        <w:tabs>
          <w:tab w:val="left" w:pos="1040"/>
        </w:tabs>
        <w:rPr>
          <w:sz w:val="24"/>
        </w:rPr>
      </w:pP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ESPERADOS</w:t>
      </w:r>
    </w:p>
    <w:p w:rsidR="0094156D" w:rsidRDefault="009F1E1D">
      <w:pPr>
        <w:pStyle w:val="PargrafodaLista"/>
        <w:numPr>
          <w:ilvl w:val="1"/>
          <w:numId w:val="6"/>
        </w:numPr>
        <w:tabs>
          <w:tab w:val="left" w:pos="819"/>
        </w:tabs>
        <w:ind w:firstLine="567"/>
        <w:rPr>
          <w:sz w:val="24"/>
        </w:rPr>
      </w:pPr>
      <w:r>
        <w:rPr>
          <w:sz w:val="24"/>
        </w:rPr>
        <w:t>Redução do número ou da gravidade das manifestações 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angioedema</w:t>
      </w:r>
      <w:proofErr w:type="spellEnd"/>
      <w:r>
        <w:rPr>
          <w:sz w:val="24"/>
        </w:rPr>
        <w:t>.</w:t>
      </w:r>
    </w:p>
    <w:p w:rsidR="0094156D" w:rsidRDefault="0094156D">
      <w:pPr>
        <w:pStyle w:val="Corpodetexto"/>
      </w:pPr>
    </w:p>
    <w:p w:rsidR="0094156D" w:rsidRDefault="009F1E1D">
      <w:pPr>
        <w:pStyle w:val="PargrafodaLista"/>
        <w:numPr>
          <w:ilvl w:val="0"/>
          <w:numId w:val="4"/>
        </w:numPr>
        <w:tabs>
          <w:tab w:val="left" w:pos="294"/>
        </w:tabs>
        <w:ind w:left="293" w:hanging="181"/>
        <w:jc w:val="left"/>
        <w:rPr>
          <w:sz w:val="24"/>
        </w:rPr>
      </w:pPr>
      <w:r>
        <w:rPr>
          <w:sz w:val="24"/>
        </w:rPr>
        <w:t>MONITORIZAÇÃO</w:t>
      </w:r>
    </w:p>
    <w:p w:rsidR="0094156D" w:rsidRDefault="009F1E1D">
      <w:pPr>
        <w:pStyle w:val="Corpodetexto"/>
        <w:ind w:left="112" w:right="104" w:firstLine="708"/>
        <w:jc w:val="both"/>
      </w:pPr>
      <w:r>
        <w:t>Após o primeiro mês de tratamento, avaliar a resposta clínica (ausência de evento agudo) e laboratorial (atividade da C1-INH em aproximadamente 50% do valor normal e C4 dentro dos valores normais). Se o resultado inicial for satisfatório, pro</w:t>
      </w:r>
      <w:r>
        <w:t xml:space="preserve">mover a redução da dose do </w:t>
      </w:r>
      <w:proofErr w:type="spellStart"/>
      <w:r>
        <w:t>danazol</w:t>
      </w:r>
      <w:proofErr w:type="spellEnd"/>
      <w:r>
        <w:t xml:space="preserve"> para a menor dose capaz de controlar os sintomas clínicos. Com vistas a reduzir o potencial para efeitos adversos, a menor dose eficaz deve ser a utilizada (32).</w:t>
      </w:r>
    </w:p>
    <w:p w:rsidR="0094156D" w:rsidRDefault="009F1E1D">
      <w:pPr>
        <w:pStyle w:val="Corpodetexto"/>
        <w:spacing w:before="1"/>
        <w:ind w:left="112" w:right="102" w:firstLine="566"/>
        <w:jc w:val="both"/>
      </w:pPr>
      <w:r>
        <w:t>O paciente deve ser acompanhado pela possibilidade de desen</w:t>
      </w:r>
      <w:r>
        <w:t>volver adenoma hepático e hipertensão intracraniana benigna (</w:t>
      </w:r>
      <w:proofErr w:type="spellStart"/>
      <w:proofErr w:type="gramStart"/>
      <w:r>
        <w:t>pseudo-tumor</w:t>
      </w:r>
      <w:proofErr w:type="spellEnd"/>
      <w:proofErr w:type="gramEnd"/>
      <w:r>
        <w:t xml:space="preserve"> cerebral) com o uso prolongado de </w:t>
      </w:r>
      <w:proofErr w:type="spellStart"/>
      <w:r>
        <w:t>danazol</w:t>
      </w:r>
      <w:proofErr w:type="spellEnd"/>
      <w:r>
        <w:t xml:space="preserve"> (33). É controversa a associação entre o uso de </w:t>
      </w:r>
      <w:proofErr w:type="spellStart"/>
      <w:r>
        <w:t>danazol</w:t>
      </w:r>
      <w:proofErr w:type="spellEnd"/>
      <w:r>
        <w:t xml:space="preserve"> e o risco aumentado de aterosclerose (34-36). Estudos de acompanhamento de longo pra</w:t>
      </w:r>
      <w:r>
        <w:t xml:space="preserve">zo de pacientes em uso de </w:t>
      </w:r>
      <w:proofErr w:type="spellStart"/>
      <w:r>
        <w:t>danazol</w:t>
      </w:r>
      <w:proofErr w:type="spellEnd"/>
      <w:r>
        <w:t xml:space="preserve"> demonstram que o benefício da prevenção de crises é maior em casos mais graves e que a monitorização de efeitos adversos deve ser mandatória</w:t>
      </w:r>
      <w:r>
        <w:rPr>
          <w:spacing w:val="8"/>
        </w:rPr>
        <w:t xml:space="preserve"> </w:t>
      </w:r>
      <w:r>
        <w:t>(17,18).</w:t>
      </w:r>
      <w:r>
        <w:rPr>
          <w:spacing w:val="8"/>
        </w:rPr>
        <w:t xml:space="preserve"> </w:t>
      </w:r>
      <w:proofErr w:type="spellStart"/>
      <w:r>
        <w:t>Farkas</w:t>
      </w:r>
      <w:proofErr w:type="spellEnd"/>
      <w:r>
        <w:rPr>
          <w:spacing w:val="8"/>
        </w:rPr>
        <w:t xml:space="preserve"> </w:t>
      </w:r>
      <w:proofErr w:type="gramStart"/>
      <w:r>
        <w:t>et</w:t>
      </w:r>
      <w:proofErr w:type="gramEnd"/>
      <w:r>
        <w:rPr>
          <w:spacing w:val="8"/>
        </w:rPr>
        <w:t xml:space="preserve"> </w:t>
      </w:r>
      <w:r>
        <w:t>al.</w:t>
      </w:r>
      <w:r>
        <w:rPr>
          <w:spacing w:val="8"/>
        </w:rPr>
        <w:t xml:space="preserve"> </w:t>
      </w:r>
      <w:r>
        <w:t>(37),</w:t>
      </w:r>
      <w:r>
        <w:rPr>
          <w:spacing w:val="10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estudo</w:t>
      </w:r>
      <w:r>
        <w:rPr>
          <w:spacing w:val="8"/>
        </w:rPr>
        <w:t xml:space="preserve"> </w:t>
      </w:r>
      <w:r>
        <w:t>longitudinal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retrospectivo,</w:t>
      </w:r>
      <w:r>
        <w:rPr>
          <w:spacing w:val="8"/>
        </w:rPr>
        <w:t xml:space="preserve"> </w:t>
      </w:r>
      <w:r>
        <w:t>avaliaram</w:t>
      </w:r>
      <w:r>
        <w:rPr>
          <w:spacing w:val="9"/>
        </w:rPr>
        <w:t xml:space="preserve"> </w:t>
      </w:r>
      <w:r>
        <w:t>92</w:t>
      </w:r>
      <w:r>
        <w:rPr>
          <w:spacing w:val="8"/>
        </w:rPr>
        <w:t xml:space="preserve"> </w:t>
      </w:r>
      <w:r>
        <w:t>pacientes</w:t>
      </w:r>
    </w:p>
    <w:p w:rsidR="0094156D" w:rsidRDefault="0094156D">
      <w:pPr>
        <w:jc w:val="both"/>
        <w:sectPr w:rsidR="0094156D">
          <w:pgSz w:w="11910" w:h="16850"/>
          <w:pgMar w:top="1600" w:right="460" w:bottom="280" w:left="1020" w:header="720" w:footer="720" w:gutter="0"/>
          <w:cols w:space="720"/>
        </w:sect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spacing w:before="9"/>
        <w:rPr>
          <w:sz w:val="18"/>
        </w:rPr>
      </w:pPr>
    </w:p>
    <w:p w:rsidR="0094156D" w:rsidRDefault="009F1E1D">
      <w:pPr>
        <w:pStyle w:val="Corpodetexto"/>
        <w:spacing w:before="90"/>
        <w:ind w:left="112" w:right="104"/>
        <w:jc w:val="both"/>
      </w:pPr>
      <w:proofErr w:type="gramStart"/>
      <w:r>
        <w:t>com</w:t>
      </w:r>
      <w:proofErr w:type="gramEnd"/>
      <w:r>
        <w:t xml:space="preserve"> AEH, sendo 46 em uso de </w:t>
      </w:r>
      <w:proofErr w:type="spellStart"/>
      <w:r>
        <w:t>danazol</w:t>
      </w:r>
      <w:proofErr w:type="spellEnd"/>
      <w:r>
        <w:t xml:space="preserve"> (dose diária de manutenção: 33-200 mg/dia) e 46 sem tratamento, por um período mínimo de 4 anos, não sendo encontradas, entre os dois grupos, diferenças clinicamente relevantes nos parâme</w:t>
      </w:r>
      <w:r>
        <w:t xml:space="preserve">tros de função e de ultrassonografia hepática. Tais autores sugerem que o desenvolvimento de tumores hepáticos associado ao uso de </w:t>
      </w:r>
      <w:proofErr w:type="spellStart"/>
      <w:r>
        <w:t>danazol</w:t>
      </w:r>
      <w:proofErr w:type="spellEnd"/>
      <w:r>
        <w:t xml:space="preserve"> está associado a doses diárias elevadas desse medicamento (400-800 </w:t>
      </w:r>
      <w:proofErr w:type="gramStart"/>
      <w:r>
        <w:t>mg</w:t>
      </w:r>
      <w:proofErr w:type="gramEnd"/>
      <w:r>
        <w:t>), à falta de monitorização dos pacientes e ao m</w:t>
      </w:r>
      <w:r>
        <w:t xml:space="preserve">aior tempo de uso do </w:t>
      </w:r>
      <w:proofErr w:type="spellStart"/>
      <w:r>
        <w:t>danazol</w:t>
      </w:r>
      <w:proofErr w:type="spellEnd"/>
      <w:r>
        <w:t xml:space="preserve"> (neste caso, independente da dose), e chamam a atenção para a necessidade de definição da menor dose clinicamente</w:t>
      </w:r>
      <w:r>
        <w:rPr>
          <w:spacing w:val="-3"/>
        </w:rPr>
        <w:t xml:space="preserve"> </w:t>
      </w:r>
      <w:r>
        <w:t>eficaz.</w:t>
      </w:r>
    </w:p>
    <w:p w:rsidR="0094156D" w:rsidRDefault="009F1E1D">
      <w:pPr>
        <w:pStyle w:val="Corpodetexto"/>
        <w:ind w:left="112" w:right="106" w:firstLine="708"/>
        <w:jc w:val="both"/>
      </w:pPr>
      <w:r>
        <w:t xml:space="preserve">Efeitos androgênicos, como mudança de voz, acne, aumento de </w:t>
      </w:r>
      <w:proofErr w:type="gramStart"/>
      <w:r>
        <w:t>pelos,</w:t>
      </w:r>
      <w:proofErr w:type="gramEnd"/>
      <w:r>
        <w:t xml:space="preserve"> irregularidade menstrual e acúmulo de </w:t>
      </w:r>
      <w:r>
        <w:t>gordura, entre outros, devem ser acompanhados.</w:t>
      </w:r>
    </w:p>
    <w:p w:rsidR="0094156D" w:rsidRDefault="009F1E1D">
      <w:pPr>
        <w:pStyle w:val="Corpodetexto"/>
        <w:spacing w:before="1"/>
        <w:ind w:left="112" w:right="103" w:firstLine="708"/>
        <w:jc w:val="both"/>
      </w:pPr>
      <w:r>
        <w:t xml:space="preserve">Em relação aos efeitos adversos, devem ser avaliados hematócrito, hemoglobina, AST/TGO, ALT/TGP, </w:t>
      </w:r>
      <w:proofErr w:type="spellStart"/>
      <w:r>
        <w:t>fosfatase</w:t>
      </w:r>
      <w:proofErr w:type="spellEnd"/>
      <w:r>
        <w:t xml:space="preserve"> alcalina, colesterol total e frações, triglicerídeos, e realizado exame qualitativo de urina a cada </w:t>
      </w:r>
      <w:proofErr w:type="gramStart"/>
      <w:r>
        <w:t>6</w:t>
      </w:r>
      <w:proofErr w:type="gramEnd"/>
      <w:r>
        <w:t xml:space="preserve"> </w:t>
      </w:r>
      <w:r>
        <w:t>meses (38). A maioria das alterações bioquímicas associadas é dependente de dose e sem repercussão clínica, mas deve ser controlada de forma individualizada, sendo raramente necessária a suspensão do medicamento.</w:t>
      </w:r>
    </w:p>
    <w:p w:rsidR="0094156D" w:rsidRDefault="009F1E1D">
      <w:pPr>
        <w:pStyle w:val="Corpodetexto"/>
        <w:ind w:left="112" w:right="103" w:firstLine="708"/>
        <w:jc w:val="both"/>
      </w:pPr>
      <w:r>
        <w:t xml:space="preserve">Inexiste evidência, </w:t>
      </w:r>
      <w:proofErr w:type="gramStart"/>
      <w:r>
        <w:t>a longo prazo</w:t>
      </w:r>
      <w:proofErr w:type="gramEnd"/>
      <w:r>
        <w:t>, de aumen</w:t>
      </w:r>
      <w:r>
        <w:t xml:space="preserve">to do risco de ocorrência de eventos cardiovasculares ou de complicações ateroscleróticas em pacientes tratados com o </w:t>
      </w:r>
      <w:proofErr w:type="spellStart"/>
      <w:r>
        <w:t>danazol</w:t>
      </w:r>
      <w:proofErr w:type="spellEnd"/>
      <w:r>
        <w:t>. Sugere-se ultrassonografia abdominal anual para visualização hepática, devido ao risco de desenvolvimento de adenoma hepático e c</w:t>
      </w:r>
      <w:r>
        <w:t xml:space="preserve">arcinoma </w:t>
      </w:r>
      <w:proofErr w:type="spellStart"/>
      <w:r>
        <w:t>hepatocelular</w:t>
      </w:r>
      <w:proofErr w:type="spellEnd"/>
      <w:r>
        <w:t xml:space="preserve">, complicações raras que tendem a ocorrer após 10 anos do início do tratamento, mesmo com o uso de baixas doses de </w:t>
      </w:r>
      <w:proofErr w:type="spellStart"/>
      <w:r>
        <w:t>danazol</w:t>
      </w:r>
      <w:proofErr w:type="spellEnd"/>
      <w:r>
        <w:t>, e que nem sempre são precedidas por história de doença hepática ou de alteração de testes de função hepática (</w:t>
      </w:r>
      <w:r>
        <w:t>38,39).</w:t>
      </w:r>
    </w:p>
    <w:p w:rsidR="0094156D" w:rsidRDefault="009F1E1D">
      <w:pPr>
        <w:pStyle w:val="Corpodetexto"/>
        <w:ind w:left="112" w:right="99" w:firstLine="708"/>
        <w:jc w:val="both"/>
      </w:pPr>
      <w:r>
        <w:t xml:space="preserve">Em pacientes em uso de </w:t>
      </w:r>
      <w:proofErr w:type="spellStart"/>
      <w:r>
        <w:t>danazol</w:t>
      </w:r>
      <w:proofErr w:type="spellEnd"/>
      <w:r>
        <w:t xml:space="preserve"> e </w:t>
      </w:r>
      <w:proofErr w:type="spellStart"/>
      <w:r>
        <w:t>carbamazepina</w:t>
      </w:r>
      <w:proofErr w:type="spellEnd"/>
      <w:r>
        <w:t xml:space="preserve"> podem ocorrer significantes aumentos dos níveis de </w:t>
      </w:r>
      <w:proofErr w:type="spellStart"/>
      <w:r>
        <w:t>carbamazepina</w:t>
      </w:r>
      <w:proofErr w:type="spellEnd"/>
      <w:r>
        <w:t xml:space="preserve"> com resultante toxicidade. Deve-se evitar o uso de inibidores da enzima conversora de angiotensina (ECA) e estrogênios, por serem potencialmente</w:t>
      </w:r>
      <w:r>
        <w:t xml:space="preserve"> desencadeadores de crises</w:t>
      </w:r>
      <w:r>
        <w:rPr>
          <w:spacing w:val="-14"/>
        </w:rPr>
        <w:t xml:space="preserve"> </w:t>
      </w:r>
      <w:r>
        <w:t>(1).</w:t>
      </w:r>
    </w:p>
    <w:p w:rsidR="0094156D" w:rsidRDefault="0094156D">
      <w:pPr>
        <w:pStyle w:val="Corpodetexto"/>
      </w:pPr>
    </w:p>
    <w:p w:rsidR="0094156D" w:rsidRDefault="009F1E1D">
      <w:pPr>
        <w:pStyle w:val="PargrafodaLista"/>
        <w:numPr>
          <w:ilvl w:val="0"/>
          <w:numId w:val="3"/>
        </w:numPr>
        <w:tabs>
          <w:tab w:val="left" w:pos="474"/>
        </w:tabs>
        <w:rPr>
          <w:sz w:val="24"/>
        </w:rPr>
      </w:pPr>
      <w:r>
        <w:rPr>
          <w:sz w:val="24"/>
        </w:rPr>
        <w:t>REGULAÇÃO/CONTROLE/AVALIAÇÃO PELO GESTOR</w:t>
      </w:r>
    </w:p>
    <w:p w:rsidR="0094156D" w:rsidRDefault="009F1E1D">
      <w:pPr>
        <w:pStyle w:val="Corpodetexto"/>
        <w:ind w:left="112" w:right="104" w:firstLine="566"/>
        <w:jc w:val="both"/>
      </w:pPr>
      <w:r>
        <w:t>Devem ser observados os critérios de inclusão e exclusão de pacientes neste PCDT, a duração e a monitorização do tratamento, bem como a verificação periódica das doses do medicamento</w:t>
      </w:r>
      <w:r>
        <w:t xml:space="preserve"> prescritas e dispensadas e da adequação de uso.</w:t>
      </w:r>
    </w:p>
    <w:p w:rsidR="0094156D" w:rsidRDefault="009F1E1D">
      <w:pPr>
        <w:pStyle w:val="Corpodetexto"/>
        <w:spacing w:before="1"/>
        <w:ind w:left="112" w:right="103" w:firstLine="566"/>
        <w:jc w:val="both"/>
      </w:pPr>
      <w:r>
        <w:t xml:space="preserve">Verificar na Relação Nacional de Medicamentos </w:t>
      </w:r>
      <w:proofErr w:type="gramStart"/>
      <w:r>
        <w:t>Essenciais (RENAME) vigente</w:t>
      </w:r>
      <w:proofErr w:type="gramEnd"/>
      <w:r>
        <w:t xml:space="preserve"> em qual componente da Assistência Farmacêutica se encontra o medicamento preconizado neste Protocolo.</w:t>
      </w:r>
    </w:p>
    <w:p w:rsidR="0094156D" w:rsidRDefault="0094156D">
      <w:pPr>
        <w:pStyle w:val="Corpodetexto"/>
      </w:pPr>
    </w:p>
    <w:p w:rsidR="0094156D" w:rsidRDefault="009F1E1D">
      <w:pPr>
        <w:pStyle w:val="PargrafodaLista"/>
        <w:numPr>
          <w:ilvl w:val="0"/>
          <w:numId w:val="3"/>
        </w:numPr>
        <w:tabs>
          <w:tab w:val="left" w:pos="474"/>
        </w:tabs>
        <w:rPr>
          <w:sz w:val="24"/>
        </w:rPr>
      </w:pPr>
      <w:r>
        <w:rPr>
          <w:sz w:val="24"/>
        </w:rPr>
        <w:t>TERMO DE ESCLARECIMENTO E RESP</w:t>
      </w:r>
      <w:r>
        <w:rPr>
          <w:sz w:val="24"/>
        </w:rPr>
        <w:t>ONSABILIDADE -</w:t>
      </w:r>
      <w:r>
        <w:rPr>
          <w:spacing w:val="-4"/>
          <w:sz w:val="24"/>
        </w:rPr>
        <w:t xml:space="preserve"> </w:t>
      </w:r>
      <w:r>
        <w:rPr>
          <w:sz w:val="24"/>
        </w:rPr>
        <w:t>TER</w:t>
      </w:r>
    </w:p>
    <w:p w:rsidR="0094156D" w:rsidRDefault="009F1E1D">
      <w:pPr>
        <w:pStyle w:val="Corpodetexto"/>
        <w:ind w:left="112" w:right="103" w:firstLine="566"/>
        <w:jc w:val="both"/>
      </w:pPr>
      <w:r>
        <w:t>Deve-se informar ao paciente, ou seu responsável legal, sobre os potenciais riscos, benefícios e efeitos adversos relacionados ao uso do medicamento do Componente Especializado da Assistência Farmacêutica preconizado neste Protocolo, lev</w:t>
      </w:r>
      <w:r>
        <w:t>ando-se em consideração as informações contidas no TER.</w:t>
      </w:r>
    </w:p>
    <w:p w:rsidR="0094156D" w:rsidRDefault="0094156D">
      <w:pPr>
        <w:pStyle w:val="Corpodetexto"/>
      </w:pPr>
    </w:p>
    <w:p w:rsidR="0094156D" w:rsidRDefault="009F1E1D">
      <w:pPr>
        <w:pStyle w:val="PargrafodaLista"/>
        <w:numPr>
          <w:ilvl w:val="0"/>
          <w:numId w:val="3"/>
        </w:numPr>
        <w:tabs>
          <w:tab w:val="left" w:pos="474"/>
        </w:tabs>
        <w:rPr>
          <w:sz w:val="24"/>
        </w:rPr>
      </w:pPr>
      <w:r>
        <w:rPr>
          <w:sz w:val="24"/>
        </w:rPr>
        <w:t>REFERÊNCIAS</w:t>
      </w:r>
      <w:r>
        <w:rPr>
          <w:spacing w:val="-1"/>
          <w:sz w:val="24"/>
        </w:rPr>
        <w:t xml:space="preserve"> </w:t>
      </w:r>
      <w:r>
        <w:rPr>
          <w:sz w:val="24"/>
        </w:rPr>
        <w:t>BIBLIOGRÁFICAS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7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Cicardi</w:t>
      </w:r>
      <w:proofErr w:type="spellEnd"/>
      <w:r w:rsidRPr="009F1E1D">
        <w:rPr>
          <w:color w:val="05082C"/>
          <w:sz w:val="24"/>
          <w:lang w:val="en-US"/>
        </w:rPr>
        <w:t xml:space="preserve"> M, </w:t>
      </w:r>
      <w:proofErr w:type="spellStart"/>
      <w:r w:rsidRPr="009F1E1D">
        <w:rPr>
          <w:color w:val="05082C"/>
          <w:sz w:val="24"/>
          <w:lang w:val="en-US"/>
        </w:rPr>
        <w:t>Aberer</w:t>
      </w:r>
      <w:proofErr w:type="spellEnd"/>
      <w:r w:rsidRPr="009F1E1D">
        <w:rPr>
          <w:color w:val="05082C"/>
          <w:sz w:val="24"/>
          <w:lang w:val="en-US"/>
        </w:rPr>
        <w:t xml:space="preserve"> W, </w:t>
      </w:r>
      <w:proofErr w:type="spellStart"/>
      <w:r w:rsidRPr="009F1E1D">
        <w:rPr>
          <w:color w:val="05082C"/>
          <w:sz w:val="24"/>
          <w:lang w:val="en-US"/>
        </w:rPr>
        <w:t>Banerji</w:t>
      </w:r>
      <w:proofErr w:type="spellEnd"/>
      <w:r w:rsidRPr="009F1E1D">
        <w:rPr>
          <w:color w:val="05082C"/>
          <w:sz w:val="24"/>
          <w:lang w:val="en-US"/>
        </w:rPr>
        <w:t xml:space="preserve"> A, Bas M, Bernstein JA, Bork K, et al. Classification, diagnosis, and approach to treatment for angioedema: consensus report from the Hereditary Angioedema International Working Group. </w:t>
      </w:r>
      <w:proofErr w:type="spellStart"/>
      <w:r>
        <w:rPr>
          <w:color w:val="05082C"/>
          <w:sz w:val="24"/>
        </w:rPr>
        <w:t>Allergy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-2"/>
          <w:sz w:val="24"/>
        </w:rPr>
        <w:t xml:space="preserve"> </w:t>
      </w:r>
      <w:proofErr w:type="gramStart"/>
      <w:r>
        <w:rPr>
          <w:color w:val="05082C"/>
          <w:sz w:val="24"/>
        </w:rPr>
        <w:t>2014;</w:t>
      </w:r>
      <w:proofErr w:type="gramEnd"/>
      <w:r>
        <w:rPr>
          <w:color w:val="05082C"/>
          <w:sz w:val="24"/>
        </w:rPr>
        <w:t>69(5):602-16.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spacing w:before="1"/>
        <w:ind w:right="103"/>
        <w:jc w:val="both"/>
        <w:rPr>
          <w:color w:val="05082C"/>
          <w:sz w:val="24"/>
        </w:rPr>
      </w:pPr>
      <w:r w:rsidRPr="009F1E1D">
        <w:rPr>
          <w:color w:val="05082C"/>
          <w:sz w:val="24"/>
          <w:lang w:val="en-US"/>
        </w:rPr>
        <w:t>Atkinson J. Pa</w:t>
      </w:r>
      <w:r w:rsidRPr="009F1E1D">
        <w:rPr>
          <w:color w:val="05082C"/>
          <w:sz w:val="24"/>
          <w:lang w:val="en-US"/>
        </w:rPr>
        <w:t xml:space="preserve">thogenesis and clinical manifestations of hereditary </w:t>
      </w:r>
      <w:proofErr w:type="spellStart"/>
      <w:r w:rsidRPr="009F1E1D">
        <w:rPr>
          <w:color w:val="05082C"/>
          <w:sz w:val="24"/>
          <w:lang w:val="en-US"/>
        </w:rPr>
        <w:t>angiodema</w:t>
      </w:r>
      <w:proofErr w:type="spellEnd"/>
      <w:r w:rsidRPr="009F1E1D">
        <w:rPr>
          <w:color w:val="05082C"/>
          <w:sz w:val="24"/>
          <w:lang w:val="en-US"/>
        </w:rPr>
        <w:t xml:space="preserve"> [Internet]. </w:t>
      </w:r>
      <w:proofErr w:type="spellStart"/>
      <w:proofErr w:type="gramStart"/>
      <w:r>
        <w:rPr>
          <w:color w:val="05082C"/>
          <w:sz w:val="24"/>
        </w:rPr>
        <w:t>UpToDate</w:t>
      </w:r>
      <w:proofErr w:type="spellEnd"/>
      <w:proofErr w:type="gramEnd"/>
      <w:r>
        <w:rPr>
          <w:color w:val="05082C"/>
          <w:sz w:val="24"/>
        </w:rPr>
        <w:t xml:space="preserve">; 2008. [acesso em </w:t>
      </w:r>
      <w:proofErr w:type="gramStart"/>
      <w:r>
        <w:rPr>
          <w:color w:val="05082C"/>
          <w:sz w:val="24"/>
        </w:rPr>
        <w:t xml:space="preserve">07 </w:t>
      </w:r>
      <w:proofErr w:type="spellStart"/>
      <w:r>
        <w:rPr>
          <w:color w:val="05082C"/>
          <w:sz w:val="24"/>
        </w:rPr>
        <w:t>mai</w:t>
      </w:r>
      <w:proofErr w:type="spellEnd"/>
      <w:proofErr w:type="gramEnd"/>
      <w:r>
        <w:rPr>
          <w:color w:val="05082C"/>
          <w:sz w:val="24"/>
        </w:rPr>
        <w:t xml:space="preserve"> 2010]. Disponível em: </w:t>
      </w:r>
      <w:hyperlink r:id="rId16">
        <w:r>
          <w:rPr>
            <w:color w:val="05082C"/>
            <w:sz w:val="24"/>
          </w:rPr>
          <w:t>http://www.uptodate.com</w:t>
        </w:r>
      </w:hyperlink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patients</w:t>
      </w:r>
      <w:proofErr w:type="spellEnd"/>
      <w:r>
        <w:rPr>
          <w:color w:val="05082C"/>
          <w:sz w:val="24"/>
        </w:rPr>
        <w:t>/</w:t>
      </w:r>
      <w:proofErr w:type="spellStart"/>
      <w:r>
        <w:rPr>
          <w:color w:val="05082C"/>
          <w:sz w:val="24"/>
        </w:rPr>
        <w:t>content</w:t>
      </w:r>
      <w:proofErr w:type="spellEnd"/>
      <w:r>
        <w:rPr>
          <w:color w:val="05082C"/>
          <w:sz w:val="24"/>
        </w:rPr>
        <w:t>/</w:t>
      </w:r>
      <w:proofErr w:type="spellStart"/>
      <w:proofErr w:type="gramStart"/>
      <w:r>
        <w:rPr>
          <w:color w:val="05082C"/>
          <w:sz w:val="24"/>
        </w:rPr>
        <w:t>topic.</w:t>
      </w:r>
      <w:proofErr w:type="gramEnd"/>
      <w:r>
        <w:rPr>
          <w:color w:val="05082C"/>
          <w:sz w:val="24"/>
        </w:rPr>
        <w:t>do?</w:t>
      </w:r>
      <w:proofErr w:type="gramStart"/>
      <w:r>
        <w:rPr>
          <w:color w:val="05082C"/>
          <w:sz w:val="24"/>
        </w:rPr>
        <w:t>topicKey</w:t>
      </w:r>
      <w:proofErr w:type="spellEnd"/>
      <w:proofErr w:type="gramEnd"/>
      <w:r>
        <w:rPr>
          <w:color w:val="05082C"/>
          <w:sz w:val="24"/>
        </w:rPr>
        <w:t>=~khRaD40Nj4l03q.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79"/>
          <w:tab w:val="left" w:pos="680"/>
        </w:tabs>
        <w:ind w:right="105"/>
        <w:rPr>
          <w:color w:val="05082C"/>
          <w:sz w:val="24"/>
        </w:rPr>
      </w:pPr>
      <w:r w:rsidRPr="009F1E1D">
        <w:rPr>
          <w:color w:val="05082C"/>
          <w:sz w:val="24"/>
          <w:lang w:val="en-US"/>
        </w:rPr>
        <w:t>Morga</w:t>
      </w:r>
      <w:r w:rsidRPr="009F1E1D">
        <w:rPr>
          <w:color w:val="05082C"/>
          <w:sz w:val="24"/>
          <w:lang w:val="en-US"/>
        </w:rPr>
        <w:t xml:space="preserve">n BP, Harris CL. Complement therapeutics; history and current progress. </w:t>
      </w:r>
      <w:r>
        <w:rPr>
          <w:sz w:val="24"/>
        </w:rPr>
        <w:t xml:space="preserve">Mol </w:t>
      </w:r>
      <w:proofErr w:type="spellStart"/>
      <w:r>
        <w:rPr>
          <w:sz w:val="24"/>
        </w:rPr>
        <w:t>Immunol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2003;</w:t>
      </w:r>
      <w:proofErr w:type="gramEnd"/>
      <w:r>
        <w:rPr>
          <w:sz w:val="24"/>
        </w:rPr>
        <w:t>40(2-4):159-70</w:t>
      </w:r>
      <w:r>
        <w:rPr>
          <w:color w:val="05082C"/>
          <w:sz w:val="24"/>
        </w:rPr>
        <w:t>.</w:t>
      </w:r>
    </w:p>
    <w:p w:rsidR="0094156D" w:rsidRDefault="0094156D">
      <w:pPr>
        <w:rPr>
          <w:sz w:val="24"/>
        </w:rPr>
        <w:sectPr w:rsidR="0094156D">
          <w:pgSz w:w="11910" w:h="16850"/>
          <w:pgMar w:top="1600" w:right="460" w:bottom="280" w:left="1020" w:header="720" w:footer="720" w:gutter="0"/>
          <w:cols w:space="720"/>
        </w:sect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spacing w:before="9"/>
        <w:rPr>
          <w:sz w:val="18"/>
        </w:rPr>
      </w:pP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spacing w:before="90"/>
        <w:ind w:right="104"/>
        <w:jc w:val="both"/>
        <w:rPr>
          <w:color w:val="05082C"/>
          <w:sz w:val="24"/>
        </w:rPr>
      </w:pPr>
      <w:r w:rsidRPr="009F1E1D">
        <w:rPr>
          <w:color w:val="05082C"/>
          <w:sz w:val="24"/>
          <w:lang w:val="en-US"/>
        </w:rPr>
        <w:t xml:space="preserve">Davis AE 3rd. The pathogenesis of hereditary angioedema. </w:t>
      </w:r>
      <w:proofErr w:type="spellStart"/>
      <w:r>
        <w:rPr>
          <w:color w:val="05082C"/>
          <w:sz w:val="24"/>
        </w:rPr>
        <w:t>Transfus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Apher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Sci</w:t>
      </w:r>
      <w:proofErr w:type="spellEnd"/>
      <w:r>
        <w:rPr>
          <w:color w:val="05082C"/>
          <w:sz w:val="24"/>
        </w:rPr>
        <w:t xml:space="preserve">. </w:t>
      </w:r>
      <w:proofErr w:type="gramStart"/>
      <w:r>
        <w:rPr>
          <w:color w:val="05082C"/>
          <w:sz w:val="24"/>
        </w:rPr>
        <w:t>2003;</w:t>
      </w:r>
      <w:proofErr w:type="gramEnd"/>
      <w:r>
        <w:rPr>
          <w:color w:val="05082C"/>
          <w:sz w:val="24"/>
        </w:rPr>
        <w:t>29(3):195- 203.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11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Markovic</w:t>
      </w:r>
      <w:proofErr w:type="spellEnd"/>
      <w:r w:rsidRPr="009F1E1D">
        <w:rPr>
          <w:color w:val="05082C"/>
          <w:sz w:val="24"/>
          <w:lang w:val="en-US"/>
        </w:rPr>
        <w:t xml:space="preserve"> SN, Inwards DJ, </w:t>
      </w:r>
      <w:proofErr w:type="spellStart"/>
      <w:r w:rsidRPr="009F1E1D">
        <w:rPr>
          <w:color w:val="05082C"/>
          <w:sz w:val="24"/>
          <w:lang w:val="en-US"/>
        </w:rPr>
        <w:t>Frigas</w:t>
      </w:r>
      <w:proofErr w:type="spellEnd"/>
      <w:r w:rsidRPr="009F1E1D">
        <w:rPr>
          <w:color w:val="05082C"/>
          <w:sz w:val="24"/>
          <w:lang w:val="en-US"/>
        </w:rPr>
        <w:t xml:space="preserve"> EA, </w:t>
      </w:r>
      <w:proofErr w:type="spellStart"/>
      <w:r w:rsidRPr="009F1E1D">
        <w:rPr>
          <w:color w:val="05082C"/>
          <w:sz w:val="24"/>
          <w:lang w:val="en-US"/>
        </w:rPr>
        <w:t>Phyliky</w:t>
      </w:r>
      <w:proofErr w:type="spellEnd"/>
      <w:r w:rsidRPr="009F1E1D">
        <w:rPr>
          <w:color w:val="05082C"/>
          <w:sz w:val="24"/>
          <w:lang w:val="en-US"/>
        </w:rPr>
        <w:t xml:space="preserve"> RP. Acquired C1 esterase inhibitor deficiency. </w:t>
      </w:r>
      <w:r>
        <w:rPr>
          <w:color w:val="05082C"/>
          <w:sz w:val="24"/>
        </w:rPr>
        <w:t xml:space="preserve">Ann </w:t>
      </w:r>
      <w:proofErr w:type="spellStart"/>
      <w:r>
        <w:rPr>
          <w:color w:val="05082C"/>
          <w:sz w:val="24"/>
        </w:rPr>
        <w:t>Intern</w:t>
      </w:r>
      <w:proofErr w:type="spellEnd"/>
      <w:r>
        <w:rPr>
          <w:color w:val="05082C"/>
          <w:sz w:val="24"/>
        </w:rPr>
        <w:t xml:space="preserve"> Med.</w:t>
      </w:r>
      <w:r>
        <w:rPr>
          <w:color w:val="05082C"/>
          <w:spacing w:val="-1"/>
          <w:sz w:val="24"/>
        </w:rPr>
        <w:t xml:space="preserve"> </w:t>
      </w:r>
      <w:proofErr w:type="gramStart"/>
      <w:r>
        <w:rPr>
          <w:color w:val="05082C"/>
          <w:sz w:val="24"/>
        </w:rPr>
        <w:t>2000;</w:t>
      </w:r>
      <w:proofErr w:type="gramEnd"/>
      <w:r>
        <w:rPr>
          <w:color w:val="05082C"/>
          <w:sz w:val="24"/>
        </w:rPr>
        <w:t>132(2):144-50.</w:t>
      </w:r>
    </w:p>
    <w:p w:rsidR="0094156D" w:rsidRPr="009F1E1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11"/>
        <w:jc w:val="both"/>
        <w:rPr>
          <w:color w:val="05082C"/>
          <w:sz w:val="24"/>
          <w:lang w:val="en-US"/>
        </w:rPr>
      </w:pPr>
      <w:r w:rsidRPr="009F1E1D">
        <w:rPr>
          <w:color w:val="05082C"/>
          <w:sz w:val="24"/>
          <w:lang w:val="en-US"/>
        </w:rPr>
        <w:t xml:space="preserve">Binkley KE, Davis AE 3rd. Estrogen-dependent inherited angioedema. </w:t>
      </w:r>
      <w:proofErr w:type="spellStart"/>
      <w:r w:rsidRPr="009F1E1D">
        <w:rPr>
          <w:color w:val="05082C"/>
          <w:sz w:val="24"/>
          <w:lang w:val="en-US"/>
        </w:rPr>
        <w:t>Transfus</w:t>
      </w:r>
      <w:proofErr w:type="spellEnd"/>
      <w:r w:rsidRPr="009F1E1D">
        <w:rPr>
          <w:color w:val="05082C"/>
          <w:sz w:val="24"/>
          <w:lang w:val="en-US"/>
        </w:rPr>
        <w:t xml:space="preserve"> </w:t>
      </w:r>
      <w:proofErr w:type="spellStart"/>
      <w:r w:rsidRPr="009F1E1D">
        <w:rPr>
          <w:color w:val="05082C"/>
          <w:sz w:val="24"/>
          <w:lang w:val="en-US"/>
        </w:rPr>
        <w:t>Apher</w:t>
      </w:r>
      <w:proofErr w:type="spellEnd"/>
      <w:r w:rsidRPr="009F1E1D">
        <w:rPr>
          <w:color w:val="05082C"/>
          <w:sz w:val="24"/>
          <w:lang w:val="en-US"/>
        </w:rPr>
        <w:t xml:space="preserve"> Sci. 2003</w:t>
      </w:r>
      <w:proofErr w:type="gramStart"/>
      <w:r w:rsidRPr="009F1E1D">
        <w:rPr>
          <w:color w:val="05082C"/>
          <w:sz w:val="24"/>
          <w:lang w:val="en-US"/>
        </w:rPr>
        <w:t>;29</w:t>
      </w:r>
      <w:proofErr w:type="gramEnd"/>
      <w:r w:rsidRPr="009F1E1D">
        <w:rPr>
          <w:color w:val="05082C"/>
          <w:sz w:val="24"/>
          <w:lang w:val="en-US"/>
        </w:rPr>
        <w:t>(3):215-9.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9"/>
        <w:jc w:val="both"/>
        <w:rPr>
          <w:color w:val="05082C"/>
          <w:sz w:val="24"/>
        </w:rPr>
      </w:pPr>
      <w:proofErr w:type="spellStart"/>
      <w:r>
        <w:rPr>
          <w:color w:val="05082C"/>
          <w:sz w:val="24"/>
        </w:rPr>
        <w:t>Nzeako</w:t>
      </w:r>
      <w:proofErr w:type="spellEnd"/>
      <w:r>
        <w:rPr>
          <w:color w:val="05082C"/>
          <w:sz w:val="24"/>
        </w:rPr>
        <w:t xml:space="preserve"> UC, </w:t>
      </w:r>
      <w:proofErr w:type="spellStart"/>
      <w:r>
        <w:rPr>
          <w:color w:val="05082C"/>
          <w:sz w:val="24"/>
        </w:rPr>
        <w:t>Frigas</w:t>
      </w:r>
      <w:proofErr w:type="spellEnd"/>
      <w:r>
        <w:rPr>
          <w:color w:val="05082C"/>
          <w:sz w:val="24"/>
        </w:rPr>
        <w:t xml:space="preserve"> E, </w:t>
      </w:r>
      <w:proofErr w:type="spellStart"/>
      <w:r>
        <w:rPr>
          <w:color w:val="05082C"/>
          <w:sz w:val="24"/>
        </w:rPr>
        <w:t>Tre</w:t>
      </w:r>
      <w:r>
        <w:rPr>
          <w:color w:val="05082C"/>
          <w:sz w:val="24"/>
        </w:rPr>
        <w:t>maine</w:t>
      </w:r>
      <w:proofErr w:type="spellEnd"/>
      <w:r>
        <w:rPr>
          <w:color w:val="05082C"/>
          <w:sz w:val="24"/>
        </w:rPr>
        <w:t xml:space="preserve"> WJ. </w:t>
      </w:r>
      <w:r w:rsidRPr="009F1E1D">
        <w:rPr>
          <w:color w:val="05082C"/>
          <w:sz w:val="24"/>
          <w:lang w:val="en-US"/>
        </w:rPr>
        <w:t xml:space="preserve">Hereditary angioedema: a broad review for clinicians. </w:t>
      </w:r>
      <w:proofErr w:type="spellStart"/>
      <w:r>
        <w:rPr>
          <w:color w:val="05082C"/>
          <w:sz w:val="24"/>
        </w:rPr>
        <w:t>Arch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Intern</w:t>
      </w:r>
      <w:proofErr w:type="spellEnd"/>
      <w:r>
        <w:rPr>
          <w:color w:val="05082C"/>
          <w:sz w:val="24"/>
        </w:rPr>
        <w:t xml:space="preserve"> Med.</w:t>
      </w:r>
      <w:r>
        <w:rPr>
          <w:color w:val="05082C"/>
          <w:spacing w:val="-1"/>
          <w:sz w:val="24"/>
        </w:rPr>
        <w:t xml:space="preserve"> </w:t>
      </w:r>
      <w:proofErr w:type="gramStart"/>
      <w:r>
        <w:rPr>
          <w:color w:val="05082C"/>
          <w:sz w:val="24"/>
        </w:rPr>
        <w:t>2001;</w:t>
      </w:r>
      <w:proofErr w:type="gramEnd"/>
      <w:r>
        <w:rPr>
          <w:color w:val="05082C"/>
          <w:sz w:val="24"/>
        </w:rPr>
        <w:t>161(20):2417-29.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spacing w:before="1"/>
        <w:ind w:right="103"/>
        <w:jc w:val="both"/>
        <w:rPr>
          <w:color w:val="05082C"/>
          <w:sz w:val="24"/>
        </w:rPr>
      </w:pPr>
      <w:r w:rsidRPr="009F1E1D">
        <w:rPr>
          <w:color w:val="05082C"/>
          <w:sz w:val="24"/>
          <w:lang w:val="en-US"/>
        </w:rPr>
        <w:t xml:space="preserve">Bork K, </w:t>
      </w:r>
      <w:proofErr w:type="spellStart"/>
      <w:r w:rsidRPr="009F1E1D">
        <w:rPr>
          <w:color w:val="05082C"/>
          <w:sz w:val="24"/>
          <w:lang w:val="en-US"/>
        </w:rPr>
        <w:t>Hardt</w:t>
      </w:r>
      <w:proofErr w:type="spellEnd"/>
      <w:r w:rsidRPr="009F1E1D">
        <w:rPr>
          <w:color w:val="05082C"/>
          <w:sz w:val="24"/>
          <w:lang w:val="en-US"/>
        </w:rPr>
        <w:t xml:space="preserve"> J, </w:t>
      </w:r>
      <w:proofErr w:type="spellStart"/>
      <w:r w:rsidRPr="009F1E1D">
        <w:rPr>
          <w:color w:val="05082C"/>
          <w:sz w:val="24"/>
          <w:lang w:val="en-US"/>
        </w:rPr>
        <w:t>Schicketanz</w:t>
      </w:r>
      <w:proofErr w:type="spellEnd"/>
      <w:r w:rsidRPr="009F1E1D">
        <w:rPr>
          <w:color w:val="05082C"/>
          <w:sz w:val="24"/>
          <w:lang w:val="en-US"/>
        </w:rPr>
        <w:t xml:space="preserve"> KH, </w:t>
      </w:r>
      <w:proofErr w:type="spellStart"/>
      <w:r w:rsidRPr="009F1E1D">
        <w:rPr>
          <w:color w:val="05082C"/>
          <w:sz w:val="24"/>
          <w:lang w:val="en-US"/>
        </w:rPr>
        <w:t>Ressel</w:t>
      </w:r>
      <w:proofErr w:type="spellEnd"/>
      <w:r w:rsidRPr="009F1E1D">
        <w:rPr>
          <w:color w:val="05082C"/>
          <w:sz w:val="24"/>
          <w:lang w:val="en-US"/>
        </w:rPr>
        <w:t xml:space="preserve"> N. Clinical studies of sudden upper airway obstruction in patients with hereditary angioedema due to C1 esterase </w:t>
      </w:r>
      <w:r w:rsidRPr="009F1E1D">
        <w:rPr>
          <w:color w:val="05082C"/>
          <w:sz w:val="24"/>
          <w:lang w:val="en-US"/>
        </w:rPr>
        <w:t xml:space="preserve">inhibitor deficiency. </w:t>
      </w:r>
      <w:proofErr w:type="spellStart"/>
      <w:r>
        <w:rPr>
          <w:color w:val="05082C"/>
          <w:sz w:val="24"/>
        </w:rPr>
        <w:t>Arch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Intern</w:t>
      </w:r>
      <w:proofErr w:type="spellEnd"/>
      <w:r>
        <w:rPr>
          <w:color w:val="05082C"/>
          <w:sz w:val="24"/>
        </w:rPr>
        <w:t xml:space="preserve"> Med. </w:t>
      </w:r>
      <w:proofErr w:type="gramStart"/>
      <w:r>
        <w:rPr>
          <w:color w:val="05082C"/>
          <w:sz w:val="24"/>
        </w:rPr>
        <w:t>2003;</w:t>
      </w:r>
      <w:proofErr w:type="gramEnd"/>
      <w:r>
        <w:rPr>
          <w:color w:val="05082C"/>
          <w:sz w:val="24"/>
        </w:rPr>
        <w:t>163(10):1229-35.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8"/>
        <w:jc w:val="both"/>
        <w:rPr>
          <w:color w:val="05082C"/>
          <w:sz w:val="24"/>
        </w:rPr>
      </w:pPr>
      <w:proofErr w:type="spellStart"/>
      <w:r>
        <w:rPr>
          <w:color w:val="05082C"/>
          <w:sz w:val="24"/>
        </w:rPr>
        <w:t>Kirschfink</w:t>
      </w:r>
      <w:proofErr w:type="spellEnd"/>
      <w:r>
        <w:rPr>
          <w:color w:val="05082C"/>
          <w:sz w:val="24"/>
        </w:rPr>
        <w:t xml:space="preserve"> M, </w:t>
      </w:r>
      <w:proofErr w:type="spellStart"/>
      <w:r>
        <w:rPr>
          <w:color w:val="05082C"/>
          <w:sz w:val="24"/>
        </w:rPr>
        <w:t>Grumach</w:t>
      </w:r>
      <w:proofErr w:type="spellEnd"/>
      <w:r>
        <w:rPr>
          <w:color w:val="05082C"/>
          <w:sz w:val="24"/>
        </w:rPr>
        <w:t xml:space="preserve"> AS. Deficiências de complemento. In: </w:t>
      </w:r>
      <w:proofErr w:type="spellStart"/>
      <w:r>
        <w:rPr>
          <w:color w:val="05082C"/>
          <w:sz w:val="24"/>
        </w:rPr>
        <w:t>Grumach</w:t>
      </w:r>
      <w:proofErr w:type="spellEnd"/>
      <w:r>
        <w:rPr>
          <w:color w:val="05082C"/>
          <w:sz w:val="24"/>
        </w:rPr>
        <w:t xml:space="preserve"> AS. Alergia e imunologia na infância e na adolescência. Rio de Janeiro: Atheneu; 2001. </w:t>
      </w:r>
      <w:proofErr w:type="gramStart"/>
      <w:r>
        <w:rPr>
          <w:color w:val="05082C"/>
          <w:sz w:val="24"/>
        </w:rPr>
        <w:t>p.</w:t>
      </w:r>
      <w:proofErr w:type="gramEnd"/>
      <w:r>
        <w:rPr>
          <w:color w:val="05082C"/>
          <w:spacing w:val="-3"/>
          <w:sz w:val="24"/>
        </w:rPr>
        <w:t xml:space="preserve"> </w:t>
      </w:r>
      <w:r>
        <w:rPr>
          <w:color w:val="05082C"/>
          <w:sz w:val="24"/>
        </w:rPr>
        <w:t>497</w:t>
      </w:r>
      <w:r>
        <w:rPr>
          <w:sz w:val="24"/>
        </w:rPr>
        <w:t>-513.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8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Cicardi</w:t>
      </w:r>
      <w:proofErr w:type="spellEnd"/>
      <w:r w:rsidRPr="009F1E1D">
        <w:rPr>
          <w:color w:val="05082C"/>
          <w:sz w:val="24"/>
          <w:lang w:val="en-US"/>
        </w:rPr>
        <w:t xml:space="preserve"> M, </w:t>
      </w:r>
      <w:proofErr w:type="spellStart"/>
      <w:r w:rsidRPr="009F1E1D">
        <w:rPr>
          <w:color w:val="05082C"/>
          <w:sz w:val="24"/>
          <w:lang w:val="en-US"/>
        </w:rPr>
        <w:t>Zingale</w:t>
      </w:r>
      <w:proofErr w:type="spellEnd"/>
      <w:r w:rsidRPr="009F1E1D">
        <w:rPr>
          <w:color w:val="05082C"/>
          <w:sz w:val="24"/>
          <w:lang w:val="en-US"/>
        </w:rPr>
        <w:t xml:space="preserve"> LC, </w:t>
      </w:r>
      <w:proofErr w:type="spellStart"/>
      <w:r w:rsidRPr="009F1E1D">
        <w:rPr>
          <w:color w:val="05082C"/>
          <w:sz w:val="24"/>
          <w:lang w:val="en-US"/>
        </w:rPr>
        <w:t>Pappal</w:t>
      </w:r>
      <w:r w:rsidRPr="009F1E1D">
        <w:rPr>
          <w:color w:val="05082C"/>
          <w:sz w:val="24"/>
          <w:lang w:val="en-US"/>
        </w:rPr>
        <w:t>ardo</w:t>
      </w:r>
      <w:proofErr w:type="spellEnd"/>
      <w:r w:rsidRPr="009F1E1D">
        <w:rPr>
          <w:color w:val="05082C"/>
          <w:sz w:val="24"/>
          <w:lang w:val="en-US"/>
        </w:rPr>
        <w:t xml:space="preserve"> E, </w:t>
      </w:r>
      <w:proofErr w:type="spellStart"/>
      <w:r w:rsidRPr="009F1E1D">
        <w:rPr>
          <w:color w:val="05082C"/>
          <w:sz w:val="24"/>
          <w:lang w:val="en-US"/>
        </w:rPr>
        <w:t>Folcioni</w:t>
      </w:r>
      <w:proofErr w:type="spellEnd"/>
      <w:r w:rsidRPr="009F1E1D">
        <w:rPr>
          <w:color w:val="05082C"/>
          <w:sz w:val="24"/>
          <w:lang w:val="en-US"/>
        </w:rPr>
        <w:t xml:space="preserve"> A, </w:t>
      </w:r>
      <w:proofErr w:type="spellStart"/>
      <w:r w:rsidRPr="009F1E1D">
        <w:rPr>
          <w:color w:val="05082C"/>
          <w:sz w:val="24"/>
          <w:lang w:val="en-US"/>
        </w:rPr>
        <w:t>Agostoni</w:t>
      </w:r>
      <w:proofErr w:type="spellEnd"/>
      <w:r w:rsidRPr="009F1E1D">
        <w:rPr>
          <w:color w:val="05082C"/>
          <w:sz w:val="24"/>
          <w:lang w:val="en-US"/>
        </w:rPr>
        <w:t xml:space="preserve"> A. Autoantibodies and </w:t>
      </w:r>
      <w:proofErr w:type="spellStart"/>
      <w:r w:rsidRPr="009F1E1D">
        <w:rPr>
          <w:color w:val="05082C"/>
          <w:sz w:val="24"/>
          <w:lang w:val="en-US"/>
        </w:rPr>
        <w:t>lymphoproliferative</w:t>
      </w:r>
      <w:proofErr w:type="spellEnd"/>
      <w:r w:rsidRPr="009F1E1D">
        <w:rPr>
          <w:color w:val="05082C"/>
          <w:sz w:val="24"/>
          <w:lang w:val="en-US"/>
        </w:rPr>
        <w:t xml:space="preserve"> diseases in acquired C1-inhibitor deficiencies. </w:t>
      </w:r>
      <w:r>
        <w:rPr>
          <w:color w:val="05082C"/>
          <w:sz w:val="24"/>
        </w:rPr>
        <w:t xml:space="preserve">Medicine (Baltimore). </w:t>
      </w:r>
      <w:proofErr w:type="gramStart"/>
      <w:r>
        <w:rPr>
          <w:color w:val="05082C"/>
          <w:sz w:val="24"/>
        </w:rPr>
        <w:t>2003;</w:t>
      </w:r>
      <w:proofErr w:type="gramEnd"/>
      <w:r>
        <w:rPr>
          <w:color w:val="05082C"/>
          <w:sz w:val="24"/>
        </w:rPr>
        <w:t>82(4):274-81.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9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Gompels</w:t>
      </w:r>
      <w:proofErr w:type="spellEnd"/>
      <w:r w:rsidRPr="009F1E1D">
        <w:rPr>
          <w:color w:val="05082C"/>
          <w:sz w:val="24"/>
          <w:lang w:val="en-US"/>
        </w:rPr>
        <w:t xml:space="preserve"> MM, Lock RJ, </w:t>
      </w:r>
      <w:proofErr w:type="spellStart"/>
      <w:r w:rsidRPr="009F1E1D">
        <w:rPr>
          <w:color w:val="05082C"/>
          <w:sz w:val="24"/>
          <w:lang w:val="en-US"/>
        </w:rPr>
        <w:t>Unsworth</w:t>
      </w:r>
      <w:proofErr w:type="spellEnd"/>
      <w:r w:rsidRPr="009F1E1D">
        <w:rPr>
          <w:color w:val="05082C"/>
          <w:sz w:val="24"/>
          <w:lang w:val="en-US"/>
        </w:rPr>
        <w:t xml:space="preserve"> DJ, Johnston SL, Archer CB, Davies SV. Misdiagnosis of hereditary </w:t>
      </w:r>
      <w:proofErr w:type="spellStart"/>
      <w:r w:rsidRPr="009F1E1D">
        <w:rPr>
          <w:color w:val="05082C"/>
          <w:sz w:val="24"/>
          <w:lang w:val="en-US"/>
        </w:rPr>
        <w:t>angio-oedema</w:t>
      </w:r>
      <w:proofErr w:type="spellEnd"/>
      <w:r w:rsidRPr="009F1E1D">
        <w:rPr>
          <w:color w:val="05082C"/>
          <w:sz w:val="24"/>
          <w:lang w:val="en-US"/>
        </w:rPr>
        <w:t xml:space="preserve"> type 1 and type 2. Br J </w:t>
      </w:r>
      <w:proofErr w:type="spellStart"/>
      <w:r w:rsidRPr="009F1E1D">
        <w:rPr>
          <w:color w:val="05082C"/>
          <w:sz w:val="24"/>
          <w:lang w:val="en-US"/>
        </w:rPr>
        <w:t>Dermatol</w:t>
      </w:r>
      <w:proofErr w:type="spellEnd"/>
      <w:r w:rsidRPr="009F1E1D">
        <w:rPr>
          <w:color w:val="05082C"/>
          <w:sz w:val="24"/>
          <w:lang w:val="en-US"/>
        </w:rPr>
        <w:t>.</w:t>
      </w:r>
      <w:r w:rsidRPr="009F1E1D">
        <w:rPr>
          <w:color w:val="05082C"/>
          <w:spacing w:val="-3"/>
          <w:sz w:val="24"/>
          <w:lang w:val="en-US"/>
        </w:rPr>
        <w:t xml:space="preserve"> </w:t>
      </w:r>
      <w:proofErr w:type="gramStart"/>
      <w:r>
        <w:rPr>
          <w:color w:val="05082C"/>
          <w:sz w:val="24"/>
        </w:rPr>
        <w:t>2003;</w:t>
      </w:r>
      <w:proofErr w:type="gramEnd"/>
      <w:r>
        <w:rPr>
          <w:color w:val="05082C"/>
          <w:sz w:val="24"/>
        </w:rPr>
        <w:t>148(4):719-23.</w:t>
      </w:r>
    </w:p>
    <w:p w:rsidR="0094156D" w:rsidRPr="009F1E1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6"/>
        <w:jc w:val="both"/>
        <w:rPr>
          <w:color w:val="05082C"/>
          <w:sz w:val="24"/>
          <w:lang w:val="en-US"/>
        </w:rPr>
      </w:pPr>
      <w:r w:rsidRPr="009F1E1D">
        <w:rPr>
          <w:color w:val="05082C"/>
          <w:sz w:val="24"/>
          <w:lang w:val="en-US"/>
        </w:rPr>
        <w:t xml:space="preserve">Atkinson J, </w:t>
      </w:r>
      <w:proofErr w:type="spellStart"/>
      <w:r w:rsidRPr="009F1E1D">
        <w:rPr>
          <w:color w:val="05082C"/>
          <w:sz w:val="24"/>
          <w:lang w:val="en-US"/>
        </w:rPr>
        <w:t>Cicardi</w:t>
      </w:r>
      <w:proofErr w:type="spellEnd"/>
      <w:r w:rsidRPr="009F1E1D">
        <w:rPr>
          <w:color w:val="05082C"/>
          <w:sz w:val="24"/>
          <w:lang w:val="en-US"/>
        </w:rPr>
        <w:t xml:space="preserve"> M, </w:t>
      </w:r>
      <w:proofErr w:type="spellStart"/>
      <w:r w:rsidRPr="009F1E1D">
        <w:rPr>
          <w:color w:val="05082C"/>
          <w:sz w:val="24"/>
          <w:lang w:val="en-US"/>
        </w:rPr>
        <w:t>Sheffer</w:t>
      </w:r>
      <w:proofErr w:type="spellEnd"/>
      <w:r w:rsidRPr="009F1E1D">
        <w:rPr>
          <w:color w:val="05082C"/>
          <w:sz w:val="24"/>
          <w:lang w:val="en-US"/>
        </w:rPr>
        <w:t xml:space="preserve"> A. Diagnosis of hereditary and acquired angioedema (C1 inhibitor disorders). In: Up </w:t>
      </w:r>
      <w:proofErr w:type="spellStart"/>
      <w:r w:rsidRPr="009F1E1D">
        <w:rPr>
          <w:color w:val="05082C"/>
          <w:sz w:val="24"/>
          <w:lang w:val="en-US"/>
        </w:rPr>
        <w:t>ToDate</w:t>
      </w:r>
      <w:proofErr w:type="spellEnd"/>
      <w:r w:rsidRPr="009F1E1D">
        <w:rPr>
          <w:color w:val="05082C"/>
          <w:sz w:val="24"/>
          <w:lang w:val="en-US"/>
        </w:rPr>
        <w:t>, Rose, BD (Ed), Up To Date, Waltham, MA.</w:t>
      </w:r>
      <w:r w:rsidRPr="009F1E1D">
        <w:rPr>
          <w:color w:val="05082C"/>
          <w:spacing w:val="-1"/>
          <w:sz w:val="24"/>
          <w:lang w:val="en-US"/>
        </w:rPr>
        <w:t xml:space="preserve"> </w:t>
      </w:r>
      <w:r w:rsidRPr="009F1E1D">
        <w:rPr>
          <w:color w:val="05082C"/>
          <w:sz w:val="24"/>
          <w:lang w:val="en-US"/>
        </w:rPr>
        <w:t>2008.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12"/>
        <w:jc w:val="both"/>
        <w:rPr>
          <w:color w:val="05082C"/>
          <w:sz w:val="24"/>
        </w:rPr>
      </w:pPr>
      <w:r w:rsidRPr="009F1E1D">
        <w:rPr>
          <w:color w:val="05082C"/>
          <w:sz w:val="24"/>
          <w:lang w:val="en-US"/>
        </w:rPr>
        <w:t>Davis-Lorton M. An u</w:t>
      </w:r>
      <w:r w:rsidRPr="009F1E1D">
        <w:rPr>
          <w:color w:val="05082C"/>
          <w:sz w:val="24"/>
          <w:lang w:val="en-US"/>
        </w:rPr>
        <w:t xml:space="preserve">pdate on the diagnosis and management of hereditary angioedema with abnormal C1 inhibitor. </w:t>
      </w:r>
      <w:r>
        <w:rPr>
          <w:color w:val="05082C"/>
          <w:sz w:val="24"/>
        </w:rPr>
        <w:t xml:space="preserve">J </w:t>
      </w:r>
      <w:proofErr w:type="spellStart"/>
      <w:r>
        <w:rPr>
          <w:color w:val="05082C"/>
          <w:sz w:val="24"/>
        </w:rPr>
        <w:t>Drugs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Dermatol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-2"/>
          <w:sz w:val="24"/>
        </w:rPr>
        <w:t xml:space="preserve"> </w:t>
      </w:r>
      <w:proofErr w:type="gramStart"/>
      <w:r>
        <w:rPr>
          <w:color w:val="05082C"/>
          <w:sz w:val="24"/>
        </w:rPr>
        <w:t>2015;</w:t>
      </w:r>
      <w:proofErr w:type="gramEnd"/>
      <w:r>
        <w:rPr>
          <w:color w:val="05082C"/>
          <w:sz w:val="24"/>
        </w:rPr>
        <w:t>14(2):151-7.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12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Longhurst</w:t>
      </w:r>
      <w:proofErr w:type="spellEnd"/>
      <w:r w:rsidRPr="009F1E1D">
        <w:rPr>
          <w:color w:val="05082C"/>
          <w:sz w:val="24"/>
          <w:lang w:val="en-US"/>
        </w:rPr>
        <w:t xml:space="preserve"> HJ, </w:t>
      </w:r>
      <w:proofErr w:type="spellStart"/>
      <w:r w:rsidRPr="009F1E1D">
        <w:rPr>
          <w:color w:val="05082C"/>
          <w:sz w:val="24"/>
          <w:lang w:val="en-US"/>
        </w:rPr>
        <w:t>Tarzi</w:t>
      </w:r>
      <w:proofErr w:type="spellEnd"/>
      <w:r w:rsidRPr="009F1E1D">
        <w:rPr>
          <w:color w:val="05082C"/>
          <w:sz w:val="24"/>
          <w:lang w:val="en-US"/>
        </w:rPr>
        <w:t xml:space="preserve"> MD, Ashworth F, Bethune C, </w:t>
      </w:r>
      <w:proofErr w:type="spellStart"/>
      <w:r w:rsidRPr="009F1E1D">
        <w:rPr>
          <w:color w:val="05082C"/>
          <w:sz w:val="24"/>
          <w:lang w:val="en-US"/>
        </w:rPr>
        <w:t>Cale</w:t>
      </w:r>
      <w:proofErr w:type="spellEnd"/>
      <w:r w:rsidRPr="009F1E1D">
        <w:rPr>
          <w:color w:val="05082C"/>
          <w:sz w:val="24"/>
          <w:lang w:val="en-US"/>
        </w:rPr>
        <w:t xml:space="preserve"> C, </w:t>
      </w:r>
      <w:proofErr w:type="spellStart"/>
      <w:r w:rsidRPr="009F1E1D">
        <w:rPr>
          <w:color w:val="05082C"/>
          <w:sz w:val="24"/>
          <w:lang w:val="en-US"/>
        </w:rPr>
        <w:t>Dempster</w:t>
      </w:r>
      <w:proofErr w:type="spellEnd"/>
      <w:r w:rsidRPr="009F1E1D">
        <w:rPr>
          <w:color w:val="05082C"/>
          <w:sz w:val="24"/>
          <w:lang w:val="en-US"/>
        </w:rPr>
        <w:t xml:space="preserve"> J, et al. C1 inhibitor deficiency: 2014 United Kingdom consensus document. </w:t>
      </w:r>
      <w:proofErr w:type="spellStart"/>
      <w:r w:rsidRPr="009F1E1D">
        <w:rPr>
          <w:color w:val="05082C"/>
          <w:sz w:val="24"/>
          <w:lang w:val="en-US"/>
        </w:rPr>
        <w:t>Clin</w:t>
      </w:r>
      <w:proofErr w:type="spellEnd"/>
      <w:r w:rsidRPr="009F1E1D">
        <w:rPr>
          <w:color w:val="05082C"/>
          <w:sz w:val="24"/>
          <w:lang w:val="en-US"/>
        </w:rPr>
        <w:t xml:space="preserve"> </w:t>
      </w:r>
      <w:proofErr w:type="spellStart"/>
      <w:r w:rsidRPr="009F1E1D">
        <w:rPr>
          <w:color w:val="05082C"/>
          <w:sz w:val="24"/>
          <w:lang w:val="en-US"/>
        </w:rPr>
        <w:t>Exp</w:t>
      </w:r>
      <w:proofErr w:type="spellEnd"/>
      <w:r w:rsidRPr="009F1E1D">
        <w:rPr>
          <w:color w:val="05082C"/>
          <w:sz w:val="24"/>
          <w:lang w:val="en-US"/>
        </w:rPr>
        <w:t xml:space="preserve"> </w:t>
      </w:r>
      <w:proofErr w:type="spellStart"/>
      <w:r w:rsidRPr="009F1E1D">
        <w:rPr>
          <w:color w:val="05082C"/>
          <w:sz w:val="24"/>
          <w:lang w:val="en-US"/>
        </w:rPr>
        <w:t>Immunol</w:t>
      </w:r>
      <w:proofErr w:type="spellEnd"/>
      <w:r w:rsidRPr="009F1E1D">
        <w:rPr>
          <w:color w:val="05082C"/>
          <w:sz w:val="24"/>
          <w:lang w:val="en-US"/>
        </w:rPr>
        <w:t>.</w:t>
      </w:r>
      <w:r w:rsidRPr="009F1E1D">
        <w:rPr>
          <w:color w:val="05082C"/>
          <w:spacing w:val="-5"/>
          <w:sz w:val="24"/>
          <w:lang w:val="en-US"/>
        </w:rPr>
        <w:t xml:space="preserve"> </w:t>
      </w:r>
      <w:proofErr w:type="gramStart"/>
      <w:r>
        <w:rPr>
          <w:color w:val="05082C"/>
          <w:sz w:val="24"/>
        </w:rPr>
        <w:t>2015;</w:t>
      </w:r>
      <w:proofErr w:type="gramEnd"/>
      <w:r>
        <w:rPr>
          <w:color w:val="05082C"/>
          <w:sz w:val="24"/>
        </w:rPr>
        <w:t>180(3):475-83.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10"/>
        <w:jc w:val="both"/>
        <w:rPr>
          <w:color w:val="05082C"/>
          <w:sz w:val="24"/>
        </w:rPr>
      </w:pPr>
      <w:r w:rsidRPr="009F1E1D">
        <w:rPr>
          <w:color w:val="05082C"/>
          <w:sz w:val="24"/>
          <w:lang w:val="en-US"/>
        </w:rPr>
        <w:t xml:space="preserve">Craig TJ. Appraisal of </w:t>
      </w:r>
      <w:proofErr w:type="spellStart"/>
      <w:r w:rsidRPr="009F1E1D">
        <w:rPr>
          <w:color w:val="05082C"/>
          <w:sz w:val="24"/>
          <w:lang w:val="en-US"/>
        </w:rPr>
        <w:t>danazol</w:t>
      </w:r>
      <w:proofErr w:type="spellEnd"/>
      <w:r w:rsidRPr="009F1E1D">
        <w:rPr>
          <w:color w:val="05082C"/>
          <w:sz w:val="24"/>
          <w:lang w:val="en-US"/>
        </w:rPr>
        <w:t xml:space="preserve"> prophylaxis for hereditary angioedema. </w:t>
      </w:r>
      <w:proofErr w:type="spellStart"/>
      <w:r>
        <w:rPr>
          <w:color w:val="05082C"/>
          <w:sz w:val="24"/>
        </w:rPr>
        <w:t>Allergy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A</w:t>
      </w:r>
      <w:r>
        <w:rPr>
          <w:color w:val="05082C"/>
          <w:sz w:val="24"/>
        </w:rPr>
        <w:t>sthma</w:t>
      </w:r>
      <w:proofErr w:type="spellEnd"/>
      <w:r>
        <w:rPr>
          <w:color w:val="05082C"/>
          <w:sz w:val="24"/>
        </w:rPr>
        <w:t xml:space="preserve"> Proc. </w:t>
      </w:r>
      <w:proofErr w:type="gramStart"/>
      <w:r>
        <w:rPr>
          <w:color w:val="05082C"/>
          <w:sz w:val="24"/>
        </w:rPr>
        <w:t>2008;</w:t>
      </w:r>
      <w:proofErr w:type="gramEnd"/>
      <w:r>
        <w:rPr>
          <w:color w:val="05082C"/>
          <w:sz w:val="24"/>
        </w:rPr>
        <w:t>29(3):225-31.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12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Zuraw</w:t>
      </w:r>
      <w:proofErr w:type="spellEnd"/>
      <w:r w:rsidRPr="009F1E1D">
        <w:rPr>
          <w:color w:val="05082C"/>
          <w:sz w:val="24"/>
          <w:lang w:val="en-US"/>
        </w:rPr>
        <w:t xml:space="preserve"> BL. Diagnosis and management of hereditary angioedema: an American approach. </w:t>
      </w:r>
      <w:proofErr w:type="spellStart"/>
      <w:r>
        <w:rPr>
          <w:color w:val="05082C"/>
          <w:sz w:val="24"/>
        </w:rPr>
        <w:t>Transfus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Apher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Sci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-1"/>
          <w:sz w:val="24"/>
        </w:rPr>
        <w:t xml:space="preserve"> </w:t>
      </w:r>
      <w:proofErr w:type="gramStart"/>
      <w:r>
        <w:rPr>
          <w:color w:val="05082C"/>
          <w:sz w:val="24"/>
        </w:rPr>
        <w:t>2003;</w:t>
      </w:r>
      <w:proofErr w:type="gramEnd"/>
      <w:r>
        <w:rPr>
          <w:color w:val="05082C"/>
          <w:sz w:val="24"/>
        </w:rPr>
        <w:t>29(3):239-45.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spacing w:before="1"/>
        <w:ind w:right="107"/>
        <w:jc w:val="both"/>
        <w:rPr>
          <w:color w:val="05082C"/>
          <w:sz w:val="24"/>
        </w:rPr>
      </w:pPr>
      <w:r w:rsidRPr="009F1E1D">
        <w:rPr>
          <w:color w:val="05082C"/>
          <w:sz w:val="24"/>
          <w:lang w:val="en-US"/>
        </w:rPr>
        <w:t xml:space="preserve">Bork K, </w:t>
      </w:r>
      <w:proofErr w:type="spellStart"/>
      <w:r w:rsidRPr="009F1E1D">
        <w:rPr>
          <w:color w:val="05082C"/>
          <w:sz w:val="24"/>
          <w:lang w:val="en-US"/>
        </w:rPr>
        <w:t>Bygum</w:t>
      </w:r>
      <w:proofErr w:type="spellEnd"/>
      <w:r w:rsidRPr="009F1E1D">
        <w:rPr>
          <w:color w:val="05082C"/>
          <w:sz w:val="24"/>
          <w:lang w:val="en-US"/>
        </w:rPr>
        <w:t xml:space="preserve"> A, </w:t>
      </w:r>
      <w:proofErr w:type="spellStart"/>
      <w:r w:rsidRPr="009F1E1D">
        <w:rPr>
          <w:color w:val="05082C"/>
          <w:sz w:val="24"/>
          <w:lang w:val="en-US"/>
        </w:rPr>
        <w:t>Hardt</w:t>
      </w:r>
      <w:proofErr w:type="spellEnd"/>
      <w:r w:rsidRPr="009F1E1D">
        <w:rPr>
          <w:color w:val="05082C"/>
          <w:sz w:val="24"/>
          <w:lang w:val="en-US"/>
        </w:rPr>
        <w:t xml:space="preserve"> J. Benefits and risks of </w:t>
      </w:r>
      <w:proofErr w:type="spellStart"/>
      <w:r w:rsidRPr="009F1E1D">
        <w:rPr>
          <w:color w:val="05082C"/>
          <w:sz w:val="24"/>
          <w:lang w:val="en-US"/>
        </w:rPr>
        <w:t>danazol</w:t>
      </w:r>
      <w:proofErr w:type="spellEnd"/>
      <w:r w:rsidRPr="009F1E1D">
        <w:rPr>
          <w:color w:val="05082C"/>
          <w:sz w:val="24"/>
          <w:lang w:val="en-US"/>
        </w:rPr>
        <w:t xml:space="preserve"> in hereditary angioedema: a long-term survey of</w:t>
      </w:r>
      <w:r w:rsidRPr="009F1E1D">
        <w:rPr>
          <w:color w:val="05082C"/>
          <w:sz w:val="24"/>
          <w:lang w:val="en-US"/>
        </w:rPr>
        <w:t xml:space="preserve"> 118 patients. </w:t>
      </w:r>
      <w:r>
        <w:rPr>
          <w:color w:val="05082C"/>
          <w:sz w:val="24"/>
        </w:rPr>
        <w:t xml:space="preserve">Ann </w:t>
      </w:r>
      <w:proofErr w:type="spellStart"/>
      <w:r>
        <w:rPr>
          <w:color w:val="05082C"/>
          <w:sz w:val="24"/>
        </w:rPr>
        <w:t>Allergy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Asthma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Immunol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-8"/>
          <w:sz w:val="24"/>
        </w:rPr>
        <w:t xml:space="preserve"> </w:t>
      </w:r>
      <w:proofErr w:type="gramStart"/>
      <w:r>
        <w:rPr>
          <w:color w:val="05082C"/>
          <w:sz w:val="24"/>
        </w:rPr>
        <w:t>2008;</w:t>
      </w:r>
      <w:proofErr w:type="gramEnd"/>
      <w:r>
        <w:rPr>
          <w:color w:val="05082C"/>
          <w:sz w:val="24"/>
        </w:rPr>
        <w:t>100(2):153-61.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3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Zuraw</w:t>
      </w:r>
      <w:proofErr w:type="spellEnd"/>
      <w:r w:rsidRPr="009F1E1D">
        <w:rPr>
          <w:color w:val="05082C"/>
          <w:sz w:val="24"/>
          <w:lang w:val="en-US"/>
        </w:rPr>
        <w:t xml:space="preserve"> BL. Hereditary </w:t>
      </w:r>
      <w:proofErr w:type="spellStart"/>
      <w:r w:rsidRPr="009F1E1D">
        <w:rPr>
          <w:color w:val="05082C"/>
          <w:sz w:val="24"/>
          <w:lang w:val="en-US"/>
        </w:rPr>
        <w:t>angiodema</w:t>
      </w:r>
      <w:proofErr w:type="spellEnd"/>
      <w:r w:rsidRPr="009F1E1D">
        <w:rPr>
          <w:color w:val="05082C"/>
          <w:sz w:val="24"/>
          <w:lang w:val="en-US"/>
        </w:rPr>
        <w:t xml:space="preserve">: a current state-of-the-art review, IV: short- and long-term treatment of hereditary angioedema: out with the old and in with the new? </w:t>
      </w:r>
      <w:r>
        <w:rPr>
          <w:color w:val="05082C"/>
          <w:sz w:val="24"/>
        </w:rPr>
        <w:t xml:space="preserve">Ann </w:t>
      </w:r>
      <w:proofErr w:type="spellStart"/>
      <w:r>
        <w:rPr>
          <w:color w:val="05082C"/>
          <w:sz w:val="24"/>
        </w:rPr>
        <w:t>Allergy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Asthma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Immunol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z w:val="24"/>
        </w:rPr>
        <w:t xml:space="preserve"> </w:t>
      </w:r>
      <w:proofErr w:type="gramStart"/>
      <w:r>
        <w:rPr>
          <w:color w:val="05082C"/>
          <w:sz w:val="24"/>
        </w:rPr>
        <w:t>2008;</w:t>
      </w:r>
      <w:proofErr w:type="gramEnd"/>
      <w:r>
        <w:rPr>
          <w:color w:val="05082C"/>
          <w:sz w:val="24"/>
        </w:rPr>
        <w:t xml:space="preserve">100(1 </w:t>
      </w:r>
      <w:proofErr w:type="spellStart"/>
      <w:r>
        <w:rPr>
          <w:color w:val="05082C"/>
          <w:sz w:val="24"/>
        </w:rPr>
        <w:t>Suppl</w:t>
      </w:r>
      <w:proofErr w:type="spellEnd"/>
      <w:r>
        <w:rPr>
          <w:color w:val="05082C"/>
          <w:spacing w:val="-2"/>
          <w:sz w:val="24"/>
        </w:rPr>
        <w:t xml:space="preserve"> </w:t>
      </w:r>
      <w:r>
        <w:rPr>
          <w:color w:val="05082C"/>
          <w:sz w:val="24"/>
        </w:rPr>
        <w:t>2):S13-8.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4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Banerji</w:t>
      </w:r>
      <w:proofErr w:type="spellEnd"/>
      <w:r w:rsidRPr="009F1E1D">
        <w:rPr>
          <w:color w:val="05082C"/>
          <w:sz w:val="24"/>
          <w:lang w:val="en-US"/>
        </w:rPr>
        <w:t xml:space="preserve"> A, Sloane DE, </w:t>
      </w:r>
      <w:proofErr w:type="spellStart"/>
      <w:r w:rsidRPr="009F1E1D">
        <w:rPr>
          <w:color w:val="05082C"/>
          <w:sz w:val="24"/>
          <w:lang w:val="en-US"/>
        </w:rPr>
        <w:t>Sheffer</w:t>
      </w:r>
      <w:proofErr w:type="spellEnd"/>
      <w:r w:rsidRPr="009F1E1D">
        <w:rPr>
          <w:color w:val="05082C"/>
          <w:sz w:val="24"/>
          <w:lang w:val="en-US"/>
        </w:rPr>
        <w:t xml:space="preserve"> AL. Hereditary angioedema: a current state-of-the-art review, V: attenuated androgens for the treatment of hereditary angioedema. </w:t>
      </w:r>
      <w:r>
        <w:rPr>
          <w:color w:val="05082C"/>
          <w:sz w:val="24"/>
        </w:rPr>
        <w:t xml:space="preserve">Ann </w:t>
      </w:r>
      <w:proofErr w:type="spellStart"/>
      <w:r>
        <w:rPr>
          <w:color w:val="05082C"/>
          <w:sz w:val="24"/>
        </w:rPr>
        <w:t>Allergy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Asthma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Immunol</w:t>
      </w:r>
      <w:proofErr w:type="spellEnd"/>
      <w:r>
        <w:rPr>
          <w:color w:val="05082C"/>
          <w:sz w:val="24"/>
        </w:rPr>
        <w:t xml:space="preserve">. </w:t>
      </w:r>
      <w:proofErr w:type="gramStart"/>
      <w:r>
        <w:rPr>
          <w:color w:val="05082C"/>
          <w:sz w:val="24"/>
        </w:rPr>
        <w:t>2008;</w:t>
      </w:r>
      <w:proofErr w:type="gramEnd"/>
      <w:r>
        <w:rPr>
          <w:color w:val="05082C"/>
          <w:sz w:val="24"/>
        </w:rPr>
        <w:t xml:space="preserve">100(1 </w:t>
      </w:r>
      <w:proofErr w:type="spellStart"/>
      <w:r>
        <w:rPr>
          <w:color w:val="05082C"/>
          <w:sz w:val="24"/>
        </w:rPr>
        <w:t>Suppl</w:t>
      </w:r>
      <w:proofErr w:type="spellEnd"/>
      <w:r>
        <w:rPr>
          <w:color w:val="05082C"/>
          <w:spacing w:val="-1"/>
          <w:sz w:val="24"/>
        </w:rPr>
        <w:t xml:space="preserve"> </w:t>
      </w:r>
      <w:r>
        <w:rPr>
          <w:color w:val="05082C"/>
          <w:sz w:val="24"/>
        </w:rPr>
        <w:t>2):S19-22.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5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Farkas</w:t>
      </w:r>
      <w:proofErr w:type="spellEnd"/>
      <w:r w:rsidRPr="009F1E1D">
        <w:rPr>
          <w:color w:val="05082C"/>
          <w:sz w:val="24"/>
          <w:lang w:val="en-US"/>
        </w:rPr>
        <w:t xml:space="preserve"> H, </w:t>
      </w:r>
      <w:proofErr w:type="spellStart"/>
      <w:r w:rsidRPr="009F1E1D">
        <w:rPr>
          <w:color w:val="05082C"/>
          <w:sz w:val="24"/>
          <w:lang w:val="en-US"/>
        </w:rPr>
        <w:t>Harmat</w:t>
      </w:r>
      <w:proofErr w:type="spellEnd"/>
      <w:r w:rsidRPr="009F1E1D">
        <w:rPr>
          <w:color w:val="05082C"/>
          <w:sz w:val="24"/>
          <w:lang w:val="en-US"/>
        </w:rPr>
        <w:t xml:space="preserve"> G, Fust G, </w:t>
      </w:r>
      <w:proofErr w:type="spellStart"/>
      <w:r w:rsidRPr="009F1E1D">
        <w:rPr>
          <w:color w:val="05082C"/>
          <w:sz w:val="24"/>
          <w:lang w:val="en-US"/>
        </w:rPr>
        <w:t>Varga</w:t>
      </w:r>
      <w:proofErr w:type="spellEnd"/>
      <w:r w:rsidRPr="009F1E1D">
        <w:rPr>
          <w:color w:val="05082C"/>
          <w:sz w:val="24"/>
          <w:lang w:val="en-US"/>
        </w:rPr>
        <w:t xml:space="preserve"> </w:t>
      </w:r>
      <w:r w:rsidRPr="009F1E1D">
        <w:rPr>
          <w:color w:val="05082C"/>
          <w:spacing w:val="-3"/>
          <w:sz w:val="24"/>
          <w:lang w:val="en-US"/>
        </w:rPr>
        <w:t xml:space="preserve">L, </w:t>
      </w:r>
      <w:r w:rsidRPr="009F1E1D">
        <w:rPr>
          <w:color w:val="05082C"/>
          <w:sz w:val="24"/>
          <w:lang w:val="en-US"/>
        </w:rPr>
        <w:t xml:space="preserve">Visy B. Clinical management of hereditary </w:t>
      </w:r>
      <w:proofErr w:type="spellStart"/>
      <w:r w:rsidRPr="009F1E1D">
        <w:rPr>
          <w:color w:val="05082C"/>
          <w:sz w:val="24"/>
          <w:lang w:val="en-US"/>
        </w:rPr>
        <w:t>angio-oedema</w:t>
      </w:r>
      <w:proofErr w:type="spellEnd"/>
      <w:r w:rsidRPr="009F1E1D">
        <w:rPr>
          <w:color w:val="05082C"/>
          <w:sz w:val="24"/>
          <w:lang w:val="en-US"/>
        </w:rPr>
        <w:t xml:space="preserve"> in children. </w:t>
      </w:r>
      <w:proofErr w:type="spellStart"/>
      <w:r>
        <w:rPr>
          <w:color w:val="05082C"/>
          <w:sz w:val="24"/>
        </w:rPr>
        <w:t>Pediatr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Allergy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Immunol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-5"/>
          <w:sz w:val="24"/>
        </w:rPr>
        <w:t xml:space="preserve"> </w:t>
      </w:r>
      <w:proofErr w:type="gramStart"/>
      <w:r>
        <w:rPr>
          <w:color w:val="05082C"/>
          <w:sz w:val="24"/>
        </w:rPr>
        <w:t>2002;</w:t>
      </w:r>
      <w:proofErr w:type="gramEnd"/>
      <w:r>
        <w:rPr>
          <w:color w:val="05082C"/>
          <w:sz w:val="24"/>
        </w:rPr>
        <w:t>13(3):153-61.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4"/>
        <w:jc w:val="both"/>
        <w:rPr>
          <w:color w:val="05082C"/>
          <w:sz w:val="24"/>
        </w:rPr>
      </w:pPr>
      <w:r w:rsidRPr="009F1E1D">
        <w:rPr>
          <w:color w:val="05082C"/>
          <w:sz w:val="24"/>
          <w:lang w:val="en-US"/>
        </w:rPr>
        <w:t xml:space="preserve">Fay A, </w:t>
      </w:r>
      <w:proofErr w:type="spellStart"/>
      <w:r w:rsidRPr="009F1E1D">
        <w:rPr>
          <w:color w:val="05082C"/>
          <w:sz w:val="24"/>
          <w:lang w:val="en-US"/>
        </w:rPr>
        <w:t>Abinun</w:t>
      </w:r>
      <w:proofErr w:type="spellEnd"/>
      <w:r w:rsidRPr="009F1E1D">
        <w:rPr>
          <w:color w:val="05082C"/>
          <w:sz w:val="24"/>
          <w:lang w:val="en-US"/>
        </w:rPr>
        <w:t xml:space="preserve"> M. Current management of hereditary </w:t>
      </w:r>
      <w:proofErr w:type="spellStart"/>
      <w:r w:rsidRPr="009F1E1D">
        <w:rPr>
          <w:color w:val="05082C"/>
          <w:sz w:val="24"/>
          <w:lang w:val="en-US"/>
        </w:rPr>
        <w:t>angio-oedema</w:t>
      </w:r>
      <w:proofErr w:type="spellEnd"/>
      <w:r w:rsidRPr="009F1E1D">
        <w:rPr>
          <w:color w:val="05082C"/>
          <w:sz w:val="24"/>
          <w:lang w:val="en-US"/>
        </w:rPr>
        <w:t xml:space="preserve"> (C'1 esterase inhibitor deficiency). </w:t>
      </w:r>
      <w:r>
        <w:rPr>
          <w:color w:val="05082C"/>
          <w:sz w:val="24"/>
        </w:rPr>
        <w:t xml:space="preserve">J </w:t>
      </w:r>
      <w:proofErr w:type="spellStart"/>
      <w:r>
        <w:rPr>
          <w:color w:val="05082C"/>
          <w:sz w:val="24"/>
        </w:rPr>
        <w:t>Clin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Pathol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1"/>
          <w:sz w:val="24"/>
        </w:rPr>
        <w:t xml:space="preserve"> </w:t>
      </w:r>
      <w:proofErr w:type="gramStart"/>
      <w:r>
        <w:rPr>
          <w:color w:val="05082C"/>
          <w:sz w:val="24"/>
        </w:rPr>
        <w:t>2002;</w:t>
      </w:r>
      <w:proofErr w:type="gramEnd"/>
      <w:r>
        <w:rPr>
          <w:color w:val="05082C"/>
          <w:sz w:val="24"/>
        </w:rPr>
        <w:t>55(4):266-70.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spacing w:before="1"/>
        <w:ind w:right="113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Cicardi</w:t>
      </w:r>
      <w:proofErr w:type="spellEnd"/>
      <w:r w:rsidRPr="009F1E1D">
        <w:rPr>
          <w:color w:val="05082C"/>
          <w:sz w:val="24"/>
          <w:lang w:val="en-US"/>
        </w:rPr>
        <w:t xml:space="preserve"> M, </w:t>
      </w:r>
      <w:proofErr w:type="spellStart"/>
      <w:r w:rsidRPr="009F1E1D">
        <w:rPr>
          <w:color w:val="05082C"/>
          <w:sz w:val="24"/>
          <w:lang w:val="en-US"/>
        </w:rPr>
        <w:t>Zingale</w:t>
      </w:r>
      <w:proofErr w:type="spellEnd"/>
      <w:r w:rsidRPr="009F1E1D">
        <w:rPr>
          <w:color w:val="05082C"/>
          <w:sz w:val="24"/>
          <w:lang w:val="en-US"/>
        </w:rPr>
        <w:t xml:space="preserve"> L. How do we treat patients with hereditary </w:t>
      </w:r>
      <w:proofErr w:type="gramStart"/>
      <w:r w:rsidRPr="009F1E1D">
        <w:rPr>
          <w:color w:val="05082C"/>
          <w:sz w:val="24"/>
          <w:lang w:val="en-US"/>
        </w:rPr>
        <w:t>angioedema.</w:t>
      </w:r>
      <w:proofErr w:type="gramEnd"/>
      <w:r w:rsidRPr="009F1E1D">
        <w:rPr>
          <w:color w:val="05082C"/>
          <w:sz w:val="24"/>
          <w:lang w:val="en-US"/>
        </w:rPr>
        <w:t xml:space="preserve"> </w:t>
      </w:r>
      <w:proofErr w:type="spellStart"/>
      <w:r>
        <w:rPr>
          <w:color w:val="05082C"/>
          <w:sz w:val="24"/>
        </w:rPr>
        <w:t>Transfus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Apher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Sci</w:t>
      </w:r>
      <w:proofErr w:type="spellEnd"/>
      <w:r>
        <w:rPr>
          <w:color w:val="05082C"/>
          <w:sz w:val="24"/>
        </w:rPr>
        <w:t xml:space="preserve">. </w:t>
      </w:r>
      <w:proofErr w:type="gramStart"/>
      <w:r>
        <w:rPr>
          <w:color w:val="05082C"/>
          <w:sz w:val="24"/>
        </w:rPr>
        <w:t>2003;</w:t>
      </w:r>
      <w:proofErr w:type="gramEnd"/>
      <w:r>
        <w:rPr>
          <w:color w:val="05082C"/>
          <w:sz w:val="24"/>
        </w:rPr>
        <w:t>29(3):221-7.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4"/>
        <w:jc w:val="both"/>
        <w:rPr>
          <w:color w:val="05082C"/>
          <w:sz w:val="24"/>
        </w:rPr>
      </w:pPr>
      <w:r w:rsidRPr="009F1E1D">
        <w:rPr>
          <w:color w:val="05082C"/>
          <w:sz w:val="24"/>
          <w:lang w:val="en-US"/>
        </w:rPr>
        <w:t xml:space="preserve">Bowen T, Hebert J, Ritchie B, Burnham J, </w:t>
      </w:r>
      <w:proofErr w:type="spellStart"/>
      <w:r w:rsidRPr="009F1E1D">
        <w:rPr>
          <w:color w:val="05082C"/>
          <w:sz w:val="24"/>
          <w:lang w:val="en-US"/>
        </w:rPr>
        <w:t>MacSween</w:t>
      </w:r>
      <w:proofErr w:type="spellEnd"/>
      <w:r w:rsidRPr="009F1E1D">
        <w:rPr>
          <w:color w:val="05082C"/>
          <w:sz w:val="24"/>
          <w:lang w:val="en-US"/>
        </w:rPr>
        <w:t xml:space="preserve"> M, Warrington R. Management of hereditary angioedema: a Canadian a</w:t>
      </w:r>
      <w:r w:rsidRPr="009F1E1D">
        <w:rPr>
          <w:color w:val="05082C"/>
          <w:sz w:val="24"/>
          <w:lang w:val="en-US"/>
        </w:rPr>
        <w:t xml:space="preserve">pproach. </w:t>
      </w:r>
      <w:proofErr w:type="spellStart"/>
      <w:r>
        <w:rPr>
          <w:color w:val="05082C"/>
          <w:sz w:val="24"/>
        </w:rPr>
        <w:t>Transfus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Apher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Sci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1"/>
          <w:sz w:val="24"/>
        </w:rPr>
        <w:t xml:space="preserve"> </w:t>
      </w:r>
      <w:proofErr w:type="gramStart"/>
      <w:r>
        <w:rPr>
          <w:color w:val="05082C"/>
          <w:sz w:val="24"/>
        </w:rPr>
        <w:t>2003;</w:t>
      </w:r>
      <w:proofErr w:type="gramEnd"/>
      <w:r>
        <w:rPr>
          <w:color w:val="05082C"/>
          <w:sz w:val="24"/>
        </w:rPr>
        <w:t>29(3):205-14.</w:t>
      </w:r>
    </w:p>
    <w:p w:rsidR="0094156D" w:rsidRPr="009F1E1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11"/>
        <w:jc w:val="both"/>
        <w:rPr>
          <w:color w:val="05082C"/>
          <w:sz w:val="24"/>
          <w:lang w:val="en-US"/>
        </w:rPr>
      </w:pPr>
      <w:proofErr w:type="spellStart"/>
      <w:r w:rsidRPr="009F1E1D">
        <w:rPr>
          <w:color w:val="05082C"/>
          <w:sz w:val="24"/>
          <w:lang w:val="en-US"/>
        </w:rPr>
        <w:t>Gelfand</w:t>
      </w:r>
      <w:proofErr w:type="spellEnd"/>
      <w:r w:rsidRPr="009F1E1D">
        <w:rPr>
          <w:color w:val="05082C"/>
          <w:sz w:val="24"/>
          <w:lang w:val="en-US"/>
        </w:rPr>
        <w:t xml:space="preserve"> JA, </w:t>
      </w:r>
      <w:proofErr w:type="spellStart"/>
      <w:r w:rsidRPr="009F1E1D">
        <w:rPr>
          <w:color w:val="05082C"/>
          <w:sz w:val="24"/>
          <w:lang w:val="en-US"/>
        </w:rPr>
        <w:t>Sherins</w:t>
      </w:r>
      <w:proofErr w:type="spellEnd"/>
      <w:r w:rsidRPr="009F1E1D">
        <w:rPr>
          <w:color w:val="05082C"/>
          <w:sz w:val="24"/>
          <w:lang w:val="en-US"/>
        </w:rPr>
        <w:t xml:space="preserve"> RJ, </w:t>
      </w:r>
      <w:proofErr w:type="spellStart"/>
      <w:r w:rsidRPr="009F1E1D">
        <w:rPr>
          <w:color w:val="05082C"/>
          <w:sz w:val="24"/>
          <w:lang w:val="en-US"/>
        </w:rPr>
        <w:t>Alling</w:t>
      </w:r>
      <w:proofErr w:type="spellEnd"/>
      <w:r w:rsidRPr="009F1E1D">
        <w:rPr>
          <w:color w:val="05082C"/>
          <w:sz w:val="24"/>
          <w:lang w:val="en-US"/>
        </w:rPr>
        <w:t xml:space="preserve"> DW, Frank MM. Treatment of hereditary angioedema with </w:t>
      </w:r>
      <w:proofErr w:type="spellStart"/>
      <w:r w:rsidRPr="009F1E1D">
        <w:rPr>
          <w:color w:val="05082C"/>
          <w:sz w:val="24"/>
          <w:lang w:val="en-US"/>
        </w:rPr>
        <w:t>danazol</w:t>
      </w:r>
      <w:proofErr w:type="spellEnd"/>
      <w:r w:rsidRPr="009F1E1D">
        <w:rPr>
          <w:color w:val="05082C"/>
          <w:sz w:val="24"/>
          <w:lang w:val="en-US"/>
        </w:rPr>
        <w:t xml:space="preserve">. Reversal of clinical and biochemical abnormalities. N </w:t>
      </w:r>
      <w:proofErr w:type="spellStart"/>
      <w:r w:rsidRPr="009F1E1D">
        <w:rPr>
          <w:color w:val="05082C"/>
          <w:sz w:val="24"/>
          <w:lang w:val="en-US"/>
        </w:rPr>
        <w:t>Engl</w:t>
      </w:r>
      <w:proofErr w:type="spellEnd"/>
      <w:r w:rsidRPr="009F1E1D">
        <w:rPr>
          <w:color w:val="05082C"/>
          <w:sz w:val="24"/>
          <w:lang w:val="en-US"/>
        </w:rPr>
        <w:t xml:space="preserve"> J Med.</w:t>
      </w:r>
      <w:r w:rsidRPr="009F1E1D">
        <w:rPr>
          <w:color w:val="05082C"/>
          <w:spacing w:val="-3"/>
          <w:sz w:val="24"/>
          <w:lang w:val="en-US"/>
        </w:rPr>
        <w:t xml:space="preserve"> </w:t>
      </w:r>
      <w:r w:rsidRPr="009F1E1D">
        <w:rPr>
          <w:color w:val="05082C"/>
          <w:sz w:val="24"/>
          <w:lang w:val="en-US"/>
        </w:rPr>
        <w:t>1976</w:t>
      </w:r>
      <w:proofErr w:type="gramStart"/>
      <w:r w:rsidRPr="009F1E1D">
        <w:rPr>
          <w:color w:val="05082C"/>
          <w:sz w:val="24"/>
          <w:lang w:val="en-US"/>
        </w:rPr>
        <w:t>;295</w:t>
      </w:r>
      <w:proofErr w:type="gramEnd"/>
      <w:r w:rsidRPr="009F1E1D">
        <w:rPr>
          <w:color w:val="05082C"/>
          <w:sz w:val="24"/>
          <w:lang w:val="en-US"/>
        </w:rPr>
        <w:t>(26):1444-8.</w:t>
      </w:r>
    </w:p>
    <w:p w:rsidR="0094156D" w:rsidRPr="009F1E1D" w:rsidRDefault="0094156D">
      <w:pPr>
        <w:jc w:val="both"/>
        <w:rPr>
          <w:sz w:val="24"/>
          <w:lang w:val="en-US"/>
        </w:rPr>
        <w:sectPr w:rsidR="0094156D" w:rsidRPr="009F1E1D">
          <w:pgSz w:w="11910" w:h="16850"/>
          <w:pgMar w:top="1600" w:right="460" w:bottom="280" w:left="1020" w:header="720" w:footer="720" w:gutter="0"/>
          <w:cols w:space="720"/>
        </w:sectPr>
      </w:pPr>
    </w:p>
    <w:p w:rsidR="0094156D" w:rsidRPr="009F1E1D" w:rsidRDefault="0094156D">
      <w:pPr>
        <w:pStyle w:val="Corpodetexto"/>
        <w:rPr>
          <w:sz w:val="20"/>
          <w:lang w:val="en-US"/>
        </w:rPr>
      </w:pPr>
    </w:p>
    <w:p w:rsidR="0094156D" w:rsidRPr="009F1E1D" w:rsidRDefault="0094156D">
      <w:pPr>
        <w:pStyle w:val="Corpodetexto"/>
        <w:rPr>
          <w:sz w:val="20"/>
          <w:lang w:val="en-US"/>
        </w:rPr>
      </w:pPr>
    </w:p>
    <w:p w:rsidR="0094156D" w:rsidRPr="009F1E1D" w:rsidRDefault="0094156D">
      <w:pPr>
        <w:pStyle w:val="Corpodetexto"/>
        <w:rPr>
          <w:sz w:val="20"/>
          <w:lang w:val="en-US"/>
        </w:rPr>
      </w:pPr>
    </w:p>
    <w:p w:rsidR="0094156D" w:rsidRPr="009F1E1D" w:rsidRDefault="0094156D">
      <w:pPr>
        <w:pStyle w:val="Corpodetexto"/>
        <w:rPr>
          <w:sz w:val="20"/>
          <w:lang w:val="en-US"/>
        </w:rPr>
      </w:pPr>
    </w:p>
    <w:p w:rsidR="0094156D" w:rsidRPr="009F1E1D" w:rsidRDefault="0094156D">
      <w:pPr>
        <w:pStyle w:val="Corpodetexto"/>
        <w:spacing w:before="9"/>
        <w:rPr>
          <w:sz w:val="18"/>
          <w:lang w:val="en-US"/>
        </w:rPr>
      </w:pP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spacing w:before="90"/>
        <w:ind w:right="104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DrugDex</w:t>
      </w:r>
      <w:proofErr w:type="spellEnd"/>
      <w:r w:rsidRPr="009F1E1D">
        <w:rPr>
          <w:color w:val="05082C"/>
          <w:sz w:val="24"/>
          <w:lang w:val="en-US"/>
        </w:rPr>
        <w:t xml:space="preserve">. Micromedex Healthcare Series – Integrated Index® System [CD-ROM]. </w:t>
      </w:r>
      <w:r>
        <w:rPr>
          <w:color w:val="05082C"/>
          <w:sz w:val="24"/>
        </w:rPr>
        <w:t>Vol. 120. 1974- 2004.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2"/>
        <w:jc w:val="both"/>
        <w:rPr>
          <w:color w:val="05082C"/>
          <w:sz w:val="24"/>
        </w:rPr>
      </w:pPr>
      <w:r w:rsidRPr="009F1E1D">
        <w:rPr>
          <w:color w:val="05082C"/>
          <w:sz w:val="24"/>
          <w:lang w:val="en-US"/>
        </w:rPr>
        <w:t xml:space="preserve">Atkinson J. Prevention of attacks in hereditary </w:t>
      </w:r>
      <w:proofErr w:type="spellStart"/>
      <w:r w:rsidRPr="009F1E1D">
        <w:rPr>
          <w:color w:val="05082C"/>
          <w:sz w:val="24"/>
          <w:lang w:val="en-US"/>
        </w:rPr>
        <w:t>angiodema</w:t>
      </w:r>
      <w:proofErr w:type="spellEnd"/>
      <w:r w:rsidRPr="009F1E1D">
        <w:rPr>
          <w:color w:val="05082C"/>
          <w:sz w:val="24"/>
          <w:lang w:val="en-US"/>
        </w:rPr>
        <w:t xml:space="preserve">. </w:t>
      </w:r>
      <w:proofErr w:type="spellStart"/>
      <w:proofErr w:type="gramStart"/>
      <w:r>
        <w:rPr>
          <w:color w:val="05082C"/>
          <w:sz w:val="24"/>
        </w:rPr>
        <w:t>UpToDate</w:t>
      </w:r>
      <w:proofErr w:type="spellEnd"/>
      <w:proofErr w:type="gramEnd"/>
      <w:r>
        <w:rPr>
          <w:color w:val="05082C"/>
          <w:sz w:val="24"/>
        </w:rPr>
        <w:t xml:space="preserve">; 2009. [acesso em </w:t>
      </w:r>
      <w:proofErr w:type="gramStart"/>
      <w:r>
        <w:rPr>
          <w:color w:val="05082C"/>
          <w:sz w:val="24"/>
        </w:rPr>
        <w:t xml:space="preserve">07 </w:t>
      </w:r>
      <w:proofErr w:type="spellStart"/>
      <w:r>
        <w:rPr>
          <w:color w:val="05082C"/>
          <w:sz w:val="24"/>
        </w:rPr>
        <w:t>mai</w:t>
      </w:r>
      <w:proofErr w:type="spellEnd"/>
      <w:proofErr w:type="gramEnd"/>
      <w:r>
        <w:rPr>
          <w:color w:val="05082C"/>
          <w:sz w:val="24"/>
        </w:rPr>
        <w:t xml:space="preserve"> 2010]. Disponível em: </w:t>
      </w:r>
      <w:hyperlink r:id="rId17">
        <w:r>
          <w:rPr>
            <w:sz w:val="24"/>
          </w:rPr>
          <w:t>http://www.uptodate.com/patients/content/topic.do?topicKey=~q4q8ma_</w:t>
        </w:r>
      </w:hyperlink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EQaw_FP</w:t>
      </w:r>
      <w:proofErr w:type="spellEnd"/>
      <w:proofErr w:type="gramEnd"/>
      <w:r>
        <w:rPr>
          <w:sz w:val="24"/>
        </w:rPr>
        <w:t>..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6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Blohmé</w:t>
      </w:r>
      <w:proofErr w:type="spellEnd"/>
      <w:r w:rsidRPr="009F1E1D">
        <w:rPr>
          <w:color w:val="05082C"/>
          <w:sz w:val="24"/>
          <w:lang w:val="en-US"/>
        </w:rPr>
        <w:t xml:space="preserve"> G. Treatment of hereditary </w:t>
      </w:r>
      <w:proofErr w:type="spellStart"/>
      <w:r w:rsidRPr="009F1E1D">
        <w:rPr>
          <w:color w:val="05082C"/>
          <w:sz w:val="24"/>
          <w:lang w:val="en-US"/>
        </w:rPr>
        <w:t>angioneurotic</w:t>
      </w:r>
      <w:proofErr w:type="spellEnd"/>
      <w:r w:rsidRPr="009F1E1D">
        <w:rPr>
          <w:color w:val="05082C"/>
          <w:sz w:val="24"/>
          <w:lang w:val="en-US"/>
        </w:rPr>
        <w:t xml:space="preserve"> </w:t>
      </w:r>
      <w:proofErr w:type="spellStart"/>
      <w:r w:rsidRPr="009F1E1D">
        <w:rPr>
          <w:color w:val="05082C"/>
          <w:sz w:val="24"/>
          <w:lang w:val="en-US"/>
        </w:rPr>
        <w:t>oedema</w:t>
      </w:r>
      <w:proofErr w:type="spellEnd"/>
      <w:r w:rsidRPr="009F1E1D">
        <w:rPr>
          <w:color w:val="05082C"/>
          <w:sz w:val="24"/>
          <w:lang w:val="en-US"/>
        </w:rPr>
        <w:t xml:space="preserve"> with </w:t>
      </w:r>
      <w:proofErr w:type="spellStart"/>
      <w:r w:rsidRPr="009F1E1D">
        <w:rPr>
          <w:color w:val="05082C"/>
          <w:sz w:val="24"/>
          <w:lang w:val="en-US"/>
        </w:rPr>
        <w:t>tranexamic</w:t>
      </w:r>
      <w:proofErr w:type="spellEnd"/>
      <w:r w:rsidRPr="009F1E1D">
        <w:rPr>
          <w:color w:val="05082C"/>
          <w:sz w:val="24"/>
          <w:lang w:val="en-US"/>
        </w:rPr>
        <w:t xml:space="preserve"> acid. A random double- blind cross-over study. </w:t>
      </w:r>
      <w:proofErr w:type="spellStart"/>
      <w:r w:rsidRPr="009F1E1D">
        <w:rPr>
          <w:color w:val="05082C"/>
          <w:sz w:val="24"/>
          <w:lang w:val="en-US"/>
        </w:rPr>
        <w:t>Acta</w:t>
      </w:r>
      <w:proofErr w:type="spellEnd"/>
      <w:r w:rsidRPr="009F1E1D">
        <w:rPr>
          <w:color w:val="05082C"/>
          <w:sz w:val="24"/>
          <w:lang w:val="en-US"/>
        </w:rPr>
        <w:t xml:space="preserve"> Med Scand.</w:t>
      </w:r>
      <w:r w:rsidRPr="009F1E1D">
        <w:rPr>
          <w:color w:val="05082C"/>
          <w:spacing w:val="-1"/>
          <w:sz w:val="24"/>
          <w:lang w:val="en-US"/>
        </w:rPr>
        <w:t xml:space="preserve"> </w:t>
      </w:r>
      <w:r>
        <w:rPr>
          <w:color w:val="05082C"/>
          <w:sz w:val="24"/>
        </w:rPr>
        <w:t>1972</w:t>
      </w:r>
      <w:proofErr w:type="gramStart"/>
      <w:r>
        <w:rPr>
          <w:color w:val="05082C"/>
          <w:sz w:val="24"/>
        </w:rPr>
        <w:t>;192</w:t>
      </w:r>
      <w:proofErr w:type="gramEnd"/>
      <w:r>
        <w:rPr>
          <w:color w:val="05082C"/>
          <w:sz w:val="24"/>
        </w:rPr>
        <w:t>(4):293-8.</w:t>
      </w:r>
    </w:p>
    <w:p w:rsidR="0094156D" w:rsidRPr="009F1E1D" w:rsidRDefault="009F1E1D">
      <w:pPr>
        <w:pStyle w:val="PargrafodaLista"/>
        <w:numPr>
          <w:ilvl w:val="0"/>
          <w:numId w:val="2"/>
        </w:numPr>
        <w:tabs>
          <w:tab w:val="left" w:pos="679"/>
          <w:tab w:val="left" w:pos="680"/>
          <w:tab w:val="left" w:pos="2035"/>
          <w:tab w:val="left" w:pos="3506"/>
          <w:tab w:val="left" w:pos="4437"/>
          <w:tab w:val="left" w:pos="5530"/>
          <w:tab w:val="left" w:pos="6214"/>
          <w:tab w:val="left" w:pos="6845"/>
          <w:tab w:val="left" w:pos="7502"/>
          <w:tab w:val="left" w:pos="8512"/>
          <w:tab w:val="left" w:pos="9957"/>
        </w:tabs>
        <w:ind w:right="108"/>
        <w:rPr>
          <w:color w:val="05082C"/>
          <w:sz w:val="24"/>
          <w:lang w:val="en-US"/>
        </w:rPr>
      </w:pPr>
      <w:proofErr w:type="spellStart"/>
      <w:r w:rsidRPr="009F1E1D">
        <w:rPr>
          <w:sz w:val="24"/>
          <w:lang w:val="en-US"/>
        </w:rPr>
        <w:t>Zuraw</w:t>
      </w:r>
      <w:proofErr w:type="spellEnd"/>
      <w:r w:rsidRPr="009F1E1D">
        <w:rPr>
          <w:sz w:val="24"/>
          <w:lang w:val="en-US"/>
        </w:rPr>
        <w:t xml:space="preserve"> B, Bingham CO. An overview of angioedema: Clinical features, diagnosis, and management [Internet].</w:t>
      </w:r>
      <w:r w:rsidRPr="009F1E1D">
        <w:rPr>
          <w:sz w:val="24"/>
          <w:lang w:val="en-US"/>
        </w:rPr>
        <w:tab/>
      </w:r>
      <w:proofErr w:type="spellStart"/>
      <w:r w:rsidRPr="009F1E1D">
        <w:rPr>
          <w:sz w:val="24"/>
          <w:lang w:val="en-US"/>
        </w:rPr>
        <w:t>UpToDate</w:t>
      </w:r>
      <w:proofErr w:type="spellEnd"/>
      <w:r w:rsidRPr="009F1E1D">
        <w:rPr>
          <w:sz w:val="24"/>
          <w:lang w:val="en-US"/>
        </w:rPr>
        <w:t>;</w:t>
      </w:r>
      <w:r w:rsidRPr="009F1E1D">
        <w:rPr>
          <w:sz w:val="24"/>
          <w:lang w:val="en-US"/>
        </w:rPr>
        <w:tab/>
        <w:t>2014.</w:t>
      </w:r>
      <w:r w:rsidRPr="009F1E1D">
        <w:rPr>
          <w:sz w:val="24"/>
          <w:lang w:val="en-US"/>
        </w:rPr>
        <w:tab/>
        <w:t>[</w:t>
      </w:r>
      <w:proofErr w:type="spellStart"/>
      <w:proofErr w:type="gramStart"/>
      <w:r w:rsidRPr="009F1E1D">
        <w:rPr>
          <w:sz w:val="24"/>
          <w:lang w:val="en-US"/>
        </w:rPr>
        <w:t>acesso</w:t>
      </w:r>
      <w:proofErr w:type="spellEnd"/>
      <w:proofErr w:type="gramEnd"/>
      <w:r w:rsidRPr="009F1E1D">
        <w:rPr>
          <w:sz w:val="24"/>
          <w:lang w:val="en-US"/>
        </w:rPr>
        <w:tab/>
      </w:r>
      <w:proofErr w:type="spellStart"/>
      <w:r w:rsidRPr="009F1E1D">
        <w:rPr>
          <w:sz w:val="24"/>
          <w:lang w:val="en-US"/>
        </w:rPr>
        <w:t>em</w:t>
      </w:r>
      <w:proofErr w:type="spellEnd"/>
      <w:r w:rsidRPr="009F1E1D">
        <w:rPr>
          <w:sz w:val="24"/>
          <w:lang w:val="en-US"/>
        </w:rPr>
        <w:tab/>
        <w:t>04</w:t>
      </w:r>
      <w:r w:rsidRPr="009F1E1D">
        <w:rPr>
          <w:sz w:val="24"/>
          <w:lang w:val="en-US"/>
        </w:rPr>
        <w:tab/>
        <w:t>set</w:t>
      </w:r>
      <w:r w:rsidRPr="009F1E1D">
        <w:rPr>
          <w:sz w:val="24"/>
          <w:lang w:val="en-US"/>
        </w:rPr>
        <w:tab/>
        <w:t>2014].</w:t>
      </w:r>
      <w:r w:rsidRPr="009F1E1D">
        <w:rPr>
          <w:sz w:val="24"/>
          <w:lang w:val="en-US"/>
        </w:rPr>
        <w:tab/>
      </w:r>
      <w:proofErr w:type="spellStart"/>
      <w:r w:rsidRPr="009F1E1D">
        <w:rPr>
          <w:sz w:val="24"/>
          <w:lang w:val="en-US"/>
        </w:rPr>
        <w:t>Disponível</w:t>
      </w:r>
      <w:proofErr w:type="spellEnd"/>
      <w:r w:rsidRPr="009F1E1D">
        <w:rPr>
          <w:sz w:val="24"/>
          <w:lang w:val="en-US"/>
        </w:rPr>
        <w:tab/>
      </w:r>
      <w:proofErr w:type="spellStart"/>
      <w:r w:rsidRPr="009F1E1D">
        <w:rPr>
          <w:sz w:val="24"/>
          <w:lang w:val="en-US"/>
        </w:rPr>
        <w:t>em</w:t>
      </w:r>
      <w:proofErr w:type="spellEnd"/>
      <w:r w:rsidRPr="009F1E1D">
        <w:rPr>
          <w:sz w:val="24"/>
          <w:lang w:val="en-US"/>
        </w:rPr>
        <w:t xml:space="preserve">: </w:t>
      </w:r>
      <w:hyperlink r:id="rId18">
        <w:r w:rsidRPr="009F1E1D">
          <w:rPr>
            <w:sz w:val="24"/>
            <w:lang w:val="en-US"/>
          </w:rPr>
          <w:t>http://www.uptodate.com/contents/an-overview-of-angioedema-clinical-features-diagnosis-and-</w:t>
        </w:r>
      </w:hyperlink>
      <w:r w:rsidRPr="009F1E1D">
        <w:rPr>
          <w:sz w:val="24"/>
          <w:lang w:val="en-US"/>
        </w:rPr>
        <w:t xml:space="preserve"> </w:t>
      </w:r>
      <w:proofErr w:type="spellStart"/>
      <w:r w:rsidRPr="009F1E1D">
        <w:rPr>
          <w:sz w:val="24"/>
          <w:lang w:val="en-US"/>
        </w:rPr>
        <w:t>management?source</w:t>
      </w:r>
      <w:proofErr w:type="spellEnd"/>
      <w:r w:rsidRPr="009F1E1D">
        <w:rPr>
          <w:sz w:val="24"/>
          <w:lang w:val="en-US"/>
        </w:rPr>
        <w:t>=</w:t>
      </w:r>
      <w:proofErr w:type="spellStart"/>
      <w:r w:rsidRPr="009F1E1D">
        <w:rPr>
          <w:sz w:val="24"/>
          <w:lang w:val="en-US"/>
        </w:rPr>
        <w:t>related_link</w:t>
      </w:r>
      <w:proofErr w:type="spellEnd"/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spacing w:before="1"/>
        <w:ind w:right="114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Cicardi</w:t>
      </w:r>
      <w:proofErr w:type="spellEnd"/>
      <w:r w:rsidRPr="009F1E1D">
        <w:rPr>
          <w:color w:val="05082C"/>
          <w:sz w:val="24"/>
          <w:lang w:val="en-US"/>
        </w:rPr>
        <w:t xml:space="preserve"> M, </w:t>
      </w:r>
      <w:proofErr w:type="spellStart"/>
      <w:r w:rsidRPr="009F1E1D">
        <w:rPr>
          <w:color w:val="05082C"/>
          <w:sz w:val="24"/>
          <w:lang w:val="en-US"/>
        </w:rPr>
        <w:t>Banerji</w:t>
      </w:r>
      <w:proofErr w:type="spellEnd"/>
      <w:r w:rsidRPr="009F1E1D">
        <w:rPr>
          <w:color w:val="05082C"/>
          <w:sz w:val="24"/>
          <w:lang w:val="en-US"/>
        </w:rPr>
        <w:t xml:space="preserve"> A, </w:t>
      </w:r>
      <w:proofErr w:type="spellStart"/>
      <w:r w:rsidRPr="009F1E1D">
        <w:rPr>
          <w:color w:val="05082C"/>
          <w:sz w:val="24"/>
          <w:lang w:val="en-US"/>
        </w:rPr>
        <w:t>Bracho</w:t>
      </w:r>
      <w:proofErr w:type="spellEnd"/>
      <w:r w:rsidRPr="009F1E1D">
        <w:rPr>
          <w:color w:val="05082C"/>
          <w:sz w:val="24"/>
          <w:lang w:val="en-US"/>
        </w:rPr>
        <w:t xml:space="preserve"> F, </w:t>
      </w:r>
      <w:proofErr w:type="spellStart"/>
      <w:r w:rsidRPr="009F1E1D">
        <w:rPr>
          <w:color w:val="05082C"/>
          <w:sz w:val="24"/>
          <w:lang w:val="en-US"/>
        </w:rPr>
        <w:t>Malbran</w:t>
      </w:r>
      <w:proofErr w:type="spellEnd"/>
      <w:r w:rsidRPr="009F1E1D">
        <w:rPr>
          <w:color w:val="05082C"/>
          <w:sz w:val="24"/>
          <w:lang w:val="en-US"/>
        </w:rPr>
        <w:t xml:space="preserve"> A, </w:t>
      </w:r>
      <w:proofErr w:type="spellStart"/>
      <w:r w:rsidRPr="009F1E1D">
        <w:rPr>
          <w:color w:val="05082C"/>
          <w:sz w:val="24"/>
          <w:lang w:val="en-US"/>
        </w:rPr>
        <w:t>Rosenkranz</w:t>
      </w:r>
      <w:proofErr w:type="spellEnd"/>
      <w:r w:rsidRPr="009F1E1D">
        <w:rPr>
          <w:color w:val="05082C"/>
          <w:sz w:val="24"/>
          <w:lang w:val="en-US"/>
        </w:rPr>
        <w:t xml:space="preserve"> B, </w:t>
      </w:r>
      <w:proofErr w:type="spellStart"/>
      <w:r w:rsidRPr="009F1E1D">
        <w:rPr>
          <w:color w:val="05082C"/>
          <w:sz w:val="24"/>
          <w:lang w:val="en-US"/>
        </w:rPr>
        <w:t>Riedl</w:t>
      </w:r>
      <w:proofErr w:type="spellEnd"/>
      <w:r w:rsidRPr="009F1E1D">
        <w:rPr>
          <w:color w:val="05082C"/>
          <w:sz w:val="24"/>
          <w:lang w:val="en-US"/>
        </w:rPr>
        <w:t xml:space="preserve"> M, et al. </w:t>
      </w:r>
      <w:proofErr w:type="spellStart"/>
      <w:r w:rsidRPr="009F1E1D">
        <w:rPr>
          <w:color w:val="05082C"/>
          <w:sz w:val="24"/>
          <w:lang w:val="en-US"/>
        </w:rPr>
        <w:t>Icatibant</w:t>
      </w:r>
      <w:proofErr w:type="spellEnd"/>
      <w:r w:rsidRPr="009F1E1D">
        <w:rPr>
          <w:color w:val="05082C"/>
          <w:sz w:val="24"/>
          <w:lang w:val="en-US"/>
        </w:rPr>
        <w:t xml:space="preserve">, a new </w:t>
      </w:r>
      <w:proofErr w:type="spellStart"/>
      <w:r w:rsidRPr="009F1E1D">
        <w:rPr>
          <w:color w:val="05082C"/>
          <w:sz w:val="24"/>
          <w:lang w:val="en-US"/>
        </w:rPr>
        <w:t>bradyki</w:t>
      </w:r>
      <w:r w:rsidRPr="009F1E1D">
        <w:rPr>
          <w:color w:val="05082C"/>
          <w:sz w:val="24"/>
          <w:lang w:val="en-US"/>
        </w:rPr>
        <w:t>nin</w:t>
      </w:r>
      <w:proofErr w:type="spellEnd"/>
      <w:r w:rsidRPr="009F1E1D">
        <w:rPr>
          <w:color w:val="05082C"/>
          <w:sz w:val="24"/>
          <w:lang w:val="en-US"/>
        </w:rPr>
        <w:t xml:space="preserve">-receptor antagonist, in hereditary angioedema. </w:t>
      </w:r>
      <w:r>
        <w:rPr>
          <w:color w:val="05082C"/>
          <w:sz w:val="24"/>
        </w:rPr>
        <w:t xml:space="preserve">N </w:t>
      </w:r>
      <w:proofErr w:type="spellStart"/>
      <w:r>
        <w:rPr>
          <w:color w:val="05082C"/>
          <w:sz w:val="24"/>
        </w:rPr>
        <w:t>Engl</w:t>
      </w:r>
      <w:proofErr w:type="spellEnd"/>
      <w:r>
        <w:rPr>
          <w:color w:val="05082C"/>
          <w:sz w:val="24"/>
        </w:rPr>
        <w:t xml:space="preserve"> J Med.</w:t>
      </w:r>
      <w:r>
        <w:rPr>
          <w:color w:val="05082C"/>
          <w:spacing w:val="-8"/>
          <w:sz w:val="24"/>
        </w:rPr>
        <w:t xml:space="preserve"> </w:t>
      </w:r>
      <w:proofErr w:type="gramStart"/>
      <w:r>
        <w:rPr>
          <w:color w:val="05082C"/>
          <w:sz w:val="24"/>
        </w:rPr>
        <w:t>2010;</w:t>
      </w:r>
      <w:proofErr w:type="gramEnd"/>
      <w:r>
        <w:rPr>
          <w:color w:val="05082C"/>
          <w:sz w:val="24"/>
        </w:rPr>
        <w:t>363(6):532-41.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4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Lumry</w:t>
      </w:r>
      <w:proofErr w:type="spellEnd"/>
      <w:r w:rsidRPr="009F1E1D">
        <w:rPr>
          <w:color w:val="05082C"/>
          <w:sz w:val="24"/>
          <w:lang w:val="en-US"/>
        </w:rPr>
        <w:t xml:space="preserve"> WR, </w:t>
      </w:r>
      <w:r w:rsidRPr="009F1E1D">
        <w:rPr>
          <w:color w:val="05082C"/>
          <w:spacing w:val="-3"/>
          <w:sz w:val="24"/>
          <w:lang w:val="en-US"/>
        </w:rPr>
        <w:t xml:space="preserve">Li </w:t>
      </w:r>
      <w:r w:rsidRPr="009F1E1D">
        <w:rPr>
          <w:color w:val="05082C"/>
          <w:sz w:val="24"/>
          <w:lang w:val="en-US"/>
        </w:rPr>
        <w:t xml:space="preserve">HH, Levy RJ, Potter PC, </w:t>
      </w:r>
      <w:proofErr w:type="spellStart"/>
      <w:r w:rsidRPr="009F1E1D">
        <w:rPr>
          <w:color w:val="05082C"/>
          <w:sz w:val="24"/>
          <w:lang w:val="en-US"/>
        </w:rPr>
        <w:t>Farkas</w:t>
      </w:r>
      <w:proofErr w:type="spellEnd"/>
      <w:r w:rsidRPr="009F1E1D">
        <w:rPr>
          <w:color w:val="05082C"/>
          <w:sz w:val="24"/>
          <w:lang w:val="en-US"/>
        </w:rPr>
        <w:t xml:space="preserve"> H, Moldovan D, et al. Randomized placebo- controlled trial of the </w:t>
      </w:r>
      <w:proofErr w:type="spellStart"/>
      <w:r w:rsidRPr="009F1E1D">
        <w:rPr>
          <w:color w:val="05082C"/>
          <w:sz w:val="24"/>
          <w:lang w:val="en-US"/>
        </w:rPr>
        <w:t>bradykinin</w:t>
      </w:r>
      <w:proofErr w:type="spellEnd"/>
      <w:r w:rsidRPr="009F1E1D">
        <w:rPr>
          <w:color w:val="05082C"/>
          <w:sz w:val="24"/>
          <w:lang w:val="en-US"/>
        </w:rPr>
        <w:t xml:space="preserve"> B(2) receptor antagonist </w:t>
      </w:r>
      <w:proofErr w:type="spellStart"/>
      <w:r w:rsidRPr="009F1E1D">
        <w:rPr>
          <w:color w:val="05082C"/>
          <w:sz w:val="24"/>
          <w:lang w:val="en-US"/>
        </w:rPr>
        <w:t>icatibant</w:t>
      </w:r>
      <w:proofErr w:type="spellEnd"/>
      <w:r w:rsidRPr="009F1E1D">
        <w:rPr>
          <w:color w:val="05082C"/>
          <w:sz w:val="24"/>
          <w:lang w:val="en-US"/>
        </w:rPr>
        <w:t xml:space="preserve"> for the treatme</w:t>
      </w:r>
      <w:r w:rsidRPr="009F1E1D">
        <w:rPr>
          <w:color w:val="05082C"/>
          <w:sz w:val="24"/>
          <w:lang w:val="en-US"/>
        </w:rPr>
        <w:t xml:space="preserve">nt of acute attacks of hereditary angioedema: the FAST-3 trial. </w:t>
      </w:r>
      <w:r>
        <w:rPr>
          <w:color w:val="05082C"/>
          <w:sz w:val="24"/>
        </w:rPr>
        <w:t xml:space="preserve">Ann </w:t>
      </w:r>
      <w:proofErr w:type="spellStart"/>
      <w:r>
        <w:rPr>
          <w:color w:val="05082C"/>
          <w:sz w:val="24"/>
        </w:rPr>
        <w:t>Allergy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Asthma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Immunol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-11"/>
          <w:sz w:val="24"/>
        </w:rPr>
        <w:t xml:space="preserve"> </w:t>
      </w:r>
      <w:proofErr w:type="gramStart"/>
      <w:r>
        <w:rPr>
          <w:color w:val="05082C"/>
          <w:sz w:val="24"/>
        </w:rPr>
        <w:t>2011;</w:t>
      </w:r>
      <w:proofErr w:type="gramEnd"/>
      <w:r>
        <w:rPr>
          <w:color w:val="05082C"/>
          <w:sz w:val="24"/>
        </w:rPr>
        <w:t>107(6):529-37.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  <w:tab w:val="left" w:pos="2308"/>
          <w:tab w:val="left" w:pos="4105"/>
          <w:tab w:val="left" w:pos="5492"/>
          <w:tab w:val="left" w:pos="7815"/>
          <w:tab w:val="left" w:pos="9957"/>
        </w:tabs>
        <w:ind w:right="105"/>
        <w:jc w:val="both"/>
        <w:rPr>
          <w:color w:val="05082C"/>
          <w:sz w:val="24"/>
        </w:rPr>
      </w:pPr>
      <w:r>
        <w:rPr>
          <w:color w:val="05082C"/>
          <w:sz w:val="24"/>
        </w:rPr>
        <w:t xml:space="preserve">Brasil. Ministério da Saúde. Comissão Nacional de Incorporação de Tecnologias no SUS (CONITEC). </w:t>
      </w:r>
      <w:proofErr w:type="spellStart"/>
      <w:r>
        <w:rPr>
          <w:color w:val="05082C"/>
          <w:sz w:val="24"/>
        </w:rPr>
        <w:t>Icatibanto</w:t>
      </w:r>
      <w:proofErr w:type="spellEnd"/>
      <w:r>
        <w:rPr>
          <w:color w:val="05082C"/>
          <w:sz w:val="24"/>
        </w:rPr>
        <w:t xml:space="preserve"> para o tratamento da crise aguda mode</w:t>
      </w:r>
      <w:r>
        <w:rPr>
          <w:color w:val="05082C"/>
          <w:sz w:val="24"/>
        </w:rPr>
        <w:t xml:space="preserve">rada ou grave do </w:t>
      </w:r>
      <w:proofErr w:type="spellStart"/>
      <w:r>
        <w:rPr>
          <w:color w:val="05082C"/>
          <w:sz w:val="24"/>
        </w:rPr>
        <w:t>Angioedema</w:t>
      </w:r>
      <w:proofErr w:type="spellEnd"/>
      <w:r>
        <w:rPr>
          <w:color w:val="05082C"/>
          <w:sz w:val="24"/>
        </w:rPr>
        <w:t xml:space="preserve"> Hereditário. [Internet]. Brasília, DF: Secretaria de Ciência, Tecnologia e Insumos Estratégicos; 2015.</w:t>
      </w:r>
      <w:r>
        <w:rPr>
          <w:color w:val="05082C"/>
          <w:sz w:val="24"/>
        </w:rPr>
        <w:tab/>
      </w:r>
      <w:proofErr w:type="gramStart"/>
      <w:r>
        <w:rPr>
          <w:color w:val="05082C"/>
          <w:sz w:val="24"/>
        </w:rPr>
        <w:t>[</w:t>
      </w:r>
      <w:proofErr w:type="gramEnd"/>
      <w:r>
        <w:rPr>
          <w:color w:val="05082C"/>
          <w:sz w:val="24"/>
        </w:rPr>
        <w:t>acesso</w:t>
      </w:r>
      <w:r>
        <w:rPr>
          <w:color w:val="05082C"/>
          <w:sz w:val="24"/>
        </w:rPr>
        <w:tab/>
        <w:t>em</w:t>
      </w:r>
      <w:r>
        <w:rPr>
          <w:color w:val="05082C"/>
          <w:sz w:val="24"/>
        </w:rPr>
        <w:tab/>
        <w:t>29/02/2016].</w:t>
      </w:r>
      <w:r>
        <w:rPr>
          <w:color w:val="05082C"/>
          <w:sz w:val="24"/>
        </w:rPr>
        <w:tab/>
        <w:t>Disponível</w:t>
      </w:r>
      <w:r>
        <w:rPr>
          <w:color w:val="05082C"/>
          <w:sz w:val="24"/>
        </w:rPr>
        <w:tab/>
        <w:t>em:</w:t>
      </w:r>
      <w:r>
        <w:rPr>
          <w:color w:val="0000FF"/>
          <w:sz w:val="24"/>
          <w:u w:val="single" w:color="0000FF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http://conitec.gov.br/images/Consultas/Relatorios/2015/Relatorio_IcatibantoAngioedema_CP.pdf</w:t>
        </w:r>
      </w:hyperlink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13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Buyantseva</w:t>
      </w:r>
      <w:proofErr w:type="spellEnd"/>
      <w:r w:rsidRPr="009F1E1D">
        <w:rPr>
          <w:color w:val="05082C"/>
          <w:sz w:val="24"/>
          <w:lang w:val="en-US"/>
        </w:rPr>
        <w:t xml:space="preserve"> LV, </w:t>
      </w:r>
      <w:proofErr w:type="spellStart"/>
      <w:r w:rsidRPr="009F1E1D">
        <w:rPr>
          <w:color w:val="05082C"/>
          <w:sz w:val="24"/>
          <w:lang w:val="en-US"/>
        </w:rPr>
        <w:t>Sardana</w:t>
      </w:r>
      <w:proofErr w:type="spellEnd"/>
      <w:r w:rsidRPr="009F1E1D">
        <w:rPr>
          <w:color w:val="05082C"/>
          <w:sz w:val="24"/>
          <w:lang w:val="en-US"/>
        </w:rPr>
        <w:t xml:space="preserve"> N, Craig TJ. Update on treatment of hereditary angioedema. </w:t>
      </w:r>
      <w:proofErr w:type="spellStart"/>
      <w:r>
        <w:rPr>
          <w:color w:val="05082C"/>
          <w:sz w:val="24"/>
        </w:rPr>
        <w:t>Asian</w:t>
      </w:r>
      <w:proofErr w:type="spellEnd"/>
      <w:r>
        <w:rPr>
          <w:color w:val="05082C"/>
          <w:sz w:val="24"/>
        </w:rPr>
        <w:t xml:space="preserve"> </w:t>
      </w:r>
      <w:proofErr w:type="spellStart"/>
      <w:proofErr w:type="gramStart"/>
      <w:r>
        <w:rPr>
          <w:color w:val="05082C"/>
          <w:sz w:val="24"/>
        </w:rPr>
        <w:t>Pac</w:t>
      </w:r>
      <w:proofErr w:type="spellEnd"/>
      <w:proofErr w:type="gramEnd"/>
      <w:r>
        <w:rPr>
          <w:color w:val="05082C"/>
          <w:sz w:val="24"/>
        </w:rPr>
        <w:t xml:space="preserve"> J </w:t>
      </w:r>
      <w:proofErr w:type="spellStart"/>
      <w:r>
        <w:rPr>
          <w:color w:val="05082C"/>
          <w:sz w:val="24"/>
        </w:rPr>
        <w:t>Allergy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Immunol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-1"/>
          <w:sz w:val="24"/>
        </w:rPr>
        <w:t xml:space="preserve"> </w:t>
      </w:r>
      <w:proofErr w:type="gramStart"/>
      <w:r>
        <w:rPr>
          <w:color w:val="05082C"/>
          <w:sz w:val="24"/>
        </w:rPr>
        <w:t>2012;</w:t>
      </w:r>
      <w:proofErr w:type="gramEnd"/>
      <w:r>
        <w:rPr>
          <w:color w:val="05082C"/>
          <w:sz w:val="24"/>
        </w:rPr>
        <w:t>30(2):89-98.</w:t>
      </w:r>
    </w:p>
    <w:p w:rsidR="0094156D" w:rsidRPr="009F1E1D" w:rsidRDefault="009F1E1D">
      <w:pPr>
        <w:pStyle w:val="PargrafodaLista"/>
        <w:numPr>
          <w:ilvl w:val="0"/>
          <w:numId w:val="2"/>
        </w:numPr>
        <w:tabs>
          <w:tab w:val="left" w:pos="679"/>
          <w:tab w:val="left" w:pos="680"/>
        </w:tabs>
        <w:rPr>
          <w:sz w:val="24"/>
          <w:lang w:val="en-US"/>
        </w:rPr>
      </w:pPr>
      <w:r w:rsidRPr="009F1E1D">
        <w:rPr>
          <w:sz w:val="24"/>
          <w:lang w:val="en-US"/>
        </w:rPr>
        <w:t xml:space="preserve">Wickersham RM, editor. Drug facts and comparisons. St. Louis: </w:t>
      </w:r>
      <w:proofErr w:type="spellStart"/>
      <w:r w:rsidRPr="009F1E1D">
        <w:rPr>
          <w:sz w:val="24"/>
          <w:lang w:val="en-US"/>
        </w:rPr>
        <w:t>Wolters</w:t>
      </w:r>
      <w:proofErr w:type="spellEnd"/>
      <w:r w:rsidRPr="009F1E1D">
        <w:rPr>
          <w:sz w:val="24"/>
          <w:lang w:val="en-US"/>
        </w:rPr>
        <w:t xml:space="preserve"> Kluwer Health </w:t>
      </w:r>
      <w:r w:rsidRPr="009F1E1D">
        <w:rPr>
          <w:color w:val="05082C"/>
          <w:sz w:val="24"/>
          <w:lang w:val="en-US"/>
        </w:rPr>
        <w:t>Inc.;</w:t>
      </w:r>
      <w:r w:rsidRPr="009F1E1D">
        <w:rPr>
          <w:color w:val="05082C"/>
          <w:spacing w:val="-12"/>
          <w:sz w:val="24"/>
          <w:lang w:val="en-US"/>
        </w:rPr>
        <w:t xml:space="preserve"> </w:t>
      </w:r>
      <w:r w:rsidRPr="009F1E1D">
        <w:rPr>
          <w:color w:val="05082C"/>
          <w:sz w:val="24"/>
          <w:lang w:val="en-US"/>
        </w:rPr>
        <w:t>2007.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7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Széplaki</w:t>
      </w:r>
      <w:proofErr w:type="spellEnd"/>
      <w:r w:rsidRPr="009F1E1D">
        <w:rPr>
          <w:color w:val="05082C"/>
          <w:sz w:val="24"/>
          <w:lang w:val="en-US"/>
        </w:rPr>
        <w:t xml:space="preserve"> G, </w:t>
      </w:r>
      <w:proofErr w:type="spellStart"/>
      <w:r w:rsidRPr="009F1E1D">
        <w:rPr>
          <w:color w:val="05082C"/>
          <w:sz w:val="24"/>
          <w:lang w:val="en-US"/>
        </w:rPr>
        <w:t>Varga</w:t>
      </w:r>
      <w:proofErr w:type="spellEnd"/>
      <w:r w:rsidRPr="009F1E1D">
        <w:rPr>
          <w:color w:val="05082C"/>
          <w:sz w:val="24"/>
          <w:lang w:val="en-US"/>
        </w:rPr>
        <w:t xml:space="preserve"> L, </w:t>
      </w:r>
      <w:proofErr w:type="spellStart"/>
      <w:r w:rsidRPr="009F1E1D">
        <w:rPr>
          <w:color w:val="05082C"/>
          <w:sz w:val="24"/>
          <w:lang w:val="en-US"/>
        </w:rPr>
        <w:t>Valentin</w:t>
      </w:r>
      <w:proofErr w:type="spellEnd"/>
      <w:r w:rsidRPr="009F1E1D">
        <w:rPr>
          <w:color w:val="05082C"/>
          <w:sz w:val="24"/>
          <w:lang w:val="en-US"/>
        </w:rPr>
        <w:t xml:space="preserve"> S</w:t>
      </w:r>
      <w:r w:rsidRPr="009F1E1D">
        <w:rPr>
          <w:color w:val="05082C"/>
          <w:sz w:val="24"/>
          <w:lang w:val="en-US"/>
        </w:rPr>
        <w:t xml:space="preserve">, </w:t>
      </w:r>
      <w:proofErr w:type="spellStart"/>
      <w:r w:rsidRPr="009F1E1D">
        <w:rPr>
          <w:color w:val="05082C"/>
          <w:sz w:val="24"/>
          <w:lang w:val="en-US"/>
        </w:rPr>
        <w:t>Kleiber</w:t>
      </w:r>
      <w:proofErr w:type="spellEnd"/>
      <w:r w:rsidRPr="009F1E1D">
        <w:rPr>
          <w:color w:val="05082C"/>
          <w:sz w:val="24"/>
          <w:lang w:val="en-US"/>
        </w:rPr>
        <w:t xml:space="preserve"> M, </w:t>
      </w:r>
      <w:proofErr w:type="spellStart"/>
      <w:r w:rsidRPr="009F1E1D">
        <w:rPr>
          <w:color w:val="05082C"/>
          <w:sz w:val="24"/>
          <w:lang w:val="en-US"/>
        </w:rPr>
        <w:t>Karádi</w:t>
      </w:r>
      <w:proofErr w:type="spellEnd"/>
      <w:r w:rsidRPr="009F1E1D">
        <w:rPr>
          <w:color w:val="05082C"/>
          <w:sz w:val="24"/>
          <w:lang w:val="en-US"/>
        </w:rPr>
        <w:t xml:space="preserve"> </w:t>
      </w:r>
      <w:r w:rsidRPr="009F1E1D">
        <w:rPr>
          <w:color w:val="05082C"/>
          <w:spacing w:val="-3"/>
          <w:sz w:val="24"/>
          <w:lang w:val="en-US"/>
        </w:rPr>
        <w:t xml:space="preserve">I, </w:t>
      </w:r>
      <w:proofErr w:type="spellStart"/>
      <w:r w:rsidRPr="009F1E1D">
        <w:rPr>
          <w:color w:val="05082C"/>
          <w:sz w:val="24"/>
          <w:lang w:val="en-US"/>
        </w:rPr>
        <w:t>Romics</w:t>
      </w:r>
      <w:proofErr w:type="spellEnd"/>
      <w:r w:rsidRPr="009F1E1D">
        <w:rPr>
          <w:color w:val="05082C"/>
          <w:sz w:val="24"/>
          <w:lang w:val="en-US"/>
        </w:rPr>
        <w:t xml:space="preserve"> </w:t>
      </w:r>
      <w:r w:rsidRPr="009F1E1D">
        <w:rPr>
          <w:color w:val="05082C"/>
          <w:spacing w:val="-3"/>
          <w:sz w:val="24"/>
          <w:lang w:val="en-US"/>
        </w:rPr>
        <w:t xml:space="preserve">L, </w:t>
      </w:r>
      <w:r w:rsidRPr="009F1E1D">
        <w:rPr>
          <w:color w:val="05082C"/>
          <w:sz w:val="24"/>
          <w:lang w:val="en-US"/>
        </w:rPr>
        <w:t xml:space="preserve">et al. Adverse effects of </w:t>
      </w:r>
      <w:proofErr w:type="spellStart"/>
      <w:r w:rsidRPr="009F1E1D">
        <w:rPr>
          <w:color w:val="05082C"/>
          <w:sz w:val="24"/>
          <w:lang w:val="en-US"/>
        </w:rPr>
        <w:t>danazol</w:t>
      </w:r>
      <w:proofErr w:type="spellEnd"/>
      <w:r w:rsidRPr="009F1E1D">
        <w:rPr>
          <w:color w:val="05082C"/>
          <w:sz w:val="24"/>
          <w:lang w:val="en-US"/>
        </w:rPr>
        <w:t xml:space="preserve"> prophylaxis on the lipid profiles of patients with hereditary angioedema. </w:t>
      </w:r>
      <w:r>
        <w:rPr>
          <w:color w:val="05082C"/>
          <w:sz w:val="24"/>
        </w:rPr>
        <w:t xml:space="preserve">J </w:t>
      </w:r>
      <w:proofErr w:type="spellStart"/>
      <w:r>
        <w:rPr>
          <w:color w:val="05082C"/>
          <w:sz w:val="24"/>
        </w:rPr>
        <w:t>Allergy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Clin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Immunol</w:t>
      </w:r>
      <w:proofErr w:type="spellEnd"/>
      <w:r>
        <w:rPr>
          <w:color w:val="05082C"/>
          <w:sz w:val="24"/>
        </w:rPr>
        <w:t xml:space="preserve">. </w:t>
      </w:r>
      <w:proofErr w:type="gramStart"/>
      <w:r>
        <w:rPr>
          <w:color w:val="05082C"/>
          <w:sz w:val="24"/>
        </w:rPr>
        <w:t>2005;</w:t>
      </w:r>
      <w:proofErr w:type="gramEnd"/>
      <w:r>
        <w:rPr>
          <w:color w:val="05082C"/>
          <w:sz w:val="24"/>
        </w:rPr>
        <w:t>115(4):864-9.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ind w:right="106"/>
        <w:jc w:val="both"/>
        <w:rPr>
          <w:color w:val="05082C"/>
          <w:sz w:val="24"/>
        </w:rPr>
      </w:pPr>
      <w:proofErr w:type="spellStart"/>
      <w:r>
        <w:rPr>
          <w:color w:val="05082C"/>
          <w:sz w:val="24"/>
        </w:rPr>
        <w:t>Szegedi</w:t>
      </w:r>
      <w:proofErr w:type="spellEnd"/>
      <w:r>
        <w:rPr>
          <w:color w:val="05082C"/>
          <w:sz w:val="24"/>
        </w:rPr>
        <w:t xml:space="preserve"> R, </w:t>
      </w:r>
      <w:proofErr w:type="spellStart"/>
      <w:r>
        <w:rPr>
          <w:color w:val="05082C"/>
          <w:sz w:val="24"/>
        </w:rPr>
        <w:t>Széplaki</w:t>
      </w:r>
      <w:proofErr w:type="spellEnd"/>
      <w:r>
        <w:rPr>
          <w:color w:val="05082C"/>
          <w:sz w:val="24"/>
        </w:rPr>
        <w:t xml:space="preserve"> G, Varga L, </w:t>
      </w:r>
      <w:proofErr w:type="spellStart"/>
      <w:r>
        <w:rPr>
          <w:color w:val="05082C"/>
          <w:sz w:val="24"/>
        </w:rPr>
        <w:t>Prohászka</w:t>
      </w:r>
      <w:proofErr w:type="spellEnd"/>
      <w:r>
        <w:rPr>
          <w:color w:val="05082C"/>
          <w:sz w:val="24"/>
        </w:rPr>
        <w:t xml:space="preserve"> Z, </w:t>
      </w:r>
      <w:proofErr w:type="spellStart"/>
      <w:r>
        <w:rPr>
          <w:color w:val="05082C"/>
          <w:sz w:val="24"/>
        </w:rPr>
        <w:t>Széplaki</w:t>
      </w:r>
      <w:proofErr w:type="spellEnd"/>
      <w:r>
        <w:rPr>
          <w:color w:val="05082C"/>
          <w:sz w:val="24"/>
        </w:rPr>
        <w:t xml:space="preserve"> Z, </w:t>
      </w:r>
      <w:proofErr w:type="spellStart"/>
      <w:r>
        <w:rPr>
          <w:color w:val="05082C"/>
          <w:sz w:val="24"/>
        </w:rPr>
        <w:t>Karádi</w:t>
      </w:r>
      <w:proofErr w:type="spellEnd"/>
      <w:r>
        <w:rPr>
          <w:color w:val="05082C"/>
          <w:sz w:val="24"/>
        </w:rPr>
        <w:t xml:space="preserve"> I, </w:t>
      </w:r>
      <w:proofErr w:type="gramStart"/>
      <w:r>
        <w:rPr>
          <w:color w:val="05082C"/>
          <w:sz w:val="24"/>
        </w:rPr>
        <w:t>et</w:t>
      </w:r>
      <w:proofErr w:type="gramEnd"/>
      <w:r>
        <w:rPr>
          <w:color w:val="05082C"/>
          <w:sz w:val="24"/>
        </w:rPr>
        <w:t xml:space="preserve"> al</w:t>
      </w:r>
      <w:r>
        <w:rPr>
          <w:color w:val="05082C"/>
          <w:sz w:val="24"/>
        </w:rPr>
        <w:t xml:space="preserve">. </w:t>
      </w:r>
      <w:r w:rsidRPr="009F1E1D">
        <w:rPr>
          <w:color w:val="05082C"/>
          <w:sz w:val="24"/>
          <w:lang w:val="en-US"/>
        </w:rPr>
        <w:t xml:space="preserve">Long-term </w:t>
      </w:r>
      <w:proofErr w:type="spellStart"/>
      <w:r w:rsidRPr="009F1E1D">
        <w:rPr>
          <w:color w:val="05082C"/>
          <w:sz w:val="24"/>
          <w:lang w:val="en-US"/>
        </w:rPr>
        <w:t>danazol</w:t>
      </w:r>
      <w:proofErr w:type="spellEnd"/>
      <w:r w:rsidRPr="009F1E1D">
        <w:rPr>
          <w:color w:val="05082C"/>
          <w:sz w:val="24"/>
          <w:lang w:val="en-US"/>
        </w:rPr>
        <w:t xml:space="preserve"> prophylaxis does not lead to increased carotid intima-media thickness in hereditary angioedema patients. </w:t>
      </w:r>
      <w:proofErr w:type="spellStart"/>
      <w:r>
        <w:rPr>
          <w:color w:val="05082C"/>
          <w:sz w:val="24"/>
        </w:rPr>
        <w:t>Atherosclerosis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-1"/>
          <w:sz w:val="24"/>
        </w:rPr>
        <w:t xml:space="preserve"> </w:t>
      </w:r>
      <w:proofErr w:type="gramStart"/>
      <w:r>
        <w:rPr>
          <w:color w:val="05082C"/>
          <w:sz w:val="24"/>
        </w:rPr>
        <w:t>2008;</w:t>
      </w:r>
      <w:proofErr w:type="gramEnd"/>
      <w:r>
        <w:rPr>
          <w:color w:val="05082C"/>
          <w:sz w:val="24"/>
        </w:rPr>
        <w:t>198(1):184-91.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80"/>
        </w:tabs>
        <w:spacing w:before="1"/>
        <w:ind w:right="102"/>
        <w:jc w:val="both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Birjmohun</w:t>
      </w:r>
      <w:proofErr w:type="spellEnd"/>
      <w:r w:rsidRPr="009F1E1D">
        <w:rPr>
          <w:color w:val="05082C"/>
          <w:sz w:val="24"/>
          <w:lang w:val="en-US"/>
        </w:rPr>
        <w:t xml:space="preserve"> RS, </w:t>
      </w:r>
      <w:proofErr w:type="spellStart"/>
      <w:r w:rsidRPr="009F1E1D">
        <w:rPr>
          <w:color w:val="05082C"/>
          <w:sz w:val="24"/>
          <w:lang w:val="en-US"/>
        </w:rPr>
        <w:t>Kees</w:t>
      </w:r>
      <w:proofErr w:type="spellEnd"/>
      <w:r w:rsidRPr="009F1E1D">
        <w:rPr>
          <w:color w:val="05082C"/>
          <w:sz w:val="24"/>
          <w:lang w:val="en-US"/>
        </w:rPr>
        <w:t xml:space="preserve"> </w:t>
      </w:r>
      <w:proofErr w:type="spellStart"/>
      <w:r w:rsidRPr="009F1E1D">
        <w:rPr>
          <w:color w:val="05082C"/>
          <w:sz w:val="24"/>
          <w:lang w:val="en-US"/>
        </w:rPr>
        <w:t>Hovingh</w:t>
      </w:r>
      <w:proofErr w:type="spellEnd"/>
      <w:r w:rsidRPr="009F1E1D">
        <w:rPr>
          <w:color w:val="05082C"/>
          <w:sz w:val="24"/>
          <w:lang w:val="en-US"/>
        </w:rPr>
        <w:t xml:space="preserve"> G, </w:t>
      </w:r>
      <w:proofErr w:type="spellStart"/>
      <w:r w:rsidRPr="009F1E1D">
        <w:rPr>
          <w:color w:val="05082C"/>
          <w:sz w:val="24"/>
          <w:lang w:val="en-US"/>
        </w:rPr>
        <w:t>Stroes</w:t>
      </w:r>
      <w:proofErr w:type="spellEnd"/>
      <w:r w:rsidRPr="009F1E1D">
        <w:rPr>
          <w:color w:val="05082C"/>
          <w:sz w:val="24"/>
          <w:lang w:val="en-US"/>
        </w:rPr>
        <w:t xml:space="preserve"> ES, Hofstra JJ, </w:t>
      </w:r>
      <w:proofErr w:type="spellStart"/>
      <w:r w:rsidRPr="009F1E1D">
        <w:rPr>
          <w:color w:val="05082C"/>
          <w:sz w:val="24"/>
          <w:lang w:val="en-US"/>
        </w:rPr>
        <w:t>Dallinga-Thie</w:t>
      </w:r>
      <w:proofErr w:type="spellEnd"/>
      <w:r w:rsidRPr="009F1E1D">
        <w:rPr>
          <w:color w:val="05082C"/>
          <w:sz w:val="24"/>
          <w:lang w:val="en-US"/>
        </w:rPr>
        <w:t xml:space="preserve"> GM, </w:t>
      </w:r>
      <w:proofErr w:type="spellStart"/>
      <w:r w:rsidRPr="009F1E1D">
        <w:rPr>
          <w:color w:val="05082C"/>
          <w:sz w:val="24"/>
          <w:lang w:val="en-US"/>
        </w:rPr>
        <w:t>Meijers</w:t>
      </w:r>
      <w:proofErr w:type="spellEnd"/>
      <w:r w:rsidRPr="009F1E1D">
        <w:rPr>
          <w:color w:val="05082C"/>
          <w:sz w:val="24"/>
          <w:lang w:val="en-US"/>
        </w:rPr>
        <w:t xml:space="preserve"> JC, et al. Effe</w:t>
      </w:r>
      <w:r w:rsidRPr="009F1E1D">
        <w:rPr>
          <w:color w:val="05082C"/>
          <w:sz w:val="24"/>
          <w:lang w:val="en-US"/>
        </w:rPr>
        <w:t xml:space="preserve">cts of short-term and long-term </w:t>
      </w:r>
      <w:proofErr w:type="spellStart"/>
      <w:r w:rsidRPr="009F1E1D">
        <w:rPr>
          <w:color w:val="05082C"/>
          <w:sz w:val="24"/>
          <w:lang w:val="en-US"/>
        </w:rPr>
        <w:t>danazol</w:t>
      </w:r>
      <w:proofErr w:type="spellEnd"/>
      <w:r w:rsidRPr="009F1E1D">
        <w:rPr>
          <w:color w:val="05082C"/>
          <w:sz w:val="24"/>
          <w:lang w:val="en-US"/>
        </w:rPr>
        <w:t xml:space="preserve"> treatment on lipoproteins, coagulation, and progression of atherosclerosis: two clinical trials in healthy volunteers and patients with hereditary angioedema. </w:t>
      </w:r>
      <w:proofErr w:type="spellStart"/>
      <w:r>
        <w:rPr>
          <w:color w:val="05082C"/>
          <w:sz w:val="24"/>
        </w:rPr>
        <w:t>Clin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Ther</w:t>
      </w:r>
      <w:proofErr w:type="spellEnd"/>
      <w:r>
        <w:rPr>
          <w:color w:val="05082C"/>
          <w:sz w:val="24"/>
        </w:rPr>
        <w:t>.</w:t>
      </w:r>
      <w:r>
        <w:rPr>
          <w:color w:val="05082C"/>
          <w:spacing w:val="-1"/>
          <w:sz w:val="24"/>
        </w:rPr>
        <w:t xml:space="preserve"> </w:t>
      </w:r>
      <w:proofErr w:type="gramStart"/>
      <w:r>
        <w:rPr>
          <w:color w:val="05082C"/>
          <w:sz w:val="24"/>
        </w:rPr>
        <w:t>2008;</w:t>
      </w:r>
      <w:proofErr w:type="gramEnd"/>
      <w:r>
        <w:rPr>
          <w:color w:val="05082C"/>
          <w:sz w:val="24"/>
        </w:rPr>
        <w:t>30(12):2314-23.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79"/>
          <w:tab w:val="left" w:pos="680"/>
        </w:tabs>
        <w:ind w:right="228"/>
        <w:rPr>
          <w:color w:val="05082C"/>
          <w:sz w:val="24"/>
        </w:rPr>
      </w:pPr>
      <w:proofErr w:type="spellStart"/>
      <w:r w:rsidRPr="009F1E1D">
        <w:rPr>
          <w:color w:val="05082C"/>
          <w:sz w:val="24"/>
          <w:lang w:val="en-US"/>
        </w:rPr>
        <w:t>Farkas</w:t>
      </w:r>
      <w:proofErr w:type="spellEnd"/>
      <w:r w:rsidRPr="009F1E1D">
        <w:rPr>
          <w:color w:val="05082C"/>
          <w:sz w:val="24"/>
          <w:lang w:val="en-US"/>
        </w:rPr>
        <w:t xml:space="preserve"> H, </w:t>
      </w:r>
      <w:proofErr w:type="spellStart"/>
      <w:r w:rsidRPr="009F1E1D">
        <w:rPr>
          <w:color w:val="05082C"/>
          <w:sz w:val="24"/>
          <w:lang w:val="en-US"/>
        </w:rPr>
        <w:t>Czaller</w:t>
      </w:r>
      <w:proofErr w:type="spellEnd"/>
      <w:r w:rsidRPr="009F1E1D">
        <w:rPr>
          <w:color w:val="05082C"/>
          <w:sz w:val="24"/>
          <w:lang w:val="en-US"/>
        </w:rPr>
        <w:t xml:space="preserve"> I, </w:t>
      </w:r>
      <w:proofErr w:type="spellStart"/>
      <w:r w:rsidRPr="009F1E1D">
        <w:rPr>
          <w:color w:val="05082C"/>
          <w:sz w:val="24"/>
          <w:lang w:val="en-US"/>
        </w:rPr>
        <w:t>Csuk</w:t>
      </w:r>
      <w:r w:rsidRPr="009F1E1D">
        <w:rPr>
          <w:color w:val="05082C"/>
          <w:sz w:val="24"/>
          <w:lang w:val="en-US"/>
        </w:rPr>
        <w:t>a</w:t>
      </w:r>
      <w:proofErr w:type="spellEnd"/>
      <w:r w:rsidRPr="009F1E1D">
        <w:rPr>
          <w:color w:val="05082C"/>
          <w:sz w:val="24"/>
          <w:lang w:val="en-US"/>
        </w:rPr>
        <w:t xml:space="preserve"> D, Vas A, </w:t>
      </w:r>
      <w:proofErr w:type="spellStart"/>
      <w:r w:rsidRPr="009F1E1D">
        <w:rPr>
          <w:color w:val="05082C"/>
          <w:sz w:val="24"/>
          <w:lang w:val="en-US"/>
        </w:rPr>
        <w:t>Valentin</w:t>
      </w:r>
      <w:proofErr w:type="spellEnd"/>
      <w:r w:rsidRPr="009F1E1D">
        <w:rPr>
          <w:color w:val="05082C"/>
          <w:sz w:val="24"/>
          <w:lang w:val="en-US"/>
        </w:rPr>
        <w:t xml:space="preserve"> S, </w:t>
      </w:r>
      <w:proofErr w:type="spellStart"/>
      <w:r w:rsidRPr="009F1E1D">
        <w:rPr>
          <w:color w:val="05082C"/>
          <w:sz w:val="24"/>
          <w:lang w:val="en-US"/>
        </w:rPr>
        <w:t>Varga</w:t>
      </w:r>
      <w:proofErr w:type="spellEnd"/>
      <w:r w:rsidRPr="009F1E1D">
        <w:rPr>
          <w:color w:val="05082C"/>
          <w:sz w:val="24"/>
          <w:lang w:val="en-US"/>
        </w:rPr>
        <w:t xml:space="preserve"> L, et al. The effect of long-term </w:t>
      </w:r>
      <w:proofErr w:type="spellStart"/>
      <w:r w:rsidRPr="009F1E1D">
        <w:rPr>
          <w:color w:val="05082C"/>
          <w:sz w:val="24"/>
          <w:lang w:val="en-US"/>
        </w:rPr>
        <w:t>danazol</w:t>
      </w:r>
      <w:proofErr w:type="spellEnd"/>
      <w:r w:rsidRPr="009F1E1D">
        <w:rPr>
          <w:color w:val="05082C"/>
          <w:sz w:val="24"/>
          <w:lang w:val="en-US"/>
        </w:rPr>
        <w:t xml:space="preserve"> prophylaxis on liver function in hereditary angioedema-a longitudinal study. </w:t>
      </w:r>
      <w:proofErr w:type="spellStart"/>
      <w:r>
        <w:rPr>
          <w:color w:val="05082C"/>
          <w:sz w:val="24"/>
        </w:rPr>
        <w:t>Eur</w:t>
      </w:r>
      <w:proofErr w:type="spellEnd"/>
      <w:r>
        <w:rPr>
          <w:color w:val="05082C"/>
          <w:sz w:val="24"/>
        </w:rPr>
        <w:t xml:space="preserve"> J </w:t>
      </w:r>
      <w:proofErr w:type="spellStart"/>
      <w:r>
        <w:rPr>
          <w:color w:val="05082C"/>
          <w:sz w:val="24"/>
        </w:rPr>
        <w:t>Clin</w:t>
      </w:r>
      <w:proofErr w:type="spellEnd"/>
      <w:r>
        <w:rPr>
          <w:color w:val="05082C"/>
          <w:sz w:val="24"/>
        </w:rPr>
        <w:t xml:space="preserve"> </w:t>
      </w:r>
      <w:proofErr w:type="spellStart"/>
      <w:r>
        <w:rPr>
          <w:color w:val="05082C"/>
          <w:sz w:val="24"/>
        </w:rPr>
        <w:t>Pharmacol</w:t>
      </w:r>
      <w:proofErr w:type="spellEnd"/>
      <w:r>
        <w:rPr>
          <w:color w:val="05082C"/>
          <w:sz w:val="24"/>
        </w:rPr>
        <w:t xml:space="preserve">. </w:t>
      </w:r>
      <w:proofErr w:type="gramStart"/>
      <w:r>
        <w:rPr>
          <w:color w:val="05082C"/>
          <w:sz w:val="24"/>
        </w:rPr>
        <w:t>2010;</w:t>
      </w:r>
      <w:proofErr w:type="gramEnd"/>
      <w:r>
        <w:rPr>
          <w:color w:val="05082C"/>
          <w:sz w:val="24"/>
        </w:rPr>
        <w:t>66(4):419-26</w:t>
      </w:r>
      <w:r>
        <w:rPr>
          <w:sz w:val="24"/>
        </w:rPr>
        <w:t>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79"/>
          <w:tab w:val="left" w:pos="680"/>
        </w:tabs>
        <w:ind w:right="232"/>
        <w:rPr>
          <w:sz w:val="24"/>
        </w:rPr>
      </w:pPr>
      <w:r w:rsidRPr="009F1E1D">
        <w:rPr>
          <w:sz w:val="24"/>
          <w:lang w:val="en-US"/>
        </w:rPr>
        <w:t xml:space="preserve">Maurer M, </w:t>
      </w:r>
      <w:proofErr w:type="spellStart"/>
      <w:r w:rsidRPr="009F1E1D">
        <w:rPr>
          <w:sz w:val="24"/>
          <w:lang w:val="en-US"/>
        </w:rPr>
        <w:t>Magerl</w:t>
      </w:r>
      <w:proofErr w:type="spellEnd"/>
      <w:r w:rsidRPr="009F1E1D">
        <w:rPr>
          <w:sz w:val="24"/>
          <w:lang w:val="en-US"/>
        </w:rPr>
        <w:t xml:space="preserve"> M. Long-term prophylaxis of hereditary angioedema</w:t>
      </w:r>
      <w:r w:rsidRPr="009F1E1D">
        <w:rPr>
          <w:sz w:val="24"/>
          <w:lang w:val="en-US"/>
        </w:rPr>
        <w:t xml:space="preserve"> with androgen </w:t>
      </w:r>
      <w:proofErr w:type="spellStart"/>
      <w:r w:rsidRPr="009F1E1D">
        <w:rPr>
          <w:sz w:val="24"/>
          <w:lang w:val="en-US"/>
        </w:rPr>
        <w:t>derivates</w:t>
      </w:r>
      <w:proofErr w:type="spellEnd"/>
      <w:r w:rsidRPr="009F1E1D">
        <w:rPr>
          <w:sz w:val="24"/>
          <w:lang w:val="en-US"/>
        </w:rPr>
        <w:t xml:space="preserve">: a critical appraisal and potential alternatives. </w:t>
      </w:r>
      <w:r>
        <w:rPr>
          <w:sz w:val="24"/>
        </w:rPr>
        <w:t xml:space="preserve">J </w:t>
      </w:r>
      <w:proofErr w:type="spellStart"/>
      <w:r>
        <w:rPr>
          <w:sz w:val="24"/>
        </w:rPr>
        <w:t>Dtsch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Dermatol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Ges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2011;</w:t>
      </w:r>
      <w:proofErr w:type="gramEnd"/>
      <w:r>
        <w:rPr>
          <w:sz w:val="24"/>
        </w:rPr>
        <w:t>9(2):99-107.</w:t>
      </w:r>
    </w:p>
    <w:p w:rsidR="0094156D" w:rsidRDefault="009F1E1D">
      <w:pPr>
        <w:pStyle w:val="PargrafodaLista"/>
        <w:numPr>
          <w:ilvl w:val="0"/>
          <w:numId w:val="2"/>
        </w:numPr>
        <w:tabs>
          <w:tab w:val="left" w:pos="679"/>
          <w:tab w:val="left" w:pos="680"/>
        </w:tabs>
        <w:ind w:right="373"/>
        <w:rPr>
          <w:sz w:val="24"/>
        </w:rPr>
      </w:pPr>
      <w:proofErr w:type="spellStart"/>
      <w:r w:rsidRPr="009F1E1D">
        <w:rPr>
          <w:sz w:val="24"/>
          <w:lang w:val="en-US"/>
        </w:rPr>
        <w:t>Riedl</w:t>
      </w:r>
      <w:proofErr w:type="spellEnd"/>
      <w:r w:rsidRPr="009F1E1D">
        <w:rPr>
          <w:sz w:val="24"/>
          <w:lang w:val="en-US"/>
        </w:rPr>
        <w:t xml:space="preserve"> MA. Critical appraisal of androgen use in hereditary angioedema: a systematic review.</w:t>
      </w:r>
      <w:r w:rsidRPr="009F1E1D">
        <w:rPr>
          <w:spacing w:val="-18"/>
          <w:sz w:val="24"/>
          <w:lang w:val="en-US"/>
        </w:rPr>
        <w:t xml:space="preserve"> </w:t>
      </w:r>
      <w:r>
        <w:rPr>
          <w:sz w:val="24"/>
        </w:rPr>
        <w:t xml:space="preserve">Ann </w:t>
      </w:r>
      <w:proofErr w:type="spellStart"/>
      <w:r>
        <w:rPr>
          <w:sz w:val="24"/>
        </w:rPr>
        <w:t>Allergy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Asthma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Immunol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2015;</w:t>
      </w:r>
      <w:proofErr w:type="gramEnd"/>
      <w:r>
        <w:rPr>
          <w:sz w:val="24"/>
        </w:rPr>
        <w:t>114(4):281-288.e</w:t>
      </w:r>
      <w:r>
        <w:rPr>
          <w:sz w:val="24"/>
        </w:rPr>
        <w:t>7.</w:t>
      </w:r>
    </w:p>
    <w:p w:rsidR="0094156D" w:rsidRDefault="0094156D">
      <w:pPr>
        <w:rPr>
          <w:sz w:val="24"/>
        </w:rPr>
        <w:sectPr w:rsidR="0094156D">
          <w:pgSz w:w="11910" w:h="16850"/>
          <w:pgMar w:top="1600" w:right="460" w:bottom="280" w:left="1020" w:header="720" w:footer="720" w:gutter="0"/>
          <w:cols w:space="720"/>
        </w:sect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rPr>
          <w:sz w:val="20"/>
        </w:rPr>
      </w:pPr>
    </w:p>
    <w:p w:rsidR="0094156D" w:rsidRDefault="0094156D">
      <w:pPr>
        <w:pStyle w:val="Corpodetexto"/>
        <w:spacing w:before="9"/>
        <w:rPr>
          <w:sz w:val="18"/>
        </w:rPr>
      </w:pPr>
    </w:p>
    <w:p w:rsidR="0094156D" w:rsidRDefault="009F1E1D">
      <w:pPr>
        <w:pStyle w:val="Corpodetexto"/>
        <w:spacing w:before="90"/>
        <w:ind w:left="441" w:right="438"/>
        <w:jc w:val="center"/>
      </w:pPr>
      <w:r>
        <w:t>TERMO DE ESCLARECIMENTO E RESPONSABILIDADE</w:t>
      </w:r>
    </w:p>
    <w:p w:rsidR="0094156D" w:rsidRDefault="009F1E1D">
      <w:pPr>
        <w:pStyle w:val="Corpodetexto"/>
        <w:ind w:left="3663" w:right="3656"/>
        <w:jc w:val="center"/>
      </w:pPr>
      <w:proofErr w:type="spellStart"/>
      <w:r>
        <w:t>Danazol</w:t>
      </w:r>
      <w:proofErr w:type="spellEnd"/>
    </w:p>
    <w:p w:rsidR="0094156D" w:rsidRDefault="0094156D">
      <w:pPr>
        <w:pStyle w:val="Corpodetexto"/>
        <w:spacing w:before="2"/>
        <w:rPr>
          <w:sz w:val="16"/>
        </w:rPr>
      </w:pPr>
    </w:p>
    <w:p w:rsidR="0094156D" w:rsidRDefault="009F1E1D">
      <w:pPr>
        <w:pStyle w:val="Corpodetexto"/>
        <w:tabs>
          <w:tab w:val="left" w:pos="1229"/>
          <w:tab w:val="left" w:pos="7645"/>
          <w:tab w:val="left" w:pos="8647"/>
          <w:tab w:val="left" w:pos="9377"/>
        </w:tabs>
        <w:spacing w:before="90"/>
        <w:ind w:left="679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t>nome</w:t>
      </w:r>
      <w:r>
        <w:tab/>
        <w:t>do(a)</w:t>
      </w:r>
      <w:r>
        <w:tab/>
        <w:t>paciente),</w:t>
      </w:r>
    </w:p>
    <w:p w:rsidR="0094156D" w:rsidRDefault="009F1E1D">
      <w:pPr>
        <w:ind w:left="112" w:right="104"/>
        <w:jc w:val="both"/>
        <w:rPr>
          <w:sz w:val="24"/>
        </w:rPr>
      </w:pPr>
      <w:proofErr w:type="gramStart"/>
      <w:r>
        <w:rPr>
          <w:sz w:val="24"/>
        </w:rPr>
        <w:t>declaro</w:t>
      </w:r>
      <w:proofErr w:type="gramEnd"/>
      <w:r>
        <w:rPr>
          <w:sz w:val="24"/>
        </w:rPr>
        <w:t xml:space="preserve"> ter sido informado(a) claramente sobre os benefícios, riscos, contraindicações e principais efeitos adversos relacionados ao uso do medicamento </w:t>
      </w:r>
      <w:proofErr w:type="spellStart"/>
      <w:r>
        <w:rPr>
          <w:b/>
          <w:sz w:val="24"/>
        </w:rPr>
        <w:t>danazol</w:t>
      </w:r>
      <w:proofErr w:type="spellEnd"/>
      <w:r>
        <w:rPr>
          <w:sz w:val="24"/>
        </w:rPr>
        <w:t xml:space="preserve">, indicado para o tratamento do </w:t>
      </w:r>
      <w:proofErr w:type="spellStart"/>
      <w:r>
        <w:rPr>
          <w:b/>
          <w:sz w:val="24"/>
        </w:rPr>
        <w:t>angioedema</w:t>
      </w:r>
      <w:proofErr w:type="spellEnd"/>
      <w:r>
        <w:rPr>
          <w:b/>
          <w:sz w:val="24"/>
        </w:rPr>
        <w:t xml:space="preserve"> hereditário associado à deficiência de C1-INH</w:t>
      </w:r>
      <w:r>
        <w:rPr>
          <w:sz w:val="24"/>
        </w:rPr>
        <w:t>.</w:t>
      </w:r>
    </w:p>
    <w:p w:rsidR="0094156D" w:rsidRDefault="009F1E1D">
      <w:pPr>
        <w:pStyle w:val="Corpodetexto"/>
        <w:ind w:left="679"/>
      </w:pPr>
      <w:r>
        <w:t>Os termos médicos foram explicados e todas as minhas dúvidas foram resolvidas pelo médico</w:t>
      </w:r>
    </w:p>
    <w:p w:rsidR="0094156D" w:rsidRDefault="009F1E1D">
      <w:pPr>
        <w:pStyle w:val="Corpodetexto"/>
        <w:tabs>
          <w:tab w:val="left" w:pos="6528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 do médico que</w:t>
      </w:r>
      <w:r>
        <w:rPr>
          <w:spacing w:val="-4"/>
        </w:rPr>
        <w:t xml:space="preserve"> </w:t>
      </w:r>
      <w:r>
        <w:t>prescreve).</w:t>
      </w:r>
    </w:p>
    <w:p w:rsidR="0094156D" w:rsidRDefault="009F1E1D">
      <w:pPr>
        <w:pStyle w:val="Corpodetexto"/>
        <w:ind w:left="112" w:right="109" w:firstLine="566"/>
        <w:jc w:val="both"/>
      </w:pPr>
      <w:r>
        <w:t xml:space="preserve">Assim declaro que fui claramente </w:t>
      </w:r>
      <w:proofErr w:type="gramStart"/>
      <w:r>
        <w:t>informado(</w:t>
      </w:r>
      <w:proofErr w:type="gramEnd"/>
      <w:r>
        <w:t>a) de que o medicamento que passo a receber pode trazer os seguintes benefícios:</w:t>
      </w:r>
    </w:p>
    <w:p w:rsidR="0094156D" w:rsidRDefault="009F1E1D">
      <w:pPr>
        <w:pStyle w:val="PargrafodaLista"/>
        <w:numPr>
          <w:ilvl w:val="0"/>
          <w:numId w:val="1"/>
        </w:numPr>
        <w:tabs>
          <w:tab w:val="left" w:pos="819"/>
        </w:tabs>
        <w:ind w:firstLine="567"/>
        <w:rPr>
          <w:sz w:val="24"/>
        </w:rPr>
      </w:pPr>
      <w:proofErr w:type="gramStart"/>
      <w:r>
        <w:rPr>
          <w:sz w:val="24"/>
        </w:rPr>
        <w:t>redução</w:t>
      </w:r>
      <w:proofErr w:type="gramEnd"/>
      <w:r>
        <w:rPr>
          <w:sz w:val="24"/>
        </w:rPr>
        <w:t xml:space="preserve"> do número ou gravidade das manifestações do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angioedema</w:t>
      </w:r>
      <w:proofErr w:type="spellEnd"/>
      <w:r>
        <w:rPr>
          <w:sz w:val="24"/>
        </w:rPr>
        <w:t>.</w:t>
      </w:r>
    </w:p>
    <w:p w:rsidR="0094156D" w:rsidRDefault="009F1E1D">
      <w:pPr>
        <w:pStyle w:val="Corpodetexto"/>
        <w:ind w:left="112" w:right="111" w:firstLine="566"/>
        <w:jc w:val="both"/>
      </w:pPr>
      <w:r>
        <w:t xml:space="preserve">Fui também claramente </w:t>
      </w:r>
      <w:proofErr w:type="gramStart"/>
      <w:r>
        <w:t>informado(</w:t>
      </w:r>
      <w:proofErr w:type="gramEnd"/>
      <w:r>
        <w:t>a) a respeito das seguintes contrain</w:t>
      </w:r>
      <w:r>
        <w:t>dicações, potenciais efeitos adversos e riscos:</w:t>
      </w:r>
    </w:p>
    <w:p w:rsidR="0094156D" w:rsidRDefault="009F1E1D">
      <w:pPr>
        <w:pStyle w:val="PargrafodaLista"/>
        <w:numPr>
          <w:ilvl w:val="0"/>
          <w:numId w:val="1"/>
        </w:numPr>
        <w:tabs>
          <w:tab w:val="left" w:pos="831"/>
        </w:tabs>
        <w:ind w:right="106" w:firstLine="567"/>
        <w:jc w:val="both"/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z w:val="24"/>
        </w:rPr>
        <w:t xml:space="preserve"> se sabe ao certo os riscos do uso deste medicamento na gravidez; portanto, caso engravide, o médico deverá ser avisado</w:t>
      </w:r>
      <w:r>
        <w:rPr>
          <w:spacing w:val="-1"/>
          <w:sz w:val="24"/>
        </w:rPr>
        <w:t xml:space="preserve"> </w:t>
      </w:r>
      <w:r>
        <w:rPr>
          <w:sz w:val="24"/>
        </w:rPr>
        <w:t>imediatamente;</w:t>
      </w:r>
    </w:p>
    <w:p w:rsidR="0094156D" w:rsidRDefault="009F1E1D">
      <w:pPr>
        <w:pStyle w:val="PargrafodaLista"/>
        <w:numPr>
          <w:ilvl w:val="0"/>
          <w:numId w:val="1"/>
        </w:numPr>
        <w:tabs>
          <w:tab w:val="left" w:pos="858"/>
        </w:tabs>
        <w:ind w:right="107" w:firstLine="567"/>
        <w:jc w:val="both"/>
        <w:rPr>
          <w:sz w:val="24"/>
        </w:rPr>
      </w:pPr>
      <w:proofErr w:type="gramStart"/>
      <w:r>
        <w:rPr>
          <w:sz w:val="24"/>
        </w:rPr>
        <w:t>pequenas</w:t>
      </w:r>
      <w:proofErr w:type="gramEnd"/>
      <w:r>
        <w:rPr>
          <w:sz w:val="24"/>
        </w:rPr>
        <w:t xml:space="preserve"> quantidades do medicamento podem passar para o leite materno; portanto, o uso do </w:t>
      </w:r>
      <w:proofErr w:type="spellStart"/>
      <w:r>
        <w:rPr>
          <w:sz w:val="24"/>
        </w:rPr>
        <w:t>danazol</w:t>
      </w:r>
      <w:proofErr w:type="spellEnd"/>
      <w:r>
        <w:rPr>
          <w:sz w:val="24"/>
        </w:rPr>
        <w:t xml:space="preserve"> durante a amamentação não é indicado;</w:t>
      </w:r>
    </w:p>
    <w:p w:rsidR="0094156D" w:rsidRDefault="009F1E1D">
      <w:pPr>
        <w:pStyle w:val="PargrafodaLista"/>
        <w:numPr>
          <w:ilvl w:val="0"/>
          <w:numId w:val="1"/>
        </w:numPr>
        <w:tabs>
          <w:tab w:val="left" w:pos="870"/>
        </w:tabs>
        <w:ind w:right="106" w:firstLine="567"/>
        <w:jc w:val="both"/>
        <w:rPr>
          <w:sz w:val="24"/>
        </w:rPr>
      </w:pPr>
      <w:proofErr w:type="gramStart"/>
      <w:r>
        <w:rPr>
          <w:sz w:val="24"/>
        </w:rPr>
        <w:t>os</w:t>
      </w:r>
      <w:proofErr w:type="gramEnd"/>
      <w:r>
        <w:rPr>
          <w:sz w:val="24"/>
        </w:rPr>
        <w:t xml:space="preserve"> efeitos adversos já relatados são os seguintes: náusea, vômitos, diarreia, dores de cabeça, nervosismo, desorientação</w:t>
      </w:r>
      <w:r>
        <w:rPr>
          <w:sz w:val="24"/>
        </w:rPr>
        <w:t>, fraqueza, convulsões, ganho de peso, inchaço, alterações do paladar, aumento da pressão arterial, perda de potássio e insuficiência cardíaca</w:t>
      </w:r>
      <w:r>
        <w:rPr>
          <w:spacing w:val="-1"/>
          <w:sz w:val="24"/>
        </w:rPr>
        <w:t xml:space="preserve"> </w:t>
      </w:r>
      <w:r>
        <w:rPr>
          <w:sz w:val="24"/>
        </w:rPr>
        <w:t>congestiva.</w:t>
      </w:r>
    </w:p>
    <w:p w:rsidR="0094156D" w:rsidRDefault="009F1E1D">
      <w:pPr>
        <w:pStyle w:val="PargrafodaLista"/>
        <w:numPr>
          <w:ilvl w:val="0"/>
          <w:numId w:val="1"/>
        </w:numPr>
        <w:tabs>
          <w:tab w:val="left" w:pos="901"/>
        </w:tabs>
        <w:ind w:right="113" w:firstLine="567"/>
        <w:jc w:val="both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medicamento está contraindicado em casos de hipersensibilidade (alergia) conhecida ao fármaco;</w:t>
      </w:r>
    </w:p>
    <w:p w:rsidR="0094156D" w:rsidRDefault="009F1E1D">
      <w:pPr>
        <w:pStyle w:val="PargrafodaLista"/>
        <w:numPr>
          <w:ilvl w:val="0"/>
          <w:numId w:val="1"/>
        </w:numPr>
        <w:tabs>
          <w:tab w:val="left" w:pos="819"/>
        </w:tabs>
        <w:ind w:firstLine="567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ri</w:t>
      </w:r>
      <w:r>
        <w:rPr>
          <w:sz w:val="24"/>
        </w:rPr>
        <w:t>sco da ocorrência de eventos adversos aumenta com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superdosagem</w:t>
      </w:r>
      <w:proofErr w:type="spellEnd"/>
      <w:r>
        <w:rPr>
          <w:sz w:val="24"/>
        </w:rPr>
        <w:t>.</w:t>
      </w:r>
    </w:p>
    <w:p w:rsidR="0094156D" w:rsidRDefault="009F1E1D">
      <w:pPr>
        <w:pStyle w:val="Corpodetexto"/>
        <w:ind w:left="112" w:right="101" w:firstLine="566"/>
        <w:jc w:val="both"/>
      </w:pPr>
      <w:r>
        <w:t>Estou ciente de que este medicamento somente pode ser utilizado por mim, comprometendo-me a devolvê-lo caso não queira ou não possa utilizá-lo ou se o tratamento for interrompido. Sei também</w:t>
      </w:r>
      <w:r>
        <w:t xml:space="preserve"> que continuarei a ser atendido, inclusive em caso de eu desistir de usar o medicamento.</w:t>
      </w:r>
    </w:p>
    <w:p w:rsidR="0094156D" w:rsidRDefault="009F1E1D">
      <w:pPr>
        <w:pStyle w:val="Corpodetexto"/>
        <w:ind w:left="112" w:right="112" w:firstLine="566"/>
        <w:jc w:val="both"/>
      </w:pPr>
      <w:r>
        <w:t>Autorizo o Ministério da Saúde e as Secretarias de Saúde a fazer uso de informações relativas ao meu tratamento, desde que assegurado o anonimato.</w:t>
      </w:r>
    </w:p>
    <w:p w:rsidR="0094156D" w:rsidRDefault="009F1E1D">
      <w:pPr>
        <w:pStyle w:val="Corpodetexto"/>
        <w:spacing w:before="1" w:after="8"/>
        <w:ind w:left="821"/>
      </w:pPr>
      <w:proofErr w:type="gramStart"/>
      <w:r>
        <w:t xml:space="preserve">( </w:t>
      </w:r>
      <w:proofErr w:type="gramEnd"/>
      <w:r>
        <w:t>) Sim ( ) Não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1126"/>
        <w:gridCol w:w="2847"/>
      </w:tblGrid>
      <w:tr w:rsidR="0094156D">
        <w:trPr>
          <w:trHeight w:val="275"/>
        </w:trPr>
        <w:tc>
          <w:tcPr>
            <w:tcW w:w="9588" w:type="dxa"/>
            <w:gridSpan w:val="3"/>
          </w:tcPr>
          <w:p w:rsidR="0094156D" w:rsidRDefault="009F1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</w:t>
            </w:r>
            <w:r>
              <w:rPr>
                <w:sz w:val="24"/>
              </w:rPr>
              <w:t>l: Data:</w:t>
            </w:r>
          </w:p>
        </w:tc>
      </w:tr>
      <w:tr w:rsidR="0094156D">
        <w:trPr>
          <w:trHeight w:val="275"/>
        </w:trPr>
        <w:tc>
          <w:tcPr>
            <w:tcW w:w="9588" w:type="dxa"/>
            <w:gridSpan w:val="3"/>
          </w:tcPr>
          <w:p w:rsidR="0094156D" w:rsidRDefault="009F1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paciente:</w:t>
            </w:r>
          </w:p>
        </w:tc>
      </w:tr>
      <w:tr w:rsidR="0094156D">
        <w:trPr>
          <w:trHeight w:val="275"/>
        </w:trPr>
        <w:tc>
          <w:tcPr>
            <w:tcW w:w="9588" w:type="dxa"/>
            <w:gridSpan w:val="3"/>
          </w:tcPr>
          <w:p w:rsidR="0094156D" w:rsidRDefault="009F1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Cartão Nacional de Saúde:</w:t>
            </w:r>
          </w:p>
        </w:tc>
      </w:tr>
      <w:tr w:rsidR="0094156D">
        <w:trPr>
          <w:trHeight w:val="278"/>
        </w:trPr>
        <w:tc>
          <w:tcPr>
            <w:tcW w:w="9588" w:type="dxa"/>
            <w:gridSpan w:val="3"/>
          </w:tcPr>
          <w:p w:rsidR="0094156D" w:rsidRDefault="009F1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Nome do responsável legal:</w:t>
            </w:r>
          </w:p>
        </w:tc>
      </w:tr>
      <w:tr w:rsidR="0094156D">
        <w:trPr>
          <w:trHeight w:val="275"/>
        </w:trPr>
        <w:tc>
          <w:tcPr>
            <w:tcW w:w="9588" w:type="dxa"/>
            <w:gridSpan w:val="3"/>
          </w:tcPr>
          <w:p w:rsidR="0094156D" w:rsidRDefault="009F1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Documento de identificação do responsável legal:</w:t>
            </w:r>
          </w:p>
        </w:tc>
      </w:tr>
      <w:tr w:rsidR="0094156D">
        <w:trPr>
          <w:trHeight w:val="827"/>
        </w:trPr>
        <w:tc>
          <w:tcPr>
            <w:tcW w:w="9588" w:type="dxa"/>
            <w:gridSpan w:val="3"/>
          </w:tcPr>
          <w:p w:rsidR="0094156D" w:rsidRDefault="009415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4156D" w:rsidRDefault="0094156D">
            <w:pPr>
              <w:pStyle w:val="TableParagraph"/>
              <w:spacing w:before="4" w:after="1" w:line="240" w:lineRule="auto"/>
              <w:ind w:left="0"/>
              <w:rPr>
                <w:sz w:val="26"/>
              </w:rPr>
            </w:pPr>
          </w:p>
          <w:p w:rsidR="0094156D" w:rsidRDefault="009F1E1D">
            <w:pPr>
              <w:pStyle w:val="TableParagraph"/>
              <w:spacing w:line="20" w:lineRule="exact"/>
              <w:ind w:left="25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22pt;height:.5pt;mso-position-horizontal-relative:char;mso-position-vertical-relative:line" coordsize="4440,10">
                  <v:line id="_x0000_s1029" style="position:absolute" from="0,5" to="4440,5" strokeweight=".48pt"/>
                  <w10:wrap type="none"/>
                  <w10:anchorlock/>
                </v:group>
              </w:pict>
            </w:r>
          </w:p>
          <w:p w:rsidR="0094156D" w:rsidRDefault="009F1E1D">
            <w:pPr>
              <w:pStyle w:val="TableParagraph"/>
              <w:spacing w:line="253" w:lineRule="exact"/>
              <w:ind w:left="2541"/>
              <w:rPr>
                <w:sz w:val="24"/>
              </w:rPr>
            </w:pPr>
            <w:r>
              <w:rPr>
                <w:sz w:val="24"/>
              </w:rPr>
              <w:t>Assinatura do paciente ou do responsável legal</w:t>
            </w:r>
          </w:p>
        </w:tc>
      </w:tr>
      <w:tr w:rsidR="0094156D">
        <w:trPr>
          <w:trHeight w:val="275"/>
        </w:trPr>
        <w:tc>
          <w:tcPr>
            <w:tcW w:w="5615" w:type="dxa"/>
          </w:tcPr>
          <w:p w:rsidR="0094156D" w:rsidRDefault="009F1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Médico Responsável:</w:t>
            </w:r>
          </w:p>
        </w:tc>
        <w:tc>
          <w:tcPr>
            <w:tcW w:w="1126" w:type="dxa"/>
          </w:tcPr>
          <w:p w:rsidR="0094156D" w:rsidRDefault="009F1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CRM:</w:t>
            </w:r>
          </w:p>
        </w:tc>
        <w:tc>
          <w:tcPr>
            <w:tcW w:w="2847" w:type="dxa"/>
          </w:tcPr>
          <w:p w:rsidR="0094156D" w:rsidRDefault="009F1E1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94156D">
        <w:trPr>
          <w:trHeight w:val="1104"/>
        </w:trPr>
        <w:tc>
          <w:tcPr>
            <w:tcW w:w="9588" w:type="dxa"/>
            <w:gridSpan w:val="3"/>
          </w:tcPr>
          <w:p w:rsidR="0094156D" w:rsidRDefault="009415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4156D" w:rsidRDefault="0094156D">
            <w:pPr>
              <w:pStyle w:val="TableParagraph"/>
              <w:spacing w:before="5" w:line="240" w:lineRule="auto"/>
              <w:ind w:left="0"/>
              <w:rPr>
                <w:sz w:val="26"/>
              </w:rPr>
            </w:pPr>
          </w:p>
          <w:p w:rsidR="0094156D" w:rsidRDefault="009F1E1D">
            <w:pPr>
              <w:pStyle w:val="TableParagraph"/>
              <w:spacing w:line="20" w:lineRule="exact"/>
              <w:ind w:left="31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62pt;height:.5pt;mso-position-horizontal-relative:char;mso-position-vertical-relative:line" coordsize="3240,10">
                  <v:line id="_x0000_s1027" style="position:absolute" from="0,5" to="3240,5" strokeweight=".48pt"/>
                  <w10:wrap type="none"/>
                  <w10:anchorlock/>
                </v:group>
              </w:pict>
            </w:r>
          </w:p>
          <w:p w:rsidR="0094156D" w:rsidRDefault="009F1E1D">
            <w:pPr>
              <w:pStyle w:val="TableParagraph"/>
              <w:tabs>
                <w:tab w:val="left" w:pos="6216"/>
              </w:tabs>
              <w:spacing w:line="270" w:lineRule="atLeast"/>
              <w:ind w:left="3240" w:right="3230"/>
              <w:jc w:val="center"/>
              <w:rPr>
                <w:sz w:val="24"/>
              </w:rPr>
            </w:pPr>
            <w:r>
              <w:rPr>
                <w:sz w:val="24"/>
              </w:rPr>
              <w:t>Assinatura e carimbo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médico Data: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00000" w:rsidRDefault="009F1E1D"/>
    <w:sectPr w:rsidR="00000000">
      <w:pgSz w:w="11910" w:h="16850"/>
      <w:pgMar w:top="160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1D" w:rsidRDefault="009F1E1D" w:rsidP="009F1E1D">
      <w:r>
        <w:separator/>
      </w:r>
    </w:p>
  </w:endnote>
  <w:endnote w:type="continuationSeparator" w:id="0">
    <w:p w:rsidR="009F1E1D" w:rsidRDefault="009F1E1D" w:rsidP="009F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D" w:rsidRDefault="009F1E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D" w:rsidRDefault="009F1E1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D" w:rsidRDefault="009F1E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1D" w:rsidRDefault="009F1E1D" w:rsidP="009F1E1D">
      <w:r>
        <w:separator/>
      </w:r>
    </w:p>
  </w:footnote>
  <w:footnote w:type="continuationSeparator" w:id="0">
    <w:p w:rsidR="009F1E1D" w:rsidRDefault="009F1E1D" w:rsidP="009F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D" w:rsidRDefault="009F1E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D" w:rsidRDefault="009F1E1D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D" w:rsidRDefault="009F1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208"/>
    <w:multiLevelType w:val="multilevel"/>
    <w:tmpl w:val="B2C6E55A"/>
    <w:lvl w:ilvl="0">
      <w:start w:val="8"/>
      <w:numFmt w:val="decimal"/>
      <w:lvlText w:val="%1"/>
      <w:lvlJc w:val="left"/>
      <w:pPr>
        <w:ind w:left="1039" w:hanging="360"/>
        <w:jc w:val="righ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917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5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71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1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pt-BR" w:eastAsia="pt-BR" w:bidi="pt-BR"/>
      </w:rPr>
    </w:lvl>
  </w:abstractNum>
  <w:abstractNum w:abstractNumId="1">
    <w:nsid w:val="10635AC4"/>
    <w:multiLevelType w:val="hybridMultilevel"/>
    <w:tmpl w:val="99CA410E"/>
    <w:lvl w:ilvl="0" w:tplc="373E9B3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4796CE5A">
      <w:numFmt w:val="bullet"/>
      <w:lvlText w:val="•"/>
      <w:lvlJc w:val="left"/>
      <w:pPr>
        <w:ind w:left="1150" w:hanging="140"/>
      </w:pPr>
      <w:rPr>
        <w:rFonts w:hint="default"/>
        <w:lang w:val="pt-BR" w:eastAsia="pt-BR" w:bidi="pt-BR"/>
      </w:rPr>
    </w:lvl>
    <w:lvl w:ilvl="2" w:tplc="EC4CC194">
      <w:numFmt w:val="bullet"/>
      <w:lvlText w:val="•"/>
      <w:lvlJc w:val="left"/>
      <w:pPr>
        <w:ind w:left="2181" w:hanging="140"/>
      </w:pPr>
      <w:rPr>
        <w:rFonts w:hint="default"/>
        <w:lang w:val="pt-BR" w:eastAsia="pt-BR" w:bidi="pt-BR"/>
      </w:rPr>
    </w:lvl>
    <w:lvl w:ilvl="3" w:tplc="D0420ABA">
      <w:numFmt w:val="bullet"/>
      <w:lvlText w:val="•"/>
      <w:lvlJc w:val="left"/>
      <w:pPr>
        <w:ind w:left="3211" w:hanging="140"/>
      </w:pPr>
      <w:rPr>
        <w:rFonts w:hint="default"/>
        <w:lang w:val="pt-BR" w:eastAsia="pt-BR" w:bidi="pt-BR"/>
      </w:rPr>
    </w:lvl>
    <w:lvl w:ilvl="4" w:tplc="E78EE528">
      <w:numFmt w:val="bullet"/>
      <w:lvlText w:val="•"/>
      <w:lvlJc w:val="left"/>
      <w:pPr>
        <w:ind w:left="4242" w:hanging="140"/>
      </w:pPr>
      <w:rPr>
        <w:rFonts w:hint="default"/>
        <w:lang w:val="pt-BR" w:eastAsia="pt-BR" w:bidi="pt-BR"/>
      </w:rPr>
    </w:lvl>
    <w:lvl w:ilvl="5" w:tplc="E716CE64">
      <w:numFmt w:val="bullet"/>
      <w:lvlText w:val="•"/>
      <w:lvlJc w:val="left"/>
      <w:pPr>
        <w:ind w:left="5273" w:hanging="140"/>
      </w:pPr>
      <w:rPr>
        <w:rFonts w:hint="default"/>
        <w:lang w:val="pt-BR" w:eastAsia="pt-BR" w:bidi="pt-BR"/>
      </w:rPr>
    </w:lvl>
    <w:lvl w:ilvl="6" w:tplc="4FECA398">
      <w:numFmt w:val="bullet"/>
      <w:lvlText w:val="•"/>
      <w:lvlJc w:val="left"/>
      <w:pPr>
        <w:ind w:left="6303" w:hanging="140"/>
      </w:pPr>
      <w:rPr>
        <w:rFonts w:hint="default"/>
        <w:lang w:val="pt-BR" w:eastAsia="pt-BR" w:bidi="pt-BR"/>
      </w:rPr>
    </w:lvl>
    <w:lvl w:ilvl="7" w:tplc="8FD8BC3C">
      <w:numFmt w:val="bullet"/>
      <w:lvlText w:val="•"/>
      <w:lvlJc w:val="left"/>
      <w:pPr>
        <w:ind w:left="7334" w:hanging="140"/>
      </w:pPr>
      <w:rPr>
        <w:rFonts w:hint="default"/>
        <w:lang w:val="pt-BR" w:eastAsia="pt-BR" w:bidi="pt-BR"/>
      </w:rPr>
    </w:lvl>
    <w:lvl w:ilvl="8" w:tplc="EAC08F96">
      <w:numFmt w:val="bullet"/>
      <w:lvlText w:val="•"/>
      <w:lvlJc w:val="left"/>
      <w:pPr>
        <w:ind w:left="8365" w:hanging="140"/>
      </w:pPr>
      <w:rPr>
        <w:rFonts w:hint="default"/>
        <w:lang w:val="pt-BR" w:eastAsia="pt-BR" w:bidi="pt-BR"/>
      </w:rPr>
    </w:lvl>
  </w:abstractNum>
  <w:abstractNum w:abstractNumId="2">
    <w:nsid w:val="4F0A7AB6"/>
    <w:multiLevelType w:val="hybridMultilevel"/>
    <w:tmpl w:val="EDDEDB88"/>
    <w:lvl w:ilvl="0" w:tplc="8AB8310E">
      <w:start w:val="1"/>
      <w:numFmt w:val="decimal"/>
      <w:lvlText w:val="%1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2B14E36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2" w:tplc="01DEED90">
      <w:numFmt w:val="bullet"/>
      <w:lvlText w:val="•"/>
      <w:lvlJc w:val="left"/>
      <w:pPr>
        <w:ind w:left="800" w:hanging="140"/>
      </w:pPr>
      <w:rPr>
        <w:rFonts w:hint="default"/>
        <w:lang w:val="pt-BR" w:eastAsia="pt-BR" w:bidi="pt-BR"/>
      </w:rPr>
    </w:lvl>
    <w:lvl w:ilvl="3" w:tplc="41C81952">
      <w:numFmt w:val="bullet"/>
      <w:lvlText w:val="•"/>
      <w:lvlJc w:val="left"/>
      <w:pPr>
        <w:ind w:left="2003" w:hanging="140"/>
      </w:pPr>
      <w:rPr>
        <w:rFonts w:hint="default"/>
        <w:lang w:val="pt-BR" w:eastAsia="pt-BR" w:bidi="pt-BR"/>
      </w:rPr>
    </w:lvl>
    <w:lvl w:ilvl="4" w:tplc="CDB42752">
      <w:numFmt w:val="bullet"/>
      <w:lvlText w:val="•"/>
      <w:lvlJc w:val="left"/>
      <w:pPr>
        <w:ind w:left="3206" w:hanging="140"/>
      </w:pPr>
      <w:rPr>
        <w:rFonts w:hint="default"/>
        <w:lang w:val="pt-BR" w:eastAsia="pt-BR" w:bidi="pt-BR"/>
      </w:rPr>
    </w:lvl>
    <w:lvl w:ilvl="5" w:tplc="F384D86C">
      <w:numFmt w:val="bullet"/>
      <w:lvlText w:val="•"/>
      <w:lvlJc w:val="left"/>
      <w:pPr>
        <w:ind w:left="4409" w:hanging="140"/>
      </w:pPr>
      <w:rPr>
        <w:rFonts w:hint="default"/>
        <w:lang w:val="pt-BR" w:eastAsia="pt-BR" w:bidi="pt-BR"/>
      </w:rPr>
    </w:lvl>
    <w:lvl w:ilvl="6" w:tplc="68FA9CFA">
      <w:numFmt w:val="bullet"/>
      <w:lvlText w:val="•"/>
      <w:lvlJc w:val="left"/>
      <w:pPr>
        <w:ind w:left="5613" w:hanging="140"/>
      </w:pPr>
      <w:rPr>
        <w:rFonts w:hint="default"/>
        <w:lang w:val="pt-BR" w:eastAsia="pt-BR" w:bidi="pt-BR"/>
      </w:rPr>
    </w:lvl>
    <w:lvl w:ilvl="7" w:tplc="BA7C95EC">
      <w:numFmt w:val="bullet"/>
      <w:lvlText w:val="•"/>
      <w:lvlJc w:val="left"/>
      <w:pPr>
        <w:ind w:left="6816" w:hanging="140"/>
      </w:pPr>
      <w:rPr>
        <w:rFonts w:hint="default"/>
        <w:lang w:val="pt-BR" w:eastAsia="pt-BR" w:bidi="pt-BR"/>
      </w:rPr>
    </w:lvl>
    <w:lvl w:ilvl="8" w:tplc="13482EA0">
      <w:numFmt w:val="bullet"/>
      <w:lvlText w:val="•"/>
      <w:lvlJc w:val="left"/>
      <w:pPr>
        <w:ind w:left="8019" w:hanging="140"/>
      </w:pPr>
      <w:rPr>
        <w:rFonts w:hint="default"/>
        <w:lang w:val="pt-BR" w:eastAsia="pt-BR" w:bidi="pt-BR"/>
      </w:rPr>
    </w:lvl>
  </w:abstractNum>
  <w:abstractNum w:abstractNumId="3">
    <w:nsid w:val="5E831224"/>
    <w:multiLevelType w:val="hybridMultilevel"/>
    <w:tmpl w:val="35F8E46C"/>
    <w:lvl w:ilvl="0" w:tplc="BA446408">
      <w:start w:val="10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116A8CD2">
      <w:numFmt w:val="bullet"/>
      <w:lvlText w:val="•"/>
      <w:lvlJc w:val="left"/>
      <w:pPr>
        <w:ind w:left="1474" w:hanging="361"/>
      </w:pPr>
      <w:rPr>
        <w:rFonts w:hint="default"/>
        <w:lang w:val="pt-BR" w:eastAsia="pt-BR" w:bidi="pt-BR"/>
      </w:rPr>
    </w:lvl>
    <w:lvl w:ilvl="2" w:tplc="FC1C82C2">
      <w:numFmt w:val="bullet"/>
      <w:lvlText w:val="•"/>
      <w:lvlJc w:val="left"/>
      <w:pPr>
        <w:ind w:left="2469" w:hanging="361"/>
      </w:pPr>
      <w:rPr>
        <w:rFonts w:hint="default"/>
        <w:lang w:val="pt-BR" w:eastAsia="pt-BR" w:bidi="pt-BR"/>
      </w:rPr>
    </w:lvl>
    <w:lvl w:ilvl="3" w:tplc="B7DE7910">
      <w:numFmt w:val="bullet"/>
      <w:lvlText w:val="•"/>
      <w:lvlJc w:val="left"/>
      <w:pPr>
        <w:ind w:left="3463" w:hanging="361"/>
      </w:pPr>
      <w:rPr>
        <w:rFonts w:hint="default"/>
        <w:lang w:val="pt-BR" w:eastAsia="pt-BR" w:bidi="pt-BR"/>
      </w:rPr>
    </w:lvl>
    <w:lvl w:ilvl="4" w:tplc="E8BC08FC">
      <w:numFmt w:val="bullet"/>
      <w:lvlText w:val="•"/>
      <w:lvlJc w:val="left"/>
      <w:pPr>
        <w:ind w:left="4458" w:hanging="361"/>
      </w:pPr>
      <w:rPr>
        <w:rFonts w:hint="default"/>
        <w:lang w:val="pt-BR" w:eastAsia="pt-BR" w:bidi="pt-BR"/>
      </w:rPr>
    </w:lvl>
    <w:lvl w:ilvl="5" w:tplc="20B05822">
      <w:numFmt w:val="bullet"/>
      <w:lvlText w:val="•"/>
      <w:lvlJc w:val="left"/>
      <w:pPr>
        <w:ind w:left="5453" w:hanging="361"/>
      </w:pPr>
      <w:rPr>
        <w:rFonts w:hint="default"/>
        <w:lang w:val="pt-BR" w:eastAsia="pt-BR" w:bidi="pt-BR"/>
      </w:rPr>
    </w:lvl>
    <w:lvl w:ilvl="6" w:tplc="83083074">
      <w:numFmt w:val="bullet"/>
      <w:lvlText w:val="•"/>
      <w:lvlJc w:val="left"/>
      <w:pPr>
        <w:ind w:left="6447" w:hanging="361"/>
      </w:pPr>
      <w:rPr>
        <w:rFonts w:hint="default"/>
        <w:lang w:val="pt-BR" w:eastAsia="pt-BR" w:bidi="pt-BR"/>
      </w:rPr>
    </w:lvl>
    <w:lvl w:ilvl="7" w:tplc="4DB20450">
      <w:numFmt w:val="bullet"/>
      <w:lvlText w:val="•"/>
      <w:lvlJc w:val="left"/>
      <w:pPr>
        <w:ind w:left="7442" w:hanging="361"/>
      </w:pPr>
      <w:rPr>
        <w:rFonts w:hint="default"/>
        <w:lang w:val="pt-BR" w:eastAsia="pt-BR" w:bidi="pt-BR"/>
      </w:rPr>
    </w:lvl>
    <w:lvl w:ilvl="8" w:tplc="AF029412">
      <w:numFmt w:val="bullet"/>
      <w:lvlText w:val="•"/>
      <w:lvlJc w:val="left"/>
      <w:pPr>
        <w:ind w:left="8437" w:hanging="361"/>
      </w:pPr>
      <w:rPr>
        <w:rFonts w:hint="default"/>
        <w:lang w:val="pt-BR" w:eastAsia="pt-BR" w:bidi="pt-BR"/>
      </w:rPr>
    </w:lvl>
  </w:abstractNum>
  <w:abstractNum w:abstractNumId="4">
    <w:nsid w:val="6A981098"/>
    <w:multiLevelType w:val="hybridMultilevel"/>
    <w:tmpl w:val="8AEC02FA"/>
    <w:lvl w:ilvl="0" w:tplc="7EE497C4">
      <w:start w:val="1"/>
      <w:numFmt w:val="decimal"/>
      <w:lvlText w:val="%1."/>
      <w:lvlJc w:val="left"/>
      <w:pPr>
        <w:ind w:left="679" w:hanging="567"/>
        <w:jc w:val="left"/>
      </w:pPr>
      <w:rPr>
        <w:rFonts w:hint="default"/>
        <w:spacing w:val="-25"/>
        <w:w w:val="99"/>
        <w:lang w:val="pt-BR" w:eastAsia="pt-BR" w:bidi="pt-BR"/>
      </w:rPr>
    </w:lvl>
    <w:lvl w:ilvl="1" w:tplc="A79A6738">
      <w:numFmt w:val="bullet"/>
      <w:lvlText w:val="•"/>
      <w:lvlJc w:val="left"/>
      <w:pPr>
        <w:ind w:left="1654" w:hanging="567"/>
      </w:pPr>
      <w:rPr>
        <w:rFonts w:hint="default"/>
        <w:lang w:val="pt-BR" w:eastAsia="pt-BR" w:bidi="pt-BR"/>
      </w:rPr>
    </w:lvl>
    <w:lvl w:ilvl="2" w:tplc="57E2ED8C">
      <w:numFmt w:val="bullet"/>
      <w:lvlText w:val="•"/>
      <w:lvlJc w:val="left"/>
      <w:pPr>
        <w:ind w:left="2629" w:hanging="567"/>
      </w:pPr>
      <w:rPr>
        <w:rFonts w:hint="default"/>
        <w:lang w:val="pt-BR" w:eastAsia="pt-BR" w:bidi="pt-BR"/>
      </w:rPr>
    </w:lvl>
    <w:lvl w:ilvl="3" w:tplc="DA64D172">
      <w:numFmt w:val="bullet"/>
      <w:lvlText w:val="•"/>
      <w:lvlJc w:val="left"/>
      <w:pPr>
        <w:ind w:left="3603" w:hanging="567"/>
      </w:pPr>
      <w:rPr>
        <w:rFonts w:hint="default"/>
        <w:lang w:val="pt-BR" w:eastAsia="pt-BR" w:bidi="pt-BR"/>
      </w:rPr>
    </w:lvl>
    <w:lvl w:ilvl="4" w:tplc="C35E7F60">
      <w:numFmt w:val="bullet"/>
      <w:lvlText w:val="•"/>
      <w:lvlJc w:val="left"/>
      <w:pPr>
        <w:ind w:left="4578" w:hanging="567"/>
      </w:pPr>
      <w:rPr>
        <w:rFonts w:hint="default"/>
        <w:lang w:val="pt-BR" w:eastAsia="pt-BR" w:bidi="pt-BR"/>
      </w:rPr>
    </w:lvl>
    <w:lvl w:ilvl="5" w:tplc="162ACDC6">
      <w:numFmt w:val="bullet"/>
      <w:lvlText w:val="•"/>
      <w:lvlJc w:val="left"/>
      <w:pPr>
        <w:ind w:left="5553" w:hanging="567"/>
      </w:pPr>
      <w:rPr>
        <w:rFonts w:hint="default"/>
        <w:lang w:val="pt-BR" w:eastAsia="pt-BR" w:bidi="pt-BR"/>
      </w:rPr>
    </w:lvl>
    <w:lvl w:ilvl="6" w:tplc="CAF247D2">
      <w:numFmt w:val="bullet"/>
      <w:lvlText w:val="•"/>
      <w:lvlJc w:val="left"/>
      <w:pPr>
        <w:ind w:left="6527" w:hanging="567"/>
      </w:pPr>
      <w:rPr>
        <w:rFonts w:hint="default"/>
        <w:lang w:val="pt-BR" w:eastAsia="pt-BR" w:bidi="pt-BR"/>
      </w:rPr>
    </w:lvl>
    <w:lvl w:ilvl="7" w:tplc="A3F225B6">
      <w:numFmt w:val="bullet"/>
      <w:lvlText w:val="•"/>
      <w:lvlJc w:val="left"/>
      <w:pPr>
        <w:ind w:left="7502" w:hanging="567"/>
      </w:pPr>
      <w:rPr>
        <w:rFonts w:hint="default"/>
        <w:lang w:val="pt-BR" w:eastAsia="pt-BR" w:bidi="pt-BR"/>
      </w:rPr>
    </w:lvl>
    <w:lvl w:ilvl="8" w:tplc="12E89392">
      <w:numFmt w:val="bullet"/>
      <w:lvlText w:val="•"/>
      <w:lvlJc w:val="left"/>
      <w:pPr>
        <w:ind w:left="8477" w:hanging="567"/>
      </w:pPr>
      <w:rPr>
        <w:rFonts w:hint="default"/>
        <w:lang w:val="pt-BR" w:eastAsia="pt-BR" w:bidi="pt-BR"/>
      </w:rPr>
    </w:lvl>
  </w:abstractNum>
  <w:abstractNum w:abstractNumId="5">
    <w:nsid w:val="78441353"/>
    <w:multiLevelType w:val="hybridMultilevel"/>
    <w:tmpl w:val="F88EFB98"/>
    <w:lvl w:ilvl="0" w:tplc="9DBCCF66">
      <w:start w:val="1"/>
      <w:numFmt w:val="lowerLetter"/>
      <w:lvlText w:val="%1)"/>
      <w:lvlJc w:val="left"/>
      <w:pPr>
        <w:ind w:left="924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1" w:tplc="18EC63B2">
      <w:numFmt w:val="bullet"/>
      <w:lvlText w:val="•"/>
      <w:lvlJc w:val="left"/>
      <w:pPr>
        <w:ind w:left="1870" w:hanging="245"/>
      </w:pPr>
      <w:rPr>
        <w:rFonts w:hint="default"/>
        <w:lang w:val="pt-BR" w:eastAsia="pt-BR" w:bidi="pt-BR"/>
      </w:rPr>
    </w:lvl>
    <w:lvl w:ilvl="2" w:tplc="10225428">
      <w:numFmt w:val="bullet"/>
      <w:lvlText w:val="•"/>
      <w:lvlJc w:val="left"/>
      <w:pPr>
        <w:ind w:left="2821" w:hanging="245"/>
      </w:pPr>
      <w:rPr>
        <w:rFonts w:hint="default"/>
        <w:lang w:val="pt-BR" w:eastAsia="pt-BR" w:bidi="pt-BR"/>
      </w:rPr>
    </w:lvl>
    <w:lvl w:ilvl="3" w:tplc="1E88D042">
      <w:numFmt w:val="bullet"/>
      <w:lvlText w:val="•"/>
      <w:lvlJc w:val="left"/>
      <w:pPr>
        <w:ind w:left="3771" w:hanging="245"/>
      </w:pPr>
      <w:rPr>
        <w:rFonts w:hint="default"/>
        <w:lang w:val="pt-BR" w:eastAsia="pt-BR" w:bidi="pt-BR"/>
      </w:rPr>
    </w:lvl>
    <w:lvl w:ilvl="4" w:tplc="1ACEA09A">
      <w:numFmt w:val="bullet"/>
      <w:lvlText w:val="•"/>
      <w:lvlJc w:val="left"/>
      <w:pPr>
        <w:ind w:left="4722" w:hanging="245"/>
      </w:pPr>
      <w:rPr>
        <w:rFonts w:hint="default"/>
        <w:lang w:val="pt-BR" w:eastAsia="pt-BR" w:bidi="pt-BR"/>
      </w:rPr>
    </w:lvl>
    <w:lvl w:ilvl="5" w:tplc="CBC84F28">
      <w:numFmt w:val="bullet"/>
      <w:lvlText w:val="•"/>
      <w:lvlJc w:val="left"/>
      <w:pPr>
        <w:ind w:left="5673" w:hanging="245"/>
      </w:pPr>
      <w:rPr>
        <w:rFonts w:hint="default"/>
        <w:lang w:val="pt-BR" w:eastAsia="pt-BR" w:bidi="pt-BR"/>
      </w:rPr>
    </w:lvl>
    <w:lvl w:ilvl="6" w:tplc="1550DBF4">
      <w:numFmt w:val="bullet"/>
      <w:lvlText w:val="•"/>
      <w:lvlJc w:val="left"/>
      <w:pPr>
        <w:ind w:left="6623" w:hanging="245"/>
      </w:pPr>
      <w:rPr>
        <w:rFonts w:hint="default"/>
        <w:lang w:val="pt-BR" w:eastAsia="pt-BR" w:bidi="pt-BR"/>
      </w:rPr>
    </w:lvl>
    <w:lvl w:ilvl="7" w:tplc="D5B29D4C">
      <w:numFmt w:val="bullet"/>
      <w:lvlText w:val="•"/>
      <w:lvlJc w:val="left"/>
      <w:pPr>
        <w:ind w:left="7574" w:hanging="245"/>
      </w:pPr>
      <w:rPr>
        <w:rFonts w:hint="default"/>
        <w:lang w:val="pt-BR" w:eastAsia="pt-BR" w:bidi="pt-BR"/>
      </w:rPr>
    </w:lvl>
    <w:lvl w:ilvl="8" w:tplc="F8D00170">
      <w:numFmt w:val="bullet"/>
      <w:lvlText w:val="•"/>
      <w:lvlJc w:val="left"/>
      <w:pPr>
        <w:ind w:left="8525" w:hanging="245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4156D"/>
    <w:rsid w:val="0094156D"/>
    <w:rsid w:val="009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9" w:hanging="567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D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F1E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1E1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F1E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E1D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uptodate.com/contents/an-overview-of-angioedema-clinical-features-diagnosis-and-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ptodate.com/patients/content/topic.do?topicKey=%7Eq4q8ma_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todat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onitec.gov.br/images/Consultas/Relatorios/2015/Relatorio_IcatibantoAngioedema_CP.pdf)" TargetMode="External"/><Relationship Id="rId10" Type="http://schemas.openxmlformats.org/officeDocument/2006/relationships/header" Target="header2.xml"/><Relationship Id="rId19" Type="http://schemas.openxmlformats.org/officeDocument/2006/relationships/hyperlink" Target="http://conitec.gov.br/images/Consultas/Relatorios/2015/Relatorio_IcatibantoAngioedema_CP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4583</Words>
  <Characters>24751</Characters>
  <Application>Microsoft Office Word</Application>
  <DocSecurity>0</DocSecurity>
  <Lines>206</Lines>
  <Paragraphs>58</Paragraphs>
  <ScaleCrop>false</ScaleCrop>
  <Company/>
  <LinksUpToDate>false</LinksUpToDate>
  <CharactersWithSpaces>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Endometriose</dc:title>
  <dc:creator>Alex</dc:creator>
  <cp:lastModifiedBy>VANESSA ALVES DE OLIVEIRA</cp:lastModifiedBy>
  <cp:revision>2</cp:revision>
  <dcterms:created xsi:type="dcterms:W3CDTF">2019-07-19T12:51:00Z</dcterms:created>
  <dcterms:modified xsi:type="dcterms:W3CDTF">2019-07-19T12:52:00Z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2019-07-19T00:00:00Z</vt:filetime>
  </property>
</Properties>
</file>