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593" w:rsidRDefault="00791C81">
      <w:pPr>
        <w:pStyle w:val="Corpodetexto"/>
        <w:spacing w:before="10"/>
        <w:ind w:left="0" w:firstLine="0"/>
        <w:rPr>
          <w:sz w:val="15"/>
        </w:rPr>
      </w:pPr>
      <w:r>
        <w:rPr>
          <w:noProof/>
          <w:lang w:bidi="ar-SA"/>
        </w:rPr>
        <w:drawing>
          <wp:inline distT="0" distB="0" distL="0" distR="0" wp14:anchorId="475F628A" wp14:editId="315430CF">
            <wp:extent cx="4874149" cy="461176"/>
            <wp:effectExtent l="0" t="0" r="0" b="0"/>
            <wp:docPr id="17" name="Imagem 17" descr="papel timbra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 timbrado1"/>
                    <pic:cNvPicPr>
                      <a:picLocks noChangeAspect="1" noChangeArrowheads="1"/>
                    </pic:cNvPicPr>
                  </pic:nvPicPr>
                  <pic:blipFill>
                    <a:blip r:embed="rId6"/>
                    <a:srcRect/>
                    <a:stretch>
                      <a:fillRect/>
                    </a:stretch>
                  </pic:blipFill>
                  <pic:spPr bwMode="auto">
                    <a:xfrm>
                      <a:off x="0" y="0"/>
                      <a:ext cx="4904080" cy="464008"/>
                    </a:xfrm>
                    <a:prstGeom prst="rect">
                      <a:avLst/>
                    </a:prstGeom>
                    <a:noFill/>
                    <a:ln w="9525">
                      <a:noFill/>
                      <a:miter lim="800000"/>
                      <a:headEnd/>
                      <a:tailEnd/>
                    </a:ln>
                  </pic:spPr>
                </pic:pic>
              </a:graphicData>
            </a:graphic>
          </wp:inline>
        </w:drawing>
      </w:r>
    </w:p>
    <w:p w:rsidR="00791C81" w:rsidRDefault="00791C81">
      <w:pPr>
        <w:pStyle w:val="Corpodetexto"/>
        <w:spacing w:before="10"/>
        <w:ind w:left="0" w:firstLine="0"/>
        <w:rPr>
          <w:sz w:val="15"/>
        </w:rPr>
      </w:pPr>
    </w:p>
    <w:p w:rsidR="00791C81" w:rsidRDefault="00791C81">
      <w:pPr>
        <w:pStyle w:val="Corpodetexto"/>
        <w:spacing w:before="10"/>
        <w:ind w:left="0" w:firstLine="0"/>
        <w:rPr>
          <w:sz w:val="15"/>
        </w:rPr>
      </w:pPr>
    </w:p>
    <w:p w:rsidR="00AB6593" w:rsidRDefault="00791C81">
      <w:pPr>
        <w:pStyle w:val="Corpodetexto"/>
        <w:ind w:left="3633" w:firstLine="0"/>
      </w:pPr>
      <w:proofErr w:type="gramStart"/>
      <w:r>
        <w:t>PROTOCOLO CLÍNICO E DIRETRIZES TERAPÊUTICAS</w:t>
      </w:r>
      <w:proofErr w:type="gramEnd"/>
    </w:p>
    <w:p w:rsidR="00AB6593" w:rsidRDefault="00AB6593">
      <w:pPr>
        <w:pStyle w:val="Corpodetexto"/>
        <w:ind w:left="0" w:firstLine="0"/>
      </w:pPr>
    </w:p>
    <w:p w:rsidR="00AB6593" w:rsidRDefault="00791C81">
      <w:pPr>
        <w:pStyle w:val="Corpodetexto"/>
        <w:ind w:left="2373" w:right="1827" w:firstLine="326"/>
      </w:pPr>
      <w:r>
        <w:t>ANEMIA APLÁSTICA, MIELODISPLASIA E NEUTROPENIAS CONSTITUCIONAIS USO DE FATORES ESTIMULANTES DE CRESCIMENTO DE COLÔNIAS DE</w:t>
      </w:r>
      <w:r>
        <w:rPr>
          <w:spacing w:val="-21"/>
        </w:rPr>
        <w:t xml:space="preserve"> </w:t>
      </w:r>
      <w:proofErr w:type="gramStart"/>
      <w:r>
        <w:t>NEUTRÓFILOS</w:t>
      </w:r>
      <w:proofErr w:type="gramEnd"/>
    </w:p>
    <w:p w:rsidR="00AB6593" w:rsidRDefault="00AB6593">
      <w:pPr>
        <w:pStyle w:val="Corpodetexto"/>
        <w:ind w:left="0" w:firstLine="0"/>
        <w:rPr>
          <w:sz w:val="18"/>
        </w:rPr>
      </w:pPr>
    </w:p>
    <w:p w:rsidR="00AB6593" w:rsidRDefault="00AB6593">
      <w:pPr>
        <w:pStyle w:val="Corpodetexto"/>
        <w:spacing w:before="1"/>
        <w:ind w:left="0" w:firstLine="0"/>
        <w:rPr>
          <w:sz w:val="14"/>
        </w:rPr>
      </w:pPr>
    </w:p>
    <w:p w:rsidR="00AB6593" w:rsidRDefault="00791C81">
      <w:pPr>
        <w:pStyle w:val="PargrafodaLista"/>
        <w:numPr>
          <w:ilvl w:val="0"/>
          <w:numId w:val="6"/>
        </w:numPr>
        <w:tabs>
          <w:tab w:val="left" w:pos="828"/>
        </w:tabs>
        <w:rPr>
          <w:sz w:val="16"/>
        </w:rPr>
      </w:pPr>
      <w:r>
        <w:rPr>
          <w:sz w:val="16"/>
        </w:rPr>
        <w:t>METODOLOGIA DE BUSCA E AVALIAÇÃO DA</w:t>
      </w:r>
      <w:r>
        <w:rPr>
          <w:spacing w:val="-4"/>
          <w:sz w:val="16"/>
        </w:rPr>
        <w:t xml:space="preserve"> </w:t>
      </w:r>
      <w:r>
        <w:rPr>
          <w:sz w:val="16"/>
        </w:rPr>
        <w:t>LITERATURA</w:t>
      </w:r>
    </w:p>
    <w:p w:rsidR="00AB6593" w:rsidRDefault="00791C81">
      <w:pPr>
        <w:pStyle w:val="Corpodetexto"/>
        <w:spacing w:before="1"/>
        <w:ind w:right="113"/>
        <w:jc w:val="both"/>
      </w:pPr>
      <w:r>
        <w:t>Para a edição de 2010 deste Protocolo, a revisão da literatura foi feita por meio de busca eletrônicano MEDLINE/</w:t>
      </w:r>
      <w:proofErr w:type="gramStart"/>
      <w:r>
        <w:t>PubMed</w:t>
      </w:r>
      <w:proofErr w:type="gramEnd"/>
      <w:r>
        <w:t xml:space="preserve"> e em </w:t>
      </w:r>
      <w:r>
        <w:rPr>
          <w:i/>
        </w:rPr>
        <w:t xml:space="preserve">links </w:t>
      </w:r>
      <w:r>
        <w:t>relevantes (incluindo-se a biblioteca Cochrane) com as seguintes palavras-chave: “granulocyte colony-stimulating factors” (G-</w:t>
      </w:r>
      <w:r>
        <w:t>CSF) OR “granulocyte-macrophage colony- stimulating factors” (GM-CSF) OR “white blood cell growth factors” OR “hematopoietic colony-stimulating factors” AND “neutropenia’ OR ‘aplastic anemia’ OR ‘myelodysplastic syndromes’, limitando-se a busca para ensaio</w:t>
      </w:r>
      <w:r>
        <w:t xml:space="preserve">s clínicos randomizados, meta-análises, revisões e </w:t>
      </w:r>
      <w:r>
        <w:rPr>
          <w:i/>
        </w:rPr>
        <w:t xml:space="preserve">guidelines </w:t>
      </w:r>
      <w:r>
        <w:t>publicados entre 2001 e 2009. Consideraram-se também referências relevantes já incluídas no protocolo anterior, de 2002, bem como aquelas identificadas por meio da análise das referências dos es</w:t>
      </w:r>
      <w:r>
        <w:t>tudos previamente</w:t>
      </w:r>
      <w:r>
        <w:rPr>
          <w:spacing w:val="-5"/>
        </w:rPr>
        <w:t xml:space="preserve"> </w:t>
      </w:r>
      <w:r>
        <w:t>localizados.</w:t>
      </w:r>
    </w:p>
    <w:p w:rsidR="00AB6593" w:rsidRDefault="00791C81">
      <w:pPr>
        <w:pStyle w:val="Corpodetexto"/>
        <w:ind w:right="113"/>
        <w:jc w:val="both"/>
      </w:pPr>
      <w:r>
        <w:t>Em 23/09/2014, foi realizada atualização da busca. Na base MEDLINE/</w:t>
      </w:r>
      <w:proofErr w:type="gramStart"/>
      <w:r>
        <w:t>PubMed</w:t>
      </w:r>
      <w:proofErr w:type="gramEnd"/>
      <w:r>
        <w:t>, utilizando-se a estratégia “((("Colony-Stimulating Factors"[Mesh]) AND "Neutropenia"[Mesh]) OR "Anemia, Aplastic"[Mesh]) OR "Myelodysplastic Syndromes</w:t>
      </w:r>
      <w:r>
        <w:t>"[Mesh] Filters: Clinical Trial, Phase III, Randomized Controlled Trial, Meta-Analysis, Systematic Reviews, from 01/01/2010, Humans, English, Portuguese, Spanish”, foram localizadas 173 referências, sendo selecionados cinco estudos para leitura na</w:t>
      </w:r>
      <w:r>
        <w:rPr>
          <w:spacing w:val="-3"/>
        </w:rPr>
        <w:t xml:space="preserve"> </w:t>
      </w:r>
      <w:r>
        <w:t>íntegra.</w:t>
      </w:r>
    </w:p>
    <w:p w:rsidR="00AB6593" w:rsidRDefault="00791C81">
      <w:pPr>
        <w:pStyle w:val="Corpodetexto"/>
        <w:ind w:right="115"/>
        <w:jc w:val="both"/>
      </w:pPr>
      <w:r>
        <w:t>Na base Embase, com a estratégia 'colony stimulating factors'/mj AND 'neutropenia'/de OR 'aplastic anemia'/de OR 'myelodysplastic syndromes'/de AND ([cochrane review</w:t>
      </w:r>
      <w:proofErr w:type="gramStart"/>
      <w:r>
        <w:t>]</w:t>
      </w:r>
      <w:proofErr w:type="gramEnd"/>
      <w:r>
        <w:t>/lim OR [systematic review]/lim OR [randomized controlled trial]/lim OR [meta analysis]/l</w:t>
      </w:r>
      <w:r>
        <w:t>im) AND [embase]/lim AND [23-1-2010]/sd AND ([english]/lim OR [portuguese]/lim OR [spanish]/lim) AND [humans]/lim AND [1-1-2010]/sd, obtiveram-se 240 resultados, sendo selecionados seis estudos para leitura na íntegra.</w:t>
      </w:r>
    </w:p>
    <w:p w:rsidR="00AB6593" w:rsidRDefault="00791C81">
      <w:pPr>
        <w:pStyle w:val="Corpodetexto"/>
        <w:ind w:right="116"/>
        <w:jc w:val="both"/>
      </w:pPr>
      <w:r>
        <w:t>Na biblioteca Cochrane, com os termos</w:t>
      </w:r>
      <w:r>
        <w:t xml:space="preserve"> “colony stimulating factors</w:t>
      </w:r>
      <w:proofErr w:type="gramStart"/>
      <w:r>
        <w:t>”(</w:t>
      </w:r>
      <w:proofErr w:type="gramEnd"/>
      <w:r>
        <w:t>title, abstract, keywords), limitando-se a pesquisa para revisões completas da Cochrane publicadas a partir de 2010, foram localizadas 25 revisões sistemáticas; nenhuma foi selecionada para leitura.</w:t>
      </w:r>
    </w:p>
    <w:p w:rsidR="00AB6593" w:rsidRDefault="00791C81">
      <w:pPr>
        <w:pStyle w:val="Corpodetexto"/>
        <w:ind w:right="114"/>
        <w:jc w:val="both"/>
      </w:pPr>
      <w:r>
        <w:t>Foram excluídos estudos ava</w:t>
      </w:r>
      <w:r>
        <w:t xml:space="preserve">liando intervenções indisponíveis no Brasil, com resultadosinconclusivos ou que não resultaram em nova recomendação ou mudança de conduta, bem como estudos sobre neutropenia febril decorrente de quimioterapia. Também foi consultado o capítulo sobre o tema </w:t>
      </w:r>
      <w:r>
        <w:t xml:space="preserve">na base eletrônica </w:t>
      </w:r>
      <w:proofErr w:type="gramStart"/>
      <w:r>
        <w:t>UpToDate</w:t>
      </w:r>
      <w:proofErr w:type="gramEnd"/>
      <w:r>
        <w:t xml:space="preserve">®, versão 19.3. Em suma, a atualização da busca resultou na inclusão de sete estudos no presente </w:t>
      </w:r>
      <w:proofErr w:type="gramStart"/>
      <w:r>
        <w:t>Protocolo</w:t>
      </w:r>
      <w:proofErr w:type="gramEnd"/>
    </w:p>
    <w:p w:rsidR="00AB6593" w:rsidRDefault="00AB6593">
      <w:pPr>
        <w:pStyle w:val="Corpodetexto"/>
        <w:ind w:left="0" w:firstLine="0"/>
      </w:pPr>
    </w:p>
    <w:p w:rsidR="00AB6593" w:rsidRDefault="00791C81">
      <w:pPr>
        <w:pStyle w:val="PargrafodaLista"/>
        <w:numPr>
          <w:ilvl w:val="0"/>
          <w:numId w:val="6"/>
        </w:numPr>
        <w:tabs>
          <w:tab w:val="left" w:pos="830"/>
        </w:tabs>
        <w:spacing w:line="183" w:lineRule="exact"/>
        <w:ind w:left="829" w:hanging="163"/>
        <w:rPr>
          <w:sz w:val="16"/>
        </w:rPr>
      </w:pPr>
      <w:r>
        <w:rPr>
          <w:sz w:val="16"/>
        </w:rPr>
        <w:t>INTRODUÇÃO</w:t>
      </w:r>
    </w:p>
    <w:p w:rsidR="00AB6593" w:rsidRDefault="00791C81">
      <w:pPr>
        <w:spacing w:line="183" w:lineRule="exact"/>
        <w:ind w:left="666"/>
        <w:rPr>
          <w:sz w:val="16"/>
        </w:rPr>
      </w:pPr>
      <w:r>
        <w:rPr>
          <w:sz w:val="16"/>
        </w:rPr>
        <w:t>O fator de crescimento da linhagem mieloide, incluindo o fator de crescimento de colônias de granulócitos (</w:t>
      </w:r>
      <w:r>
        <w:rPr>
          <w:i/>
          <w:sz w:val="16"/>
        </w:rPr>
        <w:t>gra</w:t>
      </w:r>
      <w:r>
        <w:rPr>
          <w:i/>
          <w:sz w:val="16"/>
        </w:rPr>
        <w:t>nulocyte colony-stimulating factor</w:t>
      </w:r>
      <w:r>
        <w:rPr>
          <w:sz w:val="16"/>
        </w:rPr>
        <w:t>, G-</w:t>
      </w:r>
      <w:proofErr w:type="gramStart"/>
      <w:r>
        <w:rPr>
          <w:sz w:val="16"/>
        </w:rPr>
        <w:t>CSF</w:t>
      </w:r>
      <w:proofErr w:type="gramEnd"/>
    </w:p>
    <w:p w:rsidR="00AB6593" w:rsidRDefault="00791C81">
      <w:pPr>
        <w:pStyle w:val="PargrafodaLista"/>
        <w:numPr>
          <w:ilvl w:val="0"/>
          <w:numId w:val="5"/>
        </w:numPr>
        <w:tabs>
          <w:tab w:val="left" w:pos="230"/>
        </w:tabs>
        <w:spacing w:before="1"/>
        <w:ind w:right="116" w:firstLine="0"/>
        <w:rPr>
          <w:sz w:val="16"/>
        </w:rPr>
      </w:pPr>
      <w:proofErr w:type="gramStart"/>
      <w:r>
        <w:rPr>
          <w:sz w:val="16"/>
        </w:rPr>
        <w:t>filgrastima</w:t>
      </w:r>
      <w:proofErr w:type="gramEnd"/>
      <w:r>
        <w:rPr>
          <w:sz w:val="16"/>
        </w:rPr>
        <w:t>/lenograstima), faz parte da família de citocinas reguladoras da proliferação, diferenciação e ativação funcional das células hematopoéticas mieloides progenitoras e</w:t>
      </w:r>
      <w:r>
        <w:rPr>
          <w:spacing w:val="-2"/>
          <w:sz w:val="16"/>
        </w:rPr>
        <w:t xml:space="preserve"> </w:t>
      </w:r>
      <w:r>
        <w:rPr>
          <w:sz w:val="16"/>
        </w:rPr>
        <w:t>maduras.</w:t>
      </w:r>
    </w:p>
    <w:p w:rsidR="00AB6593" w:rsidRDefault="00791C81">
      <w:pPr>
        <w:pStyle w:val="Corpodetexto"/>
        <w:ind w:right="112"/>
        <w:jc w:val="both"/>
      </w:pPr>
      <w:r>
        <w:t>O G-CSF regula a produção da linhagem neutrofílica. Sua administração em humanos promove aumento dose-dependente nos níveis de neutrófilos circulantes, sobretudo por reduzir o tempo de maturação da célula progenitora até o neutrófilo maduro. A filgrastimaé</w:t>
      </w:r>
      <w:r>
        <w:t xml:space="preserve"> uma glicoproteína produzida por técnica de DNA recombinante pela </w:t>
      </w:r>
      <w:r>
        <w:rPr>
          <w:i/>
        </w:rPr>
        <w:t>Escherichia coli</w:t>
      </w:r>
      <w:r>
        <w:t>. Além disso, se liga a receptores específicos da membrana de progenitores mieloides, promovendo a proliferação e diferenciação da linhagem neutrofílica e ativando funções fa</w:t>
      </w:r>
      <w:r>
        <w:t>gocíticas e citotóxicas de neutrófilos maduros.</w:t>
      </w:r>
    </w:p>
    <w:p w:rsidR="00AB6593" w:rsidRDefault="00791C81">
      <w:pPr>
        <w:pStyle w:val="Corpodetexto"/>
        <w:ind w:right="114"/>
        <w:jc w:val="both"/>
      </w:pPr>
      <w:r>
        <w:t xml:space="preserve">Apesar de outras complicações, particularmente as hemorrágicas, as complicações infecciosas permanecem como as principais causas de morbimortalidade nos pacientes com anemia aplástica grave e mielodisplasia, </w:t>
      </w:r>
      <w:r>
        <w:t>sendo o grau de infecção diretamente relacionado com o grau da neutropenia. O impacto na qualidade de vida desses doentes é elevado, bem como os custos para o sistema de saúde (1,2). A despeito do efeito benéfico do G-CSF em desfechos relevantes, como aume</w:t>
      </w:r>
      <w:r>
        <w:t>nto do número de neutrófilos, redução do tempo de neutropenia e, de modo menos consistente, redução do número de infecções e de internações hospitalares, não há diminuição de mortalidade, como se verá adiante.</w:t>
      </w:r>
    </w:p>
    <w:p w:rsidR="00AB6593" w:rsidRDefault="00791C81">
      <w:pPr>
        <w:pStyle w:val="Corpodetexto"/>
        <w:ind w:right="113"/>
        <w:jc w:val="both"/>
      </w:pPr>
      <w:r>
        <w:t xml:space="preserve">Serão incluídos neste Protocolo pacientes com </w:t>
      </w:r>
      <w:r>
        <w:t>anemia aplástica congênita ou adquirida, neutropenias constitucionais e mielodisplasia, condições clínicas em que, apesar de não haver redução clara da mortalidade, as evidências na literatura apoiam o uso profilático ou terapêutico de G-CSF, com base em d</w:t>
      </w:r>
      <w:r>
        <w:t>esfechos intermediários</w:t>
      </w:r>
      <w:proofErr w:type="gramStart"/>
      <w:r>
        <w:t xml:space="preserve"> mas</w:t>
      </w:r>
      <w:proofErr w:type="gramEnd"/>
      <w:r>
        <w:t xml:space="preserve"> relevantes (3-10).</w:t>
      </w:r>
    </w:p>
    <w:p w:rsidR="00AB6593" w:rsidRDefault="00AB6593">
      <w:pPr>
        <w:pStyle w:val="Corpodetexto"/>
        <w:ind w:left="0" w:firstLine="0"/>
      </w:pPr>
    </w:p>
    <w:p w:rsidR="00AB6593" w:rsidRDefault="00791C81">
      <w:pPr>
        <w:pStyle w:val="PargrafodaLista"/>
        <w:numPr>
          <w:ilvl w:val="0"/>
          <w:numId w:val="6"/>
        </w:numPr>
        <w:tabs>
          <w:tab w:val="left" w:pos="828"/>
        </w:tabs>
        <w:rPr>
          <w:sz w:val="16"/>
        </w:rPr>
      </w:pPr>
      <w:r>
        <w:rPr>
          <w:sz w:val="16"/>
        </w:rPr>
        <w:t>CLASSIFICAÇÃO ESTATÍSTICA INTERNACIONAL DE DOENÇAS E PROBLEMAS RELACIONADOS ÀSAÚDE</w:t>
      </w:r>
      <w:r>
        <w:rPr>
          <w:spacing w:val="-9"/>
          <w:sz w:val="16"/>
        </w:rPr>
        <w:t xml:space="preserve"> </w:t>
      </w:r>
      <w:r>
        <w:rPr>
          <w:sz w:val="16"/>
        </w:rPr>
        <w:t>(CID-10)</w:t>
      </w:r>
    </w:p>
    <w:p w:rsidR="00AB6593" w:rsidRDefault="00791C81">
      <w:pPr>
        <w:pStyle w:val="PargrafodaLista"/>
        <w:numPr>
          <w:ilvl w:val="1"/>
          <w:numId w:val="5"/>
        </w:numPr>
        <w:tabs>
          <w:tab w:val="left" w:pos="761"/>
        </w:tabs>
        <w:spacing w:before="1" w:line="183" w:lineRule="exact"/>
        <w:ind w:firstLine="566"/>
        <w:rPr>
          <w:sz w:val="16"/>
        </w:rPr>
      </w:pPr>
      <w:proofErr w:type="gramStart"/>
      <w:r>
        <w:rPr>
          <w:sz w:val="16"/>
        </w:rPr>
        <w:t>D46.</w:t>
      </w:r>
      <w:proofErr w:type="gramEnd"/>
      <w:r>
        <w:rPr>
          <w:sz w:val="16"/>
        </w:rPr>
        <w:t>0 Anemia refratária sem</w:t>
      </w:r>
      <w:r>
        <w:rPr>
          <w:spacing w:val="-17"/>
          <w:sz w:val="16"/>
        </w:rPr>
        <w:t xml:space="preserve"> </w:t>
      </w:r>
      <w:r>
        <w:rPr>
          <w:sz w:val="16"/>
        </w:rPr>
        <w:t>sideroblastos</w:t>
      </w:r>
    </w:p>
    <w:p w:rsidR="00AB6593" w:rsidRDefault="00791C81">
      <w:pPr>
        <w:pStyle w:val="PargrafodaLista"/>
        <w:numPr>
          <w:ilvl w:val="1"/>
          <w:numId w:val="5"/>
        </w:numPr>
        <w:tabs>
          <w:tab w:val="left" w:pos="761"/>
        </w:tabs>
        <w:spacing w:line="183" w:lineRule="exact"/>
        <w:ind w:firstLine="566"/>
        <w:rPr>
          <w:sz w:val="16"/>
        </w:rPr>
      </w:pPr>
      <w:proofErr w:type="gramStart"/>
      <w:r>
        <w:rPr>
          <w:sz w:val="16"/>
        </w:rPr>
        <w:t>D46.</w:t>
      </w:r>
      <w:proofErr w:type="gramEnd"/>
      <w:r>
        <w:rPr>
          <w:sz w:val="16"/>
        </w:rPr>
        <w:t>1 Anemia refratária com</w:t>
      </w:r>
      <w:r>
        <w:rPr>
          <w:spacing w:val="-20"/>
          <w:sz w:val="16"/>
        </w:rPr>
        <w:t xml:space="preserve"> </w:t>
      </w:r>
      <w:r>
        <w:rPr>
          <w:sz w:val="16"/>
        </w:rPr>
        <w:t>sideroblastos</w:t>
      </w:r>
    </w:p>
    <w:p w:rsidR="00AB6593" w:rsidRDefault="00791C81">
      <w:pPr>
        <w:pStyle w:val="PargrafodaLista"/>
        <w:numPr>
          <w:ilvl w:val="1"/>
          <w:numId w:val="5"/>
        </w:numPr>
        <w:tabs>
          <w:tab w:val="left" w:pos="761"/>
        </w:tabs>
        <w:spacing w:before="1"/>
        <w:ind w:firstLine="566"/>
        <w:rPr>
          <w:sz w:val="16"/>
        </w:rPr>
      </w:pPr>
      <w:proofErr w:type="gramStart"/>
      <w:r>
        <w:rPr>
          <w:sz w:val="16"/>
        </w:rPr>
        <w:t>D46.</w:t>
      </w:r>
      <w:proofErr w:type="gramEnd"/>
      <w:r>
        <w:rPr>
          <w:sz w:val="16"/>
        </w:rPr>
        <w:t>7 Outras síndromes</w:t>
      </w:r>
      <w:r>
        <w:rPr>
          <w:spacing w:val="-2"/>
          <w:sz w:val="16"/>
        </w:rPr>
        <w:t xml:space="preserve"> </w:t>
      </w:r>
      <w:r>
        <w:rPr>
          <w:sz w:val="16"/>
        </w:rPr>
        <w:t>mielodisp</w:t>
      </w:r>
      <w:r>
        <w:rPr>
          <w:sz w:val="16"/>
        </w:rPr>
        <w:t>lásicas</w:t>
      </w:r>
    </w:p>
    <w:p w:rsidR="00AB6593" w:rsidRDefault="00791C81">
      <w:pPr>
        <w:pStyle w:val="PargrafodaLista"/>
        <w:numPr>
          <w:ilvl w:val="1"/>
          <w:numId w:val="5"/>
        </w:numPr>
        <w:tabs>
          <w:tab w:val="left" w:pos="761"/>
        </w:tabs>
        <w:spacing w:before="1" w:line="183" w:lineRule="exact"/>
        <w:ind w:firstLine="566"/>
        <w:rPr>
          <w:sz w:val="16"/>
        </w:rPr>
      </w:pPr>
      <w:proofErr w:type="gramStart"/>
      <w:r>
        <w:rPr>
          <w:sz w:val="16"/>
        </w:rPr>
        <w:t>D61.</w:t>
      </w:r>
      <w:proofErr w:type="gramEnd"/>
      <w:r>
        <w:rPr>
          <w:sz w:val="16"/>
        </w:rPr>
        <w:t>0 Anemia aplástica constitucional</w:t>
      </w:r>
    </w:p>
    <w:p w:rsidR="00AB6593" w:rsidRDefault="00791C81">
      <w:pPr>
        <w:pStyle w:val="PargrafodaLista"/>
        <w:numPr>
          <w:ilvl w:val="1"/>
          <w:numId w:val="5"/>
        </w:numPr>
        <w:tabs>
          <w:tab w:val="left" w:pos="761"/>
        </w:tabs>
        <w:spacing w:line="183" w:lineRule="exact"/>
        <w:ind w:firstLine="566"/>
        <w:rPr>
          <w:sz w:val="16"/>
        </w:rPr>
      </w:pPr>
      <w:proofErr w:type="gramStart"/>
      <w:r>
        <w:rPr>
          <w:sz w:val="16"/>
        </w:rPr>
        <w:t>D61.</w:t>
      </w:r>
      <w:proofErr w:type="gramEnd"/>
      <w:r>
        <w:rPr>
          <w:sz w:val="16"/>
        </w:rPr>
        <w:t>1 Anemia aplástica induzida por</w:t>
      </w:r>
      <w:r>
        <w:rPr>
          <w:spacing w:val="-6"/>
          <w:sz w:val="16"/>
        </w:rPr>
        <w:t xml:space="preserve"> </w:t>
      </w:r>
      <w:r>
        <w:rPr>
          <w:sz w:val="16"/>
        </w:rPr>
        <w:t>drogas</w:t>
      </w:r>
    </w:p>
    <w:p w:rsidR="00AB6593" w:rsidRDefault="00791C81">
      <w:pPr>
        <w:pStyle w:val="PargrafodaLista"/>
        <w:numPr>
          <w:ilvl w:val="1"/>
          <w:numId w:val="5"/>
        </w:numPr>
        <w:tabs>
          <w:tab w:val="left" w:pos="761"/>
        </w:tabs>
        <w:spacing w:before="1"/>
        <w:ind w:firstLine="566"/>
        <w:rPr>
          <w:sz w:val="16"/>
        </w:rPr>
      </w:pPr>
      <w:proofErr w:type="gramStart"/>
      <w:r>
        <w:rPr>
          <w:sz w:val="16"/>
        </w:rPr>
        <w:t>D61.</w:t>
      </w:r>
      <w:proofErr w:type="gramEnd"/>
      <w:r>
        <w:rPr>
          <w:sz w:val="16"/>
        </w:rPr>
        <w:t>2 Anemia aplástica devida a outros agentes</w:t>
      </w:r>
      <w:r>
        <w:rPr>
          <w:spacing w:val="-5"/>
          <w:sz w:val="16"/>
        </w:rPr>
        <w:t xml:space="preserve"> </w:t>
      </w:r>
      <w:r>
        <w:rPr>
          <w:sz w:val="16"/>
        </w:rPr>
        <w:t>externos</w:t>
      </w:r>
    </w:p>
    <w:p w:rsidR="00AB6593" w:rsidRDefault="00791C81">
      <w:pPr>
        <w:pStyle w:val="PargrafodaLista"/>
        <w:numPr>
          <w:ilvl w:val="1"/>
          <w:numId w:val="5"/>
        </w:numPr>
        <w:tabs>
          <w:tab w:val="left" w:pos="761"/>
        </w:tabs>
        <w:spacing w:line="183" w:lineRule="exact"/>
        <w:ind w:firstLine="566"/>
        <w:rPr>
          <w:sz w:val="16"/>
        </w:rPr>
      </w:pPr>
      <w:proofErr w:type="gramStart"/>
      <w:r>
        <w:rPr>
          <w:sz w:val="16"/>
        </w:rPr>
        <w:t>D61.</w:t>
      </w:r>
      <w:proofErr w:type="gramEnd"/>
      <w:r>
        <w:rPr>
          <w:sz w:val="16"/>
        </w:rPr>
        <w:t>3 Anemia aplástica</w:t>
      </w:r>
      <w:r>
        <w:rPr>
          <w:spacing w:val="-3"/>
          <w:sz w:val="16"/>
        </w:rPr>
        <w:t xml:space="preserve"> </w:t>
      </w:r>
      <w:r>
        <w:rPr>
          <w:sz w:val="16"/>
        </w:rPr>
        <w:t>idiopática</w:t>
      </w:r>
    </w:p>
    <w:p w:rsidR="00AB6593" w:rsidRDefault="00791C81">
      <w:pPr>
        <w:pStyle w:val="PargrafodaLista"/>
        <w:numPr>
          <w:ilvl w:val="1"/>
          <w:numId w:val="5"/>
        </w:numPr>
        <w:tabs>
          <w:tab w:val="left" w:pos="761"/>
        </w:tabs>
        <w:spacing w:line="183" w:lineRule="exact"/>
        <w:ind w:firstLine="566"/>
        <w:rPr>
          <w:sz w:val="16"/>
        </w:rPr>
      </w:pPr>
      <w:proofErr w:type="gramStart"/>
      <w:r>
        <w:rPr>
          <w:sz w:val="16"/>
        </w:rPr>
        <w:t>D61.</w:t>
      </w:r>
      <w:proofErr w:type="gramEnd"/>
      <w:r>
        <w:rPr>
          <w:sz w:val="16"/>
        </w:rPr>
        <w:t>8 Outras anemias aplásticas</w:t>
      </w:r>
      <w:r>
        <w:rPr>
          <w:spacing w:val="-6"/>
          <w:sz w:val="16"/>
        </w:rPr>
        <w:t xml:space="preserve"> </w:t>
      </w:r>
      <w:r>
        <w:rPr>
          <w:sz w:val="16"/>
        </w:rPr>
        <w:t>especificadas</w:t>
      </w:r>
    </w:p>
    <w:p w:rsidR="00AB6593" w:rsidRDefault="00791C81">
      <w:pPr>
        <w:pStyle w:val="PargrafodaLista"/>
        <w:numPr>
          <w:ilvl w:val="1"/>
          <w:numId w:val="5"/>
        </w:numPr>
        <w:tabs>
          <w:tab w:val="left" w:pos="761"/>
        </w:tabs>
        <w:spacing w:before="1"/>
        <w:ind w:firstLine="566"/>
        <w:rPr>
          <w:sz w:val="16"/>
        </w:rPr>
      </w:pPr>
      <w:r>
        <w:rPr>
          <w:sz w:val="16"/>
        </w:rPr>
        <w:t>D70</w:t>
      </w:r>
      <w:r>
        <w:rPr>
          <w:spacing w:val="-2"/>
          <w:sz w:val="16"/>
        </w:rPr>
        <w:t xml:space="preserve"> </w:t>
      </w:r>
      <w:r>
        <w:rPr>
          <w:sz w:val="16"/>
        </w:rPr>
        <w:t>Agranulocitose</w:t>
      </w:r>
    </w:p>
    <w:p w:rsidR="00AB6593" w:rsidRDefault="00791C81">
      <w:pPr>
        <w:pStyle w:val="PargrafodaLista"/>
        <w:numPr>
          <w:ilvl w:val="1"/>
          <w:numId w:val="5"/>
        </w:numPr>
        <w:tabs>
          <w:tab w:val="left" w:pos="761"/>
        </w:tabs>
        <w:spacing w:before="2"/>
        <w:ind w:firstLine="566"/>
        <w:rPr>
          <w:sz w:val="16"/>
        </w:rPr>
      </w:pPr>
      <w:proofErr w:type="gramStart"/>
      <w:r>
        <w:rPr>
          <w:sz w:val="16"/>
        </w:rPr>
        <w:t>Z94.</w:t>
      </w:r>
      <w:proofErr w:type="gramEnd"/>
      <w:r>
        <w:rPr>
          <w:sz w:val="16"/>
        </w:rPr>
        <w:t>8 Outros órgãos e tecidos</w:t>
      </w:r>
      <w:r>
        <w:rPr>
          <w:spacing w:val="-1"/>
          <w:sz w:val="16"/>
        </w:rPr>
        <w:t xml:space="preserve"> </w:t>
      </w:r>
      <w:r>
        <w:rPr>
          <w:sz w:val="16"/>
        </w:rPr>
        <w:t>transplantados</w:t>
      </w:r>
    </w:p>
    <w:p w:rsidR="00AB6593" w:rsidRDefault="00AB6593">
      <w:pPr>
        <w:pStyle w:val="Corpodetexto"/>
        <w:spacing w:before="10"/>
        <w:ind w:left="0" w:firstLine="0"/>
        <w:rPr>
          <w:sz w:val="15"/>
        </w:rPr>
      </w:pPr>
    </w:p>
    <w:p w:rsidR="00AB6593" w:rsidRDefault="00791C81">
      <w:pPr>
        <w:pStyle w:val="PargrafodaLista"/>
        <w:numPr>
          <w:ilvl w:val="0"/>
          <w:numId w:val="6"/>
        </w:numPr>
        <w:tabs>
          <w:tab w:val="left" w:pos="830"/>
        </w:tabs>
        <w:ind w:left="829" w:hanging="163"/>
        <w:rPr>
          <w:sz w:val="16"/>
        </w:rPr>
      </w:pPr>
      <w:r>
        <w:rPr>
          <w:sz w:val="16"/>
        </w:rPr>
        <w:t>DIAGNÓSTICO</w:t>
      </w:r>
    </w:p>
    <w:p w:rsidR="00AB6593" w:rsidRDefault="00791C81">
      <w:pPr>
        <w:pStyle w:val="Corpodetexto"/>
        <w:spacing w:before="1"/>
        <w:ind w:right="113"/>
        <w:jc w:val="both"/>
      </w:pPr>
      <w:r>
        <w:t>Neutropenia pode ser definida, com base na contagem de neutrófilos, como leve (1.000-1.500/mm</w:t>
      </w:r>
      <w:r>
        <w:rPr>
          <w:vertAlign w:val="superscript"/>
        </w:rPr>
        <w:t>3</w:t>
      </w:r>
      <w:r>
        <w:t>), moderada (500-1.000/mm</w:t>
      </w:r>
      <w:r>
        <w:rPr>
          <w:vertAlign w:val="superscript"/>
        </w:rPr>
        <w:t>3</w:t>
      </w:r>
      <w:r>
        <w:t>) ou grave (menor que 500/mm</w:t>
      </w:r>
      <w:r>
        <w:rPr>
          <w:vertAlign w:val="superscript"/>
        </w:rPr>
        <w:t>3</w:t>
      </w:r>
      <w:r>
        <w:t>). Pode-se ainda classificá-la conforme os graus de toxicidade do esquema quimioterápico, em: grau I: 1.500-2.000/mm</w:t>
      </w:r>
      <w:r>
        <w:rPr>
          <w:vertAlign w:val="superscript"/>
        </w:rPr>
        <w:t>3</w:t>
      </w:r>
      <w:r>
        <w:t>; grau II: 1.000 a 1.500/mm</w:t>
      </w:r>
      <w:r>
        <w:rPr>
          <w:vertAlign w:val="superscript"/>
        </w:rPr>
        <w:t>3</w:t>
      </w:r>
      <w:r>
        <w:t>; grau III: 500 a 1.000/mm</w:t>
      </w:r>
      <w:r>
        <w:rPr>
          <w:vertAlign w:val="superscript"/>
        </w:rPr>
        <w:t>3</w:t>
      </w:r>
      <w:r>
        <w:t>; e grau IV: menor de 500/mm</w:t>
      </w:r>
      <w:r>
        <w:rPr>
          <w:vertAlign w:val="superscript"/>
        </w:rPr>
        <w:t>3</w:t>
      </w:r>
      <w:r>
        <w:t xml:space="preserve"> (</w:t>
      </w:r>
      <w:r>
        <w:rPr>
          <w:i/>
        </w:rPr>
        <w:t xml:space="preserve">National Cancer </w:t>
      </w:r>
      <w:proofErr w:type="gramStart"/>
      <w:r>
        <w:rPr>
          <w:i/>
        </w:rPr>
        <w:t>Institute</w:t>
      </w:r>
      <w:r>
        <w:t>,</w:t>
      </w:r>
      <w:proofErr w:type="gramEnd"/>
      <w:r>
        <w:t>EUA) (11).</w:t>
      </w:r>
    </w:p>
    <w:p w:rsidR="00AB6593" w:rsidRDefault="00791C81">
      <w:pPr>
        <w:pStyle w:val="Corpodetexto"/>
        <w:ind w:right="114"/>
        <w:jc w:val="both"/>
      </w:pPr>
      <w:r>
        <w:t>Neutropenia febr</w:t>
      </w:r>
      <w:r>
        <w:t>il é definida como temperatura oral isolada maior ou igual a 38,3°C ou maior ou igual a 38,0°C por 1 hora ou mais, associada a contagem absoluta de neutrófilos menor que 500/mm</w:t>
      </w:r>
      <w:r>
        <w:rPr>
          <w:vertAlign w:val="superscript"/>
        </w:rPr>
        <w:t>3</w:t>
      </w:r>
      <w:r>
        <w:t>, ou menor que 1.000/mm</w:t>
      </w:r>
      <w:r>
        <w:rPr>
          <w:vertAlign w:val="superscript"/>
        </w:rPr>
        <w:t>3</w:t>
      </w:r>
      <w:r>
        <w:t xml:space="preserve"> com previsão de queda para menos de 500/mm</w:t>
      </w:r>
      <w:r>
        <w:rPr>
          <w:vertAlign w:val="superscript"/>
        </w:rPr>
        <w:t>3</w:t>
      </w:r>
      <w:r>
        <w:t xml:space="preserve"> nas 24 a 4</w:t>
      </w:r>
      <w:r>
        <w:t>8 h subsequentes (</w:t>
      </w:r>
      <w:r>
        <w:rPr>
          <w:i/>
        </w:rPr>
        <w:t xml:space="preserve">Infectious Diseases Society of America </w:t>
      </w:r>
      <w:r>
        <w:t>- IDSA) (12,13).</w:t>
      </w:r>
    </w:p>
    <w:p w:rsidR="00AB6593" w:rsidRDefault="00791C81">
      <w:pPr>
        <w:pStyle w:val="Corpodetexto"/>
        <w:ind w:right="121"/>
        <w:jc w:val="both"/>
      </w:pPr>
      <w:r>
        <w:t>Neutropenia crônica grave é definida por contagem absoluta de neutrófilos menor que 500/mm</w:t>
      </w:r>
      <w:r>
        <w:rPr>
          <w:vertAlign w:val="superscript"/>
        </w:rPr>
        <w:t>3</w:t>
      </w:r>
      <w:r>
        <w:t xml:space="preserve">, com duração de meses a anos. </w:t>
      </w:r>
      <w:proofErr w:type="gramStart"/>
      <w:r>
        <w:t>Estão</w:t>
      </w:r>
      <w:proofErr w:type="gramEnd"/>
      <w:r>
        <w:t xml:space="preserve"> incluídas nessa categoria a neutropenia congênita, a n</w:t>
      </w:r>
      <w:r>
        <w:t>eutropenia cíclica e a neutropenia idiopática (14,15).</w:t>
      </w:r>
    </w:p>
    <w:p w:rsidR="00AB6593" w:rsidRDefault="00791C81">
      <w:pPr>
        <w:pStyle w:val="Corpodetexto"/>
        <w:ind w:right="114"/>
        <w:jc w:val="both"/>
      </w:pPr>
      <w:r>
        <w:t>A frequência e a gravidade das infecções dependem não só da contagem e da velocidade de queda dos neutrófilos como também de anormalidades da função fagocitária ou de outros déficits na função imunológ</w:t>
      </w:r>
      <w:r>
        <w:t xml:space="preserve">ica, do grau do dano causado pelo tratamento à mucosa e à barreira mucociliar, da história de tratamento radio- ou quimioterápico anterior, de outras condições do hospedeiro, e do germe específico (quadros </w:t>
      </w:r>
      <w:proofErr w:type="gramStart"/>
      <w:r>
        <w:t>1</w:t>
      </w:r>
      <w:proofErr w:type="gramEnd"/>
      <w:r>
        <w:t xml:space="preserve"> e</w:t>
      </w:r>
      <w:r>
        <w:rPr>
          <w:spacing w:val="-29"/>
        </w:rPr>
        <w:t xml:space="preserve"> </w:t>
      </w:r>
      <w:r>
        <w:t>2).</w:t>
      </w:r>
    </w:p>
    <w:p w:rsidR="00AB6593" w:rsidRDefault="00AB6593">
      <w:pPr>
        <w:pStyle w:val="Corpodetexto"/>
        <w:ind w:left="0" w:firstLine="0"/>
      </w:pPr>
    </w:p>
    <w:p w:rsidR="00AB6593" w:rsidRDefault="00791C81" w:rsidP="00791C81">
      <w:pPr>
        <w:pStyle w:val="Corpodetexto"/>
        <w:ind w:left="666" w:firstLine="0"/>
      </w:pPr>
      <w:r>
        <w:t>QUADRO 1-Estratificação de risco na neutr</w:t>
      </w:r>
      <w:r>
        <w:t>openia febril (12,16-22).</w:t>
      </w:r>
    </w:p>
    <w:p w:rsidR="00791C81" w:rsidRDefault="00791C81" w:rsidP="00791C81">
      <w:pPr>
        <w:pStyle w:val="Corpodetexto"/>
        <w:ind w:left="666" w:firstLine="0"/>
      </w:pPr>
    </w:p>
    <w:p w:rsidR="00791C81" w:rsidRDefault="00791C81" w:rsidP="00791C81">
      <w:pPr>
        <w:pStyle w:val="Corpodetexto"/>
        <w:ind w:left="666" w:firstLine="0"/>
      </w:pPr>
    </w:p>
    <w:p w:rsidR="00791C81" w:rsidRDefault="00791C81" w:rsidP="00791C81">
      <w:pPr>
        <w:pStyle w:val="Corpodetexto"/>
        <w:ind w:left="666" w:firstLine="0"/>
      </w:pPr>
    </w:p>
    <w:p w:rsidR="00791C81" w:rsidRDefault="00791C81" w:rsidP="00791C81">
      <w:pPr>
        <w:pStyle w:val="Corpodetexto"/>
        <w:ind w:left="666" w:firstLine="0"/>
      </w:pPr>
    </w:p>
    <w:p w:rsidR="00791C81" w:rsidRDefault="00791C81" w:rsidP="00791C81">
      <w:pPr>
        <w:pStyle w:val="Corpodetexto"/>
        <w:ind w:left="666" w:firstLine="0"/>
      </w:pPr>
    </w:p>
    <w:p w:rsidR="00791C81" w:rsidRDefault="00791C81" w:rsidP="00791C81">
      <w:pPr>
        <w:pStyle w:val="Corpodetexto"/>
        <w:ind w:left="666" w:firstLine="0"/>
      </w:pPr>
    </w:p>
    <w:p w:rsidR="00791C81" w:rsidRDefault="00791C81" w:rsidP="00791C81">
      <w:pPr>
        <w:pStyle w:val="Corpodetexto"/>
        <w:ind w:left="666" w:firstLine="0"/>
      </w:pPr>
    </w:p>
    <w:p w:rsidR="00791C81" w:rsidRDefault="00791C81" w:rsidP="00791C81">
      <w:pPr>
        <w:pStyle w:val="Corpodetexto"/>
        <w:ind w:left="666" w:firstLine="0"/>
      </w:pPr>
    </w:p>
    <w:tbl>
      <w:tblPr>
        <w:tblStyle w:val="TableNormal"/>
        <w:tblW w:w="0" w:type="auto"/>
        <w:tblInd w:w="3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3475"/>
      </w:tblGrid>
      <w:tr w:rsidR="00AB6593">
        <w:trPr>
          <w:trHeight w:val="527"/>
        </w:trPr>
        <w:tc>
          <w:tcPr>
            <w:tcW w:w="1061" w:type="dxa"/>
          </w:tcPr>
          <w:p w:rsidR="00AB6593" w:rsidRDefault="00791C81">
            <w:pPr>
              <w:pStyle w:val="TableParagraph"/>
              <w:spacing w:before="73"/>
              <w:ind w:left="2" w:right="233"/>
              <w:rPr>
                <w:sz w:val="16"/>
              </w:rPr>
            </w:pPr>
            <w:r>
              <w:rPr>
                <w:sz w:val="16"/>
              </w:rPr>
              <w:lastRenderedPageBreak/>
              <w:t>GRUPO DE RISCO</w:t>
            </w:r>
          </w:p>
        </w:tc>
        <w:tc>
          <w:tcPr>
            <w:tcW w:w="3475" w:type="dxa"/>
          </w:tcPr>
          <w:p w:rsidR="00AB6593" w:rsidRDefault="00791C81">
            <w:pPr>
              <w:pStyle w:val="TableParagraph"/>
              <w:spacing w:before="73"/>
              <w:ind w:left="74"/>
              <w:rPr>
                <w:sz w:val="16"/>
              </w:rPr>
            </w:pPr>
            <w:r>
              <w:rPr>
                <w:sz w:val="16"/>
              </w:rPr>
              <w:t>CARACTERÍSTICAS DOS PACIENTES</w:t>
            </w:r>
          </w:p>
        </w:tc>
      </w:tr>
      <w:tr w:rsidR="00AB6593">
        <w:trPr>
          <w:trHeight w:val="1079"/>
        </w:trPr>
        <w:tc>
          <w:tcPr>
            <w:tcW w:w="1061" w:type="dxa"/>
          </w:tcPr>
          <w:p w:rsidR="00AB6593" w:rsidRDefault="00791C81">
            <w:pPr>
              <w:pStyle w:val="TableParagraph"/>
              <w:spacing w:before="76"/>
              <w:ind w:left="173"/>
              <w:rPr>
                <w:sz w:val="16"/>
              </w:rPr>
            </w:pPr>
            <w:r>
              <w:rPr>
                <w:sz w:val="16"/>
              </w:rPr>
              <w:t>Alto risco</w:t>
            </w:r>
          </w:p>
        </w:tc>
        <w:tc>
          <w:tcPr>
            <w:tcW w:w="3475" w:type="dxa"/>
          </w:tcPr>
          <w:p w:rsidR="00AB6593" w:rsidRDefault="00791C81">
            <w:pPr>
              <w:pStyle w:val="TableParagraph"/>
              <w:spacing w:before="76"/>
              <w:ind w:left="41" w:right="109"/>
              <w:jc w:val="center"/>
              <w:rPr>
                <w:sz w:val="16"/>
              </w:rPr>
            </w:pPr>
            <w:r>
              <w:rPr>
                <w:sz w:val="16"/>
              </w:rPr>
              <w:t xml:space="preserve">Neutropenia grave e prolongada (com nível de neutrófilos menor que 100/mm3 e por mais de 10 dias); neoplasia de origem hematopoética; doença primária não controlada; transplante de </w:t>
            </w:r>
            <w:proofErr w:type="gramStart"/>
            <w:r>
              <w:rPr>
                <w:sz w:val="16"/>
              </w:rPr>
              <w:t>células- tronco</w:t>
            </w:r>
            <w:proofErr w:type="gramEnd"/>
            <w:r>
              <w:rPr>
                <w:sz w:val="16"/>
              </w:rPr>
              <w:t xml:space="preserve"> hematopoéticas (TCTH); idade superior a 60</w:t>
            </w:r>
          </w:p>
        </w:tc>
      </w:tr>
      <w:tr w:rsidR="00AB6593">
        <w:trPr>
          <w:trHeight w:val="919"/>
        </w:trPr>
        <w:tc>
          <w:tcPr>
            <w:tcW w:w="1061" w:type="dxa"/>
          </w:tcPr>
          <w:p w:rsidR="00AB6593" w:rsidRDefault="00AB6593">
            <w:pPr>
              <w:pStyle w:val="TableParagraph"/>
              <w:rPr>
                <w:sz w:val="16"/>
              </w:rPr>
            </w:pPr>
          </w:p>
        </w:tc>
        <w:tc>
          <w:tcPr>
            <w:tcW w:w="3475" w:type="dxa"/>
          </w:tcPr>
          <w:p w:rsidR="00AB6593" w:rsidRDefault="00791C81">
            <w:pPr>
              <w:pStyle w:val="TableParagraph"/>
              <w:spacing w:before="76"/>
              <w:ind w:left="18" w:right="88"/>
              <w:jc w:val="center"/>
              <w:rPr>
                <w:sz w:val="16"/>
              </w:rPr>
            </w:pPr>
            <w:proofErr w:type="gramStart"/>
            <w:r>
              <w:rPr>
                <w:sz w:val="16"/>
              </w:rPr>
              <w:t>anos</w:t>
            </w:r>
            <w:proofErr w:type="gramEnd"/>
            <w:r>
              <w:rPr>
                <w:sz w:val="16"/>
              </w:rPr>
              <w:t>; comorbidade significativa* ou baixo estado</w:t>
            </w:r>
            <w:r>
              <w:rPr>
                <w:spacing w:val="-25"/>
                <w:sz w:val="16"/>
              </w:rPr>
              <w:t xml:space="preserve"> </w:t>
            </w:r>
            <w:r>
              <w:rPr>
                <w:sz w:val="16"/>
              </w:rPr>
              <w:t>de performance**; sepse/choque, infecção profunda/grave (ex.: pneumonia, meningite, infecção fúngica</w:t>
            </w:r>
            <w:r>
              <w:rPr>
                <w:spacing w:val="-2"/>
                <w:sz w:val="16"/>
              </w:rPr>
              <w:t xml:space="preserve"> </w:t>
            </w:r>
            <w:r>
              <w:rPr>
                <w:sz w:val="16"/>
              </w:rPr>
              <w:t>invasiva).</w:t>
            </w:r>
          </w:p>
        </w:tc>
      </w:tr>
      <w:tr w:rsidR="00AB6593">
        <w:trPr>
          <w:trHeight w:val="897"/>
        </w:trPr>
        <w:tc>
          <w:tcPr>
            <w:tcW w:w="1061" w:type="dxa"/>
          </w:tcPr>
          <w:p w:rsidR="00AB6593" w:rsidRDefault="00791C81">
            <w:pPr>
              <w:pStyle w:val="TableParagraph"/>
              <w:spacing w:before="76"/>
              <w:ind w:left="60" w:right="109" w:firstLine="247"/>
              <w:rPr>
                <w:sz w:val="16"/>
              </w:rPr>
            </w:pPr>
            <w:r>
              <w:rPr>
                <w:sz w:val="16"/>
              </w:rPr>
              <w:t>Risco intermediário</w:t>
            </w:r>
          </w:p>
        </w:tc>
        <w:tc>
          <w:tcPr>
            <w:tcW w:w="3475" w:type="dxa"/>
          </w:tcPr>
          <w:p w:rsidR="00AB6593" w:rsidRDefault="00791C81">
            <w:pPr>
              <w:pStyle w:val="TableParagraph"/>
              <w:spacing w:before="76"/>
              <w:ind w:left="7" w:right="77" w:hanging="2"/>
              <w:jc w:val="center"/>
              <w:rPr>
                <w:sz w:val="16"/>
              </w:rPr>
            </w:pPr>
            <w:r>
              <w:rPr>
                <w:sz w:val="16"/>
              </w:rPr>
              <w:t>Quimioterapia intensiva e TCTH autólogo para tratamento de tumores sólidos</w:t>
            </w:r>
            <w:r>
              <w:rPr>
                <w:sz w:val="16"/>
              </w:rPr>
              <w:t>; duração moderada de neutropenia (7-10 dias); comorbidade mínima; estabilidade clínica e hemodinâmica.</w:t>
            </w:r>
          </w:p>
        </w:tc>
      </w:tr>
      <w:tr w:rsidR="00AB6593">
        <w:trPr>
          <w:trHeight w:val="1264"/>
        </w:trPr>
        <w:tc>
          <w:tcPr>
            <w:tcW w:w="1061" w:type="dxa"/>
          </w:tcPr>
          <w:p w:rsidR="00AB6593" w:rsidRDefault="00791C81">
            <w:pPr>
              <w:pStyle w:val="TableParagraph"/>
              <w:spacing w:before="73"/>
              <w:ind w:left="125"/>
              <w:rPr>
                <w:sz w:val="16"/>
              </w:rPr>
            </w:pPr>
            <w:r>
              <w:rPr>
                <w:sz w:val="16"/>
              </w:rPr>
              <w:t>Baixo risco</w:t>
            </w:r>
          </w:p>
        </w:tc>
        <w:tc>
          <w:tcPr>
            <w:tcW w:w="3475" w:type="dxa"/>
          </w:tcPr>
          <w:p w:rsidR="00AB6593" w:rsidRDefault="00791C81">
            <w:pPr>
              <w:pStyle w:val="TableParagraph"/>
              <w:spacing w:before="73"/>
              <w:ind w:left="41" w:right="109" w:hanging="2"/>
              <w:jc w:val="center"/>
              <w:rPr>
                <w:sz w:val="16"/>
              </w:rPr>
            </w:pPr>
            <w:r>
              <w:rPr>
                <w:sz w:val="16"/>
              </w:rPr>
              <w:t xml:space="preserve">Quimioterapia convencional de tumores sólidos; nenhuma comorbidade; neutropenia de curta duração (menor ou igual a </w:t>
            </w:r>
            <w:proofErr w:type="gramStart"/>
            <w:r>
              <w:rPr>
                <w:sz w:val="16"/>
              </w:rPr>
              <w:t>7</w:t>
            </w:r>
            <w:proofErr w:type="gramEnd"/>
            <w:r>
              <w:rPr>
                <w:sz w:val="16"/>
              </w:rPr>
              <w:t xml:space="preserve"> dias); estabilidade clínica e hemodinâmica; febre de origem indeterminada ou infecção não complicada (p. ex.: infecção do trato urinário, c</w:t>
            </w:r>
            <w:r>
              <w:rPr>
                <w:sz w:val="16"/>
              </w:rPr>
              <w:t>elulite não complicada).</w:t>
            </w:r>
          </w:p>
        </w:tc>
      </w:tr>
    </w:tbl>
    <w:p w:rsidR="00AB6593" w:rsidRDefault="00AB6593">
      <w:pPr>
        <w:pStyle w:val="Corpodetexto"/>
        <w:spacing w:before="2"/>
        <w:ind w:left="0" w:firstLine="0"/>
        <w:rPr>
          <w:sz w:val="7"/>
        </w:rPr>
      </w:pPr>
    </w:p>
    <w:p w:rsidR="00AB6593" w:rsidRDefault="00791C81">
      <w:pPr>
        <w:pStyle w:val="Corpodetexto"/>
        <w:spacing w:before="94"/>
        <w:ind w:right="114"/>
        <w:jc w:val="both"/>
      </w:pPr>
      <w:r>
        <w:t>* Insuficiência respiratória/hipóxia, confusão mental, insuficiência cardíaca congestiva (</w:t>
      </w:r>
      <w:r>
        <w:rPr>
          <w:i/>
        </w:rPr>
        <w:t xml:space="preserve">New York Heart Association </w:t>
      </w:r>
      <w:r>
        <w:t>classes III-IV), arritmia cardíaca não controlada apesar de tratamento adequado, insuficiência renal [creatinina</w:t>
      </w:r>
      <w:r>
        <w:t xml:space="preserve"> sérica maior que duas vezes o valor superior do normal (VSN)], disfunção hepática [bilirrubina sérica maior que 2,5 vezes o VSN ou aspartato-aminotransferase (AST</w:t>
      </w:r>
      <w:r>
        <w:rPr>
          <w:rFonts w:ascii="Verdana" w:hAnsi="Verdana"/>
        </w:rPr>
        <w:t>/</w:t>
      </w:r>
      <w:r>
        <w:t>TGO) e alanino-aminotransferase (ALT</w:t>
      </w:r>
      <w:r>
        <w:rPr>
          <w:rFonts w:ascii="Verdana" w:hAnsi="Verdana"/>
        </w:rPr>
        <w:t>/</w:t>
      </w:r>
      <w:r>
        <w:t>TGP) maior que quatro vezes o VSN], vômito, mucosite ou</w:t>
      </w:r>
      <w:r>
        <w:t xml:space="preserve"> diarreia de graus III-IV, hipercalcemia sintomática, coagulação intravascular disseminada, sangramento não controlado (requerendo transfusões) (18-20).</w:t>
      </w:r>
    </w:p>
    <w:p w:rsidR="00AB6593" w:rsidRDefault="00791C81">
      <w:pPr>
        <w:spacing w:before="1"/>
        <w:ind w:left="666"/>
        <w:rPr>
          <w:sz w:val="16"/>
        </w:rPr>
      </w:pPr>
      <w:r>
        <w:rPr>
          <w:sz w:val="16"/>
        </w:rPr>
        <w:t xml:space="preserve">** Critério de Toxicidade do </w:t>
      </w:r>
      <w:r>
        <w:rPr>
          <w:i/>
          <w:sz w:val="16"/>
        </w:rPr>
        <w:t xml:space="preserve">Eastern Cooperative Oncology Group </w:t>
      </w:r>
      <w:r>
        <w:rPr>
          <w:sz w:val="16"/>
        </w:rPr>
        <w:t xml:space="preserve">(ECOG) maior ou igual a </w:t>
      </w:r>
      <w:proofErr w:type="gramStart"/>
      <w:r>
        <w:rPr>
          <w:sz w:val="16"/>
        </w:rPr>
        <w:t>3</w:t>
      </w:r>
      <w:proofErr w:type="gramEnd"/>
      <w:r>
        <w:rPr>
          <w:sz w:val="16"/>
        </w:rPr>
        <w:t xml:space="preserve"> (23). Adaptad</w:t>
      </w:r>
      <w:r>
        <w:rPr>
          <w:sz w:val="16"/>
        </w:rPr>
        <w:t>o de (17).</w:t>
      </w:r>
    </w:p>
    <w:p w:rsidR="00AB6593" w:rsidRDefault="00AB6593">
      <w:pPr>
        <w:pStyle w:val="Corpodetexto"/>
        <w:spacing w:before="1"/>
        <w:ind w:left="0" w:firstLine="0"/>
      </w:pPr>
    </w:p>
    <w:p w:rsidR="00AB6593" w:rsidRDefault="00791C81">
      <w:pPr>
        <w:pStyle w:val="Corpodetexto"/>
        <w:ind w:left="1534" w:right="984" w:firstLine="0"/>
        <w:jc w:val="center"/>
      </w:pPr>
      <w:r>
        <w:t xml:space="preserve">QUADRO 2 </w:t>
      </w:r>
      <w:proofErr w:type="gramStart"/>
      <w:r>
        <w:t>-Escore</w:t>
      </w:r>
      <w:proofErr w:type="gramEnd"/>
      <w:r>
        <w:t xml:space="preserve"> para identificação de pacientes com neutropenia febril de baixo risco no momento do início da febre (20).</w:t>
      </w:r>
    </w:p>
    <w:p w:rsidR="00AB6593" w:rsidRDefault="00AB6593">
      <w:pPr>
        <w:pStyle w:val="Corpodetexto"/>
        <w:spacing w:before="5"/>
        <w:ind w:left="0" w:firstLine="0"/>
      </w:pPr>
    </w:p>
    <w:tbl>
      <w:tblPr>
        <w:tblStyle w:val="TableNormal"/>
        <w:tblW w:w="0" w:type="auto"/>
        <w:tblInd w:w="3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3"/>
        <w:gridCol w:w="804"/>
      </w:tblGrid>
      <w:tr w:rsidR="00AB6593">
        <w:trPr>
          <w:trHeight w:val="390"/>
        </w:trPr>
        <w:tc>
          <w:tcPr>
            <w:tcW w:w="3733" w:type="dxa"/>
          </w:tcPr>
          <w:p w:rsidR="00AB6593" w:rsidRDefault="00791C81">
            <w:pPr>
              <w:pStyle w:val="TableParagraph"/>
              <w:spacing w:before="73"/>
              <w:ind w:left="2"/>
              <w:rPr>
                <w:sz w:val="16"/>
              </w:rPr>
            </w:pPr>
            <w:r>
              <w:rPr>
                <w:sz w:val="16"/>
              </w:rPr>
              <w:t>CARACTERÍSTICA</w:t>
            </w:r>
          </w:p>
        </w:tc>
        <w:tc>
          <w:tcPr>
            <w:tcW w:w="804" w:type="dxa"/>
          </w:tcPr>
          <w:p w:rsidR="00AB6593" w:rsidRDefault="00791C81">
            <w:pPr>
              <w:pStyle w:val="TableParagraph"/>
              <w:spacing w:before="73"/>
              <w:ind w:right="66"/>
              <w:jc w:val="center"/>
              <w:rPr>
                <w:sz w:val="16"/>
              </w:rPr>
            </w:pPr>
            <w:r>
              <w:rPr>
                <w:sz w:val="16"/>
              </w:rPr>
              <w:t>ESCORE*</w:t>
            </w:r>
          </w:p>
        </w:tc>
      </w:tr>
      <w:tr w:rsidR="00AB6593">
        <w:trPr>
          <w:trHeight w:val="1000"/>
        </w:trPr>
        <w:tc>
          <w:tcPr>
            <w:tcW w:w="3733" w:type="dxa"/>
          </w:tcPr>
          <w:p w:rsidR="00AB6593" w:rsidRDefault="00791C81">
            <w:pPr>
              <w:pStyle w:val="TableParagraph"/>
              <w:spacing w:before="76"/>
              <w:ind w:left="2" w:right="2305"/>
              <w:rPr>
                <w:sz w:val="16"/>
              </w:rPr>
            </w:pPr>
            <w:r>
              <w:rPr>
                <w:sz w:val="16"/>
              </w:rPr>
              <w:t>Grau de doença Ausência de sintomas Sintomas leves Sintomas moderados</w:t>
            </w:r>
          </w:p>
        </w:tc>
        <w:tc>
          <w:tcPr>
            <w:tcW w:w="804" w:type="dxa"/>
          </w:tcPr>
          <w:p w:rsidR="00AB6593" w:rsidRDefault="00AB6593">
            <w:pPr>
              <w:pStyle w:val="TableParagraph"/>
              <w:spacing w:before="7"/>
            </w:pPr>
          </w:p>
          <w:p w:rsidR="00AB6593" w:rsidRDefault="00791C81">
            <w:pPr>
              <w:pStyle w:val="TableParagraph"/>
              <w:spacing w:before="1" w:line="183" w:lineRule="exact"/>
              <w:ind w:right="68"/>
              <w:jc w:val="center"/>
              <w:rPr>
                <w:sz w:val="16"/>
              </w:rPr>
            </w:pPr>
            <w:proofErr w:type="gramStart"/>
            <w:r>
              <w:rPr>
                <w:sz w:val="16"/>
              </w:rPr>
              <w:t>5</w:t>
            </w:r>
            <w:proofErr w:type="gramEnd"/>
          </w:p>
          <w:p w:rsidR="00AB6593" w:rsidRDefault="00791C81">
            <w:pPr>
              <w:pStyle w:val="TableParagraph"/>
              <w:spacing w:line="183" w:lineRule="exact"/>
              <w:ind w:right="68"/>
              <w:jc w:val="center"/>
              <w:rPr>
                <w:sz w:val="16"/>
              </w:rPr>
            </w:pPr>
            <w:proofErr w:type="gramStart"/>
            <w:r>
              <w:rPr>
                <w:sz w:val="16"/>
              </w:rPr>
              <w:t>5</w:t>
            </w:r>
            <w:proofErr w:type="gramEnd"/>
          </w:p>
          <w:p w:rsidR="00AB6593" w:rsidRDefault="00791C81">
            <w:pPr>
              <w:pStyle w:val="TableParagraph"/>
              <w:ind w:right="68"/>
              <w:jc w:val="center"/>
              <w:rPr>
                <w:sz w:val="16"/>
              </w:rPr>
            </w:pPr>
            <w:proofErr w:type="gramStart"/>
            <w:r>
              <w:rPr>
                <w:sz w:val="16"/>
              </w:rPr>
              <w:t>3</w:t>
            </w:r>
            <w:proofErr w:type="gramEnd"/>
          </w:p>
        </w:tc>
      </w:tr>
      <w:tr w:rsidR="00AB6593">
        <w:trPr>
          <w:trHeight w:val="390"/>
        </w:trPr>
        <w:tc>
          <w:tcPr>
            <w:tcW w:w="3733" w:type="dxa"/>
          </w:tcPr>
          <w:p w:rsidR="00AB6593" w:rsidRDefault="00791C81">
            <w:pPr>
              <w:pStyle w:val="TableParagraph"/>
              <w:spacing w:before="73"/>
              <w:ind w:left="2"/>
              <w:rPr>
                <w:sz w:val="16"/>
              </w:rPr>
            </w:pPr>
            <w:r>
              <w:rPr>
                <w:sz w:val="16"/>
              </w:rPr>
              <w:t>Hipotensão arterial ausente</w:t>
            </w:r>
          </w:p>
        </w:tc>
        <w:tc>
          <w:tcPr>
            <w:tcW w:w="804" w:type="dxa"/>
          </w:tcPr>
          <w:p w:rsidR="00AB6593" w:rsidRDefault="00791C81">
            <w:pPr>
              <w:pStyle w:val="TableParagraph"/>
              <w:spacing w:before="73"/>
              <w:ind w:right="68"/>
              <w:jc w:val="center"/>
              <w:rPr>
                <w:sz w:val="16"/>
              </w:rPr>
            </w:pPr>
            <w:proofErr w:type="gramStart"/>
            <w:r>
              <w:rPr>
                <w:sz w:val="16"/>
              </w:rPr>
              <w:t>5</w:t>
            </w:r>
            <w:proofErr w:type="gramEnd"/>
          </w:p>
        </w:tc>
      </w:tr>
      <w:tr w:rsidR="00AB6593">
        <w:trPr>
          <w:trHeight w:val="393"/>
        </w:trPr>
        <w:tc>
          <w:tcPr>
            <w:tcW w:w="3733" w:type="dxa"/>
          </w:tcPr>
          <w:p w:rsidR="00AB6593" w:rsidRDefault="00791C81">
            <w:pPr>
              <w:pStyle w:val="TableParagraph"/>
              <w:spacing w:before="76"/>
              <w:ind w:left="2"/>
              <w:rPr>
                <w:sz w:val="16"/>
              </w:rPr>
            </w:pPr>
            <w:r>
              <w:rPr>
                <w:sz w:val="16"/>
              </w:rPr>
              <w:t>Doença pulmonar obstrutica crônica ausente</w:t>
            </w:r>
          </w:p>
        </w:tc>
        <w:tc>
          <w:tcPr>
            <w:tcW w:w="804" w:type="dxa"/>
          </w:tcPr>
          <w:p w:rsidR="00AB6593" w:rsidRDefault="00791C81">
            <w:pPr>
              <w:pStyle w:val="TableParagraph"/>
              <w:spacing w:before="76"/>
              <w:ind w:right="68"/>
              <w:jc w:val="center"/>
              <w:rPr>
                <w:sz w:val="16"/>
              </w:rPr>
            </w:pPr>
            <w:proofErr w:type="gramStart"/>
            <w:r>
              <w:rPr>
                <w:sz w:val="16"/>
              </w:rPr>
              <w:t>4</w:t>
            </w:r>
            <w:proofErr w:type="gramEnd"/>
          </w:p>
        </w:tc>
      </w:tr>
      <w:tr w:rsidR="00AB6593">
        <w:trPr>
          <w:trHeight w:val="391"/>
        </w:trPr>
        <w:tc>
          <w:tcPr>
            <w:tcW w:w="3733" w:type="dxa"/>
          </w:tcPr>
          <w:p w:rsidR="00AB6593" w:rsidRDefault="00791C81">
            <w:pPr>
              <w:pStyle w:val="TableParagraph"/>
              <w:spacing w:before="74"/>
              <w:ind w:left="2"/>
              <w:rPr>
                <w:sz w:val="16"/>
              </w:rPr>
            </w:pPr>
            <w:r>
              <w:rPr>
                <w:sz w:val="16"/>
              </w:rPr>
              <w:t>Tumor sólido ou ausência de infecção fúngica prévia</w:t>
            </w:r>
          </w:p>
        </w:tc>
        <w:tc>
          <w:tcPr>
            <w:tcW w:w="804" w:type="dxa"/>
          </w:tcPr>
          <w:p w:rsidR="00AB6593" w:rsidRDefault="00791C81">
            <w:pPr>
              <w:pStyle w:val="TableParagraph"/>
              <w:spacing w:before="74"/>
              <w:ind w:right="68"/>
              <w:jc w:val="center"/>
              <w:rPr>
                <w:sz w:val="16"/>
              </w:rPr>
            </w:pPr>
            <w:proofErr w:type="gramStart"/>
            <w:r>
              <w:rPr>
                <w:sz w:val="16"/>
              </w:rPr>
              <w:t>4</w:t>
            </w:r>
            <w:proofErr w:type="gramEnd"/>
          </w:p>
        </w:tc>
      </w:tr>
      <w:tr w:rsidR="00AB6593">
        <w:trPr>
          <w:trHeight w:val="393"/>
        </w:trPr>
        <w:tc>
          <w:tcPr>
            <w:tcW w:w="3733" w:type="dxa"/>
          </w:tcPr>
          <w:p w:rsidR="00AB6593" w:rsidRDefault="00791C81">
            <w:pPr>
              <w:pStyle w:val="TableParagraph"/>
              <w:spacing w:before="76"/>
              <w:ind w:left="2"/>
              <w:rPr>
                <w:sz w:val="16"/>
              </w:rPr>
            </w:pPr>
            <w:r>
              <w:rPr>
                <w:sz w:val="16"/>
              </w:rPr>
              <w:t>Desidratação ausente</w:t>
            </w:r>
          </w:p>
        </w:tc>
        <w:tc>
          <w:tcPr>
            <w:tcW w:w="804" w:type="dxa"/>
          </w:tcPr>
          <w:p w:rsidR="00AB6593" w:rsidRDefault="00791C81">
            <w:pPr>
              <w:pStyle w:val="TableParagraph"/>
              <w:spacing w:before="76"/>
              <w:ind w:right="68"/>
              <w:jc w:val="center"/>
              <w:rPr>
                <w:sz w:val="16"/>
              </w:rPr>
            </w:pPr>
            <w:proofErr w:type="gramStart"/>
            <w:r>
              <w:rPr>
                <w:sz w:val="16"/>
              </w:rPr>
              <w:t>3</w:t>
            </w:r>
            <w:proofErr w:type="gramEnd"/>
          </w:p>
        </w:tc>
      </w:tr>
      <w:tr w:rsidR="00AB6593">
        <w:trPr>
          <w:trHeight w:val="390"/>
        </w:trPr>
        <w:tc>
          <w:tcPr>
            <w:tcW w:w="3733" w:type="dxa"/>
          </w:tcPr>
          <w:p w:rsidR="00AB6593" w:rsidRDefault="00791C81">
            <w:pPr>
              <w:pStyle w:val="TableParagraph"/>
              <w:spacing w:before="73"/>
              <w:ind w:left="2"/>
              <w:rPr>
                <w:sz w:val="16"/>
              </w:rPr>
            </w:pPr>
            <w:r>
              <w:rPr>
                <w:sz w:val="16"/>
              </w:rPr>
              <w:t>Início ambulatorial da febre</w:t>
            </w:r>
          </w:p>
        </w:tc>
        <w:tc>
          <w:tcPr>
            <w:tcW w:w="804" w:type="dxa"/>
          </w:tcPr>
          <w:p w:rsidR="00AB6593" w:rsidRDefault="00791C81">
            <w:pPr>
              <w:pStyle w:val="TableParagraph"/>
              <w:spacing w:before="73"/>
              <w:ind w:right="68"/>
              <w:jc w:val="center"/>
              <w:rPr>
                <w:sz w:val="16"/>
              </w:rPr>
            </w:pPr>
            <w:proofErr w:type="gramStart"/>
            <w:r>
              <w:rPr>
                <w:sz w:val="16"/>
              </w:rPr>
              <w:t>3</w:t>
            </w:r>
            <w:proofErr w:type="gramEnd"/>
          </w:p>
        </w:tc>
      </w:tr>
      <w:tr w:rsidR="00AB6593">
        <w:trPr>
          <w:trHeight w:val="393"/>
        </w:trPr>
        <w:tc>
          <w:tcPr>
            <w:tcW w:w="3733" w:type="dxa"/>
          </w:tcPr>
          <w:p w:rsidR="00AB6593" w:rsidRDefault="00791C81">
            <w:pPr>
              <w:pStyle w:val="TableParagraph"/>
              <w:spacing w:before="76"/>
              <w:ind w:left="2"/>
              <w:rPr>
                <w:sz w:val="16"/>
              </w:rPr>
            </w:pPr>
            <w:r>
              <w:rPr>
                <w:sz w:val="16"/>
              </w:rPr>
              <w:t>Idade inferior a 60 anos** (19)</w:t>
            </w:r>
          </w:p>
        </w:tc>
        <w:tc>
          <w:tcPr>
            <w:tcW w:w="804" w:type="dxa"/>
          </w:tcPr>
          <w:p w:rsidR="00AB6593" w:rsidRDefault="00791C81">
            <w:pPr>
              <w:pStyle w:val="TableParagraph"/>
              <w:spacing w:before="76"/>
              <w:ind w:right="68"/>
              <w:jc w:val="center"/>
              <w:rPr>
                <w:sz w:val="16"/>
              </w:rPr>
            </w:pPr>
            <w:proofErr w:type="gramStart"/>
            <w:r>
              <w:rPr>
                <w:sz w:val="16"/>
              </w:rPr>
              <w:t>2</w:t>
            </w:r>
            <w:proofErr w:type="gramEnd"/>
          </w:p>
        </w:tc>
      </w:tr>
    </w:tbl>
    <w:p w:rsidR="00AB6593" w:rsidRDefault="00791C81">
      <w:pPr>
        <w:pStyle w:val="Corpodetexto"/>
        <w:ind w:left="1529" w:right="984" w:firstLine="0"/>
        <w:jc w:val="center"/>
      </w:pPr>
      <w:r>
        <w:t>* Escore maior ou igual a 21 éindicativo de baixo risco para complicações e morbidade (pontuação máxima = 26).</w:t>
      </w:r>
    </w:p>
    <w:p w:rsidR="00AB6593" w:rsidRDefault="00791C81">
      <w:pPr>
        <w:pStyle w:val="Corpodetexto"/>
        <w:spacing w:before="1"/>
        <w:ind w:left="1532" w:right="984" w:firstLine="0"/>
        <w:jc w:val="center"/>
      </w:pPr>
      <w:r>
        <w:t>** Não se aplica a pacientes com 16 anos ou menos.</w:t>
      </w:r>
    </w:p>
    <w:p w:rsidR="00AB6593" w:rsidRDefault="00AB6593">
      <w:pPr>
        <w:pStyle w:val="Corpodetexto"/>
        <w:spacing w:before="10"/>
        <w:ind w:left="0" w:firstLine="0"/>
        <w:rPr>
          <w:sz w:val="15"/>
        </w:rPr>
      </w:pPr>
    </w:p>
    <w:p w:rsidR="00AB6593" w:rsidRDefault="00791C81">
      <w:pPr>
        <w:pStyle w:val="Corpodetexto"/>
        <w:ind w:right="115"/>
        <w:jc w:val="both"/>
      </w:pPr>
      <w:r>
        <w:t xml:space="preserve">Em pacientes com 16 anos ou menos, são indicativos de baixo risco para infecções bacterianas </w:t>
      </w:r>
      <w:r>
        <w:t>graves: contagem inicial de monócitos maior ou igual a 100/mm</w:t>
      </w:r>
      <w:r>
        <w:rPr>
          <w:vertAlign w:val="superscript"/>
        </w:rPr>
        <w:t>3</w:t>
      </w:r>
      <w:r>
        <w:t>, ausência de comorbidades e radiografia de tórax normal.</w:t>
      </w:r>
    </w:p>
    <w:p w:rsidR="00AB6593" w:rsidRDefault="00791C81">
      <w:pPr>
        <w:pStyle w:val="Corpodetexto"/>
        <w:ind w:right="117"/>
        <w:jc w:val="both"/>
      </w:pPr>
      <w:r>
        <w:t xml:space="preserve">Em linhas gerais, pacientes que têm bom estado geral e não apresentam comorbidades, mucosite, infecção documentada e complicações </w:t>
      </w:r>
      <w:proofErr w:type="gramStart"/>
      <w:r>
        <w:t>metabó</w:t>
      </w:r>
      <w:r>
        <w:t>licas/orgânicas</w:t>
      </w:r>
      <w:proofErr w:type="gramEnd"/>
      <w:r>
        <w:t xml:space="preserve"> podem ser considerados de baixo risco (12,18-22). Pacientes com neutropenia crônica grave (congênita, cíclica ou idiopática) ou mielodisplasia, de maneira geral, predominam na classe de alto risco.</w:t>
      </w:r>
    </w:p>
    <w:p w:rsidR="00AB6593" w:rsidRDefault="00AB6593">
      <w:pPr>
        <w:pStyle w:val="Corpodetexto"/>
        <w:ind w:left="0" w:firstLine="0"/>
      </w:pPr>
    </w:p>
    <w:p w:rsidR="00AB6593" w:rsidRDefault="00791C81">
      <w:pPr>
        <w:pStyle w:val="PargrafodaLista"/>
        <w:numPr>
          <w:ilvl w:val="0"/>
          <w:numId w:val="6"/>
        </w:numPr>
        <w:tabs>
          <w:tab w:val="left" w:pos="828"/>
        </w:tabs>
        <w:rPr>
          <w:sz w:val="16"/>
        </w:rPr>
      </w:pPr>
      <w:r>
        <w:rPr>
          <w:sz w:val="16"/>
        </w:rPr>
        <w:t>CRITÉRIOS DE</w:t>
      </w:r>
      <w:r>
        <w:rPr>
          <w:spacing w:val="2"/>
          <w:sz w:val="16"/>
        </w:rPr>
        <w:t xml:space="preserve"> </w:t>
      </w:r>
      <w:r>
        <w:rPr>
          <w:sz w:val="16"/>
        </w:rPr>
        <w:t>INCLUSÃO</w:t>
      </w:r>
    </w:p>
    <w:p w:rsidR="00AB6593" w:rsidRDefault="00791C81">
      <w:pPr>
        <w:pStyle w:val="Corpodetexto"/>
        <w:spacing w:before="2" w:line="183" w:lineRule="exact"/>
        <w:ind w:left="666" w:firstLine="0"/>
      </w:pPr>
      <w:r>
        <w:t>Serão incluídos neste Protocolo todos os pacientes (crianças, adolescentes e adultos) que apresentarem pelo menos uma das condições clínicas abaixo:</w:t>
      </w:r>
    </w:p>
    <w:p w:rsidR="00AB6593" w:rsidRDefault="00791C81">
      <w:pPr>
        <w:pStyle w:val="PargrafodaLista"/>
        <w:numPr>
          <w:ilvl w:val="0"/>
          <w:numId w:val="4"/>
        </w:numPr>
        <w:tabs>
          <w:tab w:val="left" w:pos="845"/>
        </w:tabs>
        <w:ind w:right="113" w:firstLine="566"/>
        <w:jc w:val="both"/>
        <w:rPr>
          <w:sz w:val="16"/>
        </w:rPr>
      </w:pPr>
      <w:r>
        <w:rPr>
          <w:sz w:val="16"/>
        </w:rPr>
        <w:t xml:space="preserve">Anemia aplástica grave sob terapia com </w:t>
      </w:r>
      <w:proofErr w:type="gramStart"/>
      <w:r>
        <w:rPr>
          <w:sz w:val="16"/>
        </w:rPr>
        <w:t>imunossupressão(</w:t>
      </w:r>
      <w:proofErr w:type="gramEnd"/>
      <w:r>
        <w:rPr>
          <w:sz w:val="16"/>
        </w:rPr>
        <w:t>ciclosporina, corticoide ou imunoglobulina antitimoc</w:t>
      </w:r>
      <w:r>
        <w:rPr>
          <w:sz w:val="16"/>
        </w:rPr>
        <w:t xml:space="preserve">ítica ou antilinfocítica) – ver o item 7 CASOS ESPECIAIS. O G-CSF é </w:t>
      </w:r>
      <w:proofErr w:type="gramStart"/>
      <w:r>
        <w:rPr>
          <w:sz w:val="16"/>
        </w:rPr>
        <w:t>indicado para crianças, adolescentes e adultos com contagem de neutrófilos abaixo de 200/</w:t>
      </w:r>
      <w:proofErr w:type="gramEnd"/>
      <w:r>
        <w:rPr>
          <w:sz w:val="16"/>
        </w:rPr>
        <w:t>mm</w:t>
      </w:r>
      <w:r>
        <w:rPr>
          <w:sz w:val="16"/>
          <w:vertAlign w:val="superscript"/>
        </w:rPr>
        <w:t>3</w:t>
      </w:r>
      <w:r>
        <w:rPr>
          <w:sz w:val="16"/>
        </w:rPr>
        <w:t>. Estudos atuaismostram que o G- CSF apresenta valor limitado nesta doença (24,25). Seu uso depe</w:t>
      </w:r>
      <w:r>
        <w:rPr>
          <w:sz w:val="16"/>
        </w:rPr>
        <w:t xml:space="preserve">nderá do julgamento clínico em situações específicas. Quando utilizado, deve ser </w:t>
      </w:r>
      <w:proofErr w:type="gramStart"/>
      <w:r>
        <w:rPr>
          <w:sz w:val="16"/>
        </w:rPr>
        <w:t>aplicado somente nos primeiros 90 dias de imunossupressão</w:t>
      </w:r>
      <w:proofErr w:type="gramEnd"/>
      <w:r>
        <w:rPr>
          <w:sz w:val="16"/>
        </w:rPr>
        <w:t>. Nesse caso, o uso isolado do fator não é preconizado, devendo ser instituído com a terapia imunossupressora. O uso d</w:t>
      </w:r>
      <w:r>
        <w:rPr>
          <w:sz w:val="16"/>
        </w:rPr>
        <w:t>o G-CSF pode ser ambulatorial ou</w:t>
      </w:r>
      <w:r>
        <w:rPr>
          <w:spacing w:val="-12"/>
          <w:sz w:val="16"/>
        </w:rPr>
        <w:t xml:space="preserve"> </w:t>
      </w:r>
      <w:r>
        <w:rPr>
          <w:sz w:val="16"/>
        </w:rPr>
        <w:t>hospitalar;</w:t>
      </w:r>
    </w:p>
    <w:p w:rsidR="00AB6593" w:rsidRDefault="00791C81">
      <w:pPr>
        <w:pStyle w:val="PargrafodaLista"/>
        <w:numPr>
          <w:ilvl w:val="0"/>
          <w:numId w:val="4"/>
        </w:numPr>
        <w:tabs>
          <w:tab w:val="left" w:pos="854"/>
        </w:tabs>
        <w:ind w:right="113" w:firstLine="566"/>
        <w:jc w:val="both"/>
        <w:rPr>
          <w:sz w:val="16"/>
        </w:rPr>
      </w:pPr>
      <w:r>
        <w:rPr>
          <w:sz w:val="16"/>
        </w:rPr>
        <w:t>Neutropenia crônica (constitucional) grave (neutropenia congênita, cíclica ou idiopática) (26,27). O uso, em longo prazo, de G-CSF está relacionado com aumento mantido na contagem absoluta de neutrófilos em mais</w:t>
      </w:r>
      <w:r>
        <w:rPr>
          <w:sz w:val="16"/>
        </w:rPr>
        <w:t xml:space="preserve"> de 90% dos pacientes e redução na incidência de infecções graves (15,27-29). Critério de inclusão:</w:t>
      </w:r>
      <w:r>
        <w:rPr>
          <w:spacing w:val="-2"/>
          <w:sz w:val="16"/>
        </w:rPr>
        <w:t xml:space="preserve"> </w:t>
      </w:r>
      <w:r>
        <w:rPr>
          <w:sz w:val="16"/>
        </w:rPr>
        <w:t>número</w:t>
      </w:r>
      <w:r>
        <w:rPr>
          <w:spacing w:val="-1"/>
          <w:sz w:val="16"/>
        </w:rPr>
        <w:t xml:space="preserve"> </w:t>
      </w:r>
      <w:r>
        <w:rPr>
          <w:sz w:val="16"/>
        </w:rPr>
        <w:t>total</w:t>
      </w:r>
      <w:r>
        <w:rPr>
          <w:spacing w:val="-4"/>
          <w:sz w:val="16"/>
        </w:rPr>
        <w:t xml:space="preserve"> </w:t>
      </w:r>
      <w:r>
        <w:rPr>
          <w:sz w:val="16"/>
        </w:rPr>
        <w:t>de</w:t>
      </w:r>
      <w:r>
        <w:rPr>
          <w:spacing w:val="-2"/>
          <w:sz w:val="16"/>
        </w:rPr>
        <w:t xml:space="preserve"> </w:t>
      </w:r>
      <w:r>
        <w:rPr>
          <w:sz w:val="16"/>
        </w:rPr>
        <w:t>neutrófilos igual</w:t>
      </w:r>
      <w:r>
        <w:rPr>
          <w:spacing w:val="-2"/>
          <w:sz w:val="16"/>
        </w:rPr>
        <w:t xml:space="preserve"> </w:t>
      </w:r>
      <w:r>
        <w:rPr>
          <w:sz w:val="16"/>
        </w:rPr>
        <w:t>ou</w:t>
      </w:r>
      <w:r>
        <w:rPr>
          <w:spacing w:val="-1"/>
          <w:sz w:val="16"/>
        </w:rPr>
        <w:t xml:space="preserve"> </w:t>
      </w:r>
      <w:r>
        <w:rPr>
          <w:sz w:val="16"/>
        </w:rPr>
        <w:t>inferior</w:t>
      </w:r>
      <w:r>
        <w:rPr>
          <w:spacing w:val="-1"/>
          <w:sz w:val="16"/>
        </w:rPr>
        <w:t xml:space="preserve"> </w:t>
      </w:r>
      <w:r>
        <w:rPr>
          <w:sz w:val="16"/>
        </w:rPr>
        <w:t>a</w:t>
      </w:r>
      <w:r>
        <w:rPr>
          <w:spacing w:val="-3"/>
          <w:sz w:val="16"/>
        </w:rPr>
        <w:t xml:space="preserve"> </w:t>
      </w:r>
      <w:r>
        <w:rPr>
          <w:sz w:val="16"/>
        </w:rPr>
        <w:t>1.000/mm</w:t>
      </w:r>
      <w:r>
        <w:rPr>
          <w:sz w:val="16"/>
          <w:vertAlign w:val="superscript"/>
        </w:rPr>
        <w:t>3</w:t>
      </w:r>
      <w:r>
        <w:rPr>
          <w:spacing w:val="-2"/>
          <w:sz w:val="16"/>
        </w:rPr>
        <w:t xml:space="preserve"> </w:t>
      </w:r>
      <w:r>
        <w:rPr>
          <w:sz w:val="16"/>
        </w:rPr>
        <w:t>(30). O</w:t>
      </w:r>
      <w:r>
        <w:rPr>
          <w:spacing w:val="-3"/>
          <w:sz w:val="16"/>
        </w:rPr>
        <w:t xml:space="preserve"> </w:t>
      </w:r>
      <w:r>
        <w:rPr>
          <w:sz w:val="16"/>
        </w:rPr>
        <w:t>uso</w:t>
      </w:r>
      <w:r>
        <w:rPr>
          <w:spacing w:val="-1"/>
          <w:sz w:val="16"/>
        </w:rPr>
        <w:t xml:space="preserve"> </w:t>
      </w:r>
      <w:r>
        <w:rPr>
          <w:sz w:val="16"/>
        </w:rPr>
        <w:t>do</w:t>
      </w:r>
      <w:r>
        <w:rPr>
          <w:spacing w:val="-2"/>
          <w:sz w:val="16"/>
        </w:rPr>
        <w:t xml:space="preserve"> </w:t>
      </w:r>
      <w:r>
        <w:rPr>
          <w:sz w:val="16"/>
        </w:rPr>
        <w:t>G-CSF</w:t>
      </w:r>
      <w:r>
        <w:rPr>
          <w:spacing w:val="-3"/>
          <w:sz w:val="16"/>
        </w:rPr>
        <w:t xml:space="preserve"> </w:t>
      </w:r>
      <w:r>
        <w:rPr>
          <w:sz w:val="16"/>
        </w:rPr>
        <w:t>pode</w:t>
      </w:r>
      <w:r>
        <w:rPr>
          <w:spacing w:val="-2"/>
          <w:sz w:val="16"/>
        </w:rPr>
        <w:t xml:space="preserve"> </w:t>
      </w:r>
      <w:r>
        <w:rPr>
          <w:sz w:val="16"/>
        </w:rPr>
        <w:t>ser</w:t>
      </w:r>
      <w:r>
        <w:rPr>
          <w:spacing w:val="-2"/>
          <w:sz w:val="16"/>
        </w:rPr>
        <w:t xml:space="preserve"> </w:t>
      </w:r>
      <w:r>
        <w:rPr>
          <w:sz w:val="16"/>
        </w:rPr>
        <w:t>ambulatorial</w:t>
      </w:r>
      <w:r>
        <w:rPr>
          <w:spacing w:val="-1"/>
          <w:sz w:val="16"/>
        </w:rPr>
        <w:t xml:space="preserve"> </w:t>
      </w:r>
      <w:r>
        <w:rPr>
          <w:sz w:val="16"/>
        </w:rPr>
        <w:t>ou</w:t>
      </w:r>
      <w:r>
        <w:rPr>
          <w:spacing w:val="1"/>
          <w:sz w:val="16"/>
        </w:rPr>
        <w:t xml:space="preserve"> </w:t>
      </w:r>
      <w:r>
        <w:rPr>
          <w:sz w:val="16"/>
        </w:rPr>
        <w:t>hospitalar;</w:t>
      </w:r>
      <w:r>
        <w:rPr>
          <w:spacing w:val="-2"/>
          <w:sz w:val="16"/>
        </w:rPr>
        <w:t xml:space="preserve"> </w:t>
      </w:r>
      <w:proofErr w:type="gramStart"/>
      <w:r>
        <w:rPr>
          <w:sz w:val="16"/>
        </w:rPr>
        <w:t>e</w:t>
      </w:r>
      <w:proofErr w:type="gramEnd"/>
    </w:p>
    <w:p w:rsidR="00AB6593" w:rsidRDefault="00791C81">
      <w:pPr>
        <w:pStyle w:val="PargrafodaLista"/>
        <w:numPr>
          <w:ilvl w:val="0"/>
          <w:numId w:val="4"/>
        </w:numPr>
        <w:tabs>
          <w:tab w:val="left" w:pos="847"/>
        </w:tabs>
        <w:ind w:right="112" w:firstLine="566"/>
        <w:jc w:val="both"/>
        <w:rPr>
          <w:sz w:val="16"/>
        </w:rPr>
      </w:pPr>
      <w:r>
        <w:rPr>
          <w:sz w:val="16"/>
        </w:rPr>
        <w:t>Mielodisplasia com neutropenia grave e infecção de repetição– indicação recomendada para adultos, de forma individualizada, como terapêutica de suporte isolada ou em combinação com estimuladores da eritropoese, no tratamento de doentes com mielodisplasia d</w:t>
      </w:r>
      <w:r>
        <w:rPr>
          <w:sz w:val="16"/>
        </w:rPr>
        <w:t xml:space="preserve">e baixo risco ou risco intermediário-1 do </w:t>
      </w:r>
      <w:r>
        <w:rPr>
          <w:i/>
          <w:sz w:val="16"/>
        </w:rPr>
        <w:t xml:space="preserve">International Prognostic Scoring System </w:t>
      </w:r>
      <w:r>
        <w:rPr>
          <w:sz w:val="16"/>
        </w:rPr>
        <w:t>(IPSS) (Apêndice), com contagem de neutrófilos abaixo de 500/mm</w:t>
      </w:r>
      <w:r>
        <w:rPr>
          <w:sz w:val="16"/>
          <w:vertAlign w:val="superscript"/>
        </w:rPr>
        <w:t>3</w:t>
      </w:r>
      <w:r>
        <w:rPr>
          <w:sz w:val="16"/>
        </w:rPr>
        <w:t xml:space="preserve"> e infecções resistentes ou de repetição requerendo hospitalizações (31-33). Parece haver benefício no uso pro</w:t>
      </w:r>
      <w:r>
        <w:rPr>
          <w:sz w:val="16"/>
        </w:rPr>
        <w:t xml:space="preserve">longado, intermitente, do G-CSF nessas situações, sem um aumento aparente no risco de evolução para leucemia mieloide aguda (31,34-39). Os fatores de crescimento hematopoético aumentam, de forma dose-dependente, o nível de neutrófilos circulantes em 60% a </w:t>
      </w:r>
      <w:r>
        <w:rPr>
          <w:sz w:val="16"/>
        </w:rPr>
        <w:t>100% dos pacientes, chegando a níveis normais em grande parte dos casos, e podem contribuir para a melhora clínica e na qualidade de vida desses pacientes (40,41). A interrupção no uso dos fatores é seguida de queda na contagem de neutrófilos circulantes (</w:t>
      </w:r>
      <w:proofErr w:type="gramStart"/>
      <w:r>
        <w:rPr>
          <w:sz w:val="16"/>
        </w:rPr>
        <w:t>35,</w:t>
      </w:r>
      <w:proofErr w:type="gramEnd"/>
      <w:r>
        <w:rPr>
          <w:sz w:val="16"/>
        </w:rPr>
        <w:t>36,38). Estudos prospectivos em adultos sugerem um efeito sinérgico do uso combinado de G-CSF com eritropoetina na resposta eritróide (34,42-46). O uso dos fatores de crescimento hematopoético na mielodisplasia de alto risco (IPSS intermediário-2 ou alt</w:t>
      </w:r>
      <w:r>
        <w:rPr>
          <w:sz w:val="16"/>
        </w:rPr>
        <w:t>o) parece não oferecer benefício e não está recomendado (34,37</w:t>
      </w:r>
      <w:proofErr w:type="gramStart"/>
      <w:r>
        <w:rPr>
          <w:sz w:val="16"/>
        </w:rPr>
        <w:t>).</w:t>
      </w:r>
      <w:proofErr w:type="gramEnd"/>
      <w:r>
        <w:rPr>
          <w:sz w:val="16"/>
        </w:rPr>
        <w:t>O uso do G-CSF pode ser ambulatorial ou hospitalar.[NOTA:Ver o item 11. REGULAÇÃO/CONTROLE/AVALIAÇÃO PELO</w:t>
      </w:r>
      <w:r>
        <w:rPr>
          <w:spacing w:val="-7"/>
          <w:sz w:val="16"/>
        </w:rPr>
        <w:t xml:space="preserve"> </w:t>
      </w:r>
      <w:r>
        <w:rPr>
          <w:sz w:val="16"/>
        </w:rPr>
        <w:t>GESTOR.]</w:t>
      </w:r>
    </w:p>
    <w:p w:rsidR="00AB6593" w:rsidRDefault="00791C81">
      <w:pPr>
        <w:pStyle w:val="Corpodetexto"/>
        <w:ind w:right="115"/>
        <w:jc w:val="both"/>
      </w:pPr>
      <w:r>
        <w:lastRenderedPageBreak/>
        <w:t>O uso de fatores de crescimento hematopoético está também recomendado, com ba</w:t>
      </w:r>
      <w:r>
        <w:t xml:space="preserve">se em determinados critérios, nas situações clínicas a seguir, que nãose incluem neste Protocolo, mas </w:t>
      </w:r>
      <w:proofErr w:type="gramStart"/>
      <w:r>
        <w:t>em em</w:t>
      </w:r>
      <w:proofErr w:type="gramEnd"/>
      <w:r>
        <w:t xml:space="preserve"> normas específicas do Ministério da Saúde:</w:t>
      </w:r>
    </w:p>
    <w:p w:rsidR="00AB6593" w:rsidRDefault="00791C81">
      <w:pPr>
        <w:pStyle w:val="PargrafodaLista"/>
        <w:numPr>
          <w:ilvl w:val="1"/>
          <w:numId w:val="4"/>
        </w:numPr>
        <w:tabs>
          <w:tab w:val="left" w:pos="842"/>
        </w:tabs>
        <w:ind w:right="112" w:firstLine="566"/>
        <w:jc w:val="both"/>
        <w:rPr>
          <w:sz w:val="16"/>
        </w:rPr>
      </w:pPr>
      <w:r>
        <w:rPr>
          <w:sz w:val="16"/>
        </w:rPr>
        <w:t>Mobilização de células progenitoras para transplante de medula ósseae neutropenia associada ao transplant</w:t>
      </w:r>
      <w:r>
        <w:rPr>
          <w:sz w:val="16"/>
        </w:rPr>
        <w:t>e de medula óssea (Regulamento Técnico do Sistema Nacional de Transplantes). O uso do G-CSF pode ser ambulatorial ou</w:t>
      </w:r>
      <w:r>
        <w:rPr>
          <w:spacing w:val="-19"/>
          <w:sz w:val="16"/>
        </w:rPr>
        <w:t xml:space="preserve"> </w:t>
      </w:r>
      <w:r>
        <w:rPr>
          <w:sz w:val="16"/>
        </w:rPr>
        <w:t>hospitalar;</w:t>
      </w:r>
    </w:p>
    <w:p w:rsidR="00AB6593" w:rsidRDefault="00791C81">
      <w:pPr>
        <w:pStyle w:val="PargrafodaLista"/>
        <w:numPr>
          <w:ilvl w:val="1"/>
          <w:numId w:val="4"/>
        </w:numPr>
        <w:tabs>
          <w:tab w:val="left" w:pos="803"/>
        </w:tabs>
        <w:spacing w:before="1"/>
        <w:ind w:left="802" w:hanging="136"/>
        <w:rPr>
          <w:sz w:val="16"/>
        </w:rPr>
      </w:pPr>
      <w:r>
        <w:rPr>
          <w:sz w:val="16"/>
        </w:rPr>
        <w:t>Neutropenia</w:t>
      </w:r>
      <w:r>
        <w:rPr>
          <w:spacing w:val="-3"/>
          <w:sz w:val="16"/>
        </w:rPr>
        <w:t xml:space="preserve"> </w:t>
      </w:r>
      <w:r>
        <w:rPr>
          <w:sz w:val="16"/>
        </w:rPr>
        <w:t>induzida</w:t>
      </w:r>
      <w:r>
        <w:rPr>
          <w:spacing w:val="-3"/>
          <w:sz w:val="16"/>
        </w:rPr>
        <w:t xml:space="preserve"> </w:t>
      </w:r>
      <w:r>
        <w:rPr>
          <w:sz w:val="16"/>
        </w:rPr>
        <w:t>por</w:t>
      </w:r>
      <w:r>
        <w:rPr>
          <w:spacing w:val="-2"/>
          <w:sz w:val="16"/>
        </w:rPr>
        <w:t xml:space="preserve"> </w:t>
      </w:r>
      <w:r>
        <w:rPr>
          <w:sz w:val="16"/>
        </w:rPr>
        <w:t xml:space="preserve">quimioterapia </w:t>
      </w:r>
      <w:proofErr w:type="gramStart"/>
      <w:r>
        <w:rPr>
          <w:sz w:val="16"/>
        </w:rPr>
        <w:t>(Oncologia</w:t>
      </w:r>
      <w:r>
        <w:rPr>
          <w:spacing w:val="3"/>
          <w:sz w:val="16"/>
        </w:rPr>
        <w:t xml:space="preserve"> </w:t>
      </w:r>
      <w:r>
        <w:rPr>
          <w:sz w:val="16"/>
        </w:rPr>
        <w:t>-</w:t>
      </w:r>
      <w:r>
        <w:rPr>
          <w:spacing w:val="-4"/>
          <w:sz w:val="16"/>
        </w:rPr>
        <w:t xml:space="preserve"> </w:t>
      </w:r>
      <w:r>
        <w:rPr>
          <w:sz w:val="16"/>
        </w:rPr>
        <w:t>Manual</w:t>
      </w:r>
      <w:r>
        <w:rPr>
          <w:spacing w:val="-2"/>
          <w:sz w:val="16"/>
        </w:rPr>
        <w:t xml:space="preserve"> </w:t>
      </w:r>
      <w:r>
        <w:rPr>
          <w:sz w:val="16"/>
        </w:rPr>
        <w:t>de</w:t>
      </w:r>
      <w:r>
        <w:rPr>
          <w:spacing w:val="-3"/>
          <w:sz w:val="16"/>
        </w:rPr>
        <w:t xml:space="preserve"> </w:t>
      </w:r>
      <w:r>
        <w:rPr>
          <w:sz w:val="16"/>
        </w:rPr>
        <w:t>Bases</w:t>
      </w:r>
      <w:r>
        <w:rPr>
          <w:spacing w:val="-1"/>
          <w:sz w:val="16"/>
        </w:rPr>
        <w:t xml:space="preserve"> </w:t>
      </w:r>
      <w:r>
        <w:rPr>
          <w:sz w:val="16"/>
        </w:rPr>
        <w:t>Técnicas.</w:t>
      </w:r>
      <w:proofErr w:type="gramEnd"/>
      <w:r>
        <w:rPr>
          <w:sz w:val="16"/>
        </w:rPr>
        <w:t xml:space="preserve"> O</w:t>
      </w:r>
      <w:r>
        <w:rPr>
          <w:spacing w:val="-4"/>
          <w:sz w:val="16"/>
        </w:rPr>
        <w:t xml:space="preserve"> </w:t>
      </w:r>
      <w:r>
        <w:rPr>
          <w:sz w:val="16"/>
        </w:rPr>
        <w:t>uso</w:t>
      </w:r>
      <w:r>
        <w:rPr>
          <w:spacing w:val="-3"/>
          <w:sz w:val="16"/>
        </w:rPr>
        <w:t xml:space="preserve"> </w:t>
      </w:r>
      <w:r>
        <w:rPr>
          <w:sz w:val="16"/>
        </w:rPr>
        <w:t>do</w:t>
      </w:r>
      <w:r>
        <w:rPr>
          <w:spacing w:val="-2"/>
          <w:sz w:val="16"/>
        </w:rPr>
        <w:t xml:space="preserve"> </w:t>
      </w:r>
      <w:r>
        <w:rPr>
          <w:sz w:val="16"/>
        </w:rPr>
        <w:t>G-CSF</w:t>
      </w:r>
      <w:r>
        <w:rPr>
          <w:spacing w:val="-4"/>
          <w:sz w:val="16"/>
        </w:rPr>
        <w:t xml:space="preserve"> </w:t>
      </w:r>
      <w:r>
        <w:rPr>
          <w:sz w:val="16"/>
        </w:rPr>
        <w:t>pode</w:t>
      </w:r>
      <w:r>
        <w:rPr>
          <w:spacing w:val="-3"/>
          <w:sz w:val="16"/>
        </w:rPr>
        <w:t xml:space="preserve"> </w:t>
      </w:r>
      <w:r>
        <w:rPr>
          <w:sz w:val="16"/>
        </w:rPr>
        <w:t>ser</w:t>
      </w:r>
      <w:r>
        <w:rPr>
          <w:spacing w:val="-2"/>
          <w:sz w:val="16"/>
        </w:rPr>
        <w:t xml:space="preserve"> </w:t>
      </w:r>
      <w:r>
        <w:rPr>
          <w:sz w:val="16"/>
        </w:rPr>
        <w:t>ambulatorial</w:t>
      </w:r>
      <w:r>
        <w:rPr>
          <w:spacing w:val="-2"/>
          <w:sz w:val="16"/>
        </w:rPr>
        <w:t xml:space="preserve"> </w:t>
      </w:r>
      <w:r>
        <w:rPr>
          <w:sz w:val="16"/>
        </w:rPr>
        <w:t>ou</w:t>
      </w:r>
      <w:r>
        <w:rPr>
          <w:spacing w:val="-2"/>
          <w:sz w:val="16"/>
        </w:rPr>
        <w:t xml:space="preserve"> </w:t>
      </w:r>
      <w:r>
        <w:rPr>
          <w:sz w:val="16"/>
        </w:rPr>
        <w:t>hospitalar; e</w:t>
      </w:r>
    </w:p>
    <w:p w:rsidR="00AB6593" w:rsidRDefault="00791C81">
      <w:pPr>
        <w:pStyle w:val="PargrafodaLista"/>
        <w:numPr>
          <w:ilvl w:val="0"/>
          <w:numId w:val="4"/>
        </w:numPr>
        <w:tabs>
          <w:tab w:val="left" w:pos="849"/>
        </w:tabs>
        <w:spacing w:before="76"/>
        <w:ind w:right="124" w:firstLine="566"/>
        <w:jc w:val="both"/>
        <w:rPr>
          <w:sz w:val="16"/>
        </w:rPr>
      </w:pPr>
      <w:r>
        <w:rPr>
          <w:sz w:val="16"/>
        </w:rPr>
        <w:t xml:space="preserve">Síndrome da imunodeficiência adquirida (SIDA) com neutropenia (protocolos </w:t>
      </w:r>
      <w:proofErr w:type="gramStart"/>
      <w:r>
        <w:rPr>
          <w:sz w:val="16"/>
        </w:rPr>
        <w:t>clínicos e diretrizes terapêuticas para manejo da infecção pelo HIV em crianças e adolescentes e em adultos</w:t>
      </w:r>
      <w:proofErr w:type="gramEnd"/>
      <w:r>
        <w:rPr>
          <w:sz w:val="16"/>
        </w:rPr>
        <w:t>.). O uso do G-CSF é</w:t>
      </w:r>
      <w:r>
        <w:rPr>
          <w:spacing w:val="-13"/>
          <w:sz w:val="16"/>
        </w:rPr>
        <w:t xml:space="preserve"> </w:t>
      </w:r>
      <w:r>
        <w:rPr>
          <w:sz w:val="16"/>
        </w:rPr>
        <w:t>ambulatorial.</w:t>
      </w:r>
    </w:p>
    <w:p w:rsidR="00AB6593" w:rsidRDefault="00AB6593">
      <w:pPr>
        <w:pStyle w:val="Corpodetexto"/>
        <w:ind w:left="0" w:firstLine="0"/>
      </w:pPr>
    </w:p>
    <w:p w:rsidR="00AB6593" w:rsidRDefault="00791C81">
      <w:pPr>
        <w:pStyle w:val="PargrafodaLista"/>
        <w:numPr>
          <w:ilvl w:val="0"/>
          <w:numId w:val="6"/>
        </w:numPr>
        <w:tabs>
          <w:tab w:val="left" w:pos="828"/>
        </w:tabs>
        <w:rPr>
          <w:sz w:val="16"/>
        </w:rPr>
      </w:pPr>
      <w:r>
        <w:rPr>
          <w:sz w:val="16"/>
        </w:rPr>
        <w:t>CRITÉRIOS DE</w:t>
      </w:r>
      <w:r>
        <w:rPr>
          <w:spacing w:val="-1"/>
          <w:sz w:val="16"/>
        </w:rPr>
        <w:t xml:space="preserve"> </w:t>
      </w:r>
      <w:r>
        <w:rPr>
          <w:sz w:val="16"/>
        </w:rPr>
        <w:t>EXCLUSÃO</w:t>
      </w:r>
    </w:p>
    <w:p w:rsidR="00AB6593" w:rsidRDefault="00791C81">
      <w:pPr>
        <w:pStyle w:val="Corpodetexto"/>
        <w:spacing w:before="1" w:line="183" w:lineRule="exact"/>
        <w:ind w:left="666" w:firstLine="0"/>
      </w:pPr>
      <w:r>
        <w:t xml:space="preserve">Serão excluídos deste Protocolo os pacientes com hipersensibilidade a filgrastima ou a proteína derivada de </w:t>
      </w:r>
      <w:r>
        <w:rPr>
          <w:i/>
        </w:rPr>
        <w:t xml:space="preserve">E. </w:t>
      </w:r>
      <w:proofErr w:type="gramStart"/>
      <w:r>
        <w:rPr>
          <w:i/>
        </w:rPr>
        <w:t>coli</w:t>
      </w:r>
      <w:proofErr w:type="gramEnd"/>
      <w:r>
        <w:t>.</w:t>
      </w:r>
    </w:p>
    <w:p w:rsidR="00AB6593" w:rsidRDefault="00791C81">
      <w:pPr>
        <w:pStyle w:val="Corpodetexto"/>
        <w:ind w:right="122"/>
        <w:jc w:val="both"/>
      </w:pPr>
      <w:r>
        <w:t>A utilização de fatores de crescimento hematopoético não será recomendada, por falta de evidências científicas de efi</w:t>
      </w:r>
      <w:r>
        <w:t>cácia sobre desfechos clínicos relevantes, nas seguintes situações:</w:t>
      </w:r>
    </w:p>
    <w:p w:rsidR="00AB6593" w:rsidRDefault="00791C81">
      <w:pPr>
        <w:pStyle w:val="PargrafodaLista"/>
        <w:numPr>
          <w:ilvl w:val="1"/>
          <w:numId w:val="5"/>
        </w:numPr>
        <w:tabs>
          <w:tab w:val="left" w:pos="773"/>
        </w:tabs>
        <w:spacing w:before="1"/>
        <w:ind w:right="112" w:firstLine="566"/>
        <w:jc w:val="both"/>
        <w:rPr>
          <w:sz w:val="16"/>
        </w:rPr>
      </w:pPr>
      <w:r>
        <w:rPr>
          <w:sz w:val="16"/>
        </w:rPr>
        <w:t>Gestantes ou mulheres que estejam amamentando: são medicamentos incluídos na categoria C da classificação do FDA; faltam estudos em humanos; não está estabelecido se fatores de crescimento</w:t>
      </w:r>
      <w:r>
        <w:rPr>
          <w:sz w:val="16"/>
        </w:rPr>
        <w:t xml:space="preserve"> hematopoético são eliminados pelo leite materno; não há relatos de efeitos adversos relacionados à amamentação em humanos; deve-se, pois, considerar a relação risco-benefício potencial de seu uso nessas</w:t>
      </w:r>
      <w:r>
        <w:rPr>
          <w:spacing w:val="-17"/>
          <w:sz w:val="16"/>
        </w:rPr>
        <w:t xml:space="preserve"> </w:t>
      </w:r>
      <w:r>
        <w:rPr>
          <w:sz w:val="16"/>
        </w:rPr>
        <w:t>situações;</w:t>
      </w:r>
    </w:p>
    <w:p w:rsidR="00AB6593" w:rsidRDefault="00791C81">
      <w:pPr>
        <w:pStyle w:val="PargrafodaLista"/>
        <w:numPr>
          <w:ilvl w:val="1"/>
          <w:numId w:val="5"/>
        </w:numPr>
        <w:tabs>
          <w:tab w:val="left" w:pos="795"/>
        </w:tabs>
        <w:ind w:right="110" w:firstLine="566"/>
        <w:jc w:val="both"/>
        <w:rPr>
          <w:sz w:val="16"/>
        </w:rPr>
      </w:pPr>
      <w:r>
        <w:rPr>
          <w:sz w:val="16"/>
        </w:rPr>
        <w:t xml:space="preserve">Agranulocitose associada a medicamentos: </w:t>
      </w:r>
      <w:r>
        <w:rPr>
          <w:sz w:val="16"/>
        </w:rPr>
        <w:t>alguns estudos mostram benefício no uso de fatores de crescimento hematopoético na agranulocitose secundária ao uso de medicamentos, especialmente na redução do tempo de neutropenia e na incidência de complicações infecciosas ou fatais; medicamentos mais c</w:t>
      </w:r>
      <w:r>
        <w:rPr>
          <w:sz w:val="16"/>
        </w:rPr>
        <w:t xml:space="preserve">omumente implicados são: clozapina, carbamazepina, dapsona, dipirona, propiltiouracil, metimazol, carbimazol, penicilina G, procainamida, rituximabe, anti- inflamatórios não esteroidais, sulfassalazina e ticlopidina; no entanto, os estudos disponíveis são </w:t>
      </w:r>
      <w:r>
        <w:rPr>
          <w:sz w:val="16"/>
        </w:rPr>
        <w:t xml:space="preserve">relatos de casos, evidência considerada insuficiente para justificar sua recomendação </w:t>
      </w:r>
      <w:proofErr w:type="gramStart"/>
      <w:r>
        <w:rPr>
          <w:sz w:val="16"/>
        </w:rPr>
        <w:t>nesses eventualidades</w:t>
      </w:r>
      <w:proofErr w:type="gramEnd"/>
      <w:r>
        <w:rPr>
          <w:spacing w:val="-1"/>
          <w:sz w:val="16"/>
        </w:rPr>
        <w:t xml:space="preserve"> </w:t>
      </w:r>
      <w:r>
        <w:rPr>
          <w:sz w:val="16"/>
        </w:rPr>
        <w:t>(27,47-49).</w:t>
      </w:r>
    </w:p>
    <w:p w:rsidR="00AB6593" w:rsidRDefault="00791C81">
      <w:pPr>
        <w:pStyle w:val="PargrafodaLista"/>
        <w:numPr>
          <w:ilvl w:val="1"/>
          <w:numId w:val="5"/>
        </w:numPr>
        <w:tabs>
          <w:tab w:val="left" w:pos="771"/>
        </w:tabs>
        <w:ind w:right="113" w:firstLine="566"/>
        <w:jc w:val="both"/>
        <w:rPr>
          <w:sz w:val="16"/>
        </w:rPr>
      </w:pPr>
      <w:r>
        <w:rPr>
          <w:sz w:val="16"/>
        </w:rPr>
        <w:t>Leucemia aguda refratária (37), neutropenia febril em pacientes sob quimioterapia de tumores sólidos em geral (exceto casos particulares</w:t>
      </w:r>
      <w:r>
        <w:rPr>
          <w:sz w:val="16"/>
        </w:rPr>
        <w:t xml:space="preserve"> de câncer de mama e de pequenas células de pulmão de pequenas células) (3,50), pacientes críticos não neutropênicos (51), sepse neonatal não associada </w:t>
      </w:r>
      <w:proofErr w:type="gramStart"/>
      <w:r>
        <w:rPr>
          <w:sz w:val="16"/>
        </w:rPr>
        <w:t>a</w:t>
      </w:r>
      <w:proofErr w:type="gramEnd"/>
      <w:r>
        <w:rPr>
          <w:sz w:val="16"/>
        </w:rPr>
        <w:t xml:space="preserve"> neutropenia (52-54), e outras condições infecciosas, como pneumonia, “pé diabético”, doença de Crohn (</w:t>
      </w:r>
      <w:r>
        <w:rPr>
          <w:sz w:val="16"/>
        </w:rPr>
        <w:t>fístulas).[NOTA: Ver o item 11. REGULAÇÃO / CONTROLE/AVALIAÇÃO PELO</w:t>
      </w:r>
      <w:r>
        <w:rPr>
          <w:spacing w:val="-2"/>
          <w:sz w:val="16"/>
        </w:rPr>
        <w:t xml:space="preserve"> </w:t>
      </w:r>
      <w:r>
        <w:rPr>
          <w:sz w:val="16"/>
        </w:rPr>
        <w:t>GESTOR.]</w:t>
      </w:r>
    </w:p>
    <w:p w:rsidR="00AB6593" w:rsidRDefault="00AB6593">
      <w:pPr>
        <w:pStyle w:val="Corpodetexto"/>
        <w:spacing w:before="10"/>
        <w:ind w:left="0" w:firstLine="0"/>
        <w:rPr>
          <w:sz w:val="15"/>
        </w:rPr>
      </w:pPr>
    </w:p>
    <w:p w:rsidR="00AB6593" w:rsidRDefault="00791C81">
      <w:pPr>
        <w:pStyle w:val="PargrafodaLista"/>
        <w:numPr>
          <w:ilvl w:val="0"/>
          <w:numId w:val="6"/>
        </w:numPr>
        <w:tabs>
          <w:tab w:val="left" w:pos="828"/>
        </w:tabs>
        <w:rPr>
          <w:sz w:val="16"/>
        </w:rPr>
      </w:pPr>
      <w:r>
        <w:rPr>
          <w:sz w:val="16"/>
        </w:rPr>
        <w:t>CASOS</w:t>
      </w:r>
      <w:r>
        <w:rPr>
          <w:spacing w:val="-1"/>
          <w:sz w:val="16"/>
        </w:rPr>
        <w:t xml:space="preserve"> </w:t>
      </w:r>
      <w:r>
        <w:rPr>
          <w:sz w:val="16"/>
        </w:rPr>
        <w:t>ESPECIAIS</w:t>
      </w:r>
    </w:p>
    <w:p w:rsidR="00AB6593" w:rsidRDefault="00791C81">
      <w:pPr>
        <w:pStyle w:val="Corpodetexto"/>
        <w:spacing w:before="1"/>
        <w:ind w:right="112"/>
        <w:jc w:val="both"/>
      </w:pPr>
      <w:r>
        <w:t>Para pacientes (crianças, adolescentes e adultos) com anemia aplástica grave em terapia com imunossupressão (ciclosporina, corticoide</w:t>
      </w:r>
      <w:proofErr w:type="gramStart"/>
      <w:r>
        <w:t xml:space="preserve">  </w:t>
      </w:r>
      <w:proofErr w:type="gramEnd"/>
      <w:r>
        <w:t>ou imunoglobulina antitimoc</w:t>
      </w:r>
      <w:r>
        <w:t>ítica ou antilinfocítica), há indicação de uso de fatores de crescimento hematopoético se a contagem de neutrófilos estiver abaixo de 200/mm</w:t>
      </w:r>
      <w:r>
        <w:rPr>
          <w:vertAlign w:val="superscript"/>
        </w:rPr>
        <w:t>3</w:t>
      </w:r>
      <w:r>
        <w:t xml:space="preserve"> (55). Estudos atuaismostram que o G-CSF apresenta valor limitado nessa doença (24,25). Parece haver benefício mais</w:t>
      </w:r>
      <w:r>
        <w:t xml:space="preserve"> claro apenas nos casos menos graves, quando, usualmente, seu uso não seria requerido (35). O uso isolado do fator não é preconizado (35). Embora haja recuperação mais rápida de neutrófilos quando administrado juntamente com a terapia imunossupressora, não</w:t>
      </w:r>
      <w:r>
        <w:t xml:space="preserve"> há vantagem significativa em termos de resposta hematológica global ou de sobrevida (35). Seu uso dependerá do julgamento clínico em situações específicas (56-58). O aumento na contagem de neutrófilos (acima de 500/mm</w:t>
      </w:r>
      <w:r>
        <w:rPr>
          <w:vertAlign w:val="superscript"/>
        </w:rPr>
        <w:t>3</w:t>
      </w:r>
      <w:r>
        <w:t>) nos primeiros três meses é preditiv</w:t>
      </w:r>
      <w:r>
        <w:t>o de resposta e melhor sobrevida nesses pacientes (59). O uso de fatores de crescimento hematopoético, portanto, pode permitir a identificação de não respondedores e orientar o encaminhamento destes para o transplante. Quandos utilizados</w:t>
      </w:r>
      <w:proofErr w:type="gramStart"/>
      <w:r>
        <w:t>, devem</w:t>
      </w:r>
      <w:proofErr w:type="gramEnd"/>
      <w:r>
        <w:t xml:space="preserve"> ser aplicad</w:t>
      </w:r>
      <w:r>
        <w:t>os somente nos primeiros 90 dias de imunossupressão (55,60).</w:t>
      </w:r>
    </w:p>
    <w:p w:rsidR="00AB6593" w:rsidRDefault="00791C81">
      <w:pPr>
        <w:pStyle w:val="Corpodetexto"/>
        <w:spacing w:before="1"/>
        <w:ind w:right="149"/>
      </w:pPr>
      <w:r>
        <w:t xml:space="preserve">Para os casos de sepse </w:t>
      </w:r>
      <w:proofErr w:type="gramStart"/>
      <w:r>
        <w:t>neonatal associada à neutropenia grave, faltam</w:t>
      </w:r>
      <w:proofErr w:type="gramEnd"/>
      <w:r>
        <w:t xml:space="preserve"> estudos para determinar um benefício claro do uso rotineiro de fatores de crescimento hematopoético; apesar disso, a gravidad</w:t>
      </w:r>
      <w:r>
        <w:t>e e a inexistência de alternativas podem justificar sua utilização (61,62).</w:t>
      </w:r>
    </w:p>
    <w:p w:rsidR="00AB6593" w:rsidRDefault="00AB6593">
      <w:pPr>
        <w:pStyle w:val="Corpodetexto"/>
        <w:ind w:left="0" w:firstLine="0"/>
      </w:pPr>
    </w:p>
    <w:p w:rsidR="00AB6593" w:rsidRDefault="00791C81">
      <w:pPr>
        <w:pStyle w:val="PargrafodaLista"/>
        <w:numPr>
          <w:ilvl w:val="0"/>
          <w:numId w:val="6"/>
        </w:numPr>
        <w:tabs>
          <w:tab w:val="left" w:pos="830"/>
        </w:tabs>
        <w:spacing w:line="183" w:lineRule="exact"/>
        <w:ind w:left="829" w:hanging="163"/>
        <w:rPr>
          <w:sz w:val="16"/>
        </w:rPr>
      </w:pPr>
      <w:r>
        <w:rPr>
          <w:sz w:val="16"/>
        </w:rPr>
        <w:t>TRATAMENTO</w:t>
      </w:r>
    </w:p>
    <w:p w:rsidR="00AB6593" w:rsidRDefault="00791C81">
      <w:pPr>
        <w:pStyle w:val="Corpodetexto"/>
        <w:spacing w:line="183" w:lineRule="exact"/>
        <w:ind w:left="666" w:firstLine="0"/>
      </w:pPr>
      <w:r>
        <w:t>O uso dos fatores de crescimento de linhagem mieloide deve levar em consideração a avaliação de risco global do paciente, no que se refere a:</w:t>
      </w:r>
    </w:p>
    <w:p w:rsidR="00AB6593" w:rsidRDefault="00791C81">
      <w:pPr>
        <w:pStyle w:val="PargrafodaLista"/>
        <w:numPr>
          <w:ilvl w:val="1"/>
          <w:numId w:val="5"/>
        </w:numPr>
        <w:tabs>
          <w:tab w:val="left" w:pos="761"/>
        </w:tabs>
        <w:spacing w:before="1"/>
        <w:ind w:firstLine="566"/>
        <w:rPr>
          <w:sz w:val="16"/>
        </w:rPr>
      </w:pPr>
      <w:proofErr w:type="gramStart"/>
      <w:r>
        <w:rPr>
          <w:sz w:val="16"/>
        </w:rPr>
        <w:t>contagem</w:t>
      </w:r>
      <w:proofErr w:type="gramEnd"/>
      <w:r>
        <w:rPr>
          <w:sz w:val="16"/>
        </w:rPr>
        <w:t xml:space="preserve"> de neutrófilos (atual ou</w:t>
      </w:r>
      <w:r>
        <w:rPr>
          <w:spacing w:val="-5"/>
          <w:sz w:val="16"/>
        </w:rPr>
        <w:t xml:space="preserve"> </w:t>
      </w:r>
      <w:r>
        <w:rPr>
          <w:sz w:val="16"/>
        </w:rPr>
        <w:t>prevista);</w:t>
      </w:r>
    </w:p>
    <w:p w:rsidR="00AB6593" w:rsidRDefault="00791C81">
      <w:pPr>
        <w:pStyle w:val="PargrafodaLista"/>
        <w:numPr>
          <w:ilvl w:val="1"/>
          <w:numId w:val="5"/>
        </w:numPr>
        <w:tabs>
          <w:tab w:val="left" w:pos="761"/>
        </w:tabs>
        <w:spacing w:line="183" w:lineRule="exact"/>
        <w:ind w:firstLine="566"/>
        <w:rPr>
          <w:sz w:val="16"/>
        </w:rPr>
      </w:pPr>
      <w:proofErr w:type="gramStart"/>
      <w:r>
        <w:rPr>
          <w:sz w:val="16"/>
        </w:rPr>
        <w:t>condições</w:t>
      </w:r>
      <w:proofErr w:type="gramEnd"/>
      <w:r>
        <w:rPr>
          <w:sz w:val="16"/>
        </w:rPr>
        <w:t xml:space="preserve"> relacionadas ao paciente (fatores de risco): idade, presença de</w:t>
      </w:r>
      <w:r>
        <w:rPr>
          <w:spacing w:val="-16"/>
          <w:sz w:val="16"/>
        </w:rPr>
        <w:t xml:space="preserve"> </w:t>
      </w:r>
      <w:r>
        <w:rPr>
          <w:sz w:val="16"/>
        </w:rPr>
        <w:t>comorbidades;</w:t>
      </w:r>
    </w:p>
    <w:p w:rsidR="00AB6593" w:rsidRDefault="00791C81">
      <w:pPr>
        <w:pStyle w:val="PargrafodaLista"/>
        <w:numPr>
          <w:ilvl w:val="1"/>
          <w:numId w:val="5"/>
        </w:numPr>
        <w:tabs>
          <w:tab w:val="left" w:pos="761"/>
        </w:tabs>
        <w:spacing w:line="183" w:lineRule="exact"/>
        <w:ind w:firstLine="566"/>
        <w:rPr>
          <w:sz w:val="16"/>
        </w:rPr>
      </w:pPr>
      <w:proofErr w:type="gramStart"/>
      <w:r>
        <w:rPr>
          <w:sz w:val="16"/>
        </w:rPr>
        <w:t>condições</w:t>
      </w:r>
      <w:proofErr w:type="gramEnd"/>
      <w:r>
        <w:rPr>
          <w:sz w:val="16"/>
        </w:rPr>
        <w:t xml:space="preserve"> clínicas significativas, história de radio- ou</w:t>
      </w:r>
      <w:r>
        <w:rPr>
          <w:spacing w:val="-11"/>
          <w:sz w:val="16"/>
        </w:rPr>
        <w:t xml:space="preserve"> </w:t>
      </w:r>
      <w:r>
        <w:rPr>
          <w:sz w:val="16"/>
        </w:rPr>
        <w:t>quimioterapiaprévias;</w:t>
      </w:r>
    </w:p>
    <w:p w:rsidR="00AB6593" w:rsidRDefault="00791C81">
      <w:pPr>
        <w:pStyle w:val="PargrafodaLista"/>
        <w:numPr>
          <w:ilvl w:val="1"/>
          <w:numId w:val="5"/>
        </w:numPr>
        <w:tabs>
          <w:tab w:val="left" w:pos="761"/>
        </w:tabs>
        <w:spacing w:before="1"/>
        <w:ind w:firstLine="566"/>
        <w:rPr>
          <w:sz w:val="16"/>
        </w:rPr>
      </w:pPr>
      <w:proofErr w:type="gramStart"/>
      <w:r>
        <w:rPr>
          <w:sz w:val="16"/>
        </w:rPr>
        <w:t>doença</w:t>
      </w:r>
      <w:proofErr w:type="gramEnd"/>
      <w:r>
        <w:rPr>
          <w:sz w:val="16"/>
        </w:rPr>
        <w:t xml:space="preserve"> de</w:t>
      </w:r>
      <w:r>
        <w:rPr>
          <w:spacing w:val="-6"/>
          <w:sz w:val="16"/>
        </w:rPr>
        <w:t xml:space="preserve"> </w:t>
      </w:r>
      <w:r>
        <w:rPr>
          <w:sz w:val="16"/>
        </w:rPr>
        <w:t>base;</w:t>
      </w:r>
    </w:p>
    <w:p w:rsidR="00AB6593" w:rsidRDefault="00791C81">
      <w:pPr>
        <w:pStyle w:val="PargrafodaLista"/>
        <w:numPr>
          <w:ilvl w:val="1"/>
          <w:numId w:val="5"/>
        </w:numPr>
        <w:tabs>
          <w:tab w:val="left" w:pos="761"/>
        </w:tabs>
        <w:spacing w:before="1" w:line="183" w:lineRule="exact"/>
        <w:ind w:firstLine="566"/>
        <w:rPr>
          <w:sz w:val="16"/>
        </w:rPr>
      </w:pPr>
      <w:proofErr w:type="gramStart"/>
      <w:r>
        <w:rPr>
          <w:sz w:val="16"/>
        </w:rPr>
        <w:t>toxicidade</w:t>
      </w:r>
      <w:proofErr w:type="gramEnd"/>
      <w:r>
        <w:rPr>
          <w:sz w:val="16"/>
        </w:rPr>
        <w:t xml:space="preserve"> do tratamento;</w:t>
      </w:r>
      <w:r>
        <w:rPr>
          <w:spacing w:val="-5"/>
          <w:sz w:val="16"/>
        </w:rPr>
        <w:t xml:space="preserve"> </w:t>
      </w:r>
      <w:r>
        <w:rPr>
          <w:sz w:val="16"/>
        </w:rPr>
        <w:t>e</w:t>
      </w:r>
    </w:p>
    <w:p w:rsidR="00AB6593" w:rsidRDefault="00791C81">
      <w:pPr>
        <w:pStyle w:val="PargrafodaLista"/>
        <w:numPr>
          <w:ilvl w:val="1"/>
          <w:numId w:val="5"/>
        </w:numPr>
        <w:tabs>
          <w:tab w:val="left" w:pos="761"/>
        </w:tabs>
        <w:spacing w:line="183" w:lineRule="exact"/>
        <w:ind w:firstLine="566"/>
        <w:rPr>
          <w:sz w:val="16"/>
        </w:rPr>
      </w:pPr>
      <w:proofErr w:type="gramStart"/>
      <w:r>
        <w:rPr>
          <w:sz w:val="16"/>
        </w:rPr>
        <w:t>intenção</w:t>
      </w:r>
      <w:proofErr w:type="gramEnd"/>
      <w:r>
        <w:rPr>
          <w:sz w:val="16"/>
        </w:rPr>
        <w:t xml:space="preserve"> do tratamento (curativo ou</w:t>
      </w:r>
      <w:r>
        <w:rPr>
          <w:spacing w:val="-8"/>
          <w:sz w:val="16"/>
        </w:rPr>
        <w:t xml:space="preserve"> </w:t>
      </w:r>
      <w:r>
        <w:rPr>
          <w:sz w:val="16"/>
        </w:rPr>
        <w:t>paliativo).</w:t>
      </w:r>
    </w:p>
    <w:p w:rsidR="00AB6593" w:rsidRDefault="00791C81">
      <w:pPr>
        <w:pStyle w:val="Corpodetexto"/>
        <w:spacing w:before="1"/>
        <w:ind w:right="116"/>
        <w:jc w:val="both"/>
      </w:pPr>
      <w:r>
        <w:t>Há consenso internacional quanto à indicação dos fatores estimulantes de linhagem mieloide para tratamento da neutropenia em pacientes com doenças de origem hematopoética, embasados por ensaios clínicos rando</w:t>
      </w:r>
      <w:r>
        <w:t>mizados (</w:t>
      </w:r>
      <w:proofErr w:type="gramStart"/>
      <w:r>
        <w:t>25,</w:t>
      </w:r>
      <w:proofErr w:type="gramEnd"/>
      <w:r>
        <w:t>55,60,63-66) e meta-análises (24), em especial na neutropenia crônica grave e na mielodisplasia.</w:t>
      </w:r>
    </w:p>
    <w:p w:rsidR="00AB6593" w:rsidRDefault="00AB6593">
      <w:pPr>
        <w:pStyle w:val="Corpodetexto"/>
        <w:ind w:left="0" w:firstLine="0"/>
      </w:pPr>
    </w:p>
    <w:p w:rsidR="00AB6593" w:rsidRDefault="00791C81">
      <w:pPr>
        <w:pStyle w:val="PargrafodaLista"/>
        <w:numPr>
          <w:ilvl w:val="1"/>
          <w:numId w:val="6"/>
        </w:numPr>
        <w:tabs>
          <w:tab w:val="left" w:pos="910"/>
        </w:tabs>
        <w:spacing w:before="1" w:line="183" w:lineRule="exact"/>
        <w:rPr>
          <w:sz w:val="16"/>
        </w:rPr>
      </w:pPr>
      <w:r>
        <w:rPr>
          <w:sz w:val="16"/>
        </w:rPr>
        <w:t>FÁRMACO</w:t>
      </w:r>
    </w:p>
    <w:p w:rsidR="00AB6593" w:rsidRDefault="00791C81">
      <w:pPr>
        <w:pStyle w:val="PargrafodaLista"/>
        <w:numPr>
          <w:ilvl w:val="1"/>
          <w:numId w:val="5"/>
        </w:numPr>
        <w:tabs>
          <w:tab w:val="left" w:pos="761"/>
        </w:tabs>
        <w:spacing w:line="183" w:lineRule="exact"/>
        <w:ind w:firstLine="566"/>
        <w:rPr>
          <w:sz w:val="16"/>
        </w:rPr>
      </w:pPr>
      <w:r>
        <w:rPr>
          <w:sz w:val="16"/>
        </w:rPr>
        <w:t>Filgrastima (G-CSF): frasco-ampola ou seringa preenchida de 300</w:t>
      </w:r>
      <w:r>
        <w:rPr>
          <w:spacing w:val="-12"/>
          <w:sz w:val="16"/>
        </w:rPr>
        <w:t xml:space="preserve"> </w:t>
      </w:r>
      <w:r>
        <w:rPr>
          <w:sz w:val="16"/>
        </w:rPr>
        <w:t>mcg.</w:t>
      </w:r>
    </w:p>
    <w:p w:rsidR="00AB6593" w:rsidRDefault="00AB6593">
      <w:pPr>
        <w:pStyle w:val="Corpodetexto"/>
        <w:spacing w:before="1"/>
        <w:ind w:left="0" w:firstLine="0"/>
      </w:pPr>
    </w:p>
    <w:p w:rsidR="00AB6593" w:rsidRDefault="00791C81">
      <w:pPr>
        <w:pStyle w:val="PargrafodaLista"/>
        <w:numPr>
          <w:ilvl w:val="1"/>
          <w:numId w:val="6"/>
        </w:numPr>
        <w:tabs>
          <w:tab w:val="left" w:pos="909"/>
        </w:tabs>
        <w:spacing w:line="183" w:lineRule="exact"/>
        <w:ind w:left="908" w:hanging="242"/>
        <w:rPr>
          <w:sz w:val="16"/>
        </w:rPr>
      </w:pPr>
      <w:r>
        <w:rPr>
          <w:sz w:val="16"/>
        </w:rPr>
        <w:t>ESQUEMA DE ADMINISTRAÇÃO E TEMPO DE</w:t>
      </w:r>
      <w:r>
        <w:rPr>
          <w:spacing w:val="-4"/>
          <w:sz w:val="16"/>
        </w:rPr>
        <w:t xml:space="preserve"> </w:t>
      </w:r>
      <w:r>
        <w:rPr>
          <w:sz w:val="16"/>
        </w:rPr>
        <w:t>TRATAMENTO</w:t>
      </w:r>
    </w:p>
    <w:p w:rsidR="00AB6593" w:rsidRDefault="00791C81">
      <w:pPr>
        <w:pStyle w:val="Corpodetexto"/>
        <w:ind w:right="149"/>
      </w:pPr>
      <w:r>
        <w:t xml:space="preserve">De modo geral, utiliza-se o G-CSF na dose de </w:t>
      </w:r>
      <w:proofErr w:type="gramStart"/>
      <w:r>
        <w:t>5</w:t>
      </w:r>
      <w:proofErr w:type="gramEnd"/>
      <w:r>
        <w:t xml:space="preserve"> mcg/kg/dia, na maioria das indicações. Na mobilização de células-tronco periféricas (CTP) para transplante, emprega-se, usualmente, a dose de 10 mcg/kg/dia (12,67-69).</w:t>
      </w:r>
    </w:p>
    <w:p w:rsidR="00AB6593" w:rsidRDefault="00791C81">
      <w:pPr>
        <w:pStyle w:val="PargrafodaLista"/>
        <w:numPr>
          <w:ilvl w:val="1"/>
          <w:numId w:val="5"/>
        </w:numPr>
        <w:tabs>
          <w:tab w:val="left" w:pos="768"/>
        </w:tabs>
        <w:spacing w:before="1"/>
        <w:ind w:right="113" w:firstLine="566"/>
        <w:jc w:val="both"/>
        <w:rPr>
          <w:sz w:val="16"/>
        </w:rPr>
      </w:pPr>
      <w:r>
        <w:rPr>
          <w:sz w:val="16"/>
        </w:rPr>
        <w:t>Neutropenia crônica (constitucional) grav</w:t>
      </w:r>
      <w:r>
        <w:rPr>
          <w:sz w:val="16"/>
        </w:rPr>
        <w:t xml:space="preserve">e (neutropenia congênita, cíclica e idiopática): resposta clínica ocorre com doses entre </w:t>
      </w:r>
      <w:proofErr w:type="gramStart"/>
      <w:r>
        <w:rPr>
          <w:sz w:val="16"/>
        </w:rPr>
        <w:t>1</w:t>
      </w:r>
      <w:proofErr w:type="gramEnd"/>
      <w:r>
        <w:rPr>
          <w:sz w:val="16"/>
        </w:rPr>
        <w:t xml:space="preserve"> e 10 mcg/kg/dia, em administração única diária ou a cada 48 horas em longo prazo (15). Recomenda-se iniciar com </w:t>
      </w:r>
      <w:proofErr w:type="gramStart"/>
      <w:r>
        <w:rPr>
          <w:sz w:val="16"/>
        </w:rPr>
        <w:t>5</w:t>
      </w:r>
      <w:proofErr w:type="gramEnd"/>
      <w:r>
        <w:rPr>
          <w:sz w:val="16"/>
        </w:rPr>
        <w:t xml:space="preserve"> mcg/kg/dia, podendo-se escalonar até 10 mcg/kg/dia </w:t>
      </w:r>
      <w:r>
        <w:rPr>
          <w:sz w:val="16"/>
        </w:rPr>
        <w:t>em caso de não resposta, com incrementos posteriores de 10 mcg/kg/dia a cada 14 dias, até a obtenção de uma contagem de neutrófilos superior a 1000-1.500/mm</w:t>
      </w:r>
      <w:r>
        <w:rPr>
          <w:sz w:val="16"/>
          <w:vertAlign w:val="superscript"/>
        </w:rPr>
        <w:t>3</w:t>
      </w:r>
      <w:r>
        <w:rPr>
          <w:sz w:val="16"/>
        </w:rPr>
        <w:t xml:space="preserve"> (15,28,64,70-72). Em seguida, reduzir a dose progressivamente e utilizar a menor dose suficiente p</w:t>
      </w:r>
      <w:r>
        <w:rPr>
          <w:sz w:val="16"/>
        </w:rPr>
        <w:t>ara manter as contagens de neutrófilos acima de 500/mm</w:t>
      </w:r>
      <w:r>
        <w:rPr>
          <w:sz w:val="16"/>
          <w:vertAlign w:val="superscript"/>
        </w:rPr>
        <w:t>3</w:t>
      </w:r>
      <w:r>
        <w:rPr>
          <w:sz w:val="16"/>
        </w:rPr>
        <w:t xml:space="preserve"> (</w:t>
      </w:r>
      <w:proofErr w:type="gramStart"/>
      <w:r>
        <w:rPr>
          <w:sz w:val="16"/>
        </w:rPr>
        <w:t>15,</w:t>
      </w:r>
      <w:proofErr w:type="gramEnd"/>
      <w:r>
        <w:rPr>
          <w:sz w:val="16"/>
        </w:rPr>
        <w:t xml:space="preserve">28,64,70-72). Consideram-se não respondedores os pacientes que não tenham obtido contagem satisfatória (para esta indicação específica) com até </w:t>
      </w:r>
      <w:r>
        <w:rPr>
          <w:spacing w:val="-2"/>
          <w:sz w:val="16"/>
        </w:rPr>
        <w:t xml:space="preserve">120 </w:t>
      </w:r>
      <w:r>
        <w:rPr>
          <w:sz w:val="16"/>
        </w:rPr>
        <w:t>mcg/kg/dia</w:t>
      </w:r>
      <w:r>
        <w:rPr>
          <w:spacing w:val="-4"/>
          <w:sz w:val="16"/>
        </w:rPr>
        <w:t xml:space="preserve"> </w:t>
      </w:r>
      <w:r>
        <w:rPr>
          <w:sz w:val="16"/>
        </w:rPr>
        <w:t>de</w:t>
      </w:r>
      <w:r>
        <w:rPr>
          <w:spacing w:val="-3"/>
          <w:sz w:val="16"/>
        </w:rPr>
        <w:t xml:space="preserve"> </w:t>
      </w:r>
      <w:r>
        <w:rPr>
          <w:sz w:val="16"/>
        </w:rPr>
        <w:t>G-CSF. Em</w:t>
      </w:r>
      <w:r>
        <w:rPr>
          <w:spacing w:val="-2"/>
          <w:sz w:val="16"/>
        </w:rPr>
        <w:t xml:space="preserve"> </w:t>
      </w:r>
      <w:r>
        <w:rPr>
          <w:sz w:val="16"/>
        </w:rPr>
        <w:t>tais</w:t>
      </w:r>
      <w:r>
        <w:rPr>
          <w:spacing w:val="-3"/>
          <w:sz w:val="16"/>
        </w:rPr>
        <w:t xml:space="preserve"> </w:t>
      </w:r>
      <w:r>
        <w:rPr>
          <w:sz w:val="16"/>
        </w:rPr>
        <w:t>pacientes, o</w:t>
      </w:r>
      <w:r>
        <w:rPr>
          <w:spacing w:val="-2"/>
          <w:sz w:val="16"/>
        </w:rPr>
        <w:t xml:space="preserve"> </w:t>
      </w:r>
      <w:r>
        <w:rPr>
          <w:sz w:val="16"/>
        </w:rPr>
        <w:t>transp</w:t>
      </w:r>
      <w:r>
        <w:rPr>
          <w:sz w:val="16"/>
        </w:rPr>
        <w:t>lante</w:t>
      </w:r>
      <w:r>
        <w:rPr>
          <w:spacing w:val="-4"/>
          <w:sz w:val="16"/>
        </w:rPr>
        <w:t xml:space="preserve"> </w:t>
      </w:r>
      <w:r>
        <w:rPr>
          <w:sz w:val="16"/>
        </w:rPr>
        <w:t>de</w:t>
      </w:r>
      <w:r>
        <w:rPr>
          <w:spacing w:val="-3"/>
          <w:sz w:val="16"/>
        </w:rPr>
        <w:t xml:space="preserve"> </w:t>
      </w:r>
      <w:r>
        <w:rPr>
          <w:sz w:val="16"/>
        </w:rPr>
        <w:t>células-tronco</w:t>
      </w:r>
      <w:r>
        <w:rPr>
          <w:spacing w:val="-2"/>
          <w:sz w:val="16"/>
        </w:rPr>
        <w:t xml:space="preserve"> </w:t>
      </w:r>
      <w:r>
        <w:rPr>
          <w:sz w:val="16"/>
        </w:rPr>
        <w:t>hematopoéticas</w:t>
      </w:r>
      <w:r>
        <w:rPr>
          <w:spacing w:val="-3"/>
          <w:sz w:val="16"/>
        </w:rPr>
        <w:t xml:space="preserve"> </w:t>
      </w:r>
      <w:r>
        <w:rPr>
          <w:sz w:val="16"/>
        </w:rPr>
        <w:t>(TCTH)</w:t>
      </w:r>
      <w:r>
        <w:rPr>
          <w:spacing w:val="-3"/>
          <w:sz w:val="16"/>
        </w:rPr>
        <w:t xml:space="preserve"> </w:t>
      </w:r>
      <w:r>
        <w:rPr>
          <w:sz w:val="16"/>
        </w:rPr>
        <w:t>ou terapias</w:t>
      </w:r>
      <w:r>
        <w:rPr>
          <w:spacing w:val="-3"/>
          <w:sz w:val="16"/>
        </w:rPr>
        <w:t xml:space="preserve"> </w:t>
      </w:r>
      <w:r>
        <w:rPr>
          <w:sz w:val="16"/>
        </w:rPr>
        <w:t>adicionais</w:t>
      </w:r>
      <w:r>
        <w:rPr>
          <w:spacing w:val="-3"/>
          <w:sz w:val="16"/>
        </w:rPr>
        <w:t xml:space="preserve"> </w:t>
      </w:r>
      <w:r>
        <w:rPr>
          <w:sz w:val="16"/>
        </w:rPr>
        <w:t>devem</w:t>
      </w:r>
      <w:r>
        <w:rPr>
          <w:spacing w:val="-2"/>
          <w:sz w:val="16"/>
        </w:rPr>
        <w:t xml:space="preserve"> </w:t>
      </w:r>
      <w:r>
        <w:rPr>
          <w:sz w:val="16"/>
        </w:rPr>
        <w:t>ser</w:t>
      </w:r>
      <w:r>
        <w:rPr>
          <w:spacing w:val="-2"/>
          <w:sz w:val="16"/>
        </w:rPr>
        <w:t xml:space="preserve"> </w:t>
      </w:r>
      <w:r>
        <w:rPr>
          <w:sz w:val="16"/>
        </w:rPr>
        <w:t>considerados</w:t>
      </w:r>
      <w:r>
        <w:rPr>
          <w:spacing w:val="-3"/>
          <w:sz w:val="16"/>
        </w:rPr>
        <w:t xml:space="preserve"> </w:t>
      </w:r>
      <w:r>
        <w:rPr>
          <w:sz w:val="16"/>
        </w:rPr>
        <w:t>(73).</w:t>
      </w:r>
    </w:p>
    <w:p w:rsidR="00AB6593" w:rsidRDefault="00791C81">
      <w:pPr>
        <w:pStyle w:val="PargrafodaLista"/>
        <w:numPr>
          <w:ilvl w:val="1"/>
          <w:numId w:val="5"/>
        </w:numPr>
        <w:tabs>
          <w:tab w:val="left" w:pos="790"/>
        </w:tabs>
        <w:spacing w:before="1"/>
        <w:ind w:right="113" w:firstLine="566"/>
        <w:jc w:val="both"/>
        <w:rPr>
          <w:sz w:val="16"/>
        </w:rPr>
      </w:pPr>
      <w:r>
        <w:rPr>
          <w:sz w:val="16"/>
        </w:rPr>
        <w:t xml:space="preserve">Anemia aplástica grave </w:t>
      </w:r>
      <w:proofErr w:type="gramStart"/>
      <w:r>
        <w:rPr>
          <w:sz w:val="16"/>
        </w:rPr>
        <w:t>sob terapia</w:t>
      </w:r>
      <w:proofErr w:type="gramEnd"/>
      <w:r>
        <w:rPr>
          <w:sz w:val="16"/>
        </w:rPr>
        <w:t xml:space="preserve"> com imunossupressão (ciclosporina, corticoide e soro antitimocítico ou antilinfocítico): seu uso dependerá do julgamento cl</w:t>
      </w:r>
      <w:r>
        <w:rPr>
          <w:sz w:val="16"/>
        </w:rPr>
        <w:t xml:space="preserve">ínico em situações específicas (56-58,60). Quando utilizado, deve ser iniciado, na dose de </w:t>
      </w:r>
      <w:proofErr w:type="gramStart"/>
      <w:r>
        <w:rPr>
          <w:sz w:val="16"/>
        </w:rPr>
        <w:t>5</w:t>
      </w:r>
      <w:proofErr w:type="gramEnd"/>
      <w:r>
        <w:rPr>
          <w:sz w:val="16"/>
        </w:rPr>
        <w:t xml:space="preserve"> mcg/kg/dia, se contagem de neutrófilos abaixo de 200/mm</w:t>
      </w:r>
      <w:r>
        <w:rPr>
          <w:sz w:val="16"/>
          <w:vertAlign w:val="superscript"/>
        </w:rPr>
        <w:t>3</w:t>
      </w:r>
      <w:r>
        <w:rPr>
          <w:sz w:val="16"/>
        </w:rPr>
        <w:t xml:space="preserve"> no momento do início do esquema de imunossupressão. Manter o tratamento por até 90 dias, ou interromper an</w:t>
      </w:r>
      <w:r>
        <w:rPr>
          <w:sz w:val="16"/>
        </w:rPr>
        <w:t>tes caso ocorra resposta da doença de base à terapia</w:t>
      </w:r>
      <w:r>
        <w:rPr>
          <w:spacing w:val="-2"/>
          <w:sz w:val="16"/>
        </w:rPr>
        <w:t xml:space="preserve"> </w:t>
      </w:r>
      <w:r>
        <w:rPr>
          <w:sz w:val="16"/>
        </w:rPr>
        <w:t>imunossupressora;</w:t>
      </w:r>
    </w:p>
    <w:p w:rsidR="00AB6593" w:rsidRDefault="00791C81">
      <w:pPr>
        <w:pStyle w:val="PargrafodaLista"/>
        <w:numPr>
          <w:ilvl w:val="1"/>
          <w:numId w:val="5"/>
        </w:numPr>
        <w:tabs>
          <w:tab w:val="left" w:pos="780"/>
        </w:tabs>
        <w:ind w:right="111" w:firstLine="566"/>
        <w:jc w:val="both"/>
        <w:rPr>
          <w:sz w:val="16"/>
        </w:rPr>
      </w:pPr>
      <w:r>
        <w:rPr>
          <w:sz w:val="16"/>
        </w:rPr>
        <w:t xml:space="preserve">Mielodisplasia com neutropenia grave e infecção de repetição: iniciar com </w:t>
      </w:r>
      <w:proofErr w:type="gramStart"/>
      <w:r>
        <w:rPr>
          <w:sz w:val="16"/>
        </w:rPr>
        <w:t>5</w:t>
      </w:r>
      <w:proofErr w:type="gramEnd"/>
      <w:r>
        <w:rPr>
          <w:sz w:val="16"/>
        </w:rPr>
        <w:t xml:space="preserve"> mcg/kg/dia se a contagem de neutrófilos estiver abaixo de 500/mm</w:t>
      </w:r>
      <w:r>
        <w:rPr>
          <w:sz w:val="16"/>
          <w:vertAlign w:val="superscript"/>
        </w:rPr>
        <w:t>3</w:t>
      </w:r>
      <w:r>
        <w:rPr>
          <w:sz w:val="16"/>
        </w:rPr>
        <w:t xml:space="preserve"> e ocorrerem infecções resistentes ou de rep</w:t>
      </w:r>
      <w:r>
        <w:rPr>
          <w:sz w:val="16"/>
        </w:rPr>
        <w:t>etição que necessitem de hospitalização (30,37,41,74). Manter o uso na dose indicada até a obtenção de uma contagem estável de neutrófilos superior a 1.000/mm</w:t>
      </w:r>
      <w:r>
        <w:rPr>
          <w:sz w:val="16"/>
          <w:vertAlign w:val="superscript"/>
        </w:rPr>
        <w:t>3</w:t>
      </w:r>
      <w:r>
        <w:rPr>
          <w:sz w:val="16"/>
        </w:rPr>
        <w:t xml:space="preserve"> (41). Em seguida, reduzir a dose progressivamente e utilizar a menor dose suficiente para manter</w:t>
      </w:r>
      <w:r>
        <w:rPr>
          <w:sz w:val="16"/>
        </w:rPr>
        <w:t xml:space="preserve"> as contagens de neutrófilos acima de 500/mm</w:t>
      </w:r>
      <w:r>
        <w:rPr>
          <w:sz w:val="16"/>
          <w:vertAlign w:val="superscript"/>
        </w:rPr>
        <w:t>3</w:t>
      </w:r>
      <w:r>
        <w:rPr>
          <w:sz w:val="16"/>
        </w:rPr>
        <w:t>. A administração pode ser mantida de forma intermitente (duas ou três vezes por semana), em doses baixas (1-5 mcg/kg/dia), associada ou não à alfaepoetina, ajustando-se a dose à resposta obtida (</w:t>
      </w:r>
      <w:proofErr w:type="gramStart"/>
      <w:r>
        <w:rPr>
          <w:sz w:val="16"/>
        </w:rPr>
        <w:t>30,</w:t>
      </w:r>
      <w:proofErr w:type="gramEnd"/>
      <w:r>
        <w:rPr>
          <w:sz w:val="16"/>
        </w:rPr>
        <w:t>37,41,68,74). Para o efeito sinérgico com a alfaepoetina,</w:t>
      </w:r>
      <w:r>
        <w:rPr>
          <w:sz w:val="16"/>
        </w:rPr>
        <w:t xml:space="preserve"> uma dose média diária ou intermitente (duas ou três vezes por semana) de 1-2 mcg/kg/dia costuma ser eficaz na normalização da contagem de neutrófilos (</w:t>
      </w:r>
      <w:proofErr w:type="gramStart"/>
      <w:r>
        <w:rPr>
          <w:sz w:val="16"/>
        </w:rPr>
        <w:t>42,</w:t>
      </w:r>
      <w:proofErr w:type="gramEnd"/>
      <w:r>
        <w:rPr>
          <w:sz w:val="16"/>
        </w:rPr>
        <w:t>45,74,75). [</w:t>
      </w:r>
      <w:proofErr w:type="gramStart"/>
      <w:r>
        <w:rPr>
          <w:sz w:val="16"/>
        </w:rPr>
        <w:t>NOTA:</w:t>
      </w:r>
      <w:proofErr w:type="gramEnd"/>
      <w:r>
        <w:rPr>
          <w:sz w:val="16"/>
        </w:rPr>
        <w:t>Ver o</w:t>
      </w:r>
      <w:r>
        <w:rPr>
          <w:spacing w:val="38"/>
          <w:sz w:val="16"/>
        </w:rPr>
        <w:t xml:space="preserve"> </w:t>
      </w:r>
      <w:r>
        <w:rPr>
          <w:sz w:val="16"/>
        </w:rPr>
        <w:t>item</w:t>
      </w:r>
    </w:p>
    <w:p w:rsidR="00AB6593" w:rsidRDefault="00791C81">
      <w:pPr>
        <w:pStyle w:val="PargrafodaLista"/>
        <w:numPr>
          <w:ilvl w:val="0"/>
          <w:numId w:val="3"/>
        </w:numPr>
        <w:tabs>
          <w:tab w:val="left" w:pos="340"/>
        </w:tabs>
        <w:ind w:hanging="239"/>
        <w:rPr>
          <w:sz w:val="16"/>
        </w:rPr>
      </w:pPr>
      <w:r>
        <w:rPr>
          <w:sz w:val="16"/>
        </w:rPr>
        <w:t>REGULAÇÃO/CONTROLE/AVALIAÇÃO PELO GESTOR.</w:t>
      </w:r>
      <w:proofErr w:type="gramStart"/>
      <w:r>
        <w:rPr>
          <w:sz w:val="16"/>
        </w:rPr>
        <w:t>]</w:t>
      </w:r>
      <w:proofErr w:type="gramEnd"/>
    </w:p>
    <w:p w:rsidR="00AB6593" w:rsidRDefault="00AB6593">
      <w:pPr>
        <w:pStyle w:val="Corpodetexto"/>
        <w:ind w:left="0" w:firstLine="0"/>
      </w:pPr>
    </w:p>
    <w:p w:rsidR="00AB6593" w:rsidRDefault="00791C81">
      <w:pPr>
        <w:pStyle w:val="Corpodetexto"/>
        <w:ind w:right="149"/>
      </w:pPr>
      <w:r>
        <w:t>A administração de filgrastim</w:t>
      </w:r>
      <w:r>
        <w:t>a pode ser feita por infusão intravenosa ou por via subcutânea. A via subcutânea deve ser preferencialmente utilizada, uma vez que há evidências de maior duração do efeito com semelhante tolerabilidade e melhor relação custo-benefício (</w:t>
      </w:r>
      <w:proofErr w:type="gramStart"/>
      <w:r>
        <w:t>12,</w:t>
      </w:r>
      <w:proofErr w:type="gramEnd"/>
      <w:r>
        <w:t>67,68,76,77).</w:t>
      </w:r>
    </w:p>
    <w:p w:rsidR="00AB6593" w:rsidRDefault="00AB6593">
      <w:pPr>
        <w:pStyle w:val="Corpodetexto"/>
        <w:ind w:left="0" w:firstLine="0"/>
      </w:pPr>
    </w:p>
    <w:p w:rsidR="00AB6593" w:rsidRDefault="00791C81">
      <w:pPr>
        <w:pStyle w:val="PargrafodaLista"/>
        <w:numPr>
          <w:ilvl w:val="1"/>
          <w:numId w:val="6"/>
        </w:numPr>
        <w:tabs>
          <w:tab w:val="left" w:pos="907"/>
        </w:tabs>
        <w:spacing w:line="183" w:lineRule="exact"/>
        <w:ind w:left="906" w:hanging="240"/>
        <w:rPr>
          <w:sz w:val="16"/>
        </w:rPr>
      </w:pPr>
      <w:r>
        <w:rPr>
          <w:sz w:val="16"/>
        </w:rPr>
        <w:t>Cu</w:t>
      </w:r>
      <w:r>
        <w:rPr>
          <w:sz w:val="16"/>
        </w:rPr>
        <w:t>idados</w:t>
      </w:r>
      <w:r>
        <w:rPr>
          <w:spacing w:val="-3"/>
          <w:sz w:val="16"/>
        </w:rPr>
        <w:t xml:space="preserve"> </w:t>
      </w:r>
      <w:r>
        <w:rPr>
          <w:sz w:val="16"/>
        </w:rPr>
        <w:t>Especiais</w:t>
      </w:r>
    </w:p>
    <w:p w:rsidR="00AB6593" w:rsidRDefault="00791C81">
      <w:pPr>
        <w:pStyle w:val="PargrafodaLista"/>
        <w:numPr>
          <w:ilvl w:val="1"/>
          <w:numId w:val="3"/>
        </w:numPr>
        <w:tabs>
          <w:tab w:val="left" w:pos="761"/>
        </w:tabs>
        <w:spacing w:line="183" w:lineRule="exact"/>
        <w:ind w:firstLine="566"/>
        <w:rPr>
          <w:sz w:val="16"/>
        </w:rPr>
      </w:pPr>
      <w:r>
        <w:rPr>
          <w:sz w:val="16"/>
        </w:rPr>
        <w:t>Não</w:t>
      </w:r>
      <w:r>
        <w:rPr>
          <w:spacing w:val="-2"/>
          <w:sz w:val="16"/>
        </w:rPr>
        <w:t xml:space="preserve"> </w:t>
      </w:r>
      <w:r>
        <w:rPr>
          <w:sz w:val="16"/>
        </w:rPr>
        <w:t>se</w:t>
      </w:r>
      <w:r>
        <w:rPr>
          <w:spacing w:val="-3"/>
          <w:sz w:val="16"/>
        </w:rPr>
        <w:t xml:space="preserve"> </w:t>
      </w:r>
      <w:r>
        <w:rPr>
          <w:sz w:val="16"/>
        </w:rPr>
        <w:t>recomenda</w:t>
      </w:r>
      <w:r>
        <w:rPr>
          <w:spacing w:val="1"/>
          <w:sz w:val="16"/>
        </w:rPr>
        <w:t xml:space="preserve"> </w:t>
      </w:r>
      <w:r>
        <w:rPr>
          <w:sz w:val="16"/>
        </w:rPr>
        <w:t>o</w:t>
      </w:r>
      <w:r>
        <w:rPr>
          <w:spacing w:val="-2"/>
          <w:sz w:val="16"/>
        </w:rPr>
        <w:t xml:space="preserve"> </w:t>
      </w:r>
      <w:r>
        <w:rPr>
          <w:sz w:val="16"/>
        </w:rPr>
        <w:t>escalonamento</w:t>
      </w:r>
      <w:r>
        <w:rPr>
          <w:spacing w:val="-3"/>
          <w:sz w:val="16"/>
        </w:rPr>
        <w:t xml:space="preserve"> </w:t>
      </w:r>
      <w:r>
        <w:rPr>
          <w:sz w:val="16"/>
        </w:rPr>
        <w:t>de</w:t>
      </w:r>
      <w:r>
        <w:rPr>
          <w:spacing w:val="-3"/>
          <w:sz w:val="16"/>
        </w:rPr>
        <w:t xml:space="preserve"> </w:t>
      </w:r>
      <w:r>
        <w:rPr>
          <w:sz w:val="16"/>
        </w:rPr>
        <w:t>doses que</w:t>
      </w:r>
      <w:r>
        <w:rPr>
          <w:spacing w:val="-3"/>
          <w:sz w:val="16"/>
        </w:rPr>
        <w:t xml:space="preserve"> </w:t>
      </w:r>
      <w:r>
        <w:rPr>
          <w:sz w:val="16"/>
        </w:rPr>
        <w:t>não</w:t>
      </w:r>
      <w:r>
        <w:rPr>
          <w:spacing w:val="-1"/>
          <w:sz w:val="16"/>
        </w:rPr>
        <w:t xml:space="preserve"> </w:t>
      </w:r>
      <w:r>
        <w:rPr>
          <w:sz w:val="16"/>
        </w:rPr>
        <w:t>seja em</w:t>
      </w:r>
      <w:r>
        <w:rPr>
          <w:spacing w:val="-3"/>
          <w:sz w:val="16"/>
        </w:rPr>
        <w:t xml:space="preserve"> </w:t>
      </w:r>
      <w:r>
        <w:rPr>
          <w:sz w:val="16"/>
        </w:rPr>
        <w:t>caso</w:t>
      </w:r>
      <w:r>
        <w:rPr>
          <w:spacing w:val="-3"/>
          <w:sz w:val="16"/>
        </w:rPr>
        <w:t xml:space="preserve"> </w:t>
      </w:r>
      <w:r>
        <w:rPr>
          <w:sz w:val="16"/>
        </w:rPr>
        <w:t>de</w:t>
      </w:r>
      <w:r>
        <w:rPr>
          <w:spacing w:val="-3"/>
          <w:sz w:val="16"/>
        </w:rPr>
        <w:t xml:space="preserve"> </w:t>
      </w:r>
      <w:r>
        <w:rPr>
          <w:sz w:val="16"/>
        </w:rPr>
        <w:t>neutropenia</w:t>
      </w:r>
      <w:r>
        <w:rPr>
          <w:spacing w:val="-2"/>
          <w:sz w:val="16"/>
        </w:rPr>
        <w:t xml:space="preserve"> </w:t>
      </w:r>
      <w:r>
        <w:rPr>
          <w:sz w:val="16"/>
        </w:rPr>
        <w:t>crônica</w:t>
      </w:r>
      <w:r>
        <w:rPr>
          <w:spacing w:val="-3"/>
          <w:sz w:val="16"/>
        </w:rPr>
        <w:t xml:space="preserve"> </w:t>
      </w:r>
      <w:r>
        <w:rPr>
          <w:sz w:val="16"/>
        </w:rPr>
        <w:t>(constitucional)</w:t>
      </w:r>
      <w:r>
        <w:rPr>
          <w:spacing w:val="-1"/>
          <w:sz w:val="16"/>
        </w:rPr>
        <w:t xml:space="preserve"> </w:t>
      </w:r>
      <w:r>
        <w:rPr>
          <w:sz w:val="16"/>
        </w:rPr>
        <w:t>grave ou</w:t>
      </w:r>
      <w:r>
        <w:rPr>
          <w:spacing w:val="-1"/>
          <w:sz w:val="16"/>
        </w:rPr>
        <w:t xml:space="preserve"> </w:t>
      </w:r>
      <w:r>
        <w:rPr>
          <w:sz w:val="16"/>
        </w:rPr>
        <w:t>de</w:t>
      </w:r>
      <w:r>
        <w:rPr>
          <w:spacing w:val="-3"/>
          <w:sz w:val="16"/>
        </w:rPr>
        <w:t xml:space="preserve"> </w:t>
      </w:r>
      <w:r>
        <w:rPr>
          <w:sz w:val="16"/>
        </w:rPr>
        <w:t>TCTH;</w:t>
      </w:r>
    </w:p>
    <w:p w:rsidR="00AB6593" w:rsidRDefault="00791C81">
      <w:pPr>
        <w:pStyle w:val="PargrafodaLista"/>
        <w:numPr>
          <w:ilvl w:val="1"/>
          <w:numId w:val="3"/>
        </w:numPr>
        <w:tabs>
          <w:tab w:val="left" w:pos="768"/>
        </w:tabs>
        <w:spacing w:before="1"/>
        <w:ind w:right="118" w:firstLine="566"/>
        <w:jc w:val="both"/>
        <w:rPr>
          <w:sz w:val="16"/>
        </w:rPr>
      </w:pPr>
      <w:r>
        <w:rPr>
          <w:sz w:val="16"/>
        </w:rPr>
        <w:t>Recomenda-se suspender o uso de G-CSF em caso de leucocitose (contagem de leucócitos superior a 10.000/mm</w:t>
      </w:r>
      <w:r>
        <w:rPr>
          <w:sz w:val="16"/>
          <w:vertAlign w:val="superscript"/>
        </w:rPr>
        <w:t>3</w:t>
      </w:r>
      <w:proofErr w:type="gramStart"/>
      <w:r>
        <w:rPr>
          <w:sz w:val="16"/>
        </w:rPr>
        <w:t>).</w:t>
      </w:r>
      <w:proofErr w:type="gramEnd"/>
      <w:r>
        <w:rPr>
          <w:sz w:val="16"/>
        </w:rPr>
        <w:t>Nas condições em que não se prevê recuperação medular, como nas neutropenias congênitas e nas mielodisplasias, preconiza-se o uso da menor dose possível para manter a contagem de neutrófilos superior a</w:t>
      </w:r>
      <w:r>
        <w:rPr>
          <w:spacing w:val="-4"/>
          <w:sz w:val="16"/>
        </w:rPr>
        <w:t xml:space="preserve"> </w:t>
      </w:r>
      <w:r>
        <w:rPr>
          <w:sz w:val="16"/>
        </w:rPr>
        <w:t>500/mm</w:t>
      </w:r>
      <w:r>
        <w:rPr>
          <w:sz w:val="16"/>
          <w:vertAlign w:val="superscript"/>
        </w:rPr>
        <w:t>3</w:t>
      </w:r>
      <w:r>
        <w:rPr>
          <w:sz w:val="16"/>
        </w:rPr>
        <w:t>;</w:t>
      </w:r>
    </w:p>
    <w:p w:rsidR="00AB6593" w:rsidRDefault="00791C81">
      <w:pPr>
        <w:pStyle w:val="PargrafodaLista"/>
        <w:numPr>
          <w:ilvl w:val="1"/>
          <w:numId w:val="3"/>
        </w:numPr>
        <w:tabs>
          <w:tab w:val="left" w:pos="771"/>
        </w:tabs>
        <w:ind w:right="118" w:firstLine="566"/>
        <w:rPr>
          <w:sz w:val="16"/>
        </w:rPr>
      </w:pPr>
      <w:r>
        <w:rPr>
          <w:sz w:val="16"/>
        </w:rPr>
        <w:t>Em crianças, não há evidências de alteraçõe</w:t>
      </w:r>
      <w:r>
        <w:rPr>
          <w:sz w:val="16"/>
        </w:rPr>
        <w:t>s no crescimento e desenvolvimento, maturação sexual e das funções endócrinas com o uso do G-CSF; os efeitos adversos parecem ser semelhantes aos dos adultos</w:t>
      </w:r>
      <w:r>
        <w:rPr>
          <w:spacing w:val="-6"/>
          <w:sz w:val="16"/>
        </w:rPr>
        <w:t xml:space="preserve"> </w:t>
      </w:r>
      <w:r>
        <w:rPr>
          <w:sz w:val="16"/>
        </w:rPr>
        <w:t>(14).</w:t>
      </w:r>
    </w:p>
    <w:p w:rsidR="00AB6593" w:rsidRDefault="00AB6593">
      <w:pPr>
        <w:pStyle w:val="Corpodetexto"/>
        <w:ind w:left="0" w:firstLine="0"/>
      </w:pPr>
    </w:p>
    <w:p w:rsidR="00AB6593" w:rsidRDefault="00791C81">
      <w:pPr>
        <w:pStyle w:val="PargrafodaLista"/>
        <w:numPr>
          <w:ilvl w:val="1"/>
          <w:numId w:val="6"/>
        </w:numPr>
        <w:tabs>
          <w:tab w:val="left" w:pos="907"/>
        </w:tabs>
        <w:spacing w:line="183" w:lineRule="exact"/>
        <w:ind w:left="906" w:hanging="240"/>
        <w:rPr>
          <w:sz w:val="16"/>
        </w:rPr>
      </w:pPr>
      <w:r>
        <w:rPr>
          <w:sz w:val="16"/>
        </w:rPr>
        <w:t>BENEFÍCIOS</w:t>
      </w:r>
      <w:r>
        <w:rPr>
          <w:spacing w:val="-1"/>
          <w:sz w:val="16"/>
        </w:rPr>
        <w:t xml:space="preserve"> </w:t>
      </w:r>
      <w:r>
        <w:rPr>
          <w:sz w:val="16"/>
        </w:rPr>
        <w:t>ESPERADOS</w:t>
      </w:r>
    </w:p>
    <w:p w:rsidR="00AB6593" w:rsidRDefault="00791C81">
      <w:pPr>
        <w:pStyle w:val="Corpodetexto"/>
        <w:spacing w:line="183" w:lineRule="exact"/>
        <w:ind w:left="666" w:firstLine="0"/>
      </w:pPr>
      <w:r>
        <w:lastRenderedPageBreak/>
        <w:t>8.4.1. Benefícios gerais (evidência consistente) (</w:t>
      </w:r>
      <w:proofErr w:type="gramStart"/>
      <w:r>
        <w:t>3</w:t>
      </w:r>
      <w:proofErr w:type="gramEnd"/>
      <w:r>
        <w:t>,4,6-10,12,18,24,67</w:t>
      </w:r>
      <w:r>
        <w:t>,68,76,78-104)</w:t>
      </w:r>
    </w:p>
    <w:p w:rsidR="00AB6593" w:rsidRDefault="00791C81" w:rsidP="00791C81">
      <w:pPr>
        <w:pStyle w:val="PargrafodaLista"/>
        <w:numPr>
          <w:ilvl w:val="1"/>
          <w:numId w:val="3"/>
        </w:numPr>
        <w:tabs>
          <w:tab w:val="left" w:pos="761"/>
        </w:tabs>
        <w:spacing w:before="1"/>
        <w:ind w:firstLine="566"/>
        <w:rPr>
          <w:sz w:val="16"/>
        </w:rPr>
      </w:pPr>
      <w:r>
        <w:rPr>
          <w:sz w:val="16"/>
        </w:rPr>
        <w:t>Aumento do número de</w:t>
      </w:r>
      <w:r>
        <w:rPr>
          <w:spacing w:val="-10"/>
          <w:sz w:val="16"/>
        </w:rPr>
        <w:t xml:space="preserve"> </w:t>
      </w:r>
      <w:r>
        <w:rPr>
          <w:sz w:val="16"/>
        </w:rPr>
        <w:t>neutrófilos;</w:t>
      </w:r>
    </w:p>
    <w:p w:rsidR="00AB6593" w:rsidRDefault="00791C81">
      <w:pPr>
        <w:pStyle w:val="PargrafodaLista"/>
        <w:numPr>
          <w:ilvl w:val="1"/>
          <w:numId w:val="3"/>
        </w:numPr>
        <w:tabs>
          <w:tab w:val="left" w:pos="761"/>
        </w:tabs>
        <w:spacing w:before="76"/>
        <w:ind w:firstLine="566"/>
        <w:rPr>
          <w:sz w:val="16"/>
        </w:rPr>
      </w:pPr>
      <w:r>
        <w:rPr>
          <w:sz w:val="16"/>
        </w:rPr>
        <w:t>Redução no tempo de</w:t>
      </w:r>
      <w:r>
        <w:rPr>
          <w:spacing w:val="-9"/>
          <w:sz w:val="16"/>
        </w:rPr>
        <w:t xml:space="preserve"> </w:t>
      </w:r>
      <w:r>
        <w:rPr>
          <w:sz w:val="16"/>
        </w:rPr>
        <w:t>neutropenia;</w:t>
      </w:r>
    </w:p>
    <w:p w:rsidR="00AB6593" w:rsidRDefault="00791C81">
      <w:pPr>
        <w:pStyle w:val="PargrafodaLista"/>
        <w:numPr>
          <w:ilvl w:val="1"/>
          <w:numId w:val="3"/>
        </w:numPr>
        <w:tabs>
          <w:tab w:val="left" w:pos="761"/>
        </w:tabs>
        <w:spacing w:before="1" w:line="183" w:lineRule="exact"/>
        <w:ind w:firstLine="566"/>
        <w:rPr>
          <w:sz w:val="16"/>
        </w:rPr>
      </w:pPr>
      <w:r>
        <w:rPr>
          <w:sz w:val="16"/>
        </w:rPr>
        <w:t>Redução na incidência de neutropenia</w:t>
      </w:r>
      <w:r>
        <w:rPr>
          <w:spacing w:val="-9"/>
          <w:sz w:val="16"/>
        </w:rPr>
        <w:t xml:space="preserve"> </w:t>
      </w:r>
      <w:r>
        <w:rPr>
          <w:sz w:val="16"/>
        </w:rPr>
        <w:t>grave;</w:t>
      </w:r>
    </w:p>
    <w:p w:rsidR="00AB6593" w:rsidRDefault="00791C81">
      <w:pPr>
        <w:pStyle w:val="PargrafodaLista"/>
        <w:numPr>
          <w:ilvl w:val="1"/>
          <w:numId w:val="3"/>
        </w:numPr>
        <w:tabs>
          <w:tab w:val="left" w:pos="761"/>
        </w:tabs>
        <w:spacing w:line="183" w:lineRule="exact"/>
        <w:ind w:firstLine="566"/>
        <w:rPr>
          <w:sz w:val="16"/>
        </w:rPr>
      </w:pPr>
      <w:r>
        <w:rPr>
          <w:sz w:val="16"/>
        </w:rPr>
        <w:t>Redução no tempo de neutropenia</w:t>
      </w:r>
      <w:r>
        <w:rPr>
          <w:spacing w:val="-12"/>
          <w:sz w:val="16"/>
        </w:rPr>
        <w:t xml:space="preserve"> </w:t>
      </w:r>
      <w:r>
        <w:rPr>
          <w:sz w:val="16"/>
        </w:rPr>
        <w:t>febril.</w:t>
      </w:r>
    </w:p>
    <w:p w:rsidR="00AB6593" w:rsidRDefault="00AB6593">
      <w:pPr>
        <w:pStyle w:val="Corpodetexto"/>
        <w:spacing w:before="2"/>
        <w:ind w:left="0" w:firstLine="0"/>
      </w:pPr>
    </w:p>
    <w:p w:rsidR="00AB6593" w:rsidRDefault="00791C81">
      <w:pPr>
        <w:pStyle w:val="Corpodetexto"/>
        <w:ind w:left="666" w:right="8071" w:firstLine="0"/>
      </w:pPr>
      <w:r>
        <w:t>8.4.2. Benefícios específicos Anemia aplástica grave (105):</w:t>
      </w:r>
    </w:p>
    <w:p w:rsidR="00AB6593" w:rsidRDefault="00791C81">
      <w:pPr>
        <w:pStyle w:val="PargrafodaLista"/>
        <w:numPr>
          <w:ilvl w:val="1"/>
          <w:numId w:val="3"/>
        </w:numPr>
        <w:tabs>
          <w:tab w:val="left" w:pos="761"/>
        </w:tabs>
        <w:spacing w:line="183" w:lineRule="exact"/>
        <w:ind w:firstLine="566"/>
        <w:rPr>
          <w:sz w:val="16"/>
        </w:rPr>
      </w:pPr>
      <w:r>
        <w:rPr>
          <w:sz w:val="16"/>
        </w:rPr>
        <w:t>Recuperação mais rápida de neutrófilos quando administrado juntamente com a terapia imunossupressora</w:t>
      </w:r>
      <w:r>
        <w:rPr>
          <w:spacing w:val="-20"/>
          <w:sz w:val="16"/>
        </w:rPr>
        <w:t xml:space="preserve"> </w:t>
      </w:r>
      <w:r>
        <w:rPr>
          <w:sz w:val="16"/>
        </w:rPr>
        <w:t>(55-</w:t>
      </w:r>
      <w:proofErr w:type="gramStart"/>
      <w:r>
        <w:rPr>
          <w:sz w:val="16"/>
        </w:rPr>
        <w:t>57,</w:t>
      </w:r>
      <w:proofErr w:type="gramEnd"/>
      <w:r>
        <w:rPr>
          <w:sz w:val="16"/>
        </w:rPr>
        <w:t>60,63,106,107);</w:t>
      </w:r>
    </w:p>
    <w:p w:rsidR="00AB6593" w:rsidRDefault="00791C81">
      <w:pPr>
        <w:pStyle w:val="PargrafodaLista"/>
        <w:numPr>
          <w:ilvl w:val="1"/>
          <w:numId w:val="3"/>
        </w:numPr>
        <w:tabs>
          <w:tab w:val="left" w:pos="761"/>
        </w:tabs>
        <w:spacing w:before="1" w:line="183" w:lineRule="exact"/>
        <w:ind w:firstLine="566"/>
        <w:rPr>
          <w:sz w:val="16"/>
        </w:rPr>
      </w:pPr>
      <w:r>
        <w:rPr>
          <w:sz w:val="16"/>
        </w:rPr>
        <w:t>Redução na taxa de recidiva ou falha com a terapia imunossupressora</w:t>
      </w:r>
      <w:r>
        <w:rPr>
          <w:spacing w:val="-13"/>
          <w:sz w:val="16"/>
        </w:rPr>
        <w:t xml:space="preserve"> </w:t>
      </w:r>
      <w:r>
        <w:rPr>
          <w:sz w:val="16"/>
        </w:rPr>
        <w:t>(</w:t>
      </w:r>
      <w:proofErr w:type="gramStart"/>
      <w:r>
        <w:rPr>
          <w:sz w:val="16"/>
        </w:rPr>
        <w:t>24,</w:t>
      </w:r>
      <w:proofErr w:type="gramEnd"/>
      <w:r>
        <w:rPr>
          <w:sz w:val="16"/>
        </w:rPr>
        <w:t>60,63);</w:t>
      </w:r>
    </w:p>
    <w:p w:rsidR="00AB6593" w:rsidRDefault="00791C81">
      <w:pPr>
        <w:pStyle w:val="PargrafodaLista"/>
        <w:numPr>
          <w:ilvl w:val="1"/>
          <w:numId w:val="3"/>
        </w:numPr>
        <w:tabs>
          <w:tab w:val="left" w:pos="761"/>
        </w:tabs>
        <w:spacing w:line="183" w:lineRule="exact"/>
        <w:ind w:firstLine="566"/>
        <w:rPr>
          <w:sz w:val="16"/>
        </w:rPr>
      </w:pPr>
      <w:r>
        <w:rPr>
          <w:sz w:val="16"/>
        </w:rPr>
        <w:t>De modo menos consistente, redução na taxa de infecç</w:t>
      </w:r>
      <w:r>
        <w:rPr>
          <w:sz w:val="16"/>
        </w:rPr>
        <w:t>ões graves</w:t>
      </w:r>
      <w:r>
        <w:rPr>
          <w:spacing w:val="-13"/>
          <w:sz w:val="16"/>
        </w:rPr>
        <w:t xml:space="preserve"> </w:t>
      </w:r>
      <w:r>
        <w:rPr>
          <w:sz w:val="16"/>
        </w:rPr>
        <w:t>(60).</w:t>
      </w:r>
    </w:p>
    <w:p w:rsidR="00AB6593" w:rsidRDefault="00AB6593">
      <w:pPr>
        <w:pStyle w:val="Corpodetexto"/>
        <w:spacing w:before="1"/>
        <w:ind w:left="0" w:firstLine="0"/>
      </w:pPr>
    </w:p>
    <w:p w:rsidR="00AB6593" w:rsidRDefault="00791C81">
      <w:pPr>
        <w:pStyle w:val="Corpodetexto"/>
        <w:spacing w:line="183" w:lineRule="exact"/>
        <w:ind w:left="666" w:firstLine="0"/>
      </w:pPr>
      <w:r>
        <w:t>Neutropenia crônica grave (15,27-29):</w:t>
      </w:r>
    </w:p>
    <w:p w:rsidR="00AB6593" w:rsidRDefault="00791C81">
      <w:pPr>
        <w:pStyle w:val="PargrafodaLista"/>
        <w:numPr>
          <w:ilvl w:val="1"/>
          <w:numId w:val="3"/>
        </w:numPr>
        <w:tabs>
          <w:tab w:val="left" w:pos="761"/>
        </w:tabs>
        <w:spacing w:line="183" w:lineRule="exact"/>
        <w:ind w:firstLine="566"/>
        <w:rPr>
          <w:sz w:val="16"/>
        </w:rPr>
      </w:pPr>
      <w:r>
        <w:rPr>
          <w:sz w:val="16"/>
        </w:rPr>
        <w:t>Aumento na produção e maturação de neutrófilos</w:t>
      </w:r>
      <w:r>
        <w:rPr>
          <w:spacing w:val="-10"/>
          <w:sz w:val="16"/>
        </w:rPr>
        <w:t xml:space="preserve"> </w:t>
      </w:r>
      <w:r>
        <w:rPr>
          <w:sz w:val="16"/>
        </w:rPr>
        <w:t>(64,108);</w:t>
      </w:r>
    </w:p>
    <w:p w:rsidR="00AB6593" w:rsidRDefault="00791C81">
      <w:pPr>
        <w:pStyle w:val="PargrafodaLista"/>
        <w:numPr>
          <w:ilvl w:val="1"/>
          <w:numId w:val="3"/>
        </w:numPr>
        <w:tabs>
          <w:tab w:val="left" w:pos="761"/>
        </w:tabs>
        <w:spacing w:before="1"/>
        <w:ind w:firstLine="566"/>
        <w:rPr>
          <w:sz w:val="16"/>
        </w:rPr>
      </w:pPr>
      <w:r>
        <w:rPr>
          <w:sz w:val="16"/>
        </w:rPr>
        <w:t>Aumento no número de neutrófilos circulantes em cerca de 90% dos casos</w:t>
      </w:r>
      <w:r>
        <w:rPr>
          <w:spacing w:val="-22"/>
          <w:sz w:val="16"/>
        </w:rPr>
        <w:t xml:space="preserve"> </w:t>
      </w:r>
      <w:r>
        <w:rPr>
          <w:sz w:val="16"/>
        </w:rPr>
        <w:t>(</w:t>
      </w:r>
      <w:proofErr w:type="gramStart"/>
      <w:r>
        <w:rPr>
          <w:sz w:val="16"/>
        </w:rPr>
        <w:t>15,</w:t>
      </w:r>
      <w:proofErr w:type="gramEnd"/>
      <w:r>
        <w:rPr>
          <w:sz w:val="16"/>
        </w:rPr>
        <w:t>64,71);</w:t>
      </w:r>
    </w:p>
    <w:p w:rsidR="00AB6593" w:rsidRDefault="00791C81">
      <w:pPr>
        <w:pStyle w:val="PargrafodaLista"/>
        <w:numPr>
          <w:ilvl w:val="1"/>
          <w:numId w:val="3"/>
        </w:numPr>
        <w:tabs>
          <w:tab w:val="left" w:pos="761"/>
        </w:tabs>
        <w:spacing w:before="1" w:line="183" w:lineRule="exact"/>
        <w:ind w:firstLine="566"/>
        <w:rPr>
          <w:sz w:val="16"/>
        </w:rPr>
      </w:pPr>
      <w:r>
        <w:rPr>
          <w:sz w:val="16"/>
        </w:rPr>
        <w:t>Redução na incidência e duração dos eventos infecciosos</w:t>
      </w:r>
      <w:r>
        <w:rPr>
          <w:spacing w:val="-11"/>
          <w:sz w:val="16"/>
        </w:rPr>
        <w:t xml:space="preserve"> </w:t>
      </w:r>
      <w:r>
        <w:rPr>
          <w:sz w:val="16"/>
        </w:rPr>
        <w:t>(64,</w:t>
      </w:r>
      <w:r>
        <w:rPr>
          <w:sz w:val="16"/>
        </w:rPr>
        <w:t>108);</w:t>
      </w:r>
    </w:p>
    <w:p w:rsidR="00AB6593" w:rsidRDefault="00791C81">
      <w:pPr>
        <w:pStyle w:val="PargrafodaLista"/>
        <w:numPr>
          <w:ilvl w:val="1"/>
          <w:numId w:val="3"/>
        </w:numPr>
        <w:tabs>
          <w:tab w:val="left" w:pos="761"/>
        </w:tabs>
        <w:spacing w:line="183" w:lineRule="exact"/>
        <w:ind w:firstLine="566"/>
        <w:rPr>
          <w:sz w:val="16"/>
        </w:rPr>
      </w:pPr>
      <w:r>
        <w:rPr>
          <w:sz w:val="16"/>
        </w:rPr>
        <w:t>Redução na incidência de infecções</w:t>
      </w:r>
      <w:r>
        <w:rPr>
          <w:spacing w:val="-10"/>
          <w:sz w:val="16"/>
        </w:rPr>
        <w:t xml:space="preserve"> </w:t>
      </w:r>
      <w:proofErr w:type="gramStart"/>
      <w:r>
        <w:rPr>
          <w:sz w:val="16"/>
        </w:rPr>
        <w:t>graves(</w:t>
      </w:r>
      <w:proofErr w:type="gramEnd"/>
      <w:r>
        <w:rPr>
          <w:sz w:val="16"/>
        </w:rPr>
        <w:t>27,108,109);</w:t>
      </w:r>
    </w:p>
    <w:p w:rsidR="00AB6593" w:rsidRDefault="00791C81">
      <w:pPr>
        <w:pStyle w:val="PargrafodaLista"/>
        <w:numPr>
          <w:ilvl w:val="1"/>
          <w:numId w:val="3"/>
        </w:numPr>
        <w:tabs>
          <w:tab w:val="left" w:pos="761"/>
        </w:tabs>
        <w:spacing w:before="1"/>
        <w:ind w:firstLine="566"/>
        <w:rPr>
          <w:sz w:val="16"/>
        </w:rPr>
      </w:pPr>
      <w:r>
        <w:rPr>
          <w:sz w:val="16"/>
        </w:rPr>
        <w:t>Redução no tempo de uso de antibióticos</w:t>
      </w:r>
      <w:r>
        <w:rPr>
          <w:spacing w:val="-13"/>
          <w:sz w:val="16"/>
        </w:rPr>
        <w:t xml:space="preserve"> </w:t>
      </w:r>
      <w:r>
        <w:rPr>
          <w:sz w:val="16"/>
        </w:rPr>
        <w:t>(</w:t>
      </w:r>
      <w:proofErr w:type="gramStart"/>
      <w:r>
        <w:rPr>
          <w:sz w:val="16"/>
        </w:rPr>
        <w:t>15,</w:t>
      </w:r>
      <w:proofErr w:type="gramEnd"/>
      <w:r>
        <w:rPr>
          <w:sz w:val="16"/>
        </w:rPr>
        <w:t>64,109);</w:t>
      </w:r>
    </w:p>
    <w:p w:rsidR="00AB6593" w:rsidRDefault="00791C81">
      <w:pPr>
        <w:pStyle w:val="PargrafodaLista"/>
        <w:numPr>
          <w:ilvl w:val="1"/>
          <w:numId w:val="3"/>
        </w:numPr>
        <w:tabs>
          <w:tab w:val="left" w:pos="761"/>
        </w:tabs>
        <w:ind w:firstLine="566"/>
        <w:rPr>
          <w:sz w:val="16"/>
        </w:rPr>
      </w:pPr>
      <w:r>
        <w:rPr>
          <w:sz w:val="16"/>
        </w:rPr>
        <w:t>Aumento na sobrevida global</w:t>
      </w:r>
      <w:r>
        <w:rPr>
          <w:spacing w:val="-4"/>
          <w:sz w:val="16"/>
        </w:rPr>
        <w:t xml:space="preserve"> </w:t>
      </w:r>
      <w:r>
        <w:rPr>
          <w:sz w:val="16"/>
        </w:rPr>
        <w:t>(110).</w:t>
      </w:r>
    </w:p>
    <w:p w:rsidR="00AB6593" w:rsidRDefault="00AB6593">
      <w:pPr>
        <w:pStyle w:val="Corpodetexto"/>
        <w:ind w:left="0" w:firstLine="0"/>
      </w:pPr>
    </w:p>
    <w:p w:rsidR="00AB6593" w:rsidRDefault="00791C81">
      <w:pPr>
        <w:pStyle w:val="Corpodetexto"/>
        <w:ind w:left="666" w:firstLine="0"/>
      </w:pPr>
      <w:r>
        <w:t>Mielodisplasia de baixo risco ou risco intermediário-1 (IPSS) (105):</w:t>
      </w:r>
    </w:p>
    <w:p w:rsidR="00AB6593" w:rsidRDefault="00791C81">
      <w:pPr>
        <w:pStyle w:val="PargrafodaLista"/>
        <w:numPr>
          <w:ilvl w:val="1"/>
          <w:numId w:val="3"/>
        </w:numPr>
        <w:tabs>
          <w:tab w:val="left" w:pos="761"/>
        </w:tabs>
        <w:spacing w:before="1" w:line="183" w:lineRule="exact"/>
        <w:ind w:firstLine="566"/>
        <w:rPr>
          <w:sz w:val="16"/>
        </w:rPr>
      </w:pPr>
      <w:r>
        <w:rPr>
          <w:sz w:val="16"/>
        </w:rPr>
        <w:t>Aumento no nível de neutrófilos circulantes</w:t>
      </w:r>
      <w:r>
        <w:rPr>
          <w:spacing w:val="-9"/>
          <w:sz w:val="16"/>
        </w:rPr>
        <w:t xml:space="preserve"> </w:t>
      </w:r>
      <w:r>
        <w:rPr>
          <w:sz w:val="16"/>
        </w:rPr>
        <w:t>(31,34-</w:t>
      </w:r>
      <w:proofErr w:type="gramStart"/>
      <w:r>
        <w:rPr>
          <w:sz w:val="16"/>
        </w:rPr>
        <w:t>38,</w:t>
      </w:r>
      <w:proofErr w:type="gramEnd"/>
      <w:r>
        <w:rPr>
          <w:sz w:val="16"/>
        </w:rPr>
        <w:t>66,111);</w:t>
      </w:r>
    </w:p>
    <w:p w:rsidR="00AB6593" w:rsidRDefault="00791C81">
      <w:pPr>
        <w:pStyle w:val="PargrafodaLista"/>
        <w:numPr>
          <w:ilvl w:val="1"/>
          <w:numId w:val="3"/>
        </w:numPr>
        <w:tabs>
          <w:tab w:val="left" w:pos="761"/>
        </w:tabs>
        <w:spacing w:line="183" w:lineRule="exact"/>
        <w:ind w:firstLine="566"/>
        <w:rPr>
          <w:sz w:val="16"/>
        </w:rPr>
      </w:pPr>
      <w:r>
        <w:rPr>
          <w:sz w:val="16"/>
        </w:rPr>
        <w:t>Menor incidência de infecções</w:t>
      </w:r>
      <w:r>
        <w:rPr>
          <w:spacing w:val="-6"/>
          <w:sz w:val="16"/>
        </w:rPr>
        <w:t xml:space="preserve"> </w:t>
      </w:r>
      <w:r>
        <w:rPr>
          <w:sz w:val="16"/>
        </w:rPr>
        <w:t>(66,111);</w:t>
      </w:r>
    </w:p>
    <w:p w:rsidR="00AB6593" w:rsidRDefault="00791C81">
      <w:pPr>
        <w:pStyle w:val="PargrafodaLista"/>
        <w:numPr>
          <w:ilvl w:val="1"/>
          <w:numId w:val="3"/>
        </w:numPr>
        <w:tabs>
          <w:tab w:val="left" w:pos="761"/>
        </w:tabs>
        <w:ind w:firstLine="566"/>
        <w:rPr>
          <w:sz w:val="16"/>
        </w:rPr>
      </w:pPr>
      <w:r>
        <w:rPr>
          <w:sz w:val="16"/>
        </w:rPr>
        <w:t>Efeito</w:t>
      </w:r>
      <w:r>
        <w:rPr>
          <w:spacing w:val="-2"/>
          <w:sz w:val="16"/>
        </w:rPr>
        <w:t xml:space="preserve"> </w:t>
      </w:r>
      <w:r>
        <w:rPr>
          <w:sz w:val="16"/>
        </w:rPr>
        <w:t>sinérgico</w:t>
      </w:r>
      <w:r>
        <w:rPr>
          <w:spacing w:val="-2"/>
          <w:sz w:val="16"/>
        </w:rPr>
        <w:t xml:space="preserve"> </w:t>
      </w:r>
      <w:r>
        <w:rPr>
          <w:sz w:val="16"/>
        </w:rPr>
        <w:t>do</w:t>
      </w:r>
      <w:r>
        <w:rPr>
          <w:spacing w:val="-4"/>
          <w:sz w:val="16"/>
        </w:rPr>
        <w:t xml:space="preserve"> </w:t>
      </w:r>
      <w:r>
        <w:rPr>
          <w:sz w:val="16"/>
        </w:rPr>
        <w:t>uso</w:t>
      </w:r>
      <w:r>
        <w:rPr>
          <w:spacing w:val="-2"/>
          <w:sz w:val="16"/>
        </w:rPr>
        <w:t xml:space="preserve"> </w:t>
      </w:r>
      <w:r>
        <w:rPr>
          <w:sz w:val="16"/>
        </w:rPr>
        <w:t>combinado</w:t>
      </w:r>
      <w:r>
        <w:rPr>
          <w:spacing w:val="-1"/>
          <w:sz w:val="16"/>
        </w:rPr>
        <w:t xml:space="preserve"> </w:t>
      </w:r>
      <w:r>
        <w:rPr>
          <w:sz w:val="16"/>
        </w:rPr>
        <w:t>com</w:t>
      </w:r>
      <w:r>
        <w:rPr>
          <w:spacing w:val="-1"/>
          <w:sz w:val="16"/>
        </w:rPr>
        <w:t xml:space="preserve"> </w:t>
      </w:r>
      <w:r>
        <w:rPr>
          <w:sz w:val="16"/>
        </w:rPr>
        <w:t>eritropoietina</w:t>
      </w:r>
      <w:r>
        <w:rPr>
          <w:spacing w:val="-3"/>
          <w:sz w:val="16"/>
        </w:rPr>
        <w:t xml:space="preserve"> </w:t>
      </w:r>
      <w:r>
        <w:rPr>
          <w:sz w:val="16"/>
        </w:rPr>
        <w:t>na</w:t>
      </w:r>
      <w:r>
        <w:rPr>
          <w:spacing w:val="-3"/>
          <w:sz w:val="16"/>
        </w:rPr>
        <w:t xml:space="preserve"> </w:t>
      </w:r>
      <w:r>
        <w:rPr>
          <w:sz w:val="16"/>
        </w:rPr>
        <w:t>resposta</w:t>
      </w:r>
      <w:r>
        <w:rPr>
          <w:spacing w:val="-2"/>
          <w:sz w:val="16"/>
        </w:rPr>
        <w:t xml:space="preserve"> </w:t>
      </w:r>
      <w:r>
        <w:rPr>
          <w:sz w:val="16"/>
        </w:rPr>
        <w:t>eritróide</w:t>
      </w:r>
      <w:r>
        <w:rPr>
          <w:spacing w:val="-5"/>
          <w:sz w:val="16"/>
        </w:rPr>
        <w:t xml:space="preserve"> </w:t>
      </w:r>
      <w:r>
        <w:rPr>
          <w:sz w:val="16"/>
        </w:rPr>
        <w:t>(</w:t>
      </w:r>
      <w:proofErr w:type="gramStart"/>
      <w:r>
        <w:rPr>
          <w:sz w:val="16"/>
        </w:rPr>
        <w:t>34,</w:t>
      </w:r>
      <w:proofErr w:type="gramEnd"/>
      <w:r>
        <w:rPr>
          <w:sz w:val="16"/>
        </w:rPr>
        <w:t>42,43,45,46)</w:t>
      </w:r>
      <w:r>
        <w:rPr>
          <w:spacing w:val="-2"/>
          <w:sz w:val="16"/>
        </w:rPr>
        <w:t xml:space="preserve"> </w:t>
      </w:r>
      <w:r>
        <w:rPr>
          <w:sz w:val="16"/>
        </w:rPr>
        <w:t>e, em</w:t>
      </w:r>
      <w:r>
        <w:rPr>
          <w:spacing w:val="-3"/>
          <w:sz w:val="16"/>
        </w:rPr>
        <w:t xml:space="preserve"> </w:t>
      </w:r>
      <w:r>
        <w:rPr>
          <w:sz w:val="16"/>
        </w:rPr>
        <w:t>alguns</w:t>
      </w:r>
      <w:r>
        <w:rPr>
          <w:spacing w:val="-2"/>
          <w:sz w:val="16"/>
        </w:rPr>
        <w:t xml:space="preserve"> </w:t>
      </w:r>
      <w:r>
        <w:rPr>
          <w:sz w:val="16"/>
        </w:rPr>
        <w:t>casos,</w:t>
      </w:r>
      <w:r>
        <w:rPr>
          <w:spacing w:val="-5"/>
          <w:sz w:val="16"/>
        </w:rPr>
        <w:t xml:space="preserve"> </w:t>
      </w:r>
      <w:r>
        <w:rPr>
          <w:sz w:val="16"/>
        </w:rPr>
        <w:t>na sobrevida</w:t>
      </w:r>
      <w:r>
        <w:rPr>
          <w:spacing w:val="-3"/>
          <w:sz w:val="16"/>
        </w:rPr>
        <w:t xml:space="preserve"> </w:t>
      </w:r>
      <w:r>
        <w:rPr>
          <w:sz w:val="16"/>
        </w:rPr>
        <w:t>global</w:t>
      </w:r>
      <w:r>
        <w:rPr>
          <w:spacing w:val="-1"/>
          <w:sz w:val="16"/>
        </w:rPr>
        <w:t xml:space="preserve"> </w:t>
      </w:r>
      <w:r>
        <w:rPr>
          <w:sz w:val="16"/>
        </w:rPr>
        <w:t>(34).</w:t>
      </w:r>
    </w:p>
    <w:p w:rsidR="00AB6593" w:rsidRDefault="00AB6593">
      <w:pPr>
        <w:pStyle w:val="Corpodetexto"/>
        <w:ind w:left="0" w:firstLine="0"/>
      </w:pPr>
    </w:p>
    <w:p w:rsidR="00AB6593" w:rsidRDefault="00791C81">
      <w:pPr>
        <w:pStyle w:val="PargrafodaLista"/>
        <w:numPr>
          <w:ilvl w:val="0"/>
          <w:numId w:val="6"/>
        </w:numPr>
        <w:tabs>
          <w:tab w:val="left" w:pos="828"/>
        </w:tabs>
        <w:rPr>
          <w:sz w:val="16"/>
        </w:rPr>
      </w:pPr>
      <w:r>
        <w:rPr>
          <w:sz w:val="16"/>
        </w:rPr>
        <w:t>MONITORIZAÇÃO</w:t>
      </w:r>
    </w:p>
    <w:p w:rsidR="00AB6593" w:rsidRDefault="00791C81">
      <w:pPr>
        <w:pStyle w:val="Corpodetexto"/>
        <w:spacing w:before="1"/>
        <w:ind w:right="119"/>
        <w:jc w:val="both"/>
      </w:pPr>
      <w:r>
        <w:t>Hemograma completo com contagem diferencial e de plaquetas deve ser realizado duas ou três vezes por semana ou ajustado para cada situação clínica particular (112). Este controle pode ser mais espaçado no caso de doenças crônicas.</w:t>
      </w:r>
    </w:p>
    <w:p w:rsidR="00AB6593" w:rsidRDefault="00791C81">
      <w:pPr>
        <w:pStyle w:val="Corpodetexto"/>
        <w:ind w:right="117"/>
        <w:jc w:val="both"/>
      </w:pPr>
      <w:r>
        <w:t xml:space="preserve">Em vista do potencial de </w:t>
      </w:r>
      <w:r>
        <w:t xml:space="preserve">toxicidade hepática e renal e de hiperuricemia (vide item 9.1 EFEITOS ADVERSOS), sobretudo com o uso prolongado, sugere- se avaliação bioquímica a cada </w:t>
      </w:r>
      <w:proofErr w:type="gramStart"/>
      <w:r>
        <w:t>4</w:t>
      </w:r>
      <w:proofErr w:type="gramEnd"/>
      <w:r>
        <w:t xml:space="preserve"> semanas, que deve incluir dosagens séricas de ALT</w:t>
      </w:r>
      <w:r>
        <w:rPr>
          <w:rFonts w:ascii="Verdana" w:hAnsi="Verdana"/>
        </w:rPr>
        <w:t>/</w:t>
      </w:r>
      <w:r>
        <w:t>TGP, AST</w:t>
      </w:r>
      <w:r>
        <w:rPr>
          <w:rFonts w:ascii="Verdana" w:hAnsi="Verdana"/>
        </w:rPr>
        <w:t>/</w:t>
      </w:r>
      <w:r>
        <w:t>TGO, creatinina e ácido úrico. Na ocorrênci</w:t>
      </w:r>
      <w:r>
        <w:t>a de efeitos adversos, o médico deve avaliar o risco-benefício da redução da dose ou interrupção do fármaco.</w:t>
      </w:r>
    </w:p>
    <w:p w:rsidR="00AB6593" w:rsidRDefault="00791C81">
      <w:pPr>
        <w:pStyle w:val="Corpodetexto"/>
        <w:ind w:left="666" w:firstLine="0"/>
      </w:pPr>
      <w:r>
        <w:t>A cada avaliação clínica, atentar para possíveis sinais clínicos, como esplenomegalia, urticária, hipotireoidismo e alterações oculares.</w:t>
      </w:r>
    </w:p>
    <w:p w:rsidR="00AB6593" w:rsidRDefault="00791C81">
      <w:pPr>
        <w:pStyle w:val="Corpodetexto"/>
        <w:spacing w:before="1"/>
        <w:ind w:right="113"/>
        <w:jc w:val="both"/>
      </w:pPr>
      <w:r>
        <w:t xml:space="preserve">Nos casos </w:t>
      </w:r>
      <w:r>
        <w:t xml:space="preserve">de neutropenia congênita e de mielodisplasia, aspirado de medula óssea deve ser realizado em casos de uso crônico, antes e após o início do medicamento, a intervalos de </w:t>
      </w:r>
      <w:proofErr w:type="gramStart"/>
      <w:r>
        <w:t>6</w:t>
      </w:r>
      <w:proofErr w:type="gramEnd"/>
      <w:r>
        <w:t xml:space="preserve"> meses a 1 ano, com base na avaliação de risco inicial, para estudo morfológico, citog</w:t>
      </w:r>
      <w:r>
        <w:t xml:space="preserve">enético, relação mieloide/eritroide e, se disponível, avaliação de unidades formadoras de colônias de granulócitos-macrófagos (27). Se houver sinais incipientes de mielodisplasia, como a presença de alteração citogenética clonal isolada sem </w:t>
      </w:r>
      <w:proofErr w:type="gramStart"/>
      <w:r>
        <w:t>outras evidênci</w:t>
      </w:r>
      <w:r>
        <w:t>a</w:t>
      </w:r>
      <w:proofErr w:type="gramEnd"/>
      <w:r>
        <w:t xml:space="preserve"> de doença, ou mutação isolada do receptor para os fatores de crescimento hematopoético, pode-se adotar conduta conservadora. Recomenda-se como opção nesse caso, reduzir a dose do fator de crescimento hematopoético ao máximo e monitorar os sinais de progr</w:t>
      </w:r>
      <w:r>
        <w:t>essão, se houver, para doença maligna manifesta (110,113).</w:t>
      </w:r>
    </w:p>
    <w:p w:rsidR="00AB6593" w:rsidRDefault="00AB6593">
      <w:pPr>
        <w:pStyle w:val="Corpodetexto"/>
        <w:spacing w:before="9"/>
        <w:ind w:left="0" w:firstLine="0"/>
        <w:rPr>
          <w:sz w:val="15"/>
        </w:rPr>
      </w:pPr>
    </w:p>
    <w:p w:rsidR="00AB6593" w:rsidRDefault="00791C81">
      <w:pPr>
        <w:pStyle w:val="PargrafodaLista"/>
        <w:numPr>
          <w:ilvl w:val="1"/>
          <w:numId w:val="6"/>
        </w:numPr>
        <w:tabs>
          <w:tab w:val="left" w:pos="909"/>
        </w:tabs>
        <w:spacing w:before="1"/>
        <w:ind w:left="908" w:hanging="242"/>
        <w:rPr>
          <w:sz w:val="16"/>
        </w:rPr>
      </w:pPr>
      <w:r>
        <w:rPr>
          <w:sz w:val="16"/>
        </w:rPr>
        <w:t>EFEITOS</w:t>
      </w:r>
      <w:r>
        <w:rPr>
          <w:spacing w:val="1"/>
          <w:sz w:val="16"/>
        </w:rPr>
        <w:t xml:space="preserve"> </w:t>
      </w:r>
      <w:r>
        <w:rPr>
          <w:sz w:val="16"/>
        </w:rPr>
        <w:t>ADVERSOS</w:t>
      </w:r>
    </w:p>
    <w:p w:rsidR="00AB6593" w:rsidRDefault="00791C81">
      <w:pPr>
        <w:pStyle w:val="Corpodetexto"/>
        <w:ind w:right="118"/>
        <w:jc w:val="both"/>
      </w:pPr>
      <w:r>
        <w:t>Dor osteomuscular é a complicação mais frequente (114). Podem, ainda, ocorrer: sintomas “gripais”, cefaleia, artralgia, parestesia, sintomas gastrointestinais, esplenomegalia leve, plaquetopenia moderada, anemia, osteopenia/osteoporose, hipotireoidismo, hi</w:t>
      </w:r>
      <w:r>
        <w:t>peruricemia, alterações hepáticas e renais e, mais raramente, febre, fotofobia, reações alérgicas e anafiláticas, exacerbação de doenças autoimunes latentes, injúria pulmonar e eventos cardiovasculares; há relatos de casos isolados de ruptura esplênica com</w:t>
      </w:r>
      <w:r>
        <w:t xml:space="preserve"> dose de fatores de crescimento hematopoético de 20 mcg/kg/dia em doadores sadios (70,114-116).</w:t>
      </w:r>
    </w:p>
    <w:p w:rsidR="00AB6593" w:rsidRDefault="00AB6593">
      <w:pPr>
        <w:pStyle w:val="Corpodetexto"/>
        <w:ind w:left="0" w:firstLine="0"/>
      </w:pPr>
    </w:p>
    <w:p w:rsidR="00AB6593" w:rsidRDefault="00791C81">
      <w:pPr>
        <w:pStyle w:val="PargrafodaLista"/>
        <w:numPr>
          <w:ilvl w:val="1"/>
          <w:numId w:val="6"/>
        </w:numPr>
        <w:tabs>
          <w:tab w:val="left" w:pos="909"/>
        </w:tabs>
        <w:ind w:left="908" w:hanging="242"/>
        <w:rPr>
          <w:sz w:val="16"/>
        </w:rPr>
      </w:pPr>
      <w:r>
        <w:rPr>
          <w:sz w:val="16"/>
        </w:rPr>
        <w:t>POTENCIAL PARA EFEITOS</w:t>
      </w:r>
      <w:r>
        <w:rPr>
          <w:spacing w:val="-6"/>
          <w:sz w:val="16"/>
        </w:rPr>
        <w:t xml:space="preserve"> </w:t>
      </w:r>
      <w:r>
        <w:rPr>
          <w:sz w:val="16"/>
        </w:rPr>
        <w:t>ADVERSOS</w:t>
      </w:r>
    </w:p>
    <w:p w:rsidR="00AB6593" w:rsidRDefault="00791C81">
      <w:pPr>
        <w:pStyle w:val="Corpodetexto"/>
        <w:spacing w:before="1"/>
        <w:ind w:right="114"/>
        <w:jc w:val="both"/>
      </w:pPr>
      <w:r>
        <w:t xml:space="preserve">É possível que os fatores de crescimento hematopoético atuem como fatores de crescimento para clones leucêmicos já existentes, </w:t>
      </w:r>
      <w:r>
        <w:t xml:space="preserve">efeito observado </w:t>
      </w:r>
      <w:r>
        <w:rPr>
          <w:i/>
        </w:rPr>
        <w:t xml:space="preserve">in vitro, </w:t>
      </w:r>
      <w:r>
        <w:t>mas ainda não comprovado in vivo (4,80-88,117). Pacientes com neutropenia congênita e síndrome de Shwachman-Diamond em uso de G-CSF parecem apresentar maior risco de desenvolver mielodisplasia e leucemia mielóide aguda (110,118);</w:t>
      </w:r>
      <w:r>
        <w:t xml:space="preserve"> no entanto, é possível que isso esteja mais relacionado à própria história natural da doença (o uso de G-CSF, ao prolongar a sobrevida, poderia permitir o acúmulo gradativo de aberrações genéticas em pacientes já predispostos para transformação maligna)</w:t>
      </w:r>
      <w:r>
        <w:rPr>
          <w:spacing w:val="-5"/>
        </w:rPr>
        <w:t xml:space="preserve"> </w:t>
      </w:r>
      <w:r>
        <w:t>(</w:t>
      </w:r>
      <w:proofErr w:type="gramStart"/>
      <w:r>
        <w:t>71,</w:t>
      </w:r>
      <w:proofErr w:type="gramEnd"/>
      <w:r>
        <w:t>110,113).</w:t>
      </w:r>
    </w:p>
    <w:p w:rsidR="00AB6593" w:rsidRDefault="00791C81">
      <w:pPr>
        <w:pStyle w:val="Corpodetexto"/>
        <w:ind w:right="115"/>
        <w:jc w:val="both"/>
      </w:pPr>
      <w:r>
        <w:t xml:space="preserve">O </w:t>
      </w:r>
      <w:r>
        <w:rPr>
          <w:i/>
        </w:rPr>
        <w:t xml:space="preserve">Severe Chronic Neutropenia International Registry </w:t>
      </w:r>
      <w:r>
        <w:t>(SCNIR), que apresenta como um de seus principais objetivos o monitoramento da ocorrência de efeitos adversos resultantes do uso de G-CSF em pacientes com neutropenia congênita, cíclica ou id</w:t>
      </w:r>
      <w:r>
        <w:t>iopática, não demonstrou efeitos especificamente relacionados ao seu uso prolongado (por mais de 11 anos, em uso diário ou alternado) ou à dose de tratamento (14,70).</w:t>
      </w:r>
    </w:p>
    <w:p w:rsidR="00AB6593" w:rsidRDefault="00791C81">
      <w:pPr>
        <w:pStyle w:val="Corpodetexto"/>
        <w:ind w:right="118"/>
        <w:jc w:val="both"/>
      </w:pPr>
      <w:r>
        <w:t>Particularmente na mielodisplasia, transformação para leucemia manifesta é ocorrência nat</w:t>
      </w:r>
      <w:r>
        <w:t>ural da doença (</w:t>
      </w:r>
      <w:proofErr w:type="gramStart"/>
      <w:r>
        <w:t>71,</w:t>
      </w:r>
      <w:proofErr w:type="gramEnd"/>
      <w:r>
        <w:t xml:space="preserve">116,119). Em pacientes com anemia aplástica e em tratamento imunossupressor, o risco associado ao uso do G-CSF é controverso; parece haver risco aumentado de mielodisplasia no uso em longo prazo (maior que </w:t>
      </w:r>
      <w:proofErr w:type="gramStart"/>
      <w:r>
        <w:t>3</w:t>
      </w:r>
      <w:proofErr w:type="gramEnd"/>
      <w:r>
        <w:t xml:space="preserve"> meses) em pacientes que não r</w:t>
      </w:r>
      <w:r>
        <w:t>espondem à terapia imunossupressora em 6 meses (120,121); no entanto, estudos bem delineados, com seguimento de 10 anos ou mais, são necessários (35,122,123).</w:t>
      </w:r>
    </w:p>
    <w:p w:rsidR="00AB6593" w:rsidRDefault="00AB6593">
      <w:pPr>
        <w:pStyle w:val="Corpodetexto"/>
        <w:spacing w:before="10"/>
        <w:ind w:left="0" w:firstLine="0"/>
        <w:rPr>
          <w:sz w:val="15"/>
        </w:rPr>
      </w:pPr>
    </w:p>
    <w:p w:rsidR="00AB6593" w:rsidRDefault="00791C81">
      <w:pPr>
        <w:pStyle w:val="PargrafodaLista"/>
        <w:numPr>
          <w:ilvl w:val="0"/>
          <w:numId w:val="6"/>
        </w:numPr>
        <w:tabs>
          <w:tab w:val="left" w:pos="909"/>
        </w:tabs>
        <w:spacing w:before="1"/>
        <w:ind w:left="908" w:hanging="242"/>
        <w:rPr>
          <w:sz w:val="16"/>
        </w:rPr>
      </w:pPr>
      <w:r>
        <w:rPr>
          <w:sz w:val="16"/>
        </w:rPr>
        <w:t>ACOMPANHAMENTO</w:t>
      </w:r>
      <w:r>
        <w:rPr>
          <w:spacing w:val="-2"/>
          <w:sz w:val="16"/>
        </w:rPr>
        <w:t xml:space="preserve"> </w:t>
      </w:r>
      <w:r>
        <w:rPr>
          <w:sz w:val="16"/>
        </w:rPr>
        <w:t>PÓS-TRATAMENTO</w:t>
      </w:r>
    </w:p>
    <w:p w:rsidR="00AB6593" w:rsidRDefault="00791C81">
      <w:pPr>
        <w:pStyle w:val="Corpodetexto"/>
        <w:ind w:right="112"/>
        <w:jc w:val="both"/>
      </w:pPr>
      <w:r>
        <w:t xml:space="preserve">O tempo de tratamento varia conforme a situação clínica ou doença </w:t>
      </w:r>
      <w:r>
        <w:t xml:space="preserve">de base. O uso contínuo crônico (com administração diária ou intermitente) é previsto nos casos de neutropenia crônica grave e em casos individualizados de mielodisplasia. Os critérios para suspensão do medicamento estão descritos no item </w:t>
      </w:r>
      <w:proofErr w:type="gramStart"/>
      <w:r>
        <w:t>8</w:t>
      </w:r>
      <w:proofErr w:type="gramEnd"/>
      <w:r>
        <w:t xml:space="preserve"> TRATAMENTO.</w:t>
      </w:r>
    </w:p>
    <w:p w:rsidR="00AB6593" w:rsidRDefault="00791C81">
      <w:pPr>
        <w:pStyle w:val="Corpodetexto"/>
        <w:ind w:left="666" w:firstLine="0"/>
      </w:pPr>
      <w:r>
        <w:t>A r</w:t>
      </w:r>
      <w:r>
        <w:t>eavaliação dos tratamentos crônicos deve basear-se no julgamento clínico, sugerindo-se, para tal, intervalos mínimos mensais ou bimensais.</w:t>
      </w:r>
    </w:p>
    <w:p w:rsidR="00AB6593" w:rsidRDefault="00AB6593">
      <w:pPr>
        <w:pStyle w:val="Corpodetexto"/>
        <w:ind w:left="0" w:firstLine="0"/>
      </w:pPr>
    </w:p>
    <w:p w:rsidR="00AB6593" w:rsidRDefault="00791C81">
      <w:pPr>
        <w:pStyle w:val="PargrafodaLista"/>
        <w:numPr>
          <w:ilvl w:val="0"/>
          <w:numId w:val="6"/>
        </w:numPr>
        <w:tabs>
          <w:tab w:val="left" w:pos="907"/>
        </w:tabs>
        <w:ind w:left="906" w:hanging="240"/>
        <w:rPr>
          <w:sz w:val="16"/>
        </w:rPr>
      </w:pPr>
      <w:r>
        <w:rPr>
          <w:sz w:val="16"/>
        </w:rPr>
        <w:t>REGULAÇÃO/CONTROLE/AVALIAÇÃO PELO GESTOR</w:t>
      </w:r>
    </w:p>
    <w:p w:rsidR="00AB6593" w:rsidRDefault="00791C81">
      <w:pPr>
        <w:pStyle w:val="Corpodetexto"/>
        <w:spacing w:before="1"/>
        <w:ind w:right="112"/>
        <w:jc w:val="both"/>
      </w:pPr>
      <w:r>
        <w:t>Devem ser observados os critérios de inclusão e exclusão de pacientes neste</w:t>
      </w:r>
      <w:r>
        <w:t xml:space="preserve"> Protocolo, a duração e a monitorização do tratamento, bem como a verificação periódica das doses de medicamento(s) prescrito(s) e dispensado(s), a adequação de uso </w:t>
      </w:r>
      <w:proofErr w:type="gramStart"/>
      <w:r>
        <w:t>desse</w:t>
      </w:r>
      <w:proofErr w:type="gramEnd"/>
      <w:r>
        <w:t>(s) medicamentos(s) e o acompanhamento pós- tratamento.</w:t>
      </w:r>
    </w:p>
    <w:p w:rsidR="00AB6593" w:rsidRDefault="00791C81">
      <w:pPr>
        <w:pStyle w:val="Corpodetexto"/>
        <w:ind w:right="115"/>
        <w:jc w:val="both"/>
      </w:pPr>
      <w:r>
        <w:t xml:space="preserve">Verificar na Relação Nacional </w:t>
      </w:r>
      <w:r>
        <w:t xml:space="preserve">de Medicamentos </w:t>
      </w:r>
      <w:proofErr w:type="gramStart"/>
      <w:r>
        <w:t>Essenciais (RENAME) vigente</w:t>
      </w:r>
      <w:proofErr w:type="gramEnd"/>
      <w:r>
        <w:t xml:space="preserve"> em qual componente da Assistência Farmacêutica se encontra o medicamento preconizado neste Protocolo.</w:t>
      </w:r>
    </w:p>
    <w:p w:rsidR="00AB6593" w:rsidRDefault="00791C81">
      <w:pPr>
        <w:pStyle w:val="Corpodetexto"/>
        <w:ind w:right="114"/>
        <w:jc w:val="both"/>
      </w:pPr>
      <w:r>
        <w:t xml:space="preserve">Como, no SUS, as dispensação e fornecimento de G-CSF diferem se para uso hospitalar ou ambulatorial e se em oncologia ou não, há de se atentar para os meios de acesso a </w:t>
      </w:r>
      <w:proofErr w:type="gramStart"/>
      <w:r>
        <w:t>esse medicamentos</w:t>
      </w:r>
      <w:proofErr w:type="gramEnd"/>
      <w:r>
        <w:t>. Se hospitalar: custeio incluído na respectiva AIH – Autorização de I</w:t>
      </w:r>
      <w:r>
        <w:t>nternação Hospitalar ou em APAC–Oncologia (03.04.08.001-2 Fator estimulante de crescimento de colônias de granulócitos/</w:t>
      </w:r>
      <w:proofErr w:type="gramStart"/>
      <w:r>
        <w:t>macrófagos,</w:t>
      </w:r>
      <w:proofErr w:type="gramEnd"/>
      <w:r>
        <w:t>procedimento secundário a quimioterapia); se ambulatorial: CEAF – Componente Especializado da Assistência Farmacêutica (06.04.</w:t>
      </w:r>
      <w:r>
        <w:t>25.001-0 - filgrastim 300 mcg injetável por frasco-ampola ou seringa preenchida) ou APAC– Oncologia (03.04.08.001-2 Fator estimulante de crescimento</w:t>
      </w:r>
      <w:r>
        <w:rPr>
          <w:spacing w:val="-30"/>
        </w:rPr>
        <w:t xml:space="preserve"> </w:t>
      </w:r>
      <w:r>
        <w:t>de colônias de granulócitos/macrófagos, procedimento secundário a quimioterapia).</w:t>
      </w:r>
    </w:p>
    <w:p w:rsidR="00AB6593" w:rsidRDefault="00791C81">
      <w:pPr>
        <w:pStyle w:val="Corpodetexto"/>
        <w:ind w:right="114"/>
        <w:jc w:val="both"/>
      </w:pPr>
      <w:r>
        <w:t xml:space="preserve">Ver em Oncologia – Manual de Bases Técnicas (disponível em </w:t>
      </w:r>
      <w:hyperlink r:id="rId7">
        <w:r>
          <w:t xml:space="preserve">http://sia.datasus.gov.br/documentos/listar_ftp_apac.php) </w:t>
        </w:r>
      </w:hyperlink>
      <w:r>
        <w:t>que, para a quimioterapia do câncer, o procedimento 03.04.08.00</w:t>
      </w:r>
      <w:r>
        <w:t>1-2 - Fator estimulante de colônias de granulócitos/macrófagos é exclusivamente secundário e compatível somente com os procedimentos das formas de organização 06-Quimioterapia curativa-adulto e 07-Quimioterapia de tumores de criança e adolescente.</w:t>
      </w:r>
      <w:proofErr w:type="gramStart"/>
      <w:r>
        <w:t>]</w:t>
      </w:r>
      <w:proofErr w:type="gramEnd"/>
    </w:p>
    <w:p w:rsidR="00AB6593" w:rsidRDefault="00791C81">
      <w:pPr>
        <w:pStyle w:val="Corpodetexto"/>
        <w:spacing w:before="1" w:line="183" w:lineRule="exact"/>
        <w:ind w:left="666" w:firstLine="0"/>
      </w:pPr>
      <w:r>
        <w:t xml:space="preserve">Também </w:t>
      </w:r>
      <w:r>
        <w:t>devem ser observados os regulamentos específicos para o uso e fornecimento de G-CSF em caso de SIDA com neutropenia.</w:t>
      </w:r>
    </w:p>
    <w:p w:rsidR="00AB6593" w:rsidRDefault="00791C81">
      <w:pPr>
        <w:pStyle w:val="Corpodetexto"/>
        <w:ind w:right="114"/>
        <w:jc w:val="both"/>
      </w:pPr>
      <w:r>
        <w:t>As mielodisplasias são compatíveis com os seguintes códigos de procedimentos quimioterápicos da tabela do SUS: 03.04.03.003-1 – Doença Miel</w:t>
      </w:r>
      <w:r>
        <w:t xml:space="preserve">oproliferativa Rara - 1ª linha e 03.04.03.004-0 – Doença Mieloproliferativa Rara - 2ª </w:t>
      </w:r>
      <w:proofErr w:type="gramStart"/>
      <w:r>
        <w:t>linha.</w:t>
      </w:r>
      <w:proofErr w:type="gramEnd"/>
      <w:r>
        <w:t>Em caso de mielodisplasia, o tratamento com alfaepoetina pode ser indicado; neste caso (e mesmo quando associada à quimioterapia), o seu uso pode ser codificado e r</w:t>
      </w:r>
      <w:r>
        <w:t>egistrado como um destes procedimentos, visto que os procedimentos quimioterápicos da tabela do SUS não referem medicamentos, mas, sim, indicações terapêuticas de tipos e situações tumorais especificadas em</w:t>
      </w:r>
    </w:p>
    <w:p w:rsidR="00AB6593" w:rsidRDefault="00AB6593">
      <w:pPr>
        <w:jc w:val="both"/>
        <w:sectPr w:rsidR="00AB6593">
          <w:pgSz w:w="11910" w:h="16840"/>
          <w:pgMar w:top="620" w:right="600" w:bottom="280" w:left="620" w:header="720" w:footer="720" w:gutter="0"/>
          <w:cols w:space="720"/>
        </w:sectPr>
      </w:pPr>
    </w:p>
    <w:p w:rsidR="00AB6593" w:rsidRDefault="00791C81">
      <w:pPr>
        <w:pStyle w:val="Corpodetexto"/>
        <w:spacing w:before="76"/>
        <w:ind w:right="149" w:firstLine="0"/>
      </w:pPr>
      <w:proofErr w:type="gramStart"/>
      <w:r>
        <w:lastRenderedPageBreak/>
        <w:t>cada</w:t>
      </w:r>
      <w:proofErr w:type="gramEnd"/>
      <w:r>
        <w:t xml:space="preserve"> procedimento descrito e indepe</w:t>
      </w:r>
      <w:r>
        <w:t xml:space="preserve">ndentes de esquema terapêutico utilizado. [O código </w:t>
      </w:r>
      <w:proofErr w:type="gramStart"/>
      <w:r>
        <w:t>D46.</w:t>
      </w:r>
      <w:proofErr w:type="gramEnd"/>
      <w:r>
        <w:t>3 - Anemia refratária com excesso de blastos com transformação está compatível com os procedimentos de quimioterapia curativa de Leucemia Aguda/Mielodisplasia/Linfoma Linfoblástico/Linfoma de</w:t>
      </w:r>
      <w:r>
        <w:rPr>
          <w:spacing w:val="-18"/>
        </w:rPr>
        <w:t xml:space="preserve"> </w:t>
      </w:r>
      <w:r>
        <w:t>Burkitt.</w:t>
      </w:r>
      <w:r>
        <w:t>].</w:t>
      </w:r>
    </w:p>
    <w:p w:rsidR="00AB6593" w:rsidRDefault="00791C81">
      <w:pPr>
        <w:pStyle w:val="Corpodetexto"/>
        <w:ind w:right="114"/>
        <w:jc w:val="both"/>
      </w:pPr>
      <w:r>
        <w:t xml:space="preserve">Ressalta-se que a Comissão Nacional de Incorporação de Tecnologias no SUS (CONITEC) aprovou a talidomida como opção terapêutica da Síndrome Mielodisplásica (códigos da CID-10: </w:t>
      </w:r>
      <w:proofErr w:type="gramStart"/>
      <w:r>
        <w:t>D46.</w:t>
      </w:r>
      <w:proofErr w:type="gramEnd"/>
      <w:r>
        <w:t>0 – Anemia refratária sem sideroblastos, D46.1 – Anemia refratária com si</w:t>
      </w:r>
      <w:r>
        <w:t>deroblastos e D46.4 – anemia refratária NE – não especificada) para os pacientes refratários à alfaepoetina, tendo um protocolo de usosido publicado pela Portaria SAS/MS 493, de 11/06//2015.</w:t>
      </w:r>
    </w:p>
    <w:p w:rsidR="00AB6593" w:rsidRDefault="00791C81">
      <w:pPr>
        <w:pStyle w:val="Corpodetexto"/>
        <w:ind w:right="114"/>
        <w:jc w:val="both"/>
      </w:pPr>
      <w:r>
        <w:t>No Componente Especializado da Assistência Farmacêutica-CEAF, a a</w:t>
      </w:r>
      <w:r>
        <w:t xml:space="preserve">lfaepoetina é indicada para o tratamento de casos de Insuficiência renal crônica codificados pela CID-10 como </w:t>
      </w:r>
      <w:proofErr w:type="gramStart"/>
      <w:r>
        <w:t>N18.</w:t>
      </w:r>
      <w:proofErr w:type="gramEnd"/>
      <w:r>
        <w:t>0 – Doença renal em estágio final e N18.8 – Outra insuficiência renal crônica códigos estes vinculados ao Protocolo Clínico da Anemia em Porta</w:t>
      </w:r>
      <w:r>
        <w:t>dores de Insuficiência Renal Crônica; Z94.8 - Outros órgãos e tecidos transplantados - intestino, medula óssea e pâncreas, inexistindo Protocolo Clínico para esse código da CID-10, ficando a critério das Secretarias Estaduais de Saúde a dispensação da alfa</w:t>
      </w:r>
      <w:r>
        <w:t>epoetina; e B17.1 – Hepatite aguda C e B18.2 – Hepatite viral crônica C, códigos estes, no caso da alfaepoetina de 10.000UI, vinculados ao Protocolo da Hepatite Viral C.</w:t>
      </w:r>
    </w:p>
    <w:p w:rsidR="00AB6593" w:rsidRDefault="00AB6593">
      <w:pPr>
        <w:pStyle w:val="Corpodetexto"/>
        <w:spacing w:before="11"/>
        <w:ind w:left="0" w:firstLine="0"/>
        <w:rPr>
          <w:sz w:val="15"/>
        </w:rPr>
      </w:pPr>
    </w:p>
    <w:p w:rsidR="00AB6593" w:rsidRDefault="00791C81">
      <w:pPr>
        <w:pStyle w:val="PargrafodaLista"/>
        <w:numPr>
          <w:ilvl w:val="0"/>
          <w:numId w:val="6"/>
        </w:numPr>
        <w:tabs>
          <w:tab w:val="left" w:pos="909"/>
        </w:tabs>
        <w:ind w:left="908" w:hanging="242"/>
        <w:rPr>
          <w:sz w:val="16"/>
        </w:rPr>
      </w:pPr>
      <w:r>
        <w:rPr>
          <w:sz w:val="16"/>
        </w:rPr>
        <w:t>TERMO DE ESCLARECIMENTO E RESPONSABILIDADE -</w:t>
      </w:r>
      <w:r>
        <w:rPr>
          <w:spacing w:val="-4"/>
          <w:sz w:val="16"/>
        </w:rPr>
        <w:t xml:space="preserve"> </w:t>
      </w:r>
      <w:r>
        <w:rPr>
          <w:sz w:val="16"/>
        </w:rPr>
        <w:t>TER</w:t>
      </w:r>
    </w:p>
    <w:p w:rsidR="00AB6593" w:rsidRDefault="00791C81">
      <w:pPr>
        <w:pStyle w:val="Corpodetexto"/>
        <w:spacing w:before="1"/>
        <w:ind w:right="113"/>
        <w:jc w:val="both"/>
      </w:pPr>
      <w:r>
        <w:t>É obrigatório informar ao paciente o</w:t>
      </w:r>
      <w:r>
        <w:t>u ao seu responsável legal sobre os potenciais riscos, benefícios e efeitos adversos relacionados ao uso dos medicamentos preconizados neste Protocolo do medicamento preconizado neste Protocolo, levando-se em consideração as informações contidas no TER.</w:t>
      </w:r>
    </w:p>
    <w:p w:rsidR="00AB6593" w:rsidRDefault="00AB6593">
      <w:pPr>
        <w:pStyle w:val="Corpodetexto"/>
        <w:ind w:left="0" w:firstLine="0"/>
      </w:pPr>
    </w:p>
    <w:p w:rsidR="00AB6593" w:rsidRDefault="00791C81">
      <w:pPr>
        <w:pStyle w:val="PargrafodaLista"/>
        <w:numPr>
          <w:ilvl w:val="0"/>
          <w:numId w:val="6"/>
        </w:numPr>
        <w:tabs>
          <w:tab w:val="left" w:pos="907"/>
        </w:tabs>
        <w:ind w:left="906" w:hanging="240"/>
        <w:rPr>
          <w:sz w:val="16"/>
        </w:rPr>
      </w:pPr>
      <w:r>
        <w:rPr>
          <w:sz w:val="16"/>
        </w:rPr>
        <w:t>R</w:t>
      </w:r>
      <w:r>
        <w:rPr>
          <w:sz w:val="16"/>
        </w:rPr>
        <w:t>EFERÊNCIAS</w:t>
      </w:r>
    </w:p>
    <w:p w:rsidR="00AB6593" w:rsidRDefault="00791C81">
      <w:pPr>
        <w:pStyle w:val="PargrafodaLista"/>
        <w:numPr>
          <w:ilvl w:val="0"/>
          <w:numId w:val="2"/>
        </w:numPr>
        <w:tabs>
          <w:tab w:val="left" w:pos="809"/>
        </w:tabs>
        <w:spacing w:before="1" w:line="183" w:lineRule="exact"/>
        <w:ind w:firstLine="566"/>
        <w:rPr>
          <w:sz w:val="16"/>
        </w:rPr>
      </w:pPr>
      <w:r w:rsidRPr="00791C81">
        <w:rPr>
          <w:sz w:val="16"/>
          <w:lang w:val="en-US"/>
        </w:rPr>
        <w:t xml:space="preserve">Lyman GH, Kuderer NM. Filgrastim in patients with neutropenia: potential effects on quality of life. </w:t>
      </w:r>
      <w:r>
        <w:rPr>
          <w:sz w:val="16"/>
        </w:rPr>
        <w:t xml:space="preserve">Drugs. </w:t>
      </w:r>
      <w:proofErr w:type="gramStart"/>
      <w:r>
        <w:rPr>
          <w:sz w:val="16"/>
        </w:rPr>
        <w:t>2002;</w:t>
      </w:r>
      <w:proofErr w:type="gramEnd"/>
      <w:r>
        <w:rPr>
          <w:sz w:val="16"/>
        </w:rPr>
        <w:t>62 Suppl</w:t>
      </w:r>
      <w:r>
        <w:rPr>
          <w:spacing w:val="-25"/>
          <w:sz w:val="16"/>
        </w:rPr>
        <w:t xml:space="preserve"> </w:t>
      </w:r>
      <w:r>
        <w:rPr>
          <w:sz w:val="16"/>
        </w:rPr>
        <w:t>1:65-78.</w:t>
      </w:r>
    </w:p>
    <w:p w:rsidR="00AB6593" w:rsidRDefault="00791C81">
      <w:pPr>
        <w:pStyle w:val="PargrafodaLista"/>
        <w:numPr>
          <w:ilvl w:val="0"/>
          <w:numId w:val="2"/>
        </w:numPr>
        <w:tabs>
          <w:tab w:val="left" w:pos="809"/>
        </w:tabs>
        <w:ind w:right="124" w:firstLine="566"/>
        <w:jc w:val="both"/>
        <w:rPr>
          <w:sz w:val="16"/>
        </w:rPr>
      </w:pPr>
      <w:r w:rsidRPr="00791C81">
        <w:rPr>
          <w:sz w:val="16"/>
          <w:lang w:val="en-US"/>
        </w:rPr>
        <w:t xml:space="preserve">Lyman GH, Kuderer NM. The economics of the colony-stimulating factors in the prevention and treatment of febrile neutropenia.Crit Rev Oncol Hematol. </w:t>
      </w:r>
      <w:proofErr w:type="gramStart"/>
      <w:r>
        <w:rPr>
          <w:sz w:val="16"/>
        </w:rPr>
        <w:t>2004;</w:t>
      </w:r>
      <w:proofErr w:type="gramEnd"/>
      <w:r>
        <w:rPr>
          <w:sz w:val="16"/>
        </w:rPr>
        <w:t>50(2):129-46.</w:t>
      </w:r>
    </w:p>
    <w:p w:rsidR="00AB6593" w:rsidRPr="00791C81" w:rsidRDefault="00791C81">
      <w:pPr>
        <w:pStyle w:val="PargrafodaLista"/>
        <w:numPr>
          <w:ilvl w:val="0"/>
          <w:numId w:val="2"/>
        </w:numPr>
        <w:tabs>
          <w:tab w:val="left" w:pos="809"/>
        </w:tabs>
        <w:spacing w:before="1"/>
        <w:ind w:right="115" w:firstLine="566"/>
        <w:jc w:val="both"/>
        <w:rPr>
          <w:sz w:val="16"/>
          <w:lang w:val="en-US"/>
        </w:rPr>
      </w:pPr>
      <w:r w:rsidRPr="00791C81">
        <w:rPr>
          <w:sz w:val="16"/>
          <w:lang w:val="en-US"/>
        </w:rPr>
        <w:t>Ozer H, Armitage JO, Bennett CL, Crawford J, Demetri GD, Pizzo PA, et al. 2000 update of</w:t>
      </w:r>
      <w:r w:rsidRPr="00791C81">
        <w:rPr>
          <w:sz w:val="16"/>
          <w:lang w:val="en-US"/>
        </w:rPr>
        <w:t xml:space="preserve"> recommendations for the use of hematopoietic colony- stimulating factors: evidence-based, clinical practice guidelines. American Society of Clinical Oncology Growth Factors Expert Panel.J Clin Oncol.2000</w:t>
      </w:r>
      <w:proofErr w:type="gramStart"/>
      <w:r w:rsidRPr="00791C81">
        <w:rPr>
          <w:sz w:val="16"/>
          <w:lang w:val="en-US"/>
        </w:rPr>
        <w:t>;18</w:t>
      </w:r>
      <w:proofErr w:type="gramEnd"/>
      <w:r w:rsidRPr="00791C81">
        <w:rPr>
          <w:sz w:val="16"/>
          <w:lang w:val="en-US"/>
        </w:rPr>
        <w:t>(20):3558-85.</w:t>
      </w:r>
    </w:p>
    <w:p w:rsidR="00AB6593" w:rsidRPr="00791C81" w:rsidRDefault="00791C81">
      <w:pPr>
        <w:pStyle w:val="PargrafodaLista"/>
        <w:numPr>
          <w:ilvl w:val="0"/>
          <w:numId w:val="2"/>
        </w:numPr>
        <w:tabs>
          <w:tab w:val="left" w:pos="809"/>
        </w:tabs>
        <w:ind w:right="117" w:firstLine="566"/>
        <w:jc w:val="both"/>
        <w:rPr>
          <w:sz w:val="16"/>
          <w:lang w:val="en-US"/>
        </w:rPr>
      </w:pPr>
      <w:r w:rsidRPr="00791C81">
        <w:rPr>
          <w:sz w:val="16"/>
          <w:lang w:val="en-US"/>
        </w:rPr>
        <w:t>Geissler K, Koller E, Hubmann E, Ni</w:t>
      </w:r>
      <w:r w:rsidRPr="00791C81">
        <w:rPr>
          <w:sz w:val="16"/>
          <w:lang w:val="en-US"/>
        </w:rPr>
        <w:t>ederwieser D, Hinterberger W, Geissler D, et al. Granulocyte colony-stimulating factor as an adjunct to induction chemotherapy for adult acute lymphoblastic leukemia--a randomized phase-III study.Blood.</w:t>
      </w:r>
      <w:r w:rsidRPr="00791C81">
        <w:rPr>
          <w:spacing w:val="-14"/>
          <w:sz w:val="16"/>
          <w:lang w:val="en-US"/>
        </w:rPr>
        <w:t xml:space="preserve"> </w:t>
      </w:r>
      <w:r w:rsidRPr="00791C81">
        <w:rPr>
          <w:sz w:val="16"/>
          <w:lang w:val="en-US"/>
        </w:rPr>
        <w:t>1997</w:t>
      </w:r>
      <w:proofErr w:type="gramStart"/>
      <w:r w:rsidRPr="00791C81">
        <w:rPr>
          <w:sz w:val="16"/>
          <w:lang w:val="en-US"/>
        </w:rPr>
        <w:t>;90</w:t>
      </w:r>
      <w:proofErr w:type="gramEnd"/>
      <w:r w:rsidRPr="00791C81">
        <w:rPr>
          <w:sz w:val="16"/>
          <w:lang w:val="en-US"/>
        </w:rPr>
        <w:t>(2):590-6.</w:t>
      </w:r>
    </w:p>
    <w:p w:rsidR="00AB6593" w:rsidRDefault="00791C81">
      <w:pPr>
        <w:pStyle w:val="PargrafodaLista"/>
        <w:numPr>
          <w:ilvl w:val="0"/>
          <w:numId w:val="2"/>
        </w:numPr>
        <w:tabs>
          <w:tab w:val="left" w:pos="809"/>
        </w:tabs>
        <w:ind w:right="116" w:firstLine="566"/>
        <w:jc w:val="both"/>
        <w:rPr>
          <w:sz w:val="16"/>
        </w:rPr>
      </w:pPr>
      <w:r w:rsidRPr="00791C81">
        <w:rPr>
          <w:sz w:val="16"/>
          <w:lang w:val="en-US"/>
        </w:rPr>
        <w:t>Laver J, Amylon M, Desai S, Link M,</w:t>
      </w:r>
      <w:r w:rsidRPr="00791C81">
        <w:rPr>
          <w:sz w:val="16"/>
          <w:lang w:val="en-US"/>
        </w:rPr>
        <w:t xml:space="preserve"> Schwenn M, Mahmoud H, et al. Randomized trial of r-metHu granulocyte colony-stimulating factor in an intensive treatment for T-cell leukemia and advanced-stage lymphoblastic lymphoma of childhood: a Pediatric Oncology Group pilot study. </w:t>
      </w:r>
      <w:r>
        <w:rPr>
          <w:sz w:val="16"/>
        </w:rPr>
        <w:t xml:space="preserve">J Clin Oncol. </w:t>
      </w:r>
      <w:proofErr w:type="gramStart"/>
      <w:r>
        <w:rPr>
          <w:sz w:val="16"/>
        </w:rPr>
        <w:t>1998</w:t>
      </w:r>
      <w:r>
        <w:rPr>
          <w:sz w:val="16"/>
        </w:rPr>
        <w:t>;</w:t>
      </w:r>
      <w:proofErr w:type="gramEnd"/>
      <w:r>
        <w:rPr>
          <w:sz w:val="16"/>
        </w:rPr>
        <w:t>16(2):522-6.</w:t>
      </w:r>
    </w:p>
    <w:p w:rsidR="00AB6593" w:rsidRPr="00791C81" w:rsidRDefault="00791C81">
      <w:pPr>
        <w:pStyle w:val="PargrafodaLista"/>
        <w:numPr>
          <w:ilvl w:val="0"/>
          <w:numId w:val="2"/>
        </w:numPr>
        <w:tabs>
          <w:tab w:val="left" w:pos="809"/>
        </w:tabs>
        <w:ind w:right="117" w:firstLine="566"/>
        <w:jc w:val="both"/>
        <w:rPr>
          <w:sz w:val="16"/>
          <w:lang w:val="en-US"/>
        </w:rPr>
      </w:pPr>
      <w:r w:rsidRPr="00791C81">
        <w:rPr>
          <w:sz w:val="16"/>
          <w:lang w:val="en-US"/>
        </w:rPr>
        <w:t>Ottmann OG, Hoelzer D, Gracien E, Ganser A, Kelly K, Reutzel R, et al. Concomitant granulocyte colony-stimulating factor and induction chemoradiotherapy in adult acute lymphoblastic leukemia: a randomized phase III trial. Blood.</w:t>
      </w:r>
      <w:r w:rsidRPr="00791C81">
        <w:rPr>
          <w:spacing w:val="-13"/>
          <w:sz w:val="16"/>
          <w:lang w:val="en-US"/>
        </w:rPr>
        <w:t xml:space="preserve"> </w:t>
      </w:r>
      <w:r w:rsidRPr="00791C81">
        <w:rPr>
          <w:sz w:val="16"/>
          <w:lang w:val="en-US"/>
        </w:rPr>
        <w:t>1995</w:t>
      </w:r>
      <w:proofErr w:type="gramStart"/>
      <w:r w:rsidRPr="00791C81">
        <w:rPr>
          <w:sz w:val="16"/>
          <w:lang w:val="en-US"/>
        </w:rPr>
        <w:t>;86</w:t>
      </w:r>
      <w:proofErr w:type="gramEnd"/>
      <w:r w:rsidRPr="00791C81">
        <w:rPr>
          <w:sz w:val="16"/>
          <w:lang w:val="en-US"/>
        </w:rPr>
        <w:t>(2):44</w:t>
      </w:r>
      <w:r w:rsidRPr="00791C81">
        <w:rPr>
          <w:sz w:val="16"/>
          <w:lang w:val="en-US"/>
        </w:rPr>
        <w:t>4-50.</w:t>
      </w:r>
    </w:p>
    <w:p w:rsidR="00AB6593" w:rsidRDefault="00791C81">
      <w:pPr>
        <w:pStyle w:val="PargrafodaLista"/>
        <w:numPr>
          <w:ilvl w:val="0"/>
          <w:numId w:val="2"/>
        </w:numPr>
        <w:tabs>
          <w:tab w:val="left" w:pos="809"/>
        </w:tabs>
        <w:ind w:right="119" w:firstLine="566"/>
        <w:jc w:val="both"/>
        <w:rPr>
          <w:sz w:val="16"/>
        </w:rPr>
      </w:pPr>
      <w:r w:rsidRPr="00791C81">
        <w:rPr>
          <w:sz w:val="16"/>
          <w:lang w:val="en-US"/>
        </w:rPr>
        <w:t xml:space="preserve">Pui CH, Boyett JM, Hughes WT, Rivera GK, Hancock ML, Sandlund JT, et al. Human granulocyte colony-stimulating factor after induction chemotherapy in children with acute lymphoblastic leukemia. </w:t>
      </w:r>
      <w:r>
        <w:rPr>
          <w:sz w:val="16"/>
        </w:rPr>
        <w:t>N Engl J Med.</w:t>
      </w:r>
      <w:r>
        <w:rPr>
          <w:spacing w:val="-12"/>
          <w:sz w:val="16"/>
        </w:rPr>
        <w:t xml:space="preserve"> </w:t>
      </w:r>
      <w:proofErr w:type="gramStart"/>
      <w:r>
        <w:rPr>
          <w:sz w:val="16"/>
        </w:rPr>
        <w:t>1997;</w:t>
      </w:r>
      <w:proofErr w:type="gramEnd"/>
      <w:r>
        <w:rPr>
          <w:sz w:val="16"/>
        </w:rPr>
        <w:t>336(25):1781-7.</w:t>
      </w:r>
    </w:p>
    <w:p w:rsidR="00AB6593" w:rsidRPr="00791C81" w:rsidRDefault="00791C81">
      <w:pPr>
        <w:pStyle w:val="PargrafodaLista"/>
        <w:numPr>
          <w:ilvl w:val="0"/>
          <w:numId w:val="2"/>
        </w:numPr>
        <w:tabs>
          <w:tab w:val="left" w:pos="809"/>
        </w:tabs>
        <w:ind w:right="119" w:firstLine="566"/>
        <w:jc w:val="both"/>
        <w:rPr>
          <w:sz w:val="16"/>
          <w:lang w:val="en-US"/>
        </w:rPr>
      </w:pPr>
      <w:r w:rsidRPr="00791C81">
        <w:rPr>
          <w:sz w:val="16"/>
          <w:lang w:val="en-US"/>
        </w:rPr>
        <w:t>Scherrer R, Geissler K</w:t>
      </w:r>
      <w:r w:rsidRPr="00791C81">
        <w:rPr>
          <w:sz w:val="16"/>
          <w:lang w:val="en-US"/>
        </w:rPr>
        <w:t>, Kyrle PA, Gisslinger H, Jäger U, Bettelheim P, et al. Granulocyte colony-stimulating factor (G-CSF) as an adjunct to induction chemotherapy of adult acute lymphoblastic leukemia (ALL). Ann Hematol.</w:t>
      </w:r>
      <w:r w:rsidRPr="00791C81">
        <w:rPr>
          <w:spacing w:val="-12"/>
          <w:sz w:val="16"/>
          <w:lang w:val="en-US"/>
        </w:rPr>
        <w:t xml:space="preserve"> </w:t>
      </w:r>
      <w:r w:rsidRPr="00791C81">
        <w:rPr>
          <w:sz w:val="16"/>
          <w:lang w:val="en-US"/>
        </w:rPr>
        <w:t>1993</w:t>
      </w:r>
      <w:proofErr w:type="gramStart"/>
      <w:r w:rsidRPr="00791C81">
        <w:rPr>
          <w:sz w:val="16"/>
          <w:lang w:val="en-US"/>
        </w:rPr>
        <w:t>;66</w:t>
      </w:r>
      <w:proofErr w:type="gramEnd"/>
      <w:r w:rsidRPr="00791C81">
        <w:rPr>
          <w:sz w:val="16"/>
          <w:lang w:val="en-US"/>
        </w:rPr>
        <w:t>(6):283-9.</w:t>
      </w:r>
    </w:p>
    <w:p w:rsidR="00AB6593" w:rsidRPr="00791C81" w:rsidRDefault="00791C81">
      <w:pPr>
        <w:pStyle w:val="PargrafodaLista"/>
        <w:numPr>
          <w:ilvl w:val="0"/>
          <w:numId w:val="2"/>
        </w:numPr>
        <w:tabs>
          <w:tab w:val="left" w:pos="809"/>
        </w:tabs>
        <w:ind w:right="115" w:firstLine="566"/>
        <w:jc w:val="both"/>
        <w:rPr>
          <w:sz w:val="16"/>
          <w:lang w:val="en-US"/>
        </w:rPr>
      </w:pPr>
      <w:r w:rsidRPr="00791C81">
        <w:rPr>
          <w:sz w:val="16"/>
          <w:lang w:val="en-US"/>
        </w:rPr>
        <w:t xml:space="preserve">Sung </w:t>
      </w:r>
      <w:r w:rsidRPr="00791C81">
        <w:rPr>
          <w:spacing w:val="-3"/>
          <w:sz w:val="16"/>
          <w:lang w:val="en-US"/>
        </w:rPr>
        <w:t xml:space="preserve">L, </w:t>
      </w:r>
      <w:r w:rsidRPr="00791C81">
        <w:rPr>
          <w:sz w:val="16"/>
          <w:lang w:val="en-US"/>
        </w:rPr>
        <w:t xml:space="preserve">Nathan PC, Lange B, Beyene J, </w:t>
      </w:r>
      <w:r w:rsidRPr="00791C81">
        <w:rPr>
          <w:sz w:val="16"/>
          <w:lang w:val="en-US"/>
        </w:rPr>
        <w:t>Buchanan GR. Prophylactic granulocyte colony-stimulating factor and granulocyte-macrophage colony- stimulating factor decrease febrile neutropenia after chemotherapy in children with cancer: a meta-analysis of randomized controlled trials. J Clin Oncol. 20</w:t>
      </w:r>
      <w:r w:rsidRPr="00791C81">
        <w:rPr>
          <w:sz w:val="16"/>
          <w:lang w:val="en-US"/>
        </w:rPr>
        <w:t>04</w:t>
      </w:r>
      <w:proofErr w:type="gramStart"/>
      <w:r w:rsidRPr="00791C81">
        <w:rPr>
          <w:sz w:val="16"/>
          <w:lang w:val="en-US"/>
        </w:rPr>
        <w:t>;22</w:t>
      </w:r>
      <w:proofErr w:type="gramEnd"/>
      <w:r w:rsidRPr="00791C81">
        <w:rPr>
          <w:sz w:val="16"/>
          <w:lang w:val="en-US"/>
        </w:rPr>
        <w:t>(16):3350-6.</w:t>
      </w:r>
    </w:p>
    <w:p w:rsidR="00AB6593" w:rsidRDefault="00791C81">
      <w:pPr>
        <w:pStyle w:val="PargrafodaLista"/>
        <w:numPr>
          <w:ilvl w:val="0"/>
          <w:numId w:val="2"/>
        </w:numPr>
        <w:tabs>
          <w:tab w:val="left" w:pos="953"/>
        </w:tabs>
        <w:ind w:right="115" w:firstLine="566"/>
        <w:jc w:val="both"/>
        <w:rPr>
          <w:sz w:val="16"/>
        </w:rPr>
      </w:pPr>
      <w:r w:rsidRPr="00791C81">
        <w:rPr>
          <w:sz w:val="16"/>
          <w:lang w:val="en-US"/>
        </w:rPr>
        <w:t>Welte K, Reiter A, Mempel K, Pfetsch M, Schwab G, Schrappe M, et al. A randomized phase-III study of the efficacy of granulocyte colony- stimulating</w:t>
      </w:r>
      <w:r w:rsidRPr="00791C81">
        <w:rPr>
          <w:spacing w:val="-3"/>
          <w:sz w:val="16"/>
          <w:lang w:val="en-US"/>
        </w:rPr>
        <w:t xml:space="preserve"> </w:t>
      </w:r>
      <w:r w:rsidRPr="00791C81">
        <w:rPr>
          <w:sz w:val="16"/>
          <w:lang w:val="en-US"/>
        </w:rPr>
        <w:t>factor</w:t>
      </w:r>
      <w:r w:rsidRPr="00791C81">
        <w:rPr>
          <w:spacing w:val="-4"/>
          <w:sz w:val="16"/>
          <w:lang w:val="en-US"/>
        </w:rPr>
        <w:t xml:space="preserve"> </w:t>
      </w:r>
      <w:r w:rsidRPr="00791C81">
        <w:rPr>
          <w:sz w:val="16"/>
          <w:lang w:val="en-US"/>
        </w:rPr>
        <w:t>in</w:t>
      </w:r>
      <w:r w:rsidRPr="00791C81">
        <w:rPr>
          <w:spacing w:val="-2"/>
          <w:sz w:val="16"/>
          <w:lang w:val="en-US"/>
        </w:rPr>
        <w:t xml:space="preserve"> </w:t>
      </w:r>
      <w:r w:rsidRPr="00791C81">
        <w:rPr>
          <w:sz w:val="16"/>
          <w:lang w:val="en-US"/>
        </w:rPr>
        <w:t>children</w:t>
      </w:r>
      <w:r w:rsidRPr="00791C81">
        <w:rPr>
          <w:spacing w:val="-2"/>
          <w:sz w:val="16"/>
          <w:lang w:val="en-US"/>
        </w:rPr>
        <w:t xml:space="preserve"> </w:t>
      </w:r>
      <w:r w:rsidRPr="00791C81">
        <w:rPr>
          <w:sz w:val="16"/>
          <w:lang w:val="en-US"/>
        </w:rPr>
        <w:t>with</w:t>
      </w:r>
      <w:r w:rsidRPr="00791C81">
        <w:rPr>
          <w:spacing w:val="-2"/>
          <w:sz w:val="16"/>
          <w:lang w:val="en-US"/>
        </w:rPr>
        <w:t xml:space="preserve"> </w:t>
      </w:r>
      <w:r w:rsidRPr="00791C81">
        <w:rPr>
          <w:sz w:val="16"/>
          <w:lang w:val="en-US"/>
        </w:rPr>
        <w:t>high-risk</w:t>
      </w:r>
      <w:r w:rsidRPr="00791C81">
        <w:rPr>
          <w:spacing w:val="-2"/>
          <w:sz w:val="16"/>
          <w:lang w:val="en-US"/>
        </w:rPr>
        <w:t xml:space="preserve"> </w:t>
      </w:r>
      <w:r w:rsidRPr="00791C81">
        <w:rPr>
          <w:sz w:val="16"/>
          <w:lang w:val="en-US"/>
        </w:rPr>
        <w:t>acute</w:t>
      </w:r>
      <w:r w:rsidRPr="00791C81">
        <w:rPr>
          <w:spacing w:val="-4"/>
          <w:sz w:val="16"/>
          <w:lang w:val="en-US"/>
        </w:rPr>
        <w:t xml:space="preserve"> </w:t>
      </w:r>
      <w:r w:rsidRPr="00791C81">
        <w:rPr>
          <w:sz w:val="16"/>
          <w:lang w:val="en-US"/>
        </w:rPr>
        <w:t>lymphoblastic leukemia.</w:t>
      </w:r>
      <w:r w:rsidRPr="00791C81">
        <w:rPr>
          <w:spacing w:val="-3"/>
          <w:sz w:val="16"/>
          <w:lang w:val="en-US"/>
        </w:rPr>
        <w:t xml:space="preserve"> </w:t>
      </w:r>
      <w:r>
        <w:rPr>
          <w:sz w:val="16"/>
        </w:rPr>
        <w:t>Berlin-Frankfurt-Munster</w:t>
      </w:r>
      <w:r>
        <w:rPr>
          <w:spacing w:val="-2"/>
          <w:sz w:val="16"/>
        </w:rPr>
        <w:t xml:space="preserve"> </w:t>
      </w:r>
      <w:r>
        <w:rPr>
          <w:sz w:val="16"/>
        </w:rPr>
        <w:t>Study</w:t>
      </w:r>
      <w:r>
        <w:rPr>
          <w:spacing w:val="-4"/>
          <w:sz w:val="16"/>
        </w:rPr>
        <w:t xml:space="preserve"> </w:t>
      </w:r>
      <w:r>
        <w:rPr>
          <w:sz w:val="16"/>
        </w:rPr>
        <w:t>Group.</w:t>
      </w:r>
      <w:r>
        <w:rPr>
          <w:spacing w:val="-3"/>
          <w:sz w:val="16"/>
        </w:rPr>
        <w:t xml:space="preserve"> </w:t>
      </w:r>
      <w:r>
        <w:rPr>
          <w:sz w:val="16"/>
        </w:rPr>
        <w:t>Blood.</w:t>
      </w:r>
      <w:r>
        <w:rPr>
          <w:spacing w:val="-3"/>
          <w:sz w:val="16"/>
        </w:rPr>
        <w:t xml:space="preserve"> </w:t>
      </w:r>
      <w:proofErr w:type="gramStart"/>
      <w:r>
        <w:rPr>
          <w:sz w:val="16"/>
        </w:rPr>
        <w:t>1996;</w:t>
      </w:r>
      <w:proofErr w:type="gramEnd"/>
      <w:r>
        <w:rPr>
          <w:sz w:val="16"/>
        </w:rPr>
        <w:t>87(8):3143-50.</w:t>
      </w:r>
    </w:p>
    <w:p w:rsidR="00AB6593" w:rsidRDefault="00791C81">
      <w:pPr>
        <w:pStyle w:val="PargrafodaLista"/>
        <w:numPr>
          <w:ilvl w:val="0"/>
          <w:numId w:val="2"/>
        </w:numPr>
        <w:tabs>
          <w:tab w:val="left" w:pos="953"/>
        </w:tabs>
        <w:ind w:right="114" w:firstLine="566"/>
        <w:jc w:val="both"/>
        <w:rPr>
          <w:sz w:val="16"/>
        </w:rPr>
      </w:pPr>
      <w:r w:rsidRPr="00791C81">
        <w:rPr>
          <w:sz w:val="16"/>
          <w:lang w:val="en-US"/>
        </w:rPr>
        <w:t>National Cancer Institute. Common toxicity criteria version 2.0.1999 [Internet]</w:t>
      </w:r>
      <w:proofErr w:type="gramStart"/>
      <w:r w:rsidRPr="00791C81">
        <w:rPr>
          <w:sz w:val="16"/>
          <w:lang w:val="en-US"/>
        </w:rPr>
        <w:t>.[</w:t>
      </w:r>
      <w:proofErr w:type="gramEnd"/>
      <w:r w:rsidRPr="00791C81">
        <w:rPr>
          <w:sz w:val="16"/>
          <w:lang w:val="en-US"/>
        </w:rPr>
        <w:t xml:space="preserve">acesso em 23 set 2014]. </w:t>
      </w:r>
      <w:r>
        <w:rPr>
          <w:sz w:val="16"/>
        </w:rPr>
        <w:t xml:space="preserve">Disponível </w:t>
      </w:r>
      <w:proofErr w:type="gramStart"/>
      <w:r>
        <w:rPr>
          <w:sz w:val="16"/>
        </w:rPr>
        <w:t>em:</w:t>
      </w:r>
      <w:proofErr w:type="gramEnd"/>
      <w:r>
        <w:fldChar w:fldCharType="begin"/>
      </w:r>
      <w:r>
        <w:instrText xml:space="preserve"> HYPERLINK "http://prevention.cancer.gov/files/clinical-trials/common-toxicity-criteria.pdf" \h</w:instrText>
      </w:r>
      <w:r>
        <w:instrText xml:space="preserve"> </w:instrText>
      </w:r>
      <w:r>
        <w:fldChar w:fldCharType="separate"/>
      </w:r>
      <w:r>
        <w:rPr>
          <w:sz w:val="16"/>
        </w:rPr>
        <w:t xml:space="preserve"> http://prevention.cancer.gov/files/clinical-trials/common-toxicity-criteria.pdf</w:t>
      </w:r>
      <w:r>
        <w:rPr>
          <w:sz w:val="16"/>
        </w:rPr>
        <w:fldChar w:fldCharType="end"/>
      </w:r>
    </w:p>
    <w:p w:rsidR="00AB6593" w:rsidRDefault="00791C81">
      <w:pPr>
        <w:pStyle w:val="PargrafodaLista"/>
        <w:numPr>
          <w:ilvl w:val="0"/>
          <w:numId w:val="2"/>
        </w:numPr>
        <w:tabs>
          <w:tab w:val="left" w:pos="953"/>
        </w:tabs>
        <w:ind w:right="114" w:firstLine="566"/>
        <w:jc w:val="both"/>
        <w:rPr>
          <w:sz w:val="16"/>
        </w:rPr>
      </w:pPr>
      <w:r w:rsidRPr="00791C81">
        <w:rPr>
          <w:sz w:val="16"/>
          <w:lang w:val="en-US"/>
        </w:rPr>
        <w:t xml:space="preserve">Hughes </w:t>
      </w:r>
      <w:r w:rsidRPr="00791C81">
        <w:rPr>
          <w:spacing w:val="-3"/>
          <w:sz w:val="16"/>
          <w:lang w:val="en-US"/>
        </w:rPr>
        <w:t xml:space="preserve">WT, </w:t>
      </w:r>
      <w:r w:rsidRPr="00791C81">
        <w:rPr>
          <w:sz w:val="16"/>
          <w:lang w:val="en-US"/>
        </w:rPr>
        <w:t xml:space="preserve">Armstrong D, Bodey GP, Bow EJ, Brown AE, Calandra T, et al. 2002 guidelines for the use of antimicrobial agents in neutropenic patients with cancer. </w:t>
      </w:r>
      <w:r>
        <w:rPr>
          <w:sz w:val="16"/>
        </w:rPr>
        <w:t>Clin Infect Dis.</w:t>
      </w:r>
      <w:r>
        <w:rPr>
          <w:spacing w:val="-1"/>
          <w:sz w:val="16"/>
        </w:rPr>
        <w:t xml:space="preserve"> </w:t>
      </w:r>
      <w:proofErr w:type="gramStart"/>
      <w:r>
        <w:rPr>
          <w:sz w:val="16"/>
        </w:rPr>
        <w:t>2002;</w:t>
      </w:r>
      <w:proofErr w:type="gramEnd"/>
      <w:r>
        <w:rPr>
          <w:sz w:val="16"/>
        </w:rPr>
        <w:t>34(6):730-51.</w:t>
      </w:r>
    </w:p>
    <w:p w:rsidR="00AB6593" w:rsidRDefault="00791C81">
      <w:pPr>
        <w:pStyle w:val="PargrafodaLista"/>
        <w:numPr>
          <w:ilvl w:val="0"/>
          <w:numId w:val="2"/>
        </w:numPr>
        <w:tabs>
          <w:tab w:val="left" w:pos="953"/>
        </w:tabs>
        <w:ind w:right="115" w:firstLine="566"/>
        <w:jc w:val="both"/>
        <w:rPr>
          <w:sz w:val="16"/>
        </w:rPr>
      </w:pPr>
      <w:r>
        <w:rPr>
          <w:sz w:val="16"/>
        </w:rPr>
        <w:t xml:space="preserve">Freifeld AG, Bow EJ, Sepkowitz KA, Boeckh MJ, Ito JI, Mullen CA, </w:t>
      </w:r>
      <w:proofErr w:type="gramStart"/>
      <w:r>
        <w:rPr>
          <w:sz w:val="16"/>
        </w:rPr>
        <w:t>et</w:t>
      </w:r>
      <w:proofErr w:type="gramEnd"/>
      <w:r>
        <w:rPr>
          <w:sz w:val="16"/>
        </w:rPr>
        <w:t xml:space="preserve"> al.</w:t>
      </w:r>
      <w:r>
        <w:rPr>
          <w:sz w:val="16"/>
        </w:rPr>
        <w:t xml:space="preserve"> </w:t>
      </w:r>
      <w:r w:rsidRPr="00791C81">
        <w:rPr>
          <w:sz w:val="16"/>
          <w:lang w:val="en-US"/>
        </w:rPr>
        <w:t xml:space="preserve">Clinical practice guideline for the use of antimicrobial agents in neutropenic patients with cancer: 2010 update by the infectious diseases society of america. </w:t>
      </w:r>
      <w:r>
        <w:rPr>
          <w:sz w:val="16"/>
        </w:rPr>
        <w:t>Clin Infect</w:t>
      </w:r>
      <w:r>
        <w:rPr>
          <w:spacing w:val="-27"/>
          <w:sz w:val="16"/>
        </w:rPr>
        <w:t xml:space="preserve"> </w:t>
      </w:r>
      <w:r>
        <w:rPr>
          <w:sz w:val="16"/>
        </w:rPr>
        <w:t xml:space="preserve">Dis. </w:t>
      </w:r>
      <w:proofErr w:type="gramStart"/>
      <w:r>
        <w:rPr>
          <w:sz w:val="16"/>
        </w:rPr>
        <w:t>2011;</w:t>
      </w:r>
      <w:proofErr w:type="gramEnd"/>
      <w:r>
        <w:rPr>
          <w:sz w:val="16"/>
        </w:rPr>
        <w:t>52(4):e56-93.</w:t>
      </w:r>
    </w:p>
    <w:p w:rsidR="00AB6593" w:rsidRPr="00791C81" w:rsidRDefault="00791C81">
      <w:pPr>
        <w:pStyle w:val="PargrafodaLista"/>
        <w:numPr>
          <w:ilvl w:val="0"/>
          <w:numId w:val="2"/>
        </w:numPr>
        <w:tabs>
          <w:tab w:val="left" w:pos="953"/>
        </w:tabs>
        <w:ind w:right="113" w:firstLine="566"/>
        <w:jc w:val="both"/>
        <w:rPr>
          <w:sz w:val="16"/>
          <w:lang w:val="en-US"/>
        </w:rPr>
      </w:pPr>
      <w:r w:rsidRPr="00791C81">
        <w:rPr>
          <w:sz w:val="16"/>
          <w:lang w:val="en-US"/>
        </w:rPr>
        <w:t xml:space="preserve">Dale DC, Cottle TE, Fier CJ, Bolyard </w:t>
      </w:r>
      <w:r w:rsidRPr="00791C81">
        <w:rPr>
          <w:spacing w:val="-3"/>
          <w:sz w:val="16"/>
          <w:lang w:val="en-US"/>
        </w:rPr>
        <w:t xml:space="preserve">AA, </w:t>
      </w:r>
      <w:r w:rsidRPr="00791C81">
        <w:rPr>
          <w:sz w:val="16"/>
          <w:lang w:val="en-US"/>
        </w:rPr>
        <w:t xml:space="preserve">Bonilla MA, Boxer </w:t>
      </w:r>
      <w:r w:rsidRPr="00791C81">
        <w:rPr>
          <w:spacing w:val="-3"/>
          <w:sz w:val="16"/>
          <w:lang w:val="en-US"/>
        </w:rPr>
        <w:t xml:space="preserve">LA, </w:t>
      </w:r>
      <w:r w:rsidRPr="00791C81">
        <w:rPr>
          <w:sz w:val="16"/>
          <w:lang w:val="en-US"/>
        </w:rPr>
        <w:t>et al. Severe chronic neutropenia: treatment and follow-up of patients in the Severe Chronic Neutropenia International Registry. Am J Hematol.</w:t>
      </w:r>
      <w:r w:rsidRPr="00791C81">
        <w:rPr>
          <w:spacing w:val="-2"/>
          <w:sz w:val="16"/>
          <w:lang w:val="en-US"/>
        </w:rPr>
        <w:t xml:space="preserve"> </w:t>
      </w:r>
      <w:r w:rsidRPr="00791C81">
        <w:rPr>
          <w:sz w:val="16"/>
          <w:lang w:val="en-US"/>
        </w:rPr>
        <w:t>2003</w:t>
      </w:r>
      <w:proofErr w:type="gramStart"/>
      <w:r w:rsidRPr="00791C81">
        <w:rPr>
          <w:sz w:val="16"/>
          <w:lang w:val="en-US"/>
        </w:rPr>
        <w:t>;72</w:t>
      </w:r>
      <w:proofErr w:type="gramEnd"/>
      <w:r w:rsidRPr="00791C81">
        <w:rPr>
          <w:sz w:val="16"/>
          <w:lang w:val="en-US"/>
        </w:rPr>
        <w:t>(2):82-93.</w:t>
      </w:r>
    </w:p>
    <w:p w:rsidR="00AB6593" w:rsidRDefault="00791C81">
      <w:pPr>
        <w:pStyle w:val="PargrafodaLista"/>
        <w:numPr>
          <w:ilvl w:val="0"/>
          <w:numId w:val="2"/>
        </w:numPr>
        <w:tabs>
          <w:tab w:val="left" w:pos="953"/>
        </w:tabs>
        <w:ind w:right="115" w:firstLine="566"/>
        <w:jc w:val="both"/>
        <w:rPr>
          <w:sz w:val="16"/>
        </w:rPr>
      </w:pPr>
      <w:r w:rsidRPr="00791C81">
        <w:rPr>
          <w:sz w:val="16"/>
          <w:lang w:val="en-US"/>
        </w:rPr>
        <w:t xml:space="preserve">Zeidler C, Boxer </w:t>
      </w:r>
      <w:r w:rsidRPr="00791C81">
        <w:rPr>
          <w:spacing w:val="-3"/>
          <w:sz w:val="16"/>
          <w:lang w:val="en-US"/>
        </w:rPr>
        <w:t xml:space="preserve">L, </w:t>
      </w:r>
      <w:r w:rsidRPr="00791C81">
        <w:rPr>
          <w:sz w:val="16"/>
          <w:lang w:val="en-US"/>
        </w:rPr>
        <w:t>Dale DC, Freedman MH, Kinsey S, Welte K. Management of Kostmann syndrom</w:t>
      </w:r>
      <w:r w:rsidRPr="00791C81">
        <w:rPr>
          <w:sz w:val="16"/>
          <w:lang w:val="en-US"/>
        </w:rPr>
        <w:t xml:space="preserve">e in the G-CSF era. </w:t>
      </w:r>
      <w:proofErr w:type="gramStart"/>
      <w:r>
        <w:rPr>
          <w:sz w:val="16"/>
        </w:rPr>
        <w:t>Br</w:t>
      </w:r>
      <w:proofErr w:type="gramEnd"/>
      <w:r>
        <w:rPr>
          <w:sz w:val="16"/>
        </w:rPr>
        <w:t xml:space="preserve"> J Haematol. </w:t>
      </w:r>
      <w:proofErr w:type="gramStart"/>
      <w:r>
        <w:rPr>
          <w:sz w:val="16"/>
        </w:rPr>
        <w:t>2000;</w:t>
      </w:r>
      <w:proofErr w:type="gramEnd"/>
      <w:r>
        <w:rPr>
          <w:sz w:val="16"/>
        </w:rPr>
        <w:t>109(3):490-5.</w:t>
      </w:r>
    </w:p>
    <w:p w:rsidR="00AB6593" w:rsidRDefault="00791C81">
      <w:pPr>
        <w:pStyle w:val="PargrafodaLista"/>
        <w:numPr>
          <w:ilvl w:val="0"/>
          <w:numId w:val="2"/>
        </w:numPr>
        <w:tabs>
          <w:tab w:val="left" w:pos="953"/>
        </w:tabs>
        <w:ind w:right="114" w:firstLine="566"/>
        <w:jc w:val="both"/>
        <w:rPr>
          <w:sz w:val="16"/>
        </w:rPr>
      </w:pPr>
      <w:r w:rsidRPr="00791C81">
        <w:rPr>
          <w:sz w:val="16"/>
          <w:lang w:val="en-US"/>
        </w:rPr>
        <w:t xml:space="preserve">Bodey GP, Buckley M, Sathe YS, Freireich EJ.Quantitative relationships between circulating leukocytes and infection in patients with acute leukemia. </w:t>
      </w:r>
      <w:r>
        <w:rPr>
          <w:sz w:val="16"/>
        </w:rPr>
        <w:t>Ann Intern Med.</w:t>
      </w:r>
      <w:r>
        <w:rPr>
          <w:spacing w:val="-2"/>
          <w:sz w:val="16"/>
        </w:rPr>
        <w:t xml:space="preserve"> </w:t>
      </w:r>
      <w:proofErr w:type="gramStart"/>
      <w:r>
        <w:rPr>
          <w:sz w:val="16"/>
        </w:rPr>
        <w:t>1966;</w:t>
      </w:r>
      <w:proofErr w:type="gramEnd"/>
      <w:r>
        <w:rPr>
          <w:sz w:val="16"/>
        </w:rPr>
        <w:t>64(2):328-40.</w:t>
      </w:r>
    </w:p>
    <w:p w:rsidR="00AB6593" w:rsidRDefault="00791C81">
      <w:pPr>
        <w:pStyle w:val="PargrafodaLista"/>
        <w:numPr>
          <w:ilvl w:val="0"/>
          <w:numId w:val="2"/>
        </w:numPr>
        <w:tabs>
          <w:tab w:val="left" w:pos="953"/>
        </w:tabs>
        <w:ind w:right="119" w:firstLine="566"/>
        <w:jc w:val="both"/>
        <w:rPr>
          <w:sz w:val="16"/>
        </w:rPr>
      </w:pPr>
      <w:r w:rsidRPr="00791C81">
        <w:rPr>
          <w:sz w:val="16"/>
          <w:lang w:val="en-US"/>
        </w:rPr>
        <w:t xml:space="preserve">Donowitz GR, Maki </w:t>
      </w:r>
      <w:r w:rsidRPr="00791C81">
        <w:rPr>
          <w:sz w:val="16"/>
          <w:lang w:val="en-US"/>
        </w:rPr>
        <w:t xml:space="preserve">DG, Crnich CJ, Pappas PG, Rolston KV. Infections in the neutropenic patient--new views of an old problem.Hematology Am Soc Hematol Educ Program. </w:t>
      </w:r>
      <w:r>
        <w:rPr>
          <w:sz w:val="16"/>
        </w:rPr>
        <w:t>2001:113-39.</w:t>
      </w:r>
    </w:p>
    <w:p w:rsidR="00AB6593" w:rsidRPr="00791C81" w:rsidRDefault="00791C81">
      <w:pPr>
        <w:pStyle w:val="PargrafodaLista"/>
        <w:numPr>
          <w:ilvl w:val="0"/>
          <w:numId w:val="2"/>
        </w:numPr>
        <w:tabs>
          <w:tab w:val="left" w:pos="953"/>
        </w:tabs>
        <w:ind w:right="113" w:firstLine="566"/>
        <w:jc w:val="both"/>
        <w:rPr>
          <w:sz w:val="16"/>
          <w:lang w:val="en-US"/>
        </w:rPr>
      </w:pPr>
      <w:r>
        <w:rPr>
          <w:sz w:val="16"/>
        </w:rPr>
        <w:t xml:space="preserve">García-Carbonero R, Mayordomo JI, Tornamira MV, López-Brea M, Rueda A, Guillem V, </w:t>
      </w:r>
      <w:proofErr w:type="gramStart"/>
      <w:r>
        <w:rPr>
          <w:sz w:val="16"/>
        </w:rPr>
        <w:t>et</w:t>
      </w:r>
      <w:proofErr w:type="gramEnd"/>
      <w:r>
        <w:rPr>
          <w:sz w:val="16"/>
        </w:rPr>
        <w:t xml:space="preserve"> al. </w:t>
      </w:r>
      <w:r w:rsidRPr="00791C81">
        <w:rPr>
          <w:sz w:val="16"/>
          <w:lang w:val="en-US"/>
        </w:rPr>
        <w:t>Granulocy</w:t>
      </w:r>
      <w:r w:rsidRPr="00791C81">
        <w:rPr>
          <w:sz w:val="16"/>
          <w:lang w:val="en-US"/>
        </w:rPr>
        <w:t>te colony-stimulating factor in the treatment of high-risk febrile neutropenia: a multicenter randomized trial. J Natl Cancer Inst.</w:t>
      </w:r>
      <w:r w:rsidRPr="00791C81">
        <w:rPr>
          <w:spacing w:val="-9"/>
          <w:sz w:val="16"/>
          <w:lang w:val="en-US"/>
        </w:rPr>
        <w:t xml:space="preserve"> </w:t>
      </w:r>
      <w:r w:rsidRPr="00791C81">
        <w:rPr>
          <w:sz w:val="16"/>
          <w:lang w:val="en-US"/>
        </w:rPr>
        <w:t>2001</w:t>
      </w:r>
      <w:proofErr w:type="gramStart"/>
      <w:r w:rsidRPr="00791C81">
        <w:rPr>
          <w:sz w:val="16"/>
          <w:lang w:val="en-US"/>
        </w:rPr>
        <w:t>;93</w:t>
      </w:r>
      <w:proofErr w:type="gramEnd"/>
      <w:r w:rsidRPr="00791C81">
        <w:rPr>
          <w:sz w:val="16"/>
          <w:lang w:val="en-US"/>
        </w:rPr>
        <w:t>(1):31-8.</w:t>
      </w:r>
    </w:p>
    <w:p w:rsidR="00AB6593" w:rsidRDefault="00791C81">
      <w:pPr>
        <w:pStyle w:val="PargrafodaLista"/>
        <w:numPr>
          <w:ilvl w:val="0"/>
          <w:numId w:val="2"/>
        </w:numPr>
        <w:tabs>
          <w:tab w:val="left" w:pos="953"/>
        </w:tabs>
        <w:ind w:right="121" w:firstLine="566"/>
        <w:jc w:val="both"/>
        <w:rPr>
          <w:sz w:val="16"/>
        </w:rPr>
      </w:pPr>
      <w:r w:rsidRPr="00791C81">
        <w:rPr>
          <w:sz w:val="16"/>
          <w:lang w:val="en-US"/>
        </w:rPr>
        <w:t>Klaassen RJ, Goodman TR, Pham B, Doyle JJ. "Low-risk" prediction rule for pediatric oncology patients prese</w:t>
      </w:r>
      <w:r w:rsidRPr="00791C81">
        <w:rPr>
          <w:sz w:val="16"/>
          <w:lang w:val="en-US"/>
        </w:rPr>
        <w:t>nting with fever and neutropenia.J Clin Oncol.</w:t>
      </w:r>
      <w:r w:rsidRPr="00791C81">
        <w:rPr>
          <w:spacing w:val="-2"/>
          <w:sz w:val="16"/>
          <w:lang w:val="en-US"/>
        </w:rPr>
        <w:t xml:space="preserve"> </w:t>
      </w:r>
      <w:proofErr w:type="gramStart"/>
      <w:r>
        <w:rPr>
          <w:sz w:val="16"/>
        </w:rPr>
        <w:t>2000;</w:t>
      </w:r>
      <w:proofErr w:type="gramEnd"/>
      <w:r>
        <w:rPr>
          <w:sz w:val="16"/>
        </w:rPr>
        <w:t>18(5):1012-9.</w:t>
      </w:r>
    </w:p>
    <w:p w:rsidR="00AB6593" w:rsidRDefault="00791C81">
      <w:pPr>
        <w:pStyle w:val="PargrafodaLista"/>
        <w:numPr>
          <w:ilvl w:val="0"/>
          <w:numId w:val="2"/>
        </w:numPr>
        <w:tabs>
          <w:tab w:val="left" w:pos="953"/>
        </w:tabs>
        <w:ind w:right="116" w:firstLine="566"/>
        <w:jc w:val="both"/>
        <w:rPr>
          <w:sz w:val="16"/>
        </w:rPr>
      </w:pPr>
      <w:r w:rsidRPr="00791C81">
        <w:rPr>
          <w:sz w:val="16"/>
          <w:lang w:val="en-US"/>
        </w:rPr>
        <w:t xml:space="preserve">Klastersky J, Paesmans M, Rubenstein EB, Boyer M, Elting </w:t>
      </w:r>
      <w:r w:rsidRPr="00791C81">
        <w:rPr>
          <w:spacing w:val="-3"/>
          <w:sz w:val="16"/>
          <w:lang w:val="en-US"/>
        </w:rPr>
        <w:t xml:space="preserve">L, </w:t>
      </w:r>
      <w:r w:rsidRPr="00791C81">
        <w:rPr>
          <w:sz w:val="16"/>
          <w:lang w:val="en-US"/>
        </w:rPr>
        <w:t>Feld R, et al. The Multinational Association for Supportive Care in Cancer risk index: A multinational scoring system for identify</w:t>
      </w:r>
      <w:r w:rsidRPr="00791C81">
        <w:rPr>
          <w:sz w:val="16"/>
          <w:lang w:val="en-US"/>
        </w:rPr>
        <w:t xml:space="preserve">ing low-risk febrile neutropenic cancer patients. </w:t>
      </w:r>
      <w:r>
        <w:rPr>
          <w:sz w:val="16"/>
        </w:rPr>
        <w:t>J Clin Oncol.</w:t>
      </w:r>
      <w:r>
        <w:rPr>
          <w:spacing w:val="-27"/>
          <w:sz w:val="16"/>
        </w:rPr>
        <w:t xml:space="preserve"> </w:t>
      </w:r>
      <w:proofErr w:type="gramStart"/>
      <w:r>
        <w:rPr>
          <w:sz w:val="16"/>
        </w:rPr>
        <w:t>2000;</w:t>
      </w:r>
      <w:proofErr w:type="gramEnd"/>
      <w:r>
        <w:rPr>
          <w:sz w:val="16"/>
        </w:rPr>
        <w:t>18(16):3038-51.</w:t>
      </w:r>
    </w:p>
    <w:p w:rsidR="00AB6593" w:rsidRPr="00791C81" w:rsidRDefault="00791C81">
      <w:pPr>
        <w:pStyle w:val="PargrafodaLista"/>
        <w:numPr>
          <w:ilvl w:val="0"/>
          <w:numId w:val="2"/>
        </w:numPr>
        <w:tabs>
          <w:tab w:val="left" w:pos="953"/>
        </w:tabs>
        <w:ind w:left="952" w:hanging="286"/>
        <w:rPr>
          <w:sz w:val="16"/>
          <w:lang w:val="en-US"/>
        </w:rPr>
      </w:pPr>
      <w:r w:rsidRPr="00791C81">
        <w:rPr>
          <w:sz w:val="16"/>
          <w:lang w:val="en-US"/>
        </w:rPr>
        <w:t>Pizzo PA. Management of fever in patients with cancer and treatment-induced neutropenia.N Engl J Med.</w:t>
      </w:r>
      <w:r w:rsidRPr="00791C81">
        <w:rPr>
          <w:spacing w:val="-25"/>
          <w:sz w:val="16"/>
          <w:lang w:val="en-US"/>
        </w:rPr>
        <w:t xml:space="preserve"> </w:t>
      </w:r>
      <w:r w:rsidRPr="00791C81">
        <w:rPr>
          <w:sz w:val="16"/>
          <w:lang w:val="en-US"/>
        </w:rPr>
        <w:t>1993</w:t>
      </w:r>
      <w:proofErr w:type="gramStart"/>
      <w:r w:rsidRPr="00791C81">
        <w:rPr>
          <w:sz w:val="16"/>
          <w:lang w:val="en-US"/>
        </w:rPr>
        <w:t>;328</w:t>
      </w:r>
      <w:proofErr w:type="gramEnd"/>
      <w:r w:rsidRPr="00791C81">
        <w:rPr>
          <w:sz w:val="16"/>
          <w:lang w:val="en-US"/>
        </w:rPr>
        <w:t>(18):1323-32.</w:t>
      </w:r>
    </w:p>
    <w:p w:rsidR="00AB6593" w:rsidRDefault="00791C81">
      <w:pPr>
        <w:pStyle w:val="PargrafodaLista"/>
        <w:numPr>
          <w:ilvl w:val="0"/>
          <w:numId w:val="2"/>
        </w:numPr>
        <w:tabs>
          <w:tab w:val="left" w:pos="953"/>
        </w:tabs>
        <w:ind w:right="116" w:firstLine="566"/>
        <w:jc w:val="both"/>
        <w:rPr>
          <w:sz w:val="16"/>
        </w:rPr>
      </w:pPr>
      <w:r w:rsidRPr="00791C81">
        <w:rPr>
          <w:sz w:val="16"/>
          <w:lang w:val="en-US"/>
        </w:rPr>
        <w:t>Sørensen JB, Klee M, Palshof T, Hansen HH. Perf</w:t>
      </w:r>
      <w:r w:rsidRPr="00791C81">
        <w:rPr>
          <w:sz w:val="16"/>
          <w:lang w:val="en-US"/>
        </w:rPr>
        <w:t xml:space="preserve">ormance status assessment in cancer patients.An inter-observer variability study.Br J Cancer. </w:t>
      </w:r>
      <w:proofErr w:type="gramStart"/>
      <w:r>
        <w:rPr>
          <w:sz w:val="16"/>
        </w:rPr>
        <w:t>1993;</w:t>
      </w:r>
      <w:proofErr w:type="gramEnd"/>
      <w:r>
        <w:rPr>
          <w:sz w:val="16"/>
        </w:rPr>
        <w:t>67(4):773-5.</w:t>
      </w:r>
    </w:p>
    <w:p w:rsidR="00AB6593" w:rsidRPr="00791C81" w:rsidRDefault="00791C81">
      <w:pPr>
        <w:pStyle w:val="PargrafodaLista"/>
        <w:numPr>
          <w:ilvl w:val="0"/>
          <w:numId w:val="2"/>
        </w:numPr>
        <w:tabs>
          <w:tab w:val="left" w:pos="953"/>
        </w:tabs>
        <w:ind w:right="112" w:firstLine="566"/>
        <w:jc w:val="both"/>
        <w:rPr>
          <w:sz w:val="16"/>
          <w:lang w:val="en-US"/>
        </w:rPr>
      </w:pPr>
      <w:r w:rsidRPr="00791C81">
        <w:rPr>
          <w:sz w:val="16"/>
          <w:lang w:val="en-US"/>
        </w:rPr>
        <w:t>Oken MM, Creech RH, Tormey DC, Horton J, Davis TE, McFadden ET, et al. Toxicity and response criteria of the Eastern Cooperative Oncology Group. Am J Clin Oncol.</w:t>
      </w:r>
      <w:r w:rsidRPr="00791C81">
        <w:rPr>
          <w:spacing w:val="-2"/>
          <w:sz w:val="16"/>
          <w:lang w:val="en-US"/>
        </w:rPr>
        <w:t xml:space="preserve"> </w:t>
      </w:r>
      <w:r w:rsidRPr="00791C81">
        <w:rPr>
          <w:sz w:val="16"/>
          <w:lang w:val="en-US"/>
        </w:rPr>
        <w:t>1982</w:t>
      </w:r>
      <w:proofErr w:type="gramStart"/>
      <w:r w:rsidRPr="00791C81">
        <w:rPr>
          <w:sz w:val="16"/>
          <w:lang w:val="en-US"/>
        </w:rPr>
        <w:t>;5</w:t>
      </w:r>
      <w:proofErr w:type="gramEnd"/>
      <w:r w:rsidRPr="00791C81">
        <w:rPr>
          <w:sz w:val="16"/>
          <w:lang w:val="en-US"/>
        </w:rPr>
        <w:t>(6):649-55.</w:t>
      </w:r>
    </w:p>
    <w:p w:rsidR="00AB6593" w:rsidRPr="00791C81" w:rsidRDefault="00791C81">
      <w:pPr>
        <w:pStyle w:val="PargrafodaLista"/>
        <w:numPr>
          <w:ilvl w:val="0"/>
          <w:numId w:val="2"/>
        </w:numPr>
        <w:tabs>
          <w:tab w:val="left" w:pos="953"/>
        </w:tabs>
        <w:spacing w:before="1"/>
        <w:ind w:right="120" w:firstLine="566"/>
        <w:jc w:val="both"/>
        <w:rPr>
          <w:sz w:val="16"/>
          <w:lang w:val="en-US"/>
        </w:rPr>
      </w:pPr>
      <w:r w:rsidRPr="00791C81">
        <w:rPr>
          <w:sz w:val="16"/>
          <w:lang w:val="en-US"/>
        </w:rPr>
        <w:t xml:space="preserve">Gurion R, Gafter-Gvili A, Paul M, Vidal </w:t>
      </w:r>
      <w:r w:rsidRPr="00791C81">
        <w:rPr>
          <w:spacing w:val="-3"/>
          <w:sz w:val="16"/>
          <w:lang w:val="en-US"/>
        </w:rPr>
        <w:t xml:space="preserve">L, </w:t>
      </w:r>
      <w:r w:rsidRPr="00791C81">
        <w:rPr>
          <w:sz w:val="16"/>
          <w:lang w:val="en-US"/>
        </w:rPr>
        <w:t xml:space="preserve">Ben-Bassat </w:t>
      </w:r>
      <w:r w:rsidRPr="00791C81">
        <w:rPr>
          <w:spacing w:val="-3"/>
          <w:sz w:val="16"/>
          <w:lang w:val="en-US"/>
        </w:rPr>
        <w:t xml:space="preserve">I, </w:t>
      </w:r>
      <w:r w:rsidRPr="00791C81">
        <w:rPr>
          <w:sz w:val="16"/>
          <w:lang w:val="en-US"/>
        </w:rPr>
        <w:t xml:space="preserve">Yeshurun M, et al. </w:t>
      </w:r>
      <w:r w:rsidRPr="00791C81">
        <w:rPr>
          <w:sz w:val="16"/>
          <w:lang w:val="en-US"/>
        </w:rPr>
        <w:t>Hematopoietic growth factors in aplastic anemia patients treated with immunosuppressive therapy-systematic review and meta-analysis. Haematologica.</w:t>
      </w:r>
      <w:r w:rsidRPr="00791C81">
        <w:rPr>
          <w:spacing w:val="-4"/>
          <w:sz w:val="16"/>
          <w:lang w:val="en-US"/>
        </w:rPr>
        <w:t xml:space="preserve"> </w:t>
      </w:r>
      <w:r w:rsidRPr="00791C81">
        <w:rPr>
          <w:sz w:val="16"/>
          <w:lang w:val="en-US"/>
        </w:rPr>
        <w:t>2009</w:t>
      </w:r>
      <w:proofErr w:type="gramStart"/>
      <w:r w:rsidRPr="00791C81">
        <w:rPr>
          <w:sz w:val="16"/>
          <w:lang w:val="en-US"/>
        </w:rPr>
        <w:t>;94</w:t>
      </w:r>
      <w:proofErr w:type="gramEnd"/>
      <w:r w:rsidRPr="00791C81">
        <w:rPr>
          <w:sz w:val="16"/>
          <w:lang w:val="en-US"/>
        </w:rPr>
        <w:t>(5):712-9.</w:t>
      </w:r>
    </w:p>
    <w:p w:rsidR="00AB6593" w:rsidRDefault="00791C81">
      <w:pPr>
        <w:pStyle w:val="PargrafodaLista"/>
        <w:numPr>
          <w:ilvl w:val="0"/>
          <w:numId w:val="2"/>
        </w:numPr>
        <w:tabs>
          <w:tab w:val="left" w:pos="953"/>
        </w:tabs>
        <w:ind w:right="118" w:firstLine="566"/>
        <w:jc w:val="both"/>
        <w:rPr>
          <w:sz w:val="16"/>
        </w:rPr>
      </w:pPr>
      <w:r w:rsidRPr="00791C81">
        <w:rPr>
          <w:sz w:val="16"/>
          <w:lang w:val="en-US"/>
        </w:rPr>
        <w:t>Zheng Y, Liu Y, Chu Y. Immunosuppressive therapy for acquired severe aplastic anemia (SAA)</w:t>
      </w:r>
      <w:r w:rsidRPr="00791C81">
        <w:rPr>
          <w:sz w:val="16"/>
          <w:lang w:val="en-US"/>
        </w:rPr>
        <w:t xml:space="preserve">: a prospective comparison of four different regimens. </w:t>
      </w:r>
      <w:r>
        <w:rPr>
          <w:sz w:val="16"/>
        </w:rPr>
        <w:t xml:space="preserve">Exp Hematol. </w:t>
      </w:r>
      <w:proofErr w:type="gramStart"/>
      <w:r>
        <w:rPr>
          <w:sz w:val="16"/>
        </w:rPr>
        <w:t>2006;</w:t>
      </w:r>
      <w:proofErr w:type="gramEnd"/>
      <w:r>
        <w:rPr>
          <w:sz w:val="16"/>
        </w:rPr>
        <w:t>34(7):826-31.</w:t>
      </w:r>
    </w:p>
    <w:p w:rsidR="00AB6593" w:rsidRDefault="00791C81">
      <w:pPr>
        <w:pStyle w:val="PargrafodaLista"/>
        <w:numPr>
          <w:ilvl w:val="0"/>
          <w:numId w:val="2"/>
        </w:numPr>
        <w:tabs>
          <w:tab w:val="left" w:pos="953"/>
        </w:tabs>
        <w:spacing w:line="183" w:lineRule="exact"/>
        <w:ind w:left="952" w:hanging="286"/>
        <w:rPr>
          <w:sz w:val="16"/>
        </w:rPr>
      </w:pPr>
      <w:r w:rsidRPr="00791C81">
        <w:rPr>
          <w:sz w:val="16"/>
          <w:lang w:val="en-US"/>
        </w:rPr>
        <w:t xml:space="preserve">Capsoni F, Sarzi-Puttini P, Zanella A. Primary and secondary autoimmune neutropenia. </w:t>
      </w:r>
      <w:r>
        <w:rPr>
          <w:sz w:val="16"/>
        </w:rPr>
        <w:t>Arthritis Res Ther.</w:t>
      </w:r>
      <w:r>
        <w:rPr>
          <w:spacing w:val="-16"/>
          <w:sz w:val="16"/>
        </w:rPr>
        <w:t xml:space="preserve"> </w:t>
      </w:r>
      <w:proofErr w:type="gramStart"/>
      <w:r>
        <w:rPr>
          <w:sz w:val="16"/>
        </w:rPr>
        <w:t>2005;</w:t>
      </w:r>
      <w:proofErr w:type="gramEnd"/>
      <w:r>
        <w:rPr>
          <w:sz w:val="16"/>
        </w:rPr>
        <w:t>7(5):208-14.</w:t>
      </w:r>
    </w:p>
    <w:p w:rsidR="00AB6593" w:rsidRDefault="00791C81">
      <w:pPr>
        <w:pStyle w:val="PargrafodaLista"/>
        <w:numPr>
          <w:ilvl w:val="0"/>
          <w:numId w:val="2"/>
        </w:numPr>
        <w:tabs>
          <w:tab w:val="left" w:pos="953"/>
        </w:tabs>
        <w:ind w:left="952" w:hanging="286"/>
        <w:rPr>
          <w:sz w:val="16"/>
        </w:rPr>
      </w:pPr>
      <w:r w:rsidRPr="00791C81">
        <w:rPr>
          <w:sz w:val="16"/>
          <w:lang w:val="en-US"/>
        </w:rPr>
        <w:t xml:space="preserve">Zeidler C, Welte K. Hematopoietic growth factors for the treatment of inherited cytopenias. </w:t>
      </w:r>
      <w:r>
        <w:rPr>
          <w:sz w:val="16"/>
        </w:rPr>
        <w:t>Semin Hematol.</w:t>
      </w:r>
      <w:r>
        <w:rPr>
          <w:spacing w:val="-18"/>
          <w:sz w:val="16"/>
        </w:rPr>
        <w:t xml:space="preserve"> </w:t>
      </w:r>
      <w:proofErr w:type="gramStart"/>
      <w:r>
        <w:rPr>
          <w:sz w:val="16"/>
        </w:rPr>
        <w:t>2007;</w:t>
      </w:r>
      <w:proofErr w:type="gramEnd"/>
      <w:r>
        <w:rPr>
          <w:sz w:val="16"/>
        </w:rPr>
        <w:t>44(3):133-7.</w:t>
      </w:r>
    </w:p>
    <w:p w:rsidR="00AB6593" w:rsidRDefault="00791C81">
      <w:pPr>
        <w:pStyle w:val="PargrafodaLista"/>
        <w:numPr>
          <w:ilvl w:val="0"/>
          <w:numId w:val="2"/>
        </w:numPr>
        <w:tabs>
          <w:tab w:val="left" w:pos="953"/>
        </w:tabs>
        <w:spacing w:before="1" w:line="183" w:lineRule="exact"/>
        <w:ind w:left="952" w:hanging="286"/>
        <w:rPr>
          <w:sz w:val="16"/>
        </w:rPr>
      </w:pPr>
      <w:r w:rsidRPr="00791C81">
        <w:rPr>
          <w:sz w:val="16"/>
          <w:lang w:val="en-US"/>
        </w:rPr>
        <w:t xml:space="preserve">Dale DC, Bolyard AA, Aprikyan A. Cyclic neutropenia. </w:t>
      </w:r>
      <w:r>
        <w:rPr>
          <w:sz w:val="16"/>
        </w:rPr>
        <w:t>Semin Hematol.</w:t>
      </w:r>
      <w:r>
        <w:rPr>
          <w:spacing w:val="1"/>
          <w:sz w:val="16"/>
        </w:rPr>
        <w:t xml:space="preserve"> </w:t>
      </w:r>
      <w:proofErr w:type="gramStart"/>
      <w:r>
        <w:rPr>
          <w:sz w:val="16"/>
        </w:rPr>
        <w:t>2002;</w:t>
      </w:r>
      <w:proofErr w:type="gramEnd"/>
      <w:r>
        <w:rPr>
          <w:sz w:val="16"/>
        </w:rPr>
        <w:t>39(2):89-94.</w:t>
      </w:r>
    </w:p>
    <w:p w:rsidR="00AB6593" w:rsidRDefault="00791C81">
      <w:pPr>
        <w:pStyle w:val="PargrafodaLista"/>
        <w:numPr>
          <w:ilvl w:val="0"/>
          <w:numId w:val="2"/>
        </w:numPr>
        <w:tabs>
          <w:tab w:val="left" w:pos="953"/>
        </w:tabs>
        <w:ind w:right="120" w:firstLine="566"/>
        <w:jc w:val="both"/>
        <w:rPr>
          <w:sz w:val="16"/>
        </w:rPr>
      </w:pPr>
      <w:r w:rsidRPr="00791C81">
        <w:rPr>
          <w:sz w:val="16"/>
          <w:lang w:val="en-US"/>
        </w:rPr>
        <w:t>Carlsson G, Fasth A. Infantile genetic agranu</w:t>
      </w:r>
      <w:r w:rsidRPr="00791C81">
        <w:rPr>
          <w:sz w:val="16"/>
          <w:lang w:val="en-US"/>
        </w:rPr>
        <w:t xml:space="preserve">locytosis, morbus Kostmann: presentation of six cases from the original "Kostmann family" and a review. </w:t>
      </w:r>
      <w:r>
        <w:rPr>
          <w:sz w:val="16"/>
        </w:rPr>
        <w:t>Acta Paediatr.</w:t>
      </w:r>
      <w:r>
        <w:rPr>
          <w:spacing w:val="1"/>
          <w:sz w:val="16"/>
        </w:rPr>
        <w:t xml:space="preserve"> </w:t>
      </w:r>
      <w:proofErr w:type="gramStart"/>
      <w:r>
        <w:rPr>
          <w:sz w:val="16"/>
        </w:rPr>
        <w:t>2001;</w:t>
      </w:r>
      <w:proofErr w:type="gramEnd"/>
      <w:r>
        <w:rPr>
          <w:sz w:val="16"/>
        </w:rPr>
        <w:t>90(7):757-64.</w:t>
      </w:r>
    </w:p>
    <w:p w:rsidR="00AB6593" w:rsidRDefault="00791C81">
      <w:pPr>
        <w:pStyle w:val="PargrafodaLista"/>
        <w:numPr>
          <w:ilvl w:val="0"/>
          <w:numId w:val="2"/>
        </w:numPr>
        <w:tabs>
          <w:tab w:val="left" w:pos="953"/>
        </w:tabs>
        <w:spacing w:before="1"/>
        <w:ind w:right="113" w:firstLine="566"/>
        <w:jc w:val="both"/>
        <w:rPr>
          <w:sz w:val="16"/>
        </w:rPr>
      </w:pPr>
      <w:r>
        <w:rPr>
          <w:sz w:val="16"/>
        </w:rPr>
        <w:t>Forjaz de Lacerda J, Leal da Costa F, Marques Pereira A, Príncipe F, Teixeira A, Parreira A. [Use of granulocyte growt</w:t>
      </w:r>
      <w:r>
        <w:rPr>
          <w:sz w:val="16"/>
        </w:rPr>
        <w:t>h factors: recommendations of the Portuguese Society of Hematology]. Acta Med Port.</w:t>
      </w:r>
      <w:r>
        <w:rPr>
          <w:spacing w:val="-11"/>
          <w:sz w:val="16"/>
        </w:rPr>
        <w:t xml:space="preserve"> </w:t>
      </w:r>
      <w:proofErr w:type="gramStart"/>
      <w:r>
        <w:rPr>
          <w:sz w:val="16"/>
        </w:rPr>
        <w:t>2008;</w:t>
      </w:r>
      <w:proofErr w:type="gramEnd"/>
      <w:r>
        <w:rPr>
          <w:sz w:val="16"/>
        </w:rPr>
        <w:t>21(5):412-26.</w:t>
      </w:r>
    </w:p>
    <w:p w:rsidR="00AB6593" w:rsidRPr="00791C81" w:rsidRDefault="00791C81">
      <w:pPr>
        <w:pStyle w:val="PargrafodaLista"/>
        <w:numPr>
          <w:ilvl w:val="0"/>
          <w:numId w:val="2"/>
        </w:numPr>
        <w:tabs>
          <w:tab w:val="left" w:pos="953"/>
        </w:tabs>
        <w:ind w:right="110" w:firstLine="566"/>
        <w:jc w:val="both"/>
        <w:rPr>
          <w:sz w:val="16"/>
          <w:lang w:val="en-US"/>
        </w:rPr>
      </w:pPr>
      <w:r>
        <w:rPr>
          <w:sz w:val="16"/>
        </w:rPr>
        <w:t xml:space="preserve">Hellström-Lindberg E, Ahlgren T, Beguin Y, Carlsson M, Carneskog J, Dahl IM, </w:t>
      </w:r>
      <w:proofErr w:type="gramStart"/>
      <w:r>
        <w:rPr>
          <w:sz w:val="16"/>
        </w:rPr>
        <w:t>et</w:t>
      </w:r>
      <w:proofErr w:type="gramEnd"/>
      <w:r>
        <w:rPr>
          <w:sz w:val="16"/>
        </w:rPr>
        <w:t xml:space="preserve"> al. </w:t>
      </w:r>
      <w:r w:rsidRPr="00791C81">
        <w:rPr>
          <w:sz w:val="16"/>
          <w:lang w:val="en-US"/>
        </w:rPr>
        <w:t>Treatment of anemia in myelodysplastic syndromes with granulocyte colony-stimulating factor plus erythropoietin: results from a randomized phase II study and long-term foll</w:t>
      </w:r>
      <w:r w:rsidRPr="00791C81">
        <w:rPr>
          <w:sz w:val="16"/>
          <w:lang w:val="en-US"/>
        </w:rPr>
        <w:t>ow-up of 71 patients. Blood. 1998</w:t>
      </w:r>
      <w:proofErr w:type="gramStart"/>
      <w:r w:rsidRPr="00791C81">
        <w:rPr>
          <w:sz w:val="16"/>
          <w:lang w:val="en-US"/>
        </w:rPr>
        <w:t>;92</w:t>
      </w:r>
      <w:proofErr w:type="gramEnd"/>
      <w:r w:rsidRPr="00791C81">
        <w:rPr>
          <w:sz w:val="16"/>
          <w:lang w:val="en-US"/>
        </w:rPr>
        <w:t>(1):68- 75.</w:t>
      </w:r>
    </w:p>
    <w:p w:rsidR="00AB6593" w:rsidRPr="00791C81" w:rsidRDefault="00791C81">
      <w:pPr>
        <w:pStyle w:val="PargrafodaLista"/>
        <w:numPr>
          <w:ilvl w:val="0"/>
          <w:numId w:val="2"/>
        </w:numPr>
        <w:tabs>
          <w:tab w:val="left" w:pos="953"/>
        </w:tabs>
        <w:ind w:right="118" w:firstLine="566"/>
        <w:rPr>
          <w:sz w:val="16"/>
          <w:lang w:val="en-US"/>
        </w:rPr>
      </w:pPr>
      <w:r w:rsidRPr="00791C81">
        <w:rPr>
          <w:sz w:val="16"/>
          <w:lang w:val="en-US"/>
        </w:rPr>
        <w:t>Greenberg PL, Attar E, Bennett JM, Bloomfield CD, Borate U, De Castro CM, et al. Myelodysplastic syndromes: clinical practice guidelines in oncology. J Natl Compr Canc Netw.</w:t>
      </w:r>
      <w:r w:rsidRPr="00791C81">
        <w:rPr>
          <w:spacing w:val="-2"/>
          <w:sz w:val="16"/>
          <w:lang w:val="en-US"/>
        </w:rPr>
        <w:t xml:space="preserve"> </w:t>
      </w:r>
      <w:r w:rsidRPr="00791C81">
        <w:rPr>
          <w:sz w:val="16"/>
          <w:lang w:val="en-US"/>
        </w:rPr>
        <w:t>2013</w:t>
      </w:r>
      <w:proofErr w:type="gramStart"/>
      <w:r w:rsidRPr="00791C81">
        <w:rPr>
          <w:sz w:val="16"/>
          <w:lang w:val="en-US"/>
        </w:rPr>
        <w:t>;11</w:t>
      </w:r>
      <w:proofErr w:type="gramEnd"/>
      <w:r w:rsidRPr="00791C81">
        <w:rPr>
          <w:sz w:val="16"/>
          <w:lang w:val="en-US"/>
        </w:rPr>
        <w:t>(7):838-74.</w:t>
      </w:r>
    </w:p>
    <w:p w:rsidR="00AB6593" w:rsidRDefault="00791C81">
      <w:pPr>
        <w:pStyle w:val="PargrafodaLista"/>
        <w:numPr>
          <w:ilvl w:val="0"/>
          <w:numId w:val="2"/>
        </w:numPr>
        <w:tabs>
          <w:tab w:val="left" w:pos="953"/>
        </w:tabs>
        <w:ind w:right="114" w:firstLine="566"/>
        <w:rPr>
          <w:sz w:val="16"/>
        </w:rPr>
      </w:pPr>
      <w:r w:rsidRPr="00791C81">
        <w:rPr>
          <w:sz w:val="16"/>
          <w:lang w:val="en-US"/>
        </w:rPr>
        <w:t>Estey EH, Schri</w:t>
      </w:r>
      <w:r w:rsidRPr="00791C81">
        <w:rPr>
          <w:sz w:val="16"/>
          <w:lang w:val="en-US"/>
        </w:rPr>
        <w:t xml:space="preserve">er LS. Management of the complications of the myelodysplastic syndromes [Internet].UpToDate; 2014. </w:t>
      </w:r>
      <w:r>
        <w:rPr>
          <w:sz w:val="16"/>
        </w:rPr>
        <w:t>[acesso em 23/09/2014]. Disponível em:</w:t>
      </w:r>
      <w:r>
        <w:rPr>
          <w:spacing w:val="-7"/>
          <w:sz w:val="16"/>
        </w:rPr>
        <w:t xml:space="preserve"> </w:t>
      </w:r>
      <w:hyperlink r:id="rId8">
        <w:r>
          <w:rPr>
            <w:sz w:val="16"/>
          </w:rPr>
          <w:t>http://www.uptodate.com/contents/management-of-the-complications-of-the-myelodysplastic-syndromes?source=related_link.</w:t>
        </w:r>
      </w:hyperlink>
    </w:p>
    <w:p w:rsidR="00AB6593" w:rsidRDefault="00791C81">
      <w:pPr>
        <w:pStyle w:val="PargrafodaLista"/>
        <w:numPr>
          <w:ilvl w:val="0"/>
          <w:numId w:val="2"/>
        </w:numPr>
        <w:tabs>
          <w:tab w:val="left" w:pos="953"/>
        </w:tabs>
        <w:ind w:right="118" w:firstLine="566"/>
        <w:rPr>
          <w:sz w:val="16"/>
        </w:rPr>
      </w:pPr>
      <w:r w:rsidRPr="00791C81">
        <w:rPr>
          <w:sz w:val="16"/>
          <w:lang w:val="en-US"/>
        </w:rPr>
        <w:t xml:space="preserve">Jädersten M, Montgomery SM, Dybedal </w:t>
      </w:r>
      <w:r w:rsidRPr="00791C81">
        <w:rPr>
          <w:spacing w:val="-3"/>
          <w:sz w:val="16"/>
          <w:lang w:val="en-US"/>
        </w:rPr>
        <w:t xml:space="preserve">I, </w:t>
      </w:r>
      <w:r w:rsidRPr="00791C81">
        <w:rPr>
          <w:sz w:val="16"/>
          <w:lang w:val="en-US"/>
        </w:rPr>
        <w:t>Porwit-MacDonald A, Hellström-Lindberg E. Long-term outcome of treatment of ane</w:t>
      </w:r>
      <w:r w:rsidRPr="00791C81">
        <w:rPr>
          <w:sz w:val="16"/>
          <w:lang w:val="en-US"/>
        </w:rPr>
        <w:t xml:space="preserve">mia in MDS with erythropoietin and G-CSF. </w:t>
      </w:r>
      <w:r>
        <w:rPr>
          <w:sz w:val="16"/>
        </w:rPr>
        <w:t>Blood.</w:t>
      </w:r>
      <w:r>
        <w:rPr>
          <w:spacing w:val="-1"/>
          <w:sz w:val="16"/>
        </w:rPr>
        <w:t xml:space="preserve"> </w:t>
      </w:r>
      <w:proofErr w:type="gramStart"/>
      <w:r>
        <w:rPr>
          <w:sz w:val="16"/>
        </w:rPr>
        <w:t>2005;</w:t>
      </w:r>
      <w:proofErr w:type="gramEnd"/>
      <w:r>
        <w:rPr>
          <w:sz w:val="16"/>
        </w:rPr>
        <w:t>106(3):803-11.</w:t>
      </w:r>
    </w:p>
    <w:p w:rsidR="00AB6593" w:rsidRDefault="00AB6593">
      <w:pPr>
        <w:rPr>
          <w:sz w:val="16"/>
        </w:rPr>
        <w:sectPr w:rsidR="00AB6593">
          <w:pgSz w:w="11910" w:h="16840"/>
          <w:pgMar w:top="620" w:right="600" w:bottom="280" w:left="620" w:header="720" w:footer="720" w:gutter="0"/>
          <w:cols w:space="720"/>
        </w:sectPr>
      </w:pPr>
    </w:p>
    <w:p w:rsidR="00AB6593" w:rsidRDefault="00791C81">
      <w:pPr>
        <w:pStyle w:val="PargrafodaLista"/>
        <w:numPr>
          <w:ilvl w:val="0"/>
          <w:numId w:val="2"/>
        </w:numPr>
        <w:tabs>
          <w:tab w:val="left" w:pos="953"/>
        </w:tabs>
        <w:spacing w:before="76"/>
        <w:ind w:right="114" w:firstLine="566"/>
        <w:rPr>
          <w:sz w:val="16"/>
        </w:rPr>
      </w:pPr>
      <w:r w:rsidRPr="00791C81">
        <w:rPr>
          <w:sz w:val="16"/>
          <w:lang w:val="en-US"/>
        </w:rPr>
        <w:lastRenderedPageBreak/>
        <w:t xml:space="preserve">Marsh JC, Ganser A, Stadler M. Hematopoietic growth factors in the treatment of acquired bone marrow failure states. </w:t>
      </w:r>
      <w:r>
        <w:rPr>
          <w:sz w:val="16"/>
        </w:rPr>
        <w:t xml:space="preserve">Semin Hematol. </w:t>
      </w:r>
      <w:proofErr w:type="gramStart"/>
      <w:r>
        <w:rPr>
          <w:sz w:val="16"/>
        </w:rPr>
        <w:t>2007;</w:t>
      </w:r>
      <w:proofErr w:type="gramEnd"/>
      <w:r>
        <w:rPr>
          <w:sz w:val="16"/>
        </w:rPr>
        <w:t>44(3):138-47.</w:t>
      </w:r>
    </w:p>
    <w:p w:rsidR="00AB6593" w:rsidRPr="00791C81" w:rsidRDefault="00791C81">
      <w:pPr>
        <w:pStyle w:val="PargrafodaLista"/>
        <w:numPr>
          <w:ilvl w:val="0"/>
          <w:numId w:val="2"/>
        </w:numPr>
        <w:tabs>
          <w:tab w:val="left" w:pos="953"/>
        </w:tabs>
        <w:ind w:right="116" w:firstLine="566"/>
        <w:rPr>
          <w:sz w:val="16"/>
          <w:lang w:val="en-US"/>
        </w:rPr>
      </w:pPr>
      <w:r w:rsidRPr="00791C81">
        <w:rPr>
          <w:sz w:val="16"/>
          <w:lang w:val="en-US"/>
        </w:rPr>
        <w:t>Negrin RS, Haeuber DH,</w:t>
      </w:r>
      <w:r w:rsidRPr="00791C81">
        <w:rPr>
          <w:sz w:val="16"/>
          <w:lang w:val="en-US"/>
        </w:rPr>
        <w:t xml:space="preserve"> Nagler A, Kobayashi Y, Sklar J, Donlon T, et al. Maintenance treatment of patients with myelodysplastic syndromes using recombinant human granulocyte colony-stimulating factor. Blood.</w:t>
      </w:r>
      <w:r w:rsidRPr="00791C81">
        <w:rPr>
          <w:spacing w:val="-6"/>
          <w:sz w:val="16"/>
          <w:lang w:val="en-US"/>
        </w:rPr>
        <w:t xml:space="preserve"> </w:t>
      </w:r>
      <w:r w:rsidRPr="00791C81">
        <w:rPr>
          <w:sz w:val="16"/>
          <w:lang w:val="en-US"/>
        </w:rPr>
        <w:t>1990</w:t>
      </w:r>
      <w:proofErr w:type="gramStart"/>
      <w:r w:rsidRPr="00791C81">
        <w:rPr>
          <w:sz w:val="16"/>
          <w:lang w:val="en-US"/>
        </w:rPr>
        <w:t>;76</w:t>
      </w:r>
      <w:proofErr w:type="gramEnd"/>
      <w:r w:rsidRPr="00791C81">
        <w:rPr>
          <w:sz w:val="16"/>
          <w:lang w:val="en-US"/>
        </w:rPr>
        <w:t>(1):36-43.</w:t>
      </w:r>
    </w:p>
    <w:p w:rsidR="00AB6593" w:rsidRDefault="00791C81">
      <w:pPr>
        <w:pStyle w:val="PargrafodaLista"/>
        <w:numPr>
          <w:ilvl w:val="0"/>
          <w:numId w:val="2"/>
        </w:numPr>
        <w:tabs>
          <w:tab w:val="left" w:pos="953"/>
        </w:tabs>
        <w:spacing w:before="1"/>
        <w:ind w:right="121" w:firstLine="566"/>
        <w:rPr>
          <w:sz w:val="16"/>
        </w:rPr>
      </w:pPr>
      <w:r w:rsidRPr="00791C81">
        <w:rPr>
          <w:sz w:val="16"/>
          <w:lang w:val="en-US"/>
        </w:rPr>
        <w:t>Smith TJ, Khatcheressian J, Lyman GH, Ozer H, Armitag</w:t>
      </w:r>
      <w:r w:rsidRPr="00791C81">
        <w:rPr>
          <w:sz w:val="16"/>
          <w:lang w:val="en-US"/>
        </w:rPr>
        <w:t xml:space="preserve">e JO, Balducci </w:t>
      </w:r>
      <w:r w:rsidRPr="00791C81">
        <w:rPr>
          <w:spacing w:val="-3"/>
          <w:sz w:val="16"/>
          <w:lang w:val="en-US"/>
        </w:rPr>
        <w:t xml:space="preserve">L, </w:t>
      </w:r>
      <w:r w:rsidRPr="00791C81">
        <w:rPr>
          <w:sz w:val="16"/>
          <w:lang w:val="en-US"/>
        </w:rPr>
        <w:t xml:space="preserve">et </w:t>
      </w:r>
      <w:r w:rsidRPr="00791C81">
        <w:rPr>
          <w:spacing w:val="2"/>
          <w:sz w:val="16"/>
          <w:lang w:val="en-US"/>
        </w:rPr>
        <w:t xml:space="preserve">al. </w:t>
      </w:r>
      <w:r w:rsidRPr="00791C81">
        <w:rPr>
          <w:sz w:val="16"/>
          <w:lang w:val="en-US"/>
        </w:rPr>
        <w:t xml:space="preserve">2006 update of recommendations for the use of white blood cell growth factors: an evidence-based clinical practice guideline. </w:t>
      </w:r>
      <w:r>
        <w:rPr>
          <w:sz w:val="16"/>
        </w:rPr>
        <w:t>J Clin Oncol.</w:t>
      </w:r>
      <w:r>
        <w:rPr>
          <w:spacing w:val="-11"/>
          <w:sz w:val="16"/>
        </w:rPr>
        <w:t xml:space="preserve"> </w:t>
      </w:r>
      <w:proofErr w:type="gramStart"/>
      <w:r>
        <w:rPr>
          <w:sz w:val="16"/>
        </w:rPr>
        <w:t>2006;</w:t>
      </w:r>
      <w:proofErr w:type="gramEnd"/>
      <w:r>
        <w:rPr>
          <w:sz w:val="16"/>
        </w:rPr>
        <w:t>24(19):3187-205.</w:t>
      </w:r>
    </w:p>
    <w:p w:rsidR="00AB6593" w:rsidRPr="00791C81" w:rsidRDefault="00791C81">
      <w:pPr>
        <w:pStyle w:val="PargrafodaLista"/>
        <w:numPr>
          <w:ilvl w:val="0"/>
          <w:numId w:val="2"/>
        </w:numPr>
        <w:tabs>
          <w:tab w:val="left" w:pos="953"/>
        </w:tabs>
        <w:ind w:right="114" w:firstLine="566"/>
        <w:rPr>
          <w:sz w:val="16"/>
          <w:lang w:val="en-US"/>
        </w:rPr>
      </w:pPr>
      <w:r w:rsidRPr="00791C81">
        <w:rPr>
          <w:sz w:val="16"/>
          <w:lang w:val="en-US"/>
        </w:rPr>
        <w:t>Vadhan-Raj S, Keating M, LeMaistre A, Hittelman WN, McCredie K, Truji</w:t>
      </w:r>
      <w:r w:rsidRPr="00791C81">
        <w:rPr>
          <w:sz w:val="16"/>
          <w:lang w:val="en-US"/>
        </w:rPr>
        <w:t>llo JM, et al. Effects of recombinant human granulocyte-macrophage colony-stimulating factor in patients with myelodysplastic syndromes. N Engl J Med.</w:t>
      </w:r>
      <w:r w:rsidRPr="00791C81">
        <w:rPr>
          <w:spacing w:val="-15"/>
          <w:sz w:val="16"/>
          <w:lang w:val="en-US"/>
        </w:rPr>
        <w:t xml:space="preserve"> </w:t>
      </w:r>
      <w:r w:rsidRPr="00791C81">
        <w:rPr>
          <w:sz w:val="16"/>
          <w:lang w:val="en-US"/>
        </w:rPr>
        <w:t>1987</w:t>
      </w:r>
      <w:proofErr w:type="gramStart"/>
      <w:r w:rsidRPr="00791C81">
        <w:rPr>
          <w:sz w:val="16"/>
          <w:lang w:val="en-US"/>
        </w:rPr>
        <w:t>;317</w:t>
      </w:r>
      <w:proofErr w:type="gramEnd"/>
      <w:r w:rsidRPr="00791C81">
        <w:rPr>
          <w:sz w:val="16"/>
          <w:lang w:val="en-US"/>
        </w:rPr>
        <w:t>(25):1545-52.</w:t>
      </w:r>
    </w:p>
    <w:p w:rsidR="00AB6593" w:rsidRDefault="00791C81">
      <w:pPr>
        <w:pStyle w:val="PargrafodaLista"/>
        <w:numPr>
          <w:ilvl w:val="0"/>
          <w:numId w:val="2"/>
        </w:numPr>
        <w:tabs>
          <w:tab w:val="left" w:pos="953"/>
        </w:tabs>
        <w:spacing w:line="183" w:lineRule="exact"/>
        <w:ind w:left="952" w:hanging="286"/>
        <w:rPr>
          <w:sz w:val="16"/>
        </w:rPr>
      </w:pPr>
      <w:r w:rsidRPr="00791C81">
        <w:rPr>
          <w:sz w:val="16"/>
          <w:lang w:val="en-US"/>
        </w:rPr>
        <w:t xml:space="preserve">Sanz </w:t>
      </w:r>
      <w:r w:rsidRPr="00791C81">
        <w:rPr>
          <w:spacing w:val="-3"/>
          <w:sz w:val="16"/>
          <w:lang w:val="en-US"/>
        </w:rPr>
        <w:t xml:space="preserve">GF, </w:t>
      </w:r>
      <w:r w:rsidRPr="00791C81">
        <w:rPr>
          <w:sz w:val="16"/>
          <w:lang w:val="en-US"/>
        </w:rPr>
        <w:t>Sanz MA, Vallespi T. Etiopathogeny, prognosis and therapy of myelodysplast</w:t>
      </w:r>
      <w:r w:rsidRPr="00791C81">
        <w:rPr>
          <w:sz w:val="16"/>
          <w:lang w:val="en-US"/>
        </w:rPr>
        <w:t xml:space="preserve">ic syndromes. </w:t>
      </w:r>
      <w:r>
        <w:rPr>
          <w:sz w:val="16"/>
        </w:rPr>
        <w:t>Hematol Cell Ther.</w:t>
      </w:r>
      <w:r>
        <w:rPr>
          <w:spacing w:val="-22"/>
          <w:sz w:val="16"/>
        </w:rPr>
        <w:t xml:space="preserve"> </w:t>
      </w:r>
      <w:proofErr w:type="gramStart"/>
      <w:r>
        <w:rPr>
          <w:sz w:val="16"/>
        </w:rPr>
        <w:t>1997;</w:t>
      </w:r>
      <w:proofErr w:type="gramEnd"/>
      <w:r>
        <w:rPr>
          <w:sz w:val="16"/>
        </w:rPr>
        <w:t>39(6):277-94.</w:t>
      </w:r>
    </w:p>
    <w:p w:rsidR="00AB6593" w:rsidRPr="00791C81" w:rsidRDefault="00791C81">
      <w:pPr>
        <w:pStyle w:val="PargrafodaLista"/>
        <w:numPr>
          <w:ilvl w:val="0"/>
          <w:numId w:val="2"/>
        </w:numPr>
        <w:tabs>
          <w:tab w:val="left" w:pos="953"/>
        </w:tabs>
        <w:ind w:right="115" w:firstLine="566"/>
        <w:rPr>
          <w:sz w:val="16"/>
          <w:lang w:val="en-US"/>
        </w:rPr>
      </w:pPr>
      <w:r w:rsidRPr="00791C81">
        <w:rPr>
          <w:sz w:val="16"/>
          <w:lang w:val="en-US"/>
        </w:rPr>
        <w:t>Ganser A, Völkers B, Greher J, Ottmann OG, Walther F, Becher R, et al. Recombinant human granulocyte-macrophage colony-stimulating factor in patients with myelodysplastic syndromes--a phase I/II trial. Bl</w:t>
      </w:r>
      <w:r w:rsidRPr="00791C81">
        <w:rPr>
          <w:sz w:val="16"/>
          <w:lang w:val="en-US"/>
        </w:rPr>
        <w:t>ood.</w:t>
      </w:r>
      <w:r w:rsidRPr="00791C81">
        <w:rPr>
          <w:spacing w:val="-5"/>
          <w:sz w:val="16"/>
          <w:lang w:val="en-US"/>
        </w:rPr>
        <w:t xml:space="preserve"> </w:t>
      </w:r>
      <w:r w:rsidRPr="00791C81">
        <w:rPr>
          <w:sz w:val="16"/>
          <w:lang w:val="en-US"/>
        </w:rPr>
        <w:t>1989</w:t>
      </w:r>
      <w:proofErr w:type="gramStart"/>
      <w:r w:rsidRPr="00791C81">
        <w:rPr>
          <w:sz w:val="16"/>
          <w:lang w:val="en-US"/>
        </w:rPr>
        <w:t>;73</w:t>
      </w:r>
      <w:proofErr w:type="gramEnd"/>
      <w:r w:rsidRPr="00791C81">
        <w:rPr>
          <w:sz w:val="16"/>
          <w:lang w:val="en-US"/>
        </w:rPr>
        <w:t>(1):31-7.</w:t>
      </w:r>
    </w:p>
    <w:p w:rsidR="00AB6593" w:rsidRDefault="00791C81">
      <w:pPr>
        <w:pStyle w:val="PargrafodaLista"/>
        <w:numPr>
          <w:ilvl w:val="0"/>
          <w:numId w:val="2"/>
        </w:numPr>
        <w:tabs>
          <w:tab w:val="left" w:pos="953"/>
        </w:tabs>
        <w:spacing w:line="183" w:lineRule="exact"/>
        <w:ind w:left="952" w:hanging="286"/>
        <w:rPr>
          <w:sz w:val="16"/>
        </w:rPr>
      </w:pPr>
      <w:r>
        <w:rPr>
          <w:sz w:val="16"/>
        </w:rPr>
        <w:t>Velloso ER. Fatores de crescimento hemopoéticos nas síndromes mielodisplásicas. Rev Bras Hematol Hemoter.</w:t>
      </w:r>
      <w:r>
        <w:rPr>
          <w:spacing w:val="-17"/>
          <w:sz w:val="16"/>
        </w:rPr>
        <w:t xml:space="preserve"> </w:t>
      </w:r>
      <w:proofErr w:type="gramStart"/>
      <w:r>
        <w:rPr>
          <w:sz w:val="16"/>
        </w:rPr>
        <w:t>2006;</w:t>
      </w:r>
      <w:proofErr w:type="gramEnd"/>
      <w:r>
        <w:rPr>
          <w:sz w:val="16"/>
        </w:rPr>
        <w:t>28(3):210-2.</w:t>
      </w:r>
    </w:p>
    <w:p w:rsidR="00AB6593" w:rsidRPr="00791C81" w:rsidRDefault="00791C81">
      <w:pPr>
        <w:pStyle w:val="PargrafodaLista"/>
        <w:numPr>
          <w:ilvl w:val="0"/>
          <w:numId w:val="2"/>
        </w:numPr>
        <w:tabs>
          <w:tab w:val="left" w:pos="953"/>
        </w:tabs>
        <w:spacing w:before="1"/>
        <w:ind w:right="116" w:firstLine="566"/>
        <w:rPr>
          <w:sz w:val="16"/>
          <w:lang w:val="en-US"/>
        </w:rPr>
      </w:pPr>
      <w:r w:rsidRPr="00791C81">
        <w:rPr>
          <w:sz w:val="16"/>
          <w:lang w:val="en-US"/>
        </w:rPr>
        <w:t>Casadevall N, Durieux P, Dubois S, Hemery F, Lepage E, Quarré MC, et al. Health, economic, and quality-of-life effects of erythropoietin and granulocyte</w:t>
      </w:r>
      <w:r w:rsidRPr="00791C81">
        <w:rPr>
          <w:spacing w:val="-4"/>
          <w:sz w:val="16"/>
          <w:lang w:val="en-US"/>
        </w:rPr>
        <w:t xml:space="preserve"> </w:t>
      </w:r>
      <w:r w:rsidRPr="00791C81">
        <w:rPr>
          <w:sz w:val="16"/>
          <w:lang w:val="en-US"/>
        </w:rPr>
        <w:t>colony-stimulating</w:t>
      </w:r>
      <w:r w:rsidRPr="00791C81">
        <w:rPr>
          <w:spacing w:val="-2"/>
          <w:sz w:val="16"/>
          <w:lang w:val="en-US"/>
        </w:rPr>
        <w:t xml:space="preserve"> </w:t>
      </w:r>
      <w:r w:rsidRPr="00791C81">
        <w:rPr>
          <w:sz w:val="16"/>
          <w:lang w:val="en-US"/>
        </w:rPr>
        <w:t>factor</w:t>
      </w:r>
      <w:r w:rsidRPr="00791C81">
        <w:rPr>
          <w:spacing w:val="-4"/>
          <w:sz w:val="16"/>
          <w:lang w:val="en-US"/>
        </w:rPr>
        <w:t xml:space="preserve"> </w:t>
      </w:r>
      <w:r w:rsidRPr="00791C81">
        <w:rPr>
          <w:sz w:val="16"/>
          <w:lang w:val="en-US"/>
        </w:rPr>
        <w:t>for</w:t>
      </w:r>
      <w:r w:rsidRPr="00791C81">
        <w:rPr>
          <w:spacing w:val="-3"/>
          <w:sz w:val="16"/>
          <w:lang w:val="en-US"/>
        </w:rPr>
        <w:t xml:space="preserve"> </w:t>
      </w:r>
      <w:r w:rsidRPr="00791C81">
        <w:rPr>
          <w:sz w:val="16"/>
          <w:lang w:val="en-US"/>
        </w:rPr>
        <w:t>the</w:t>
      </w:r>
      <w:r w:rsidRPr="00791C81">
        <w:rPr>
          <w:spacing w:val="-3"/>
          <w:sz w:val="16"/>
          <w:lang w:val="en-US"/>
        </w:rPr>
        <w:t xml:space="preserve"> </w:t>
      </w:r>
      <w:r w:rsidRPr="00791C81">
        <w:rPr>
          <w:sz w:val="16"/>
          <w:lang w:val="en-US"/>
        </w:rPr>
        <w:t>treatment of</w:t>
      </w:r>
      <w:r w:rsidRPr="00791C81">
        <w:rPr>
          <w:spacing w:val="-3"/>
          <w:sz w:val="16"/>
          <w:lang w:val="en-US"/>
        </w:rPr>
        <w:t xml:space="preserve"> </w:t>
      </w:r>
      <w:r w:rsidRPr="00791C81">
        <w:rPr>
          <w:sz w:val="16"/>
          <w:lang w:val="en-US"/>
        </w:rPr>
        <w:t>myelodysplastic</w:t>
      </w:r>
      <w:r w:rsidRPr="00791C81">
        <w:rPr>
          <w:spacing w:val="-3"/>
          <w:sz w:val="16"/>
          <w:lang w:val="en-US"/>
        </w:rPr>
        <w:t xml:space="preserve"> </w:t>
      </w:r>
      <w:r w:rsidRPr="00791C81">
        <w:rPr>
          <w:sz w:val="16"/>
          <w:lang w:val="en-US"/>
        </w:rPr>
        <w:t>syndromes:</w:t>
      </w:r>
      <w:r w:rsidRPr="00791C81">
        <w:rPr>
          <w:spacing w:val="-2"/>
          <w:sz w:val="16"/>
          <w:lang w:val="en-US"/>
        </w:rPr>
        <w:t xml:space="preserve"> </w:t>
      </w:r>
      <w:r w:rsidRPr="00791C81">
        <w:rPr>
          <w:sz w:val="16"/>
          <w:lang w:val="en-US"/>
        </w:rPr>
        <w:t>a</w:t>
      </w:r>
      <w:r w:rsidRPr="00791C81">
        <w:rPr>
          <w:spacing w:val="-1"/>
          <w:sz w:val="16"/>
          <w:lang w:val="en-US"/>
        </w:rPr>
        <w:t xml:space="preserve"> </w:t>
      </w:r>
      <w:r w:rsidRPr="00791C81">
        <w:rPr>
          <w:sz w:val="16"/>
          <w:lang w:val="en-US"/>
        </w:rPr>
        <w:t>randomized,</w:t>
      </w:r>
      <w:r w:rsidRPr="00791C81">
        <w:rPr>
          <w:spacing w:val="-3"/>
          <w:sz w:val="16"/>
          <w:lang w:val="en-US"/>
        </w:rPr>
        <w:t xml:space="preserve"> </w:t>
      </w:r>
      <w:r w:rsidRPr="00791C81">
        <w:rPr>
          <w:sz w:val="16"/>
          <w:lang w:val="en-US"/>
        </w:rPr>
        <w:t>controlled tria</w:t>
      </w:r>
      <w:r w:rsidRPr="00791C81">
        <w:rPr>
          <w:sz w:val="16"/>
          <w:lang w:val="en-US"/>
        </w:rPr>
        <w:t>l.</w:t>
      </w:r>
      <w:r w:rsidRPr="00791C81">
        <w:rPr>
          <w:spacing w:val="-4"/>
          <w:sz w:val="16"/>
          <w:lang w:val="en-US"/>
        </w:rPr>
        <w:t xml:space="preserve"> </w:t>
      </w:r>
      <w:r w:rsidRPr="00791C81">
        <w:rPr>
          <w:sz w:val="16"/>
          <w:lang w:val="en-US"/>
        </w:rPr>
        <w:t>Blood.</w:t>
      </w:r>
      <w:r w:rsidRPr="00791C81">
        <w:rPr>
          <w:spacing w:val="-3"/>
          <w:sz w:val="16"/>
          <w:lang w:val="en-US"/>
        </w:rPr>
        <w:t xml:space="preserve"> </w:t>
      </w:r>
      <w:r w:rsidRPr="00791C81">
        <w:rPr>
          <w:sz w:val="16"/>
          <w:lang w:val="en-US"/>
        </w:rPr>
        <w:t>2004</w:t>
      </w:r>
      <w:proofErr w:type="gramStart"/>
      <w:r w:rsidRPr="00791C81">
        <w:rPr>
          <w:sz w:val="16"/>
          <w:lang w:val="en-US"/>
        </w:rPr>
        <w:t>;104</w:t>
      </w:r>
      <w:proofErr w:type="gramEnd"/>
      <w:r w:rsidRPr="00791C81">
        <w:rPr>
          <w:sz w:val="16"/>
          <w:lang w:val="en-US"/>
        </w:rPr>
        <w:t>(2):321-7.</w:t>
      </w:r>
    </w:p>
    <w:p w:rsidR="00AB6593" w:rsidRPr="00791C81" w:rsidRDefault="00791C81">
      <w:pPr>
        <w:pStyle w:val="PargrafodaLista"/>
        <w:numPr>
          <w:ilvl w:val="0"/>
          <w:numId w:val="2"/>
        </w:numPr>
        <w:tabs>
          <w:tab w:val="left" w:pos="953"/>
        </w:tabs>
        <w:ind w:right="119" w:firstLine="566"/>
        <w:jc w:val="both"/>
        <w:rPr>
          <w:sz w:val="16"/>
          <w:lang w:val="en-US"/>
        </w:rPr>
      </w:pPr>
      <w:r w:rsidRPr="00791C81">
        <w:rPr>
          <w:sz w:val="16"/>
          <w:lang w:val="en-US"/>
        </w:rPr>
        <w:t>Greenberg PL, Sun Z, Miller KB, Bennett JM, Tallman MS, Dewald G, et al. Treatment of myelodysplastic syndrome patients with erythropoietin with or without granulocyte colony-stimulating factor: results of a prospective randomi</w:t>
      </w:r>
      <w:r w:rsidRPr="00791C81">
        <w:rPr>
          <w:sz w:val="16"/>
          <w:lang w:val="en-US"/>
        </w:rPr>
        <w:t>zed phase 3 trial by the Eastern Cooperative Oncology Group (E1996). Blood. 2009</w:t>
      </w:r>
      <w:proofErr w:type="gramStart"/>
      <w:r w:rsidRPr="00791C81">
        <w:rPr>
          <w:sz w:val="16"/>
          <w:lang w:val="en-US"/>
        </w:rPr>
        <w:t>;114</w:t>
      </w:r>
      <w:proofErr w:type="gramEnd"/>
      <w:r w:rsidRPr="00791C81">
        <w:rPr>
          <w:sz w:val="16"/>
          <w:lang w:val="en-US"/>
        </w:rPr>
        <w:t>(12):2393-400.</w:t>
      </w:r>
    </w:p>
    <w:p w:rsidR="00AB6593" w:rsidRPr="00791C81" w:rsidRDefault="00791C81">
      <w:pPr>
        <w:pStyle w:val="PargrafodaLista"/>
        <w:numPr>
          <w:ilvl w:val="0"/>
          <w:numId w:val="2"/>
        </w:numPr>
        <w:tabs>
          <w:tab w:val="left" w:pos="953"/>
        </w:tabs>
        <w:ind w:right="115" w:firstLine="566"/>
        <w:rPr>
          <w:sz w:val="16"/>
          <w:lang w:val="en-US"/>
        </w:rPr>
      </w:pPr>
      <w:r>
        <w:rPr>
          <w:sz w:val="16"/>
        </w:rPr>
        <w:t xml:space="preserve">Hellström-Lindberg E, Birgegård G, Carlsson M, Carneskog J, Dahl IM, Dybedal </w:t>
      </w:r>
      <w:r>
        <w:rPr>
          <w:spacing w:val="-3"/>
          <w:sz w:val="16"/>
        </w:rPr>
        <w:t xml:space="preserve">I, </w:t>
      </w:r>
      <w:proofErr w:type="gramStart"/>
      <w:r>
        <w:rPr>
          <w:sz w:val="16"/>
        </w:rPr>
        <w:t>et</w:t>
      </w:r>
      <w:proofErr w:type="gramEnd"/>
      <w:r>
        <w:rPr>
          <w:sz w:val="16"/>
        </w:rPr>
        <w:t xml:space="preserve"> al. </w:t>
      </w:r>
      <w:r w:rsidRPr="00791C81">
        <w:rPr>
          <w:sz w:val="16"/>
          <w:lang w:val="en-US"/>
        </w:rPr>
        <w:t>A combination of granulocyte colony-stimulating factor and erythropoie</w:t>
      </w:r>
      <w:r w:rsidRPr="00791C81">
        <w:rPr>
          <w:sz w:val="16"/>
          <w:lang w:val="en-US"/>
        </w:rPr>
        <w:t>tin may synergistically improve the anaemia in patients with myelodysplastic syndromes. Leuk Lymphoma.</w:t>
      </w:r>
      <w:r w:rsidRPr="00791C81">
        <w:rPr>
          <w:spacing w:val="-24"/>
          <w:sz w:val="16"/>
          <w:lang w:val="en-US"/>
        </w:rPr>
        <w:t xml:space="preserve"> </w:t>
      </w:r>
      <w:r w:rsidRPr="00791C81">
        <w:rPr>
          <w:sz w:val="16"/>
          <w:lang w:val="en-US"/>
        </w:rPr>
        <w:t>1993</w:t>
      </w:r>
      <w:proofErr w:type="gramStart"/>
      <w:r w:rsidRPr="00791C81">
        <w:rPr>
          <w:sz w:val="16"/>
          <w:lang w:val="en-US"/>
        </w:rPr>
        <w:t>;11</w:t>
      </w:r>
      <w:proofErr w:type="gramEnd"/>
      <w:r w:rsidRPr="00791C81">
        <w:rPr>
          <w:sz w:val="16"/>
          <w:lang w:val="en-US"/>
        </w:rPr>
        <w:t>(3-4):221-8.</w:t>
      </w:r>
    </w:p>
    <w:p w:rsidR="00AB6593" w:rsidRPr="00791C81" w:rsidRDefault="00791C81">
      <w:pPr>
        <w:pStyle w:val="PargrafodaLista"/>
        <w:numPr>
          <w:ilvl w:val="0"/>
          <w:numId w:val="2"/>
        </w:numPr>
        <w:tabs>
          <w:tab w:val="left" w:pos="953"/>
        </w:tabs>
        <w:spacing w:before="1"/>
        <w:ind w:right="115" w:firstLine="566"/>
        <w:rPr>
          <w:sz w:val="16"/>
          <w:lang w:val="en-US"/>
        </w:rPr>
      </w:pPr>
      <w:r w:rsidRPr="00791C81">
        <w:rPr>
          <w:sz w:val="16"/>
          <w:lang w:val="en-US"/>
        </w:rPr>
        <w:t>Negrin RS, Stein R, Doherty K, Cornwell J, Vardiman J, Krantz S, et al. Maintenance treatment of the anemia of myelodysplastic syndro</w:t>
      </w:r>
      <w:r w:rsidRPr="00791C81">
        <w:rPr>
          <w:sz w:val="16"/>
          <w:lang w:val="en-US"/>
        </w:rPr>
        <w:t>mes with recombinant human granulocyte colony-stimulating factor and erythropoietin: evidence for in vivo synergy. Blood.</w:t>
      </w:r>
      <w:r w:rsidRPr="00791C81">
        <w:rPr>
          <w:spacing w:val="-20"/>
          <w:sz w:val="16"/>
          <w:lang w:val="en-US"/>
        </w:rPr>
        <w:t xml:space="preserve"> </w:t>
      </w:r>
      <w:r w:rsidRPr="00791C81">
        <w:rPr>
          <w:sz w:val="16"/>
          <w:lang w:val="en-US"/>
        </w:rPr>
        <w:t>1996</w:t>
      </w:r>
      <w:proofErr w:type="gramStart"/>
      <w:r w:rsidRPr="00791C81">
        <w:rPr>
          <w:sz w:val="16"/>
          <w:lang w:val="en-US"/>
        </w:rPr>
        <w:t>;87</w:t>
      </w:r>
      <w:proofErr w:type="gramEnd"/>
      <w:r w:rsidRPr="00791C81">
        <w:rPr>
          <w:sz w:val="16"/>
          <w:lang w:val="en-US"/>
        </w:rPr>
        <w:t>(10):4076-81.</w:t>
      </w:r>
    </w:p>
    <w:p w:rsidR="00AB6593" w:rsidRPr="00791C81" w:rsidRDefault="00791C81">
      <w:pPr>
        <w:pStyle w:val="PargrafodaLista"/>
        <w:numPr>
          <w:ilvl w:val="0"/>
          <w:numId w:val="2"/>
        </w:numPr>
        <w:tabs>
          <w:tab w:val="left" w:pos="953"/>
        </w:tabs>
        <w:ind w:right="115" w:firstLine="566"/>
        <w:rPr>
          <w:sz w:val="16"/>
          <w:lang w:val="en-US"/>
        </w:rPr>
      </w:pPr>
      <w:r w:rsidRPr="00791C81">
        <w:rPr>
          <w:sz w:val="16"/>
          <w:lang w:val="en-US"/>
        </w:rPr>
        <w:t>Negrin RS, Stein R, Vardiman J, Doherty K, Cornwell J, Krantz S, et al. Treatment of the anemia of myelodysplasti</w:t>
      </w:r>
      <w:r w:rsidRPr="00791C81">
        <w:rPr>
          <w:sz w:val="16"/>
          <w:lang w:val="en-US"/>
        </w:rPr>
        <w:t>c syndromes using recombinant human granulocyte colony-stimulating factor in combination with erythropoietin. Blood.</w:t>
      </w:r>
      <w:r w:rsidRPr="00791C81">
        <w:rPr>
          <w:spacing w:val="-8"/>
          <w:sz w:val="16"/>
          <w:lang w:val="en-US"/>
        </w:rPr>
        <w:t xml:space="preserve"> </w:t>
      </w:r>
      <w:r w:rsidRPr="00791C81">
        <w:rPr>
          <w:sz w:val="16"/>
          <w:lang w:val="en-US"/>
        </w:rPr>
        <w:t>1993</w:t>
      </w:r>
      <w:proofErr w:type="gramStart"/>
      <w:r w:rsidRPr="00791C81">
        <w:rPr>
          <w:sz w:val="16"/>
          <w:lang w:val="en-US"/>
        </w:rPr>
        <w:t>;82</w:t>
      </w:r>
      <w:proofErr w:type="gramEnd"/>
      <w:r w:rsidRPr="00791C81">
        <w:rPr>
          <w:sz w:val="16"/>
          <w:lang w:val="en-US"/>
        </w:rPr>
        <w:t>(3):737-43.</w:t>
      </w:r>
    </w:p>
    <w:p w:rsidR="00AB6593" w:rsidRDefault="00791C81">
      <w:pPr>
        <w:pStyle w:val="PargrafodaLista"/>
        <w:numPr>
          <w:ilvl w:val="0"/>
          <w:numId w:val="2"/>
        </w:numPr>
        <w:tabs>
          <w:tab w:val="left" w:pos="953"/>
        </w:tabs>
        <w:ind w:left="952" w:hanging="286"/>
        <w:rPr>
          <w:sz w:val="16"/>
        </w:rPr>
      </w:pPr>
      <w:r w:rsidRPr="00791C81">
        <w:rPr>
          <w:sz w:val="16"/>
          <w:lang w:val="en-US"/>
        </w:rPr>
        <w:t>Andersohn</w:t>
      </w:r>
      <w:r w:rsidRPr="00791C81">
        <w:rPr>
          <w:spacing w:val="-2"/>
          <w:sz w:val="16"/>
          <w:lang w:val="en-US"/>
        </w:rPr>
        <w:t xml:space="preserve"> </w:t>
      </w:r>
      <w:r w:rsidRPr="00791C81">
        <w:rPr>
          <w:sz w:val="16"/>
          <w:lang w:val="en-US"/>
        </w:rPr>
        <w:t>F,</w:t>
      </w:r>
      <w:r w:rsidRPr="00791C81">
        <w:rPr>
          <w:spacing w:val="-1"/>
          <w:sz w:val="16"/>
          <w:lang w:val="en-US"/>
        </w:rPr>
        <w:t xml:space="preserve"> </w:t>
      </w:r>
      <w:r w:rsidRPr="00791C81">
        <w:rPr>
          <w:sz w:val="16"/>
          <w:lang w:val="en-US"/>
        </w:rPr>
        <w:t>Konzen</w:t>
      </w:r>
      <w:r w:rsidRPr="00791C81">
        <w:rPr>
          <w:spacing w:val="-1"/>
          <w:sz w:val="16"/>
          <w:lang w:val="en-US"/>
        </w:rPr>
        <w:t xml:space="preserve"> </w:t>
      </w:r>
      <w:r w:rsidRPr="00791C81">
        <w:rPr>
          <w:sz w:val="16"/>
          <w:lang w:val="en-US"/>
        </w:rPr>
        <w:t>C,</w:t>
      </w:r>
      <w:r w:rsidRPr="00791C81">
        <w:rPr>
          <w:spacing w:val="-4"/>
          <w:sz w:val="16"/>
          <w:lang w:val="en-US"/>
        </w:rPr>
        <w:t xml:space="preserve"> </w:t>
      </w:r>
      <w:r w:rsidRPr="00791C81">
        <w:rPr>
          <w:sz w:val="16"/>
          <w:lang w:val="en-US"/>
        </w:rPr>
        <w:t>Garbe</w:t>
      </w:r>
      <w:r w:rsidRPr="00791C81">
        <w:rPr>
          <w:spacing w:val="-4"/>
          <w:sz w:val="16"/>
          <w:lang w:val="en-US"/>
        </w:rPr>
        <w:t xml:space="preserve"> </w:t>
      </w:r>
      <w:r w:rsidRPr="00791C81">
        <w:rPr>
          <w:sz w:val="16"/>
          <w:lang w:val="en-US"/>
        </w:rPr>
        <w:t>E.</w:t>
      </w:r>
      <w:r w:rsidRPr="00791C81">
        <w:rPr>
          <w:spacing w:val="-2"/>
          <w:sz w:val="16"/>
          <w:lang w:val="en-US"/>
        </w:rPr>
        <w:t xml:space="preserve"> </w:t>
      </w:r>
      <w:r w:rsidRPr="00791C81">
        <w:rPr>
          <w:sz w:val="16"/>
          <w:lang w:val="en-US"/>
        </w:rPr>
        <w:t>Systematic</w:t>
      </w:r>
      <w:r w:rsidRPr="00791C81">
        <w:rPr>
          <w:spacing w:val="-1"/>
          <w:sz w:val="16"/>
          <w:lang w:val="en-US"/>
        </w:rPr>
        <w:t xml:space="preserve"> </w:t>
      </w:r>
      <w:r w:rsidRPr="00791C81">
        <w:rPr>
          <w:sz w:val="16"/>
          <w:lang w:val="en-US"/>
        </w:rPr>
        <w:t>review:</w:t>
      </w:r>
      <w:r w:rsidRPr="00791C81">
        <w:rPr>
          <w:spacing w:val="-3"/>
          <w:sz w:val="16"/>
          <w:lang w:val="en-US"/>
        </w:rPr>
        <w:t xml:space="preserve"> </w:t>
      </w:r>
      <w:r w:rsidRPr="00791C81">
        <w:rPr>
          <w:sz w:val="16"/>
          <w:lang w:val="en-US"/>
        </w:rPr>
        <w:t>agranulocytosis</w:t>
      </w:r>
      <w:r w:rsidRPr="00791C81">
        <w:rPr>
          <w:spacing w:val="-2"/>
          <w:sz w:val="16"/>
          <w:lang w:val="en-US"/>
        </w:rPr>
        <w:t xml:space="preserve"> </w:t>
      </w:r>
      <w:r w:rsidRPr="00791C81">
        <w:rPr>
          <w:sz w:val="16"/>
          <w:lang w:val="en-US"/>
        </w:rPr>
        <w:t>induced</w:t>
      </w:r>
      <w:r w:rsidRPr="00791C81">
        <w:rPr>
          <w:spacing w:val="-1"/>
          <w:sz w:val="16"/>
          <w:lang w:val="en-US"/>
        </w:rPr>
        <w:t xml:space="preserve"> </w:t>
      </w:r>
      <w:r w:rsidRPr="00791C81">
        <w:rPr>
          <w:sz w:val="16"/>
          <w:lang w:val="en-US"/>
        </w:rPr>
        <w:t>by</w:t>
      </w:r>
      <w:r w:rsidRPr="00791C81">
        <w:rPr>
          <w:spacing w:val="-5"/>
          <w:sz w:val="16"/>
          <w:lang w:val="en-US"/>
        </w:rPr>
        <w:t xml:space="preserve"> </w:t>
      </w:r>
      <w:r w:rsidRPr="00791C81">
        <w:rPr>
          <w:sz w:val="16"/>
          <w:lang w:val="en-US"/>
        </w:rPr>
        <w:t>nonchemotherapy</w:t>
      </w:r>
      <w:r w:rsidRPr="00791C81">
        <w:rPr>
          <w:spacing w:val="-5"/>
          <w:sz w:val="16"/>
          <w:lang w:val="en-US"/>
        </w:rPr>
        <w:t xml:space="preserve"> </w:t>
      </w:r>
      <w:r w:rsidRPr="00791C81">
        <w:rPr>
          <w:sz w:val="16"/>
          <w:lang w:val="en-US"/>
        </w:rPr>
        <w:t>drugs.</w:t>
      </w:r>
      <w:r w:rsidRPr="00791C81">
        <w:rPr>
          <w:spacing w:val="-4"/>
          <w:sz w:val="16"/>
          <w:lang w:val="en-US"/>
        </w:rPr>
        <w:t xml:space="preserve"> </w:t>
      </w:r>
      <w:r>
        <w:rPr>
          <w:sz w:val="16"/>
        </w:rPr>
        <w:t>Ann</w:t>
      </w:r>
      <w:r>
        <w:rPr>
          <w:spacing w:val="-2"/>
          <w:sz w:val="16"/>
        </w:rPr>
        <w:t xml:space="preserve"> </w:t>
      </w:r>
      <w:r>
        <w:rPr>
          <w:sz w:val="16"/>
        </w:rPr>
        <w:t>Intern</w:t>
      </w:r>
      <w:r>
        <w:rPr>
          <w:spacing w:val="-3"/>
          <w:sz w:val="16"/>
        </w:rPr>
        <w:t xml:space="preserve"> </w:t>
      </w:r>
      <w:r>
        <w:rPr>
          <w:sz w:val="16"/>
        </w:rPr>
        <w:t>Med.</w:t>
      </w:r>
      <w:r>
        <w:rPr>
          <w:spacing w:val="-4"/>
          <w:sz w:val="16"/>
        </w:rPr>
        <w:t xml:space="preserve"> </w:t>
      </w:r>
      <w:proofErr w:type="gramStart"/>
      <w:r>
        <w:rPr>
          <w:sz w:val="16"/>
        </w:rPr>
        <w:t>200</w:t>
      </w:r>
      <w:r>
        <w:rPr>
          <w:sz w:val="16"/>
        </w:rPr>
        <w:t>7;</w:t>
      </w:r>
      <w:proofErr w:type="gramEnd"/>
      <w:r>
        <w:rPr>
          <w:sz w:val="16"/>
        </w:rPr>
        <w:t>146(9):657-65.</w:t>
      </w:r>
    </w:p>
    <w:p w:rsidR="00AB6593" w:rsidRDefault="00791C81">
      <w:pPr>
        <w:pStyle w:val="PargrafodaLista"/>
        <w:numPr>
          <w:ilvl w:val="0"/>
          <w:numId w:val="2"/>
        </w:numPr>
        <w:tabs>
          <w:tab w:val="left" w:pos="953"/>
        </w:tabs>
        <w:ind w:right="115" w:firstLine="566"/>
        <w:rPr>
          <w:sz w:val="16"/>
        </w:rPr>
      </w:pPr>
      <w:r w:rsidRPr="00791C81">
        <w:rPr>
          <w:sz w:val="16"/>
          <w:lang w:val="en-US"/>
        </w:rPr>
        <w:t xml:space="preserve">Andrès E, Kurtz JE, Maloisel F. Nonchemotherapy drug-induced agranulocytosis: experience of the Strasbourg teaching hospital (1985-2000) and review of the literature. </w:t>
      </w:r>
      <w:r>
        <w:rPr>
          <w:sz w:val="16"/>
        </w:rPr>
        <w:t>Clin Lab Haematol.</w:t>
      </w:r>
      <w:r>
        <w:rPr>
          <w:spacing w:val="-4"/>
          <w:sz w:val="16"/>
        </w:rPr>
        <w:t xml:space="preserve"> </w:t>
      </w:r>
      <w:proofErr w:type="gramStart"/>
      <w:r>
        <w:rPr>
          <w:sz w:val="16"/>
        </w:rPr>
        <w:t>2002;</w:t>
      </w:r>
      <w:proofErr w:type="gramEnd"/>
      <w:r>
        <w:rPr>
          <w:sz w:val="16"/>
        </w:rPr>
        <w:t>24(2):99-106.</w:t>
      </w:r>
    </w:p>
    <w:p w:rsidR="00AB6593" w:rsidRDefault="00791C81">
      <w:pPr>
        <w:pStyle w:val="PargrafodaLista"/>
        <w:numPr>
          <w:ilvl w:val="0"/>
          <w:numId w:val="2"/>
        </w:numPr>
        <w:tabs>
          <w:tab w:val="left" w:pos="953"/>
        </w:tabs>
        <w:spacing w:line="183" w:lineRule="exact"/>
        <w:ind w:left="952" w:hanging="286"/>
        <w:rPr>
          <w:sz w:val="16"/>
        </w:rPr>
      </w:pPr>
      <w:r w:rsidRPr="00791C81">
        <w:rPr>
          <w:sz w:val="16"/>
          <w:lang w:val="en-US"/>
        </w:rPr>
        <w:t>Andrès E, Maloisel F. Idiosyncrati</w:t>
      </w:r>
      <w:r w:rsidRPr="00791C81">
        <w:rPr>
          <w:sz w:val="16"/>
          <w:lang w:val="en-US"/>
        </w:rPr>
        <w:t xml:space="preserve">c drug-induced agranulocytosis or acute neutropenia. </w:t>
      </w:r>
      <w:r>
        <w:rPr>
          <w:sz w:val="16"/>
        </w:rPr>
        <w:t>Curr Opin Hematol.</w:t>
      </w:r>
      <w:r>
        <w:rPr>
          <w:spacing w:val="-20"/>
          <w:sz w:val="16"/>
        </w:rPr>
        <w:t xml:space="preserve"> </w:t>
      </w:r>
      <w:proofErr w:type="gramStart"/>
      <w:r>
        <w:rPr>
          <w:sz w:val="16"/>
        </w:rPr>
        <w:t>2008;</w:t>
      </w:r>
      <w:proofErr w:type="gramEnd"/>
      <w:r>
        <w:rPr>
          <w:sz w:val="16"/>
        </w:rPr>
        <w:t>15(1):15-21.</w:t>
      </w:r>
    </w:p>
    <w:p w:rsidR="00AB6593" w:rsidRDefault="00791C81">
      <w:pPr>
        <w:pStyle w:val="PargrafodaLista"/>
        <w:numPr>
          <w:ilvl w:val="0"/>
          <w:numId w:val="2"/>
        </w:numPr>
        <w:tabs>
          <w:tab w:val="left" w:pos="953"/>
        </w:tabs>
        <w:spacing w:before="1" w:line="183" w:lineRule="exact"/>
        <w:ind w:left="952" w:hanging="286"/>
        <w:rPr>
          <w:sz w:val="16"/>
        </w:rPr>
      </w:pPr>
      <w:r w:rsidRPr="00791C81">
        <w:rPr>
          <w:sz w:val="16"/>
          <w:lang w:val="en-US"/>
        </w:rPr>
        <w:t>Grossi</w:t>
      </w:r>
      <w:r w:rsidRPr="00791C81">
        <w:rPr>
          <w:spacing w:val="-2"/>
          <w:sz w:val="16"/>
          <w:lang w:val="en-US"/>
        </w:rPr>
        <w:t xml:space="preserve"> </w:t>
      </w:r>
      <w:r w:rsidRPr="00791C81">
        <w:rPr>
          <w:sz w:val="16"/>
          <w:lang w:val="en-US"/>
        </w:rPr>
        <w:t>F,</w:t>
      </w:r>
      <w:r w:rsidRPr="00791C81">
        <w:rPr>
          <w:spacing w:val="-1"/>
          <w:sz w:val="16"/>
          <w:lang w:val="en-US"/>
        </w:rPr>
        <w:t xml:space="preserve"> </w:t>
      </w:r>
      <w:r w:rsidRPr="00791C81">
        <w:rPr>
          <w:sz w:val="16"/>
          <w:lang w:val="en-US"/>
        </w:rPr>
        <w:t>Tiseo</w:t>
      </w:r>
      <w:r w:rsidRPr="00791C81">
        <w:rPr>
          <w:spacing w:val="-3"/>
          <w:sz w:val="16"/>
          <w:lang w:val="en-US"/>
        </w:rPr>
        <w:t xml:space="preserve"> </w:t>
      </w:r>
      <w:r w:rsidRPr="00791C81">
        <w:rPr>
          <w:sz w:val="16"/>
          <w:lang w:val="en-US"/>
        </w:rPr>
        <w:t>M.</w:t>
      </w:r>
      <w:r w:rsidRPr="00791C81">
        <w:rPr>
          <w:spacing w:val="-1"/>
          <w:sz w:val="16"/>
          <w:lang w:val="en-US"/>
        </w:rPr>
        <w:t xml:space="preserve"> </w:t>
      </w:r>
      <w:r w:rsidRPr="00791C81">
        <w:rPr>
          <w:sz w:val="16"/>
          <w:lang w:val="en-US"/>
        </w:rPr>
        <w:t>Granulocyte</w:t>
      </w:r>
      <w:r w:rsidRPr="00791C81">
        <w:rPr>
          <w:spacing w:val="-5"/>
          <w:sz w:val="16"/>
          <w:lang w:val="en-US"/>
        </w:rPr>
        <w:t xml:space="preserve"> </w:t>
      </w:r>
      <w:r w:rsidRPr="00791C81">
        <w:rPr>
          <w:sz w:val="16"/>
          <w:lang w:val="en-US"/>
        </w:rPr>
        <w:t>growth</w:t>
      </w:r>
      <w:r w:rsidRPr="00791C81">
        <w:rPr>
          <w:spacing w:val="-1"/>
          <w:sz w:val="16"/>
          <w:lang w:val="en-US"/>
        </w:rPr>
        <w:t xml:space="preserve"> </w:t>
      </w:r>
      <w:r w:rsidRPr="00791C81">
        <w:rPr>
          <w:sz w:val="16"/>
          <w:lang w:val="en-US"/>
        </w:rPr>
        <w:t>factors</w:t>
      </w:r>
      <w:r w:rsidRPr="00791C81">
        <w:rPr>
          <w:spacing w:val="-2"/>
          <w:sz w:val="16"/>
          <w:lang w:val="en-US"/>
        </w:rPr>
        <w:t xml:space="preserve"> </w:t>
      </w:r>
      <w:r w:rsidRPr="00791C81">
        <w:rPr>
          <w:sz w:val="16"/>
          <w:lang w:val="en-US"/>
        </w:rPr>
        <w:t>in</w:t>
      </w:r>
      <w:r w:rsidRPr="00791C81">
        <w:rPr>
          <w:spacing w:val="-3"/>
          <w:sz w:val="16"/>
          <w:lang w:val="en-US"/>
        </w:rPr>
        <w:t xml:space="preserve"> </w:t>
      </w:r>
      <w:r w:rsidRPr="00791C81">
        <w:rPr>
          <w:sz w:val="16"/>
          <w:lang w:val="en-US"/>
        </w:rPr>
        <w:t>the</w:t>
      </w:r>
      <w:r w:rsidRPr="00791C81">
        <w:rPr>
          <w:spacing w:val="-4"/>
          <w:sz w:val="16"/>
          <w:lang w:val="en-US"/>
        </w:rPr>
        <w:t xml:space="preserve"> </w:t>
      </w:r>
      <w:r w:rsidRPr="00791C81">
        <w:rPr>
          <w:sz w:val="16"/>
          <w:lang w:val="en-US"/>
        </w:rPr>
        <w:t>treatment</w:t>
      </w:r>
      <w:r w:rsidRPr="00791C81">
        <w:rPr>
          <w:spacing w:val="-2"/>
          <w:sz w:val="16"/>
          <w:lang w:val="en-US"/>
        </w:rPr>
        <w:t xml:space="preserve"> </w:t>
      </w:r>
      <w:r w:rsidRPr="00791C81">
        <w:rPr>
          <w:sz w:val="16"/>
          <w:lang w:val="en-US"/>
        </w:rPr>
        <w:t>of</w:t>
      </w:r>
      <w:r w:rsidRPr="00791C81">
        <w:rPr>
          <w:spacing w:val="-3"/>
          <w:sz w:val="16"/>
          <w:lang w:val="en-US"/>
        </w:rPr>
        <w:t xml:space="preserve"> </w:t>
      </w:r>
      <w:r w:rsidRPr="00791C81">
        <w:rPr>
          <w:sz w:val="16"/>
          <w:lang w:val="en-US"/>
        </w:rPr>
        <w:t>non-small</w:t>
      </w:r>
      <w:r w:rsidRPr="00791C81">
        <w:rPr>
          <w:spacing w:val="-3"/>
          <w:sz w:val="16"/>
          <w:lang w:val="en-US"/>
        </w:rPr>
        <w:t xml:space="preserve"> </w:t>
      </w:r>
      <w:r w:rsidRPr="00791C81">
        <w:rPr>
          <w:sz w:val="16"/>
          <w:lang w:val="en-US"/>
        </w:rPr>
        <w:t>cell</w:t>
      </w:r>
      <w:r w:rsidRPr="00791C81">
        <w:rPr>
          <w:spacing w:val="-3"/>
          <w:sz w:val="16"/>
          <w:lang w:val="en-US"/>
        </w:rPr>
        <w:t xml:space="preserve"> </w:t>
      </w:r>
      <w:r w:rsidRPr="00791C81">
        <w:rPr>
          <w:sz w:val="16"/>
          <w:lang w:val="en-US"/>
        </w:rPr>
        <w:t>lung</w:t>
      </w:r>
      <w:r w:rsidRPr="00791C81">
        <w:rPr>
          <w:spacing w:val="-3"/>
          <w:sz w:val="16"/>
          <w:lang w:val="en-US"/>
        </w:rPr>
        <w:t xml:space="preserve"> </w:t>
      </w:r>
      <w:r w:rsidRPr="00791C81">
        <w:rPr>
          <w:sz w:val="16"/>
          <w:lang w:val="en-US"/>
        </w:rPr>
        <w:t>cancer</w:t>
      </w:r>
      <w:r w:rsidRPr="00791C81">
        <w:rPr>
          <w:spacing w:val="-3"/>
          <w:sz w:val="16"/>
          <w:lang w:val="en-US"/>
        </w:rPr>
        <w:t xml:space="preserve"> </w:t>
      </w:r>
      <w:r w:rsidRPr="00791C81">
        <w:rPr>
          <w:sz w:val="16"/>
          <w:lang w:val="en-US"/>
        </w:rPr>
        <w:t>(NSCLC).</w:t>
      </w:r>
      <w:r w:rsidRPr="00791C81">
        <w:rPr>
          <w:spacing w:val="-2"/>
          <w:sz w:val="16"/>
          <w:lang w:val="en-US"/>
        </w:rPr>
        <w:t xml:space="preserve"> </w:t>
      </w:r>
      <w:r>
        <w:rPr>
          <w:sz w:val="16"/>
        </w:rPr>
        <w:t>Crit</w:t>
      </w:r>
      <w:r>
        <w:rPr>
          <w:spacing w:val="-3"/>
          <w:sz w:val="16"/>
        </w:rPr>
        <w:t xml:space="preserve"> </w:t>
      </w:r>
      <w:r>
        <w:rPr>
          <w:sz w:val="16"/>
        </w:rPr>
        <w:t>Rev</w:t>
      </w:r>
      <w:r>
        <w:rPr>
          <w:spacing w:val="-5"/>
          <w:sz w:val="16"/>
        </w:rPr>
        <w:t xml:space="preserve"> </w:t>
      </w:r>
      <w:r>
        <w:rPr>
          <w:sz w:val="16"/>
        </w:rPr>
        <w:t>Oncol</w:t>
      </w:r>
      <w:r>
        <w:rPr>
          <w:spacing w:val="-3"/>
          <w:sz w:val="16"/>
        </w:rPr>
        <w:t xml:space="preserve"> </w:t>
      </w:r>
      <w:r>
        <w:rPr>
          <w:sz w:val="16"/>
        </w:rPr>
        <w:t>Hematol.</w:t>
      </w:r>
      <w:r>
        <w:rPr>
          <w:spacing w:val="-1"/>
          <w:sz w:val="16"/>
        </w:rPr>
        <w:t xml:space="preserve"> </w:t>
      </w:r>
      <w:proofErr w:type="gramStart"/>
      <w:r>
        <w:rPr>
          <w:sz w:val="16"/>
        </w:rPr>
        <w:t>2006;</w:t>
      </w:r>
      <w:proofErr w:type="gramEnd"/>
      <w:r>
        <w:rPr>
          <w:sz w:val="16"/>
        </w:rPr>
        <w:t>58(3):221-30.</w:t>
      </w:r>
    </w:p>
    <w:p w:rsidR="00AB6593" w:rsidRDefault="00791C81">
      <w:pPr>
        <w:pStyle w:val="PargrafodaLista"/>
        <w:numPr>
          <w:ilvl w:val="0"/>
          <w:numId w:val="2"/>
        </w:numPr>
        <w:tabs>
          <w:tab w:val="left" w:pos="953"/>
        </w:tabs>
        <w:ind w:right="118" w:firstLine="566"/>
        <w:rPr>
          <w:sz w:val="16"/>
        </w:rPr>
      </w:pPr>
      <w:r w:rsidRPr="00791C81">
        <w:rPr>
          <w:sz w:val="16"/>
          <w:lang w:val="en-US"/>
        </w:rPr>
        <w:t xml:space="preserve">Azoulay E, Delclaux C. </w:t>
      </w:r>
      <w:r w:rsidRPr="00791C81">
        <w:rPr>
          <w:spacing w:val="-3"/>
          <w:sz w:val="16"/>
          <w:lang w:val="en-US"/>
        </w:rPr>
        <w:t xml:space="preserve">Is </w:t>
      </w:r>
      <w:r w:rsidRPr="00791C81">
        <w:rPr>
          <w:sz w:val="16"/>
          <w:lang w:val="en-US"/>
        </w:rPr>
        <w:t xml:space="preserve">there a place for granulocyte colony-stimulating factor in non-neutropenic critically ill patients? </w:t>
      </w:r>
      <w:r>
        <w:rPr>
          <w:sz w:val="16"/>
        </w:rPr>
        <w:t xml:space="preserve">Intensive Care Med. </w:t>
      </w:r>
      <w:proofErr w:type="gramStart"/>
      <w:r>
        <w:rPr>
          <w:sz w:val="16"/>
        </w:rPr>
        <w:t>2004;</w:t>
      </w:r>
      <w:proofErr w:type="gramEnd"/>
      <w:r>
        <w:rPr>
          <w:sz w:val="16"/>
        </w:rPr>
        <w:t>30(1):10-7.</w:t>
      </w:r>
    </w:p>
    <w:p w:rsidR="00AB6593" w:rsidRPr="00791C81" w:rsidRDefault="00791C81">
      <w:pPr>
        <w:pStyle w:val="PargrafodaLista"/>
        <w:numPr>
          <w:ilvl w:val="0"/>
          <w:numId w:val="2"/>
        </w:numPr>
        <w:tabs>
          <w:tab w:val="left" w:pos="953"/>
        </w:tabs>
        <w:spacing w:line="183" w:lineRule="exact"/>
        <w:ind w:left="952" w:hanging="286"/>
        <w:rPr>
          <w:sz w:val="16"/>
          <w:lang w:val="en-US"/>
        </w:rPr>
      </w:pPr>
      <w:r w:rsidRPr="00791C81">
        <w:rPr>
          <w:sz w:val="16"/>
          <w:lang w:val="en-US"/>
        </w:rPr>
        <w:t xml:space="preserve">Bell SG. Immunomodulation, part </w:t>
      </w:r>
      <w:r w:rsidRPr="00791C81">
        <w:rPr>
          <w:spacing w:val="-3"/>
          <w:sz w:val="16"/>
          <w:lang w:val="en-US"/>
        </w:rPr>
        <w:t xml:space="preserve">II: </w:t>
      </w:r>
      <w:r w:rsidRPr="00791C81">
        <w:rPr>
          <w:sz w:val="16"/>
          <w:lang w:val="en-US"/>
        </w:rPr>
        <w:t>granulocyte colony-stimulating factors. Neonatal Netw.</w:t>
      </w:r>
      <w:r w:rsidRPr="00791C81">
        <w:rPr>
          <w:spacing w:val="-4"/>
          <w:sz w:val="16"/>
          <w:lang w:val="en-US"/>
        </w:rPr>
        <w:t xml:space="preserve"> </w:t>
      </w:r>
      <w:r w:rsidRPr="00791C81">
        <w:rPr>
          <w:sz w:val="16"/>
          <w:lang w:val="en-US"/>
        </w:rPr>
        <w:t>20</w:t>
      </w:r>
      <w:r w:rsidRPr="00791C81">
        <w:rPr>
          <w:sz w:val="16"/>
          <w:lang w:val="en-US"/>
        </w:rPr>
        <w:t>06</w:t>
      </w:r>
      <w:proofErr w:type="gramStart"/>
      <w:r w:rsidRPr="00791C81">
        <w:rPr>
          <w:sz w:val="16"/>
          <w:lang w:val="en-US"/>
        </w:rPr>
        <w:t>;25</w:t>
      </w:r>
      <w:proofErr w:type="gramEnd"/>
      <w:r w:rsidRPr="00791C81">
        <w:rPr>
          <w:sz w:val="16"/>
          <w:lang w:val="en-US"/>
        </w:rPr>
        <w:t>(1):65-70.</w:t>
      </w:r>
    </w:p>
    <w:p w:rsidR="00AB6593" w:rsidRDefault="00791C81">
      <w:pPr>
        <w:pStyle w:val="PargrafodaLista"/>
        <w:numPr>
          <w:ilvl w:val="0"/>
          <w:numId w:val="2"/>
        </w:numPr>
        <w:tabs>
          <w:tab w:val="left" w:pos="953"/>
        </w:tabs>
        <w:spacing w:line="183" w:lineRule="exact"/>
        <w:ind w:left="952" w:hanging="286"/>
        <w:rPr>
          <w:sz w:val="16"/>
        </w:rPr>
      </w:pPr>
      <w:r w:rsidRPr="00791C81">
        <w:rPr>
          <w:sz w:val="16"/>
          <w:lang w:val="en-US"/>
        </w:rPr>
        <w:t>Carr</w:t>
      </w:r>
      <w:r w:rsidRPr="00791C81">
        <w:rPr>
          <w:spacing w:val="-3"/>
          <w:sz w:val="16"/>
          <w:lang w:val="en-US"/>
        </w:rPr>
        <w:t xml:space="preserve"> </w:t>
      </w:r>
      <w:r w:rsidRPr="00791C81">
        <w:rPr>
          <w:sz w:val="16"/>
          <w:lang w:val="en-US"/>
        </w:rPr>
        <w:t>R,</w:t>
      </w:r>
      <w:r w:rsidRPr="00791C81">
        <w:rPr>
          <w:spacing w:val="-3"/>
          <w:sz w:val="16"/>
          <w:lang w:val="en-US"/>
        </w:rPr>
        <w:t xml:space="preserve"> </w:t>
      </w:r>
      <w:r w:rsidRPr="00791C81">
        <w:rPr>
          <w:sz w:val="16"/>
          <w:lang w:val="en-US"/>
        </w:rPr>
        <w:t>Modi N,</w:t>
      </w:r>
      <w:r w:rsidRPr="00791C81">
        <w:rPr>
          <w:spacing w:val="-1"/>
          <w:sz w:val="16"/>
          <w:lang w:val="en-US"/>
        </w:rPr>
        <w:t xml:space="preserve"> </w:t>
      </w:r>
      <w:r w:rsidRPr="00791C81">
        <w:rPr>
          <w:sz w:val="16"/>
          <w:lang w:val="en-US"/>
        </w:rPr>
        <w:t>Doré</w:t>
      </w:r>
      <w:r w:rsidRPr="00791C81">
        <w:rPr>
          <w:spacing w:val="-3"/>
          <w:sz w:val="16"/>
          <w:lang w:val="en-US"/>
        </w:rPr>
        <w:t xml:space="preserve"> </w:t>
      </w:r>
      <w:r w:rsidRPr="00791C81">
        <w:rPr>
          <w:sz w:val="16"/>
          <w:lang w:val="en-US"/>
        </w:rPr>
        <w:t>C.</w:t>
      </w:r>
      <w:r w:rsidRPr="00791C81">
        <w:rPr>
          <w:spacing w:val="-3"/>
          <w:sz w:val="16"/>
          <w:lang w:val="en-US"/>
        </w:rPr>
        <w:t xml:space="preserve"> </w:t>
      </w:r>
      <w:r w:rsidRPr="00791C81">
        <w:rPr>
          <w:sz w:val="16"/>
          <w:lang w:val="en-US"/>
        </w:rPr>
        <w:t>G-CSF</w:t>
      </w:r>
      <w:r w:rsidRPr="00791C81">
        <w:rPr>
          <w:spacing w:val="-4"/>
          <w:sz w:val="16"/>
          <w:lang w:val="en-US"/>
        </w:rPr>
        <w:t xml:space="preserve"> </w:t>
      </w:r>
      <w:r w:rsidRPr="00791C81">
        <w:rPr>
          <w:sz w:val="16"/>
          <w:lang w:val="en-US"/>
        </w:rPr>
        <w:t>and</w:t>
      </w:r>
      <w:r w:rsidRPr="00791C81">
        <w:rPr>
          <w:spacing w:val="-2"/>
          <w:sz w:val="16"/>
          <w:lang w:val="en-US"/>
        </w:rPr>
        <w:t xml:space="preserve"> </w:t>
      </w:r>
      <w:r w:rsidRPr="00791C81">
        <w:rPr>
          <w:sz w:val="16"/>
          <w:lang w:val="en-US"/>
        </w:rPr>
        <w:t>GM-CSF</w:t>
      </w:r>
      <w:r w:rsidRPr="00791C81">
        <w:rPr>
          <w:spacing w:val="-5"/>
          <w:sz w:val="16"/>
          <w:lang w:val="en-US"/>
        </w:rPr>
        <w:t xml:space="preserve"> </w:t>
      </w:r>
      <w:r w:rsidRPr="00791C81">
        <w:rPr>
          <w:sz w:val="16"/>
          <w:lang w:val="en-US"/>
        </w:rPr>
        <w:t>for</w:t>
      </w:r>
      <w:r w:rsidRPr="00791C81">
        <w:rPr>
          <w:spacing w:val="-2"/>
          <w:sz w:val="16"/>
          <w:lang w:val="en-US"/>
        </w:rPr>
        <w:t xml:space="preserve"> </w:t>
      </w:r>
      <w:r w:rsidRPr="00791C81">
        <w:rPr>
          <w:sz w:val="16"/>
          <w:lang w:val="en-US"/>
        </w:rPr>
        <w:t>treating</w:t>
      </w:r>
      <w:r w:rsidRPr="00791C81">
        <w:rPr>
          <w:spacing w:val="-2"/>
          <w:sz w:val="16"/>
          <w:lang w:val="en-US"/>
        </w:rPr>
        <w:t xml:space="preserve"> </w:t>
      </w:r>
      <w:r w:rsidRPr="00791C81">
        <w:rPr>
          <w:sz w:val="16"/>
          <w:lang w:val="en-US"/>
        </w:rPr>
        <w:t>or</w:t>
      </w:r>
      <w:r w:rsidRPr="00791C81">
        <w:rPr>
          <w:spacing w:val="-4"/>
          <w:sz w:val="16"/>
          <w:lang w:val="en-US"/>
        </w:rPr>
        <w:t xml:space="preserve"> </w:t>
      </w:r>
      <w:r w:rsidRPr="00791C81">
        <w:rPr>
          <w:sz w:val="16"/>
          <w:lang w:val="en-US"/>
        </w:rPr>
        <w:t>preventing</w:t>
      </w:r>
      <w:r w:rsidRPr="00791C81">
        <w:rPr>
          <w:spacing w:val="-4"/>
          <w:sz w:val="16"/>
          <w:lang w:val="en-US"/>
        </w:rPr>
        <w:t xml:space="preserve"> </w:t>
      </w:r>
      <w:r w:rsidRPr="00791C81">
        <w:rPr>
          <w:sz w:val="16"/>
          <w:lang w:val="en-US"/>
        </w:rPr>
        <w:t>neonatal</w:t>
      </w:r>
      <w:r w:rsidRPr="00791C81">
        <w:rPr>
          <w:spacing w:val="-3"/>
          <w:sz w:val="16"/>
          <w:lang w:val="en-US"/>
        </w:rPr>
        <w:t xml:space="preserve"> </w:t>
      </w:r>
      <w:r w:rsidRPr="00791C81">
        <w:rPr>
          <w:sz w:val="16"/>
          <w:lang w:val="en-US"/>
        </w:rPr>
        <w:t>infections.</w:t>
      </w:r>
      <w:r w:rsidRPr="00791C81">
        <w:rPr>
          <w:spacing w:val="-3"/>
          <w:sz w:val="16"/>
          <w:lang w:val="en-US"/>
        </w:rPr>
        <w:t xml:space="preserve"> </w:t>
      </w:r>
      <w:r>
        <w:rPr>
          <w:sz w:val="16"/>
        </w:rPr>
        <w:t>Cochrane</w:t>
      </w:r>
      <w:r>
        <w:rPr>
          <w:spacing w:val="-3"/>
          <w:sz w:val="16"/>
        </w:rPr>
        <w:t xml:space="preserve"> </w:t>
      </w:r>
      <w:r>
        <w:rPr>
          <w:sz w:val="16"/>
        </w:rPr>
        <w:t>Database</w:t>
      </w:r>
      <w:r>
        <w:rPr>
          <w:spacing w:val="-5"/>
          <w:sz w:val="16"/>
        </w:rPr>
        <w:t xml:space="preserve"> </w:t>
      </w:r>
      <w:r>
        <w:rPr>
          <w:sz w:val="16"/>
        </w:rPr>
        <w:t>Syst Rev.</w:t>
      </w:r>
      <w:r>
        <w:rPr>
          <w:spacing w:val="-1"/>
          <w:sz w:val="16"/>
        </w:rPr>
        <w:t xml:space="preserve"> </w:t>
      </w:r>
      <w:proofErr w:type="gramStart"/>
      <w:r>
        <w:rPr>
          <w:sz w:val="16"/>
        </w:rPr>
        <w:t>2003(3):</w:t>
      </w:r>
      <w:proofErr w:type="gramEnd"/>
      <w:r>
        <w:rPr>
          <w:sz w:val="16"/>
        </w:rPr>
        <w:t>CD003066.</w:t>
      </w:r>
    </w:p>
    <w:p w:rsidR="00AB6593" w:rsidRDefault="00791C81">
      <w:pPr>
        <w:pStyle w:val="PargrafodaLista"/>
        <w:numPr>
          <w:ilvl w:val="0"/>
          <w:numId w:val="2"/>
        </w:numPr>
        <w:tabs>
          <w:tab w:val="left" w:pos="953"/>
        </w:tabs>
        <w:spacing w:before="1"/>
        <w:ind w:right="120" w:firstLine="566"/>
        <w:rPr>
          <w:sz w:val="16"/>
        </w:rPr>
      </w:pPr>
      <w:r w:rsidRPr="00791C81">
        <w:rPr>
          <w:sz w:val="16"/>
          <w:lang w:val="en-US"/>
        </w:rPr>
        <w:t xml:space="preserve">Juul SE, Christensen R. Effect of recombinant granulocyte colony-stimulating factor on blood neutrophil concentrations among patients with "idiopathic neonatal neutropenia": a randomized, placebo-controlled trial. </w:t>
      </w:r>
      <w:r>
        <w:rPr>
          <w:sz w:val="16"/>
        </w:rPr>
        <w:t>J Perinatol.</w:t>
      </w:r>
      <w:r>
        <w:rPr>
          <w:spacing w:val="-10"/>
          <w:sz w:val="16"/>
        </w:rPr>
        <w:t xml:space="preserve"> </w:t>
      </w:r>
      <w:proofErr w:type="gramStart"/>
      <w:r>
        <w:rPr>
          <w:sz w:val="16"/>
        </w:rPr>
        <w:t>2003;</w:t>
      </w:r>
      <w:proofErr w:type="gramEnd"/>
      <w:r>
        <w:rPr>
          <w:sz w:val="16"/>
        </w:rPr>
        <w:t>23(6):493-7.</w:t>
      </w:r>
    </w:p>
    <w:p w:rsidR="00AB6593" w:rsidRPr="00791C81" w:rsidRDefault="00791C81">
      <w:pPr>
        <w:pStyle w:val="PargrafodaLista"/>
        <w:numPr>
          <w:ilvl w:val="0"/>
          <w:numId w:val="2"/>
        </w:numPr>
        <w:tabs>
          <w:tab w:val="left" w:pos="953"/>
        </w:tabs>
        <w:ind w:right="118" w:firstLine="566"/>
        <w:rPr>
          <w:sz w:val="16"/>
          <w:lang w:val="en-US"/>
        </w:rPr>
      </w:pPr>
      <w:r>
        <w:rPr>
          <w:sz w:val="16"/>
        </w:rPr>
        <w:t>Kojima S, H</w:t>
      </w:r>
      <w:r>
        <w:rPr>
          <w:sz w:val="16"/>
        </w:rPr>
        <w:t xml:space="preserve">ibi S, Kosaka Y, Yamamoto M, Tsuchida M, Mugishima H, </w:t>
      </w:r>
      <w:proofErr w:type="gramStart"/>
      <w:r>
        <w:rPr>
          <w:sz w:val="16"/>
        </w:rPr>
        <w:t>et</w:t>
      </w:r>
      <w:proofErr w:type="gramEnd"/>
      <w:r>
        <w:rPr>
          <w:sz w:val="16"/>
        </w:rPr>
        <w:t xml:space="preserve"> al. </w:t>
      </w:r>
      <w:r w:rsidRPr="00791C81">
        <w:rPr>
          <w:sz w:val="16"/>
          <w:lang w:val="en-US"/>
        </w:rPr>
        <w:t>Immunosuppressive therapy using antithymocyte globulin, cyclosporine,</w:t>
      </w:r>
      <w:r w:rsidRPr="00791C81">
        <w:rPr>
          <w:spacing w:val="-2"/>
          <w:sz w:val="16"/>
          <w:lang w:val="en-US"/>
        </w:rPr>
        <w:t xml:space="preserve"> </w:t>
      </w:r>
      <w:r w:rsidRPr="00791C81">
        <w:rPr>
          <w:sz w:val="16"/>
          <w:lang w:val="en-US"/>
        </w:rPr>
        <w:t>and</w:t>
      </w:r>
      <w:r w:rsidRPr="00791C81">
        <w:rPr>
          <w:spacing w:val="-4"/>
          <w:sz w:val="16"/>
          <w:lang w:val="en-US"/>
        </w:rPr>
        <w:t xml:space="preserve"> </w:t>
      </w:r>
      <w:r w:rsidRPr="00791C81">
        <w:rPr>
          <w:sz w:val="16"/>
          <w:lang w:val="en-US"/>
        </w:rPr>
        <w:t>danazol</w:t>
      </w:r>
      <w:r w:rsidRPr="00791C81">
        <w:rPr>
          <w:spacing w:val="-4"/>
          <w:sz w:val="16"/>
          <w:lang w:val="en-US"/>
        </w:rPr>
        <w:t xml:space="preserve"> </w:t>
      </w:r>
      <w:r w:rsidRPr="00791C81">
        <w:rPr>
          <w:sz w:val="16"/>
          <w:lang w:val="en-US"/>
        </w:rPr>
        <w:t>with</w:t>
      </w:r>
      <w:r w:rsidRPr="00791C81">
        <w:rPr>
          <w:spacing w:val="-2"/>
          <w:sz w:val="16"/>
          <w:lang w:val="en-US"/>
        </w:rPr>
        <w:t xml:space="preserve"> </w:t>
      </w:r>
      <w:r w:rsidRPr="00791C81">
        <w:rPr>
          <w:sz w:val="16"/>
          <w:lang w:val="en-US"/>
        </w:rPr>
        <w:t>or</w:t>
      </w:r>
      <w:r w:rsidRPr="00791C81">
        <w:rPr>
          <w:spacing w:val="-4"/>
          <w:sz w:val="16"/>
          <w:lang w:val="en-US"/>
        </w:rPr>
        <w:t xml:space="preserve"> </w:t>
      </w:r>
      <w:r w:rsidRPr="00791C81">
        <w:rPr>
          <w:sz w:val="16"/>
          <w:lang w:val="en-US"/>
        </w:rPr>
        <w:t>without</w:t>
      </w:r>
      <w:r w:rsidRPr="00791C81">
        <w:rPr>
          <w:spacing w:val="-4"/>
          <w:sz w:val="16"/>
          <w:lang w:val="en-US"/>
        </w:rPr>
        <w:t xml:space="preserve"> </w:t>
      </w:r>
      <w:r w:rsidRPr="00791C81">
        <w:rPr>
          <w:sz w:val="16"/>
          <w:lang w:val="en-US"/>
        </w:rPr>
        <w:t>human</w:t>
      </w:r>
      <w:r w:rsidRPr="00791C81">
        <w:rPr>
          <w:spacing w:val="-4"/>
          <w:sz w:val="16"/>
          <w:lang w:val="en-US"/>
        </w:rPr>
        <w:t xml:space="preserve"> </w:t>
      </w:r>
      <w:r w:rsidRPr="00791C81">
        <w:rPr>
          <w:sz w:val="16"/>
          <w:lang w:val="en-US"/>
        </w:rPr>
        <w:t>granulocyte</w:t>
      </w:r>
      <w:r w:rsidRPr="00791C81">
        <w:rPr>
          <w:spacing w:val="-5"/>
          <w:sz w:val="16"/>
          <w:lang w:val="en-US"/>
        </w:rPr>
        <w:t xml:space="preserve"> </w:t>
      </w:r>
      <w:r w:rsidRPr="00791C81">
        <w:rPr>
          <w:sz w:val="16"/>
          <w:lang w:val="en-US"/>
        </w:rPr>
        <w:t>colony-stimulating</w:t>
      </w:r>
      <w:r w:rsidRPr="00791C81">
        <w:rPr>
          <w:spacing w:val="-3"/>
          <w:sz w:val="16"/>
          <w:lang w:val="en-US"/>
        </w:rPr>
        <w:t xml:space="preserve"> </w:t>
      </w:r>
      <w:r w:rsidRPr="00791C81">
        <w:rPr>
          <w:sz w:val="16"/>
          <w:lang w:val="en-US"/>
        </w:rPr>
        <w:t>factor</w:t>
      </w:r>
      <w:r w:rsidRPr="00791C81">
        <w:rPr>
          <w:spacing w:val="-4"/>
          <w:sz w:val="16"/>
          <w:lang w:val="en-US"/>
        </w:rPr>
        <w:t xml:space="preserve"> </w:t>
      </w:r>
      <w:r w:rsidRPr="00791C81">
        <w:rPr>
          <w:sz w:val="16"/>
          <w:lang w:val="en-US"/>
        </w:rPr>
        <w:t>in</w:t>
      </w:r>
      <w:r w:rsidRPr="00791C81">
        <w:rPr>
          <w:spacing w:val="-2"/>
          <w:sz w:val="16"/>
          <w:lang w:val="en-US"/>
        </w:rPr>
        <w:t xml:space="preserve"> </w:t>
      </w:r>
      <w:r w:rsidRPr="00791C81">
        <w:rPr>
          <w:sz w:val="16"/>
          <w:lang w:val="en-US"/>
        </w:rPr>
        <w:t>children</w:t>
      </w:r>
      <w:r w:rsidRPr="00791C81">
        <w:rPr>
          <w:spacing w:val="-2"/>
          <w:sz w:val="16"/>
          <w:lang w:val="en-US"/>
        </w:rPr>
        <w:t xml:space="preserve"> </w:t>
      </w:r>
      <w:r w:rsidRPr="00791C81">
        <w:rPr>
          <w:sz w:val="16"/>
          <w:lang w:val="en-US"/>
        </w:rPr>
        <w:t>with</w:t>
      </w:r>
      <w:r w:rsidRPr="00791C81">
        <w:rPr>
          <w:spacing w:val="-4"/>
          <w:sz w:val="16"/>
          <w:lang w:val="en-US"/>
        </w:rPr>
        <w:t xml:space="preserve"> </w:t>
      </w:r>
      <w:r w:rsidRPr="00791C81">
        <w:rPr>
          <w:sz w:val="16"/>
          <w:lang w:val="en-US"/>
        </w:rPr>
        <w:t>acquired</w:t>
      </w:r>
      <w:r w:rsidRPr="00791C81">
        <w:rPr>
          <w:spacing w:val="-4"/>
          <w:sz w:val="16"/>
          <w:lang w:val="en-US"/>
        </w:rPr>
        <w:t xml:space="preserve"> </w:t>
      </w:r>
      <w:r w:rsidRPr="00791C81">
        <w:rPr>
          <w:sz w:val="16"/>
          <w:lang w:val="en-US"/>
        </w:rPr>
        <w:t>aplastic</w:t>
      </w:r>
      <w:r w:rsidRPr="00791C81">
        <w:rPr>
          <w:spacing w:val="-2"/>
          <w:sz w:val="16"/>
          <w:lang w:val="en-US"/>
        </w:rPr>
        <w:t xml:space="preserve"> </w:t>
      </w:r>
      <w:r w:rsidRPr="00791C81">
        <w:rPr>
          <w:sz w:val="16"/>
          <w:lang w:val="en-US"/>
        </w:rPr>
        <w:t>anemia.</w:t>
      </w:r>
      <w:r w:rsidRPr="00791C81">
        <w:rPr>
          <w:spacing w:val="1"/>
          <w:sz w:val="16"/>
          <w:lang w:val="en-US"/>
        </w:rPr>
        <w:t xml:space="preserve"> </w:t>
      </w:r>
      <w:r w:rsidRPr="00791C81">
        <w:rPr>
          <w:sz w:val="16"/>
          <w:lang w:val="en-US"/>
        </w:rPr>
        <w:t>Blood.</w:t>
      </w:r>
      <w:r w:rsidRPr="00791C81">
        <w:rPr>
          <w:spacing w:val="-5"/>
          <w:sz w:val="16"/>
          <w:lang w:val="en-US"/>
        </w:rPr>
        <w:t xml:space="preserve"> </w:t>
      </w:r>
      <w:r w:rsidRPr="00791C81">
        <w:rPr>
          <w:sz w:val="16"/>
          <w:lang w:val="en-US"/>
        </w:rPr>
        <w:t>200</w:t>
      </w:r>
      <w:r w:rsidRPr="00791C81">
        <w:rPr>
          <w:sz w:val="16"/>
          <w:lang w:val="en-US"/>
        </w:rPr>
        <w:t>0</w:t>
      </w:r>
      <w:proofErr w:type="gramStart"/>
      <w:r w:rsidRPr="00791C81">
        <w:rPr>
          <w:sz w:val="16"/>
          <w:lang w:val="en-US"/>
        </w:rPr>
        <w:t>;96</w:t>
      </w:r>
      <w:proofErr w:type="gramEnd"/>
      <w:r w:rsidRPr="00791C81">
        <w:rPr>
          <w:sz w:val="16"/>
          <w:lang w:val="en-US"/>
        </w:rPr>
        <w:t>(6):2049-54.</w:t>
      </w:r>
    </w:p>
    <w:p w:rsidR="00AB6593" w:rsidRPr="00791C81" w:rsidRDefault="00791C81">
      <w:pPr>
        <w:pStyle w:val="PargrafodaLista"/>
        <w:numPr>
          <w:ilvl w:val="0"/>
          <w:numId w:val="2"/>
        </w:numPr>
        <w:tabs>
          <w:tab w:val="left" w:pos="953"/>
        </w:tabs>
        <w:spacing w:before="1"/>
        <w:ind w:right="115" w:firstLine="566"/>
        <w:rPr>
          <w:sz w:val="16"/>
          <w:lang w:val="en-US"/>
        </w:rPr>
      </w:pPr>
      <w:r>
        <w:rPr>
          <w:sz w:val="16"/>
        </w:rPr>
        <w:t xml:space="preserve">Bacigalupo A, Broccia G, Corda G, Arcese W, Carotenuto M, Gallamini A, </w:t>
      </w:r>
      <w:proofErr w:type="gramStart"/>
      <w:r>
        <w:rPr>
          <w:sz w:val="16"/>
        </w:rPr>
        <w:t>et</w:t>
      </w:r>
      <w:proofErr w:type="gramEnd"/>
      <w:r>
        <w:rPr>
          <w:sz w:val="16"/>
        </w:rPr>
        <w:t xml:space="preserve"> al. </w:t>
      </w:r>
      <w:r w:rsidRPr="00791C81">
        <w:rPr>
          <w:sz w:val="16"/>
          <w:lang w:val="en-US"/>
        </w:rPr>
        <w:t>Antilymphocyte globulin, cyclosporin, and granulocyte colony- stimulating</w:t>
      </w:r>
      <w:r w:rsidRPr="00791C81">
        <w:rPr>
          <w:spacing w:val="-3"/>
          <w:sz w:val="16"/>
          <w:lang w:val="en-US"/>
        </w:rPr>
        <w:t xml:space="preserve"> </w:t>
      </w:r>
      <w:r w:rsidRPr="00791C81">
        <w:rPr>
          <w:sz w:val="16"/>
          <w:lang w:val="en-US"/>
        </w:rPr>
        <w:t>factor</w:t>
      </w:r>
      <w:r w:rsidRPr="00791C81">
        <w:rPr>
          <w:spacing w:val="-4"/>
          <w:sz w:val="16"/>
          <w:lang w:val="en-US"/>
        </w:rPr>
        <w:t xml:space="preserve"> </w:t>
      </w:r>
      <w:r w:rsidRPr="00791C81">
        <w:rPr>
          <w:sz w:val="16"/>
          <w:lang w:val="en-US"/>
        </w:rPr>
        <w:t>in</w:t>
      </w:r>
      <w:r w:rsidRPr="00791C81">
        <w:rPr>
          <w:spacing w:val="-3"/>
          <w:sz w:val="16"/>
          <w:lang w:val="en-US"/>
        </w:rPr>
        <w:t xml:space="preserve"> </w:t>
      </w:r>
      <w:r w:rsidRPr="00791C81">
        <w:rPr>
          <w:sz w:val="16"/>
          <w:lang w:val="en-US"/>
        </w:rPr>
        <w:t>patients</w:t>
      </w:r>
      <w:r w:rsidRPr="00791C81">
        <w:rPr>
          <w:spacing w:val="-4"/>
          <w:sz w:val="16"/>
          <w:lang w:val="en-US"/>
        </w:rPr>
        <w:t xml:space="preserve"> </w:t>
      </w:r>
      <w:r w:rsidRPr="00791C81">
        <w:rPr>
          <w:sz w:val="16"/>
          <w:lang w:val="en-US"/>
        </w:rPr>
        <w:t>with</w:t>
      </w:r>
      <w:r w:rsidRPr="00791C81">
        <w:rPr>
          <w:spacing w:val="-2"/>
          <w:sz w:val="16"/>
          <w:lang w:val="en-US"/>
        </w:rPr>
        <w:t xml:space="preserve"> </w:t>
      </w:r>
      <w:r w:rsidRPr="00791C81">
        <w:rPr>
          <w:sz w:val="16"/>
          <w:lang w:val="en-US"/>
        </w:rPr>
        <w:t>acquired</w:t>
      </w:r>
      <w:r w:rsidRPr="00791C81">
        <w:rPr>
          <w:spacing w:val="-1"/>
          <w:sz w:val="16"/>
          <w:lang w:val="en-US"/>
        </w:rPr>
        <w:t xml:space="preserve"> </w:t>
      </w:r>
      <w:r w:rsidRPr="00791C81">
        <w:rPr>
          <w:sz w:val="16"/>
          <w:lang w:val="en-US"/>
        </w:rPr>
        <w:t>severe</w:t>
      </w:r>
      <w:r w:rsidRPr="00791C81">
        <w:rPr>
          <w:spacing w:val="-3"/>
          <w:sz w:val="16"/>
          <w:lang w:val="en-US"/>
        </w:rPr>
        <w:t xml:space="preserve"> </w:t>
      </w:r>
      <w:r w:rsidRPr="00791C81">
        <w:rPr>
          <w:sz w:val="16"/>
          <w:lang w:val="en-US"/>
        </w:rPr>
        <w:t>aplastic</w:t>
      </w:r>
      <w:r w:rsidRPr="00791C81">
        <w:rPr>
          <w:spacing w:val="-4"/>
          <w:sz w:val="16"/>
          <w:lang w:val="en-US"/>
        </w:rPr>
        <w:t xml:space="preserve"> </w:t>
      </w:r>
      <w:r w:rsidRPr="00791C81">
        <w:rPr>
          <w:sz w:val="16"/>
          <w:lang w:val="en-US"/>
        </w:rPr>
        <w:t>anemia (SAA):</w:t>
      </w:r>
      <w:r w:rsidRPr="00791C81">
        <w:rPr>
          <w:spacing w:val="-3"/>
          <w:sz w:val="16"/>
          <w:lang w:val="en-US"/>
        </w:rPr>
        <w:t xml:space="preserve"> </w:t>
      </w:r>
      <w:r w:rsidRPr="00791C81">
        <w:rPr>
          <w:sz w:val="16"/>
          <w:lang w:val="en-US"/>
        </w:rPr>
        <w:t>a</w:t>
      </w:r>
      <w:r w:rsidRPr="00791C81">
        <w:rPr>
          <w:spacing w:val="1"/>
          <w:sz w:val="16"/>
          <w:lang w:val="en-US"/>
        </w:rPr>
        <w:t xml:space="preserve"> </w:t>
      </w:r>
      <w:r w:rsidRPr="00791C81">
        <w:rPr>
          <w:sz w:val="16"/>
          <w:lang w:val="en-US"/>
        </w:rPr>
        <w:t>pilot study</w:t>
      </w:r>
      <w:r w:rsidRPr="00791C81">
        <w:rPr>
          <w:spacing w:val="-5"/>
          <w:sz w:val="16"/>
          <w:lang w:val="en-US"/>
        </w:rPr>
        <w:t xml:space="preserve"> </w:t>
      </w:r>
      <w:r w:rsidRPr="00791C81">
        <w:rPr>
          <w:sz w:val="16"/>
          <w:lang w:val="en-US"/>
        </w:rPr>
        <w:t>of</w:t>
      </w:r>
      <w:r w:rsidRPr="00791C81">
        <w:rPr>
          <w:spacing w:val="-2"/>
          <w:sz w:val="16"/>
          <w:lang w:val="en-US"/>
        </w:rPr>
        <w:t xml:space="preserve"> </w:t>
      </w:r>
      <w:r w:rsidRPr="00791C81">
        <w:rPr>
          <w:sz w:val="16"/>
          <w:lang w:val="en-US"/>
        </w:rPr>
        <w:t>the</w:t>
      </w:r>
      <w:r w:rsidRPr="00791C81">
        <w:rPr>
          <w:spacing w:val="-4"/>
          <w:sz w:val="16"/>
          <w:lang w:val="en-US"/>
        </w:rPr>
        <w:t xml:space="preserve"> </w:t>
      </w:r>
      <w:r w:rsidRPr="00791C81">
        <w:rPr>
          <w:sz w:val="16"/>
          <w:lang w:val="en-US"/>
        </w:rPr>
        <w:t>EBM</w:t>
      </w:r>
      <w:r w:rsidRPr="00791C81">
        <w:rPr>
          <w:sz w:val="16"/>
          <w:lang w:val="en-US"/>
        </w:rPr>
        <w:t>T</w:t>
      </w:r>
      <w:r w:rsidRPr="00791C81">
        <w:rPr>
          <w:spacing w:val="-3"/>
          <w:sz w:val="16"/>
          <w:lang w:val="en-US"/>
        </w:rPr>
        <w:t xml:space="preserve"> </w:t>
      </w:r>
      <w:r w:rsidRPr="00791C81">
        <w:rPr>
          <w:sz w:val="16"/>
          <w:lang w:val="en-US"/>
        </w:rPr>
        <w:t>SAA</w:t>
      </w:r>
      <w:r w:rsidRPr="00791C81">
        <w:rPr>
          <w:spacing w:val="-3"/>
          <w:sz w:val="16"/>
          <w:lang w:val="en-US"/>
        </w:rPr>
        <w:t xml:space="preserve"> </w:t>
      </w:r>
      <w:r w:rsidRPr="00791C81">
        <w:rPr>
          <w:sz w:val="16"/>
          <w:lang w:val="en-US"/>
        </w:rPr>
        <w:t>Working</w:t>
      </w:r>
      <w:r w:rsidRPr="00791C81">
        <w:rPr>
          <w:spacing w:val="-2"/>
          <w:sz w:val="16"/>
          <w:lang w:val="en-US"/>
        </w:rPr>
        <w:t xml:space="preserve"> </w:t>
      </w:r>
      <w:r w:rsidRPr="00791C81">
        <w:rPr>
          <w:sz w:val="16"/>
          <w:lang w:val="en-US"/>
        </w:rPr>
        <w:t>Party.</w:t>
      </w:r>
      <w:r w:rsidRPr="00791C81">
        <w:rPr>
          <w:spacing w:val="7"/>
          <w:sz w:val="16"/>
          <w:lang w:val="en-US"/>
        </w:rPr>
        <w:t xml:space="preserve"> </w:t>
      </w:r>
      <w:r w:rsidRPr="00791C81">
        <w:rPr>
          <w:sz w:val="16"/>
          <w:lang w:val="en-US"/>
        </w:rPr>
        <w:t>Blood.</w:t>
      </w:r>
      <w:r w:rsidRPr="00791C81">
        <w:rPr>
          <w:spacing w:val="-4"/>
          <w:sz w:val="16"/>
          <w:lang w:val="en-US"/>
        </w:rPr>
        <w:t xml:space="preserve"> </w:t>
      </w:r>
      <w:r w:rsidRPr="00791C81">
        <w:rPr>
          <w:sz w:val="16"/>
          <w:lang w:val="en-US"/>
        </w:rPr>
        <w:t>1995</w:t>
      </w:r>
      <w:proofErr w:type="gramStart"/>
      <w:r w:rsidRPr="00791C81">
        <w:rPr>
          <w:sz w:val="16"/>
          <w:lang w:val="en-US"/>
        </w:rPr>
        <w:t>;85</w:t>
      </w:r>
      <w:proofErr w:type="gramEnd"/>
      <w:r w:rsidRPr="00791C81">
        <w:rPr>
          <w:sz w:val="16"/>
          <w:lang w:val="en-US"/>
        </w:rPr>
        <w:t>(5):1348-53.</w:t>
      </w:r>
    </w:p>
    <w:p w:rsidR="00AB6593" w:rsidRPr="00791C81" w:rsidRDefault="00791C81">
      <w:pPr>
        <w:pStyle w:val="PargrafodaLista"/>
        <w:numPr>
          <w:ilvl w:val="0"/>
          <w:numId w:val="2"/>
        </w:numPr>
        <w:tabs>
          <w:tab w:val="left" w:pos="953"/>
        </w:tabs>
        <w:ind w:right="114" w:firstLine="566"/>
        <w:jc w:val="both"/>
        <w:rPr>
          <w:sz w:val="16"/>
          <w:lang w:val="en-US"/>
        </w:rPr>
      </w:pPr>
      <w:r w:rsidRPr="00791C81">
        <w:rPr>
          <w:sz w:val="16"/>
          <w:lang w:val="en-US"/>
        </w:rPr>
        <w:t xml:space="preserve">Bacigalupo A, Bruno B, Saracco P, Di Bona E, Locasciulli A, Locatelli F. Antilymphocyte globulin, cyclosporine, prednisolone, and granulocyte colony-stimulating factor for severe aplastic anemia: an update of the GITMO/EBMT study on 100 patients. European </w:t>
      </w:r>
      <w:r w:rsidRPr="00791C81">
        <w:rPr>
          <w:sz w:val="16"/>
          <w:lang w:val="en-US"/>
        </w:rPr>
        <w:t xml:space="preserve">Group for Blood </w:t>
      </w:r>
      <w:r w:rsidRPr="00791C81">
        <w:rPr>
          <w:spacing w:val="3"/>
          <w:sz w:val="16"/>
          <w:lang w:val="en-US"/>
        </w:rPr>
        <w:t xml:space="preserve">and </w:t>
      </w:r>
      <w:r w:rsidRPr="00791C81">
        <w:rPr>
          <w:sz w:val="16"/>
          <w:lang w:val="en-US"/>
        </w:rPr>
        <w:t>Marrow Transplantation</w:t>
      </w:r>
      <w:r w:rsidRPr="00791C81">
        <w:rPr>
          <w:spacing w:val="-2"/>
          <w:sz w:val="16"/>
          <w:lang w:val="en-US"/>
        </w:rPr>
        <w:t xml:space="preserve"> </w:t>
      </w:r>
      <w:r w:rsidRPr="00791C81">
        <w:rPr>
          <w:sz w:val="16"/>
          <w:lang w:val="en-US"/>
        </w:rPr>
        <w:t>(EBMT)</w:t>
      </w:r>
      <w:r w:rsidRPr="00791C81">
        <w:rPr>
          <w:spacing w:val="-3"/>
          <w:sz w:val="16"/>
          <w:lang w:val="en-US"/>
        </w:rPr>
        <w:t xml:space="preserve"> </w:t>
      </w:r>
      <w:r w:rsidRPr="00791C81">
        <w:rPr>
          <w:sz w:val="16"/>
          <w:lang w:val="en-US"/>
        </w:rPr>
        <w:t>Working</w:t>
      </w:r>
      <w:r w:rsidRPr="00791C81">
        <w:rPr>
          <w:spacing w:val="-3"/>
          <w:sz w:val="16"/>
          <w:lang w:val="en-US"/>
        </w:rPr>
        <w:t xml:space="preserve"> </w:t>
      </w:r>
      <w:r w:rsidRPr="00791C81">
        <w:rPr>
          <w:sz w:val="16"/>
          <w:lang w:val="en-US"/>
        </w:rPr>
        <w:t>Party</w:t>
      </w:r>
      <w:r w:rsidRPr="00791C81">
        <w:rPr>
          <w:spacing w:val="-5"/>
          <w:sz w:val="16"/>
          <w:lang w:val="en-US"/>
        </w:rPr>
        <w:t xml:space="preserve"> </w:t>
      </w:r>
      <w:r w:rsidRPr="00791C81">
        <w:rPr>
          <w:sz w:val="16"/>
          <w:lang w:val="en-US"/>
        </w:rPr>
        <w:t>on</w:t>
      </w:r>
      <w:r w:rsidRPr="00791C81">
        <w:rPr>
          <w:spacing w:val="-2"/>
          <w:sz w:val="16"/>
          <w:lang w:val="en-US"/>
        </w:rPr>
        <w:t xml:space="preserve"> </w:t>
      </w:r>
      <w:r w:rsidRPr="00791C81">
        <w:rPr>
          <w:sz w:val="16"/>
          <w:lang w:val="en-US"/>
        </w:rPr>
        <w:t>Severe</w:t>
      </w:r>
      <w:r w:rsidRPr="00791C81">
        <w:rPr>
          <w:spacing w:val="-1"/>
          <w:sz w:val="16"/>
          <w:lang w:val="en-US"/>
        </w:rPr>
        <w:t xml:space="preserve"> </w:t>
      </w:r>
      <w:r w:rsidRPr="00791C81">
        <w:rPr>
          <w:sz w:val="16"/>
          <w:lang w:val="en-US"/>
        </w:rPr>
        <w:t>Aplastic</w:t>
      </w:r>
      <w:r w:rsidRPr="00791C81">
        <w:rPr>
          <w:spacing w:val="-1"/>
          <w:sz w:val="16"/>
          <w:lang w:val="en-US"/>
        </w:rPr>
        <w:t xml:space="preserve"> </w:t>
      </w:r>
      <w:r w:rsidRPr="00791C81">
        <w:rPr>
          <w:sz w:val="16"/>
          <w:lang w:val="en-US"/>
        </w:rPr>
        <w:t>Anemia</w:t>
      </w:r>
      <w:r w:rsidRPr="00791C81">
        <w:rPr>
          <w:spacing w:val="-5"/>
          <w:sz w:val="16"/>
          <w:lang w:val="en-US"/>
        </w:rPr>
        <w:t xml:space="preserve"> </w:t>
      </w:r>
      <w:r w:rsidRPr="00791C81">
        <w:rPr>
          <w:sz w:val="16"/>
          <w:lang w:val="en-US"/>
        </w:rPr>
        <w:t>and</w:t>
      </w:r>
      <w:r w:rsidRPr="00791C81">
        <w:rPr>
          <w:spacing w:val="-3"/>
          <w:sz w:val="16"/>
          <w:lang w:val="en-US"/>
        </w:rPr>
        <w:t xml:space="preserve"> </w:t>
      </w:r>
      <w:r w:rsidRPr="00791C81">
        <w:rPr>
          <w:sz w:val="16"/>
          <w:lang w:val="en-US"/>
        </w:rPr>
        <w:t>the</w:t>
      </w:r>
      <w:r w:rsidRPr="00791C81">
        <w:rPr>
          <w:spacing w:val="-4"/>
          <w:sz w:val="16"/>
          <w:lang w:val="en-US"/>
        </w:rPr>
        <w:t xml:space="preserve"> </w:t>
      </w:r>
      <w:r w:rsidRPr="00791C81">
        <w:rPr>
          <w:sz w:val="16"/>
          <w:lang w:val="en-US"/>
        </w:rPr>
        <w:t>Gruppo</w:t>
      </w:r>
      <w:r w:rsidRPr="00791C81">
        <w:rPr>
          <w:spacing w:val="-3"/>
          <w:sz w:val="16"/>
          <w:lang w:val="en-US"/>
        </w:rPr>
        <w:t xml:space="preserve"> </w:t>
      </w:r>
      <w:r w:rsidRPr="00791C81">
        <w:rPr>
          <w:sz w:val="16"/>
          <w:lang w:val="en-US"/>
        </w:rPr>
        <w:t>Italiano</w:t>
      </w:r>
      <w:r w:rsidRPr="00791C81">
        <w:rPr>
          <w:spacing w:val="-3"/>
          <w:sz w:val="16"/>
          <w:lang w:val="en-US"/>
        </w:rPr>
        <w:t xml:space="preserve"> </w:t>
      </w:r>
      <w:r w:rsidRPr="00791C81">
        <w:rPr>
          <w:sz w:val="16"/>
          <w:lang w:val="en-US"/>
        </w:rPr>
        <w:t>Trapianti</w:t>
      </w:r>
      <w:r w:rsidRPr="00791C81">
        <w:rPr>
          <w:spacing w:val="-4"/>
          <w:sz w:val="16"/>
          <w:lang w:val="en-US"/>
        </w:rPr>
        <w:t xml:space="preserve"> </w:t>
      </w:r>
      <w:r w:rsidRPr="00791C81">
        <w:rPr>
          <w:sz w:val="16"/>
          <w:lang w:val="en-US"/>
        </w:rPr>
        <w:t>di</w:t>
      </w:r>
      <w:r w:rsidRPr="00791C81">
        <w:rPr>
          <w:spacing w:val="-3"/>
          <w:sz w:val="16"/>
          <w:lang w:val="en-US"/>
        </w:rPr>
        <w:t xml:space="preserve"> </w:t>
      </w:r>
      <w:r w:rsidRPr="00791C81">
        <w:rPr>
          <w:sz w:val="16"/>
          <w:lang w:val="en-US"/>
        </w:rPr>
        <w:t>Midolio</w:t>
      </w:r>
      <w:r w:rsidRPr="00791C81">
        <w:rPr>
          <w:spacing w:val="-3"/>
          <w:sz w:val="16"/>
          <w:lang w:val="en-US"/>
        </w:rPr>
        <w:t xml:space="preserve"> </w:t>
      </w:r>
      <w:r w:rsidRPr="00791C81">
        <w:rPr>
          <w:sz w:val="16"/>
          <w:lang w:val="en-US"/>
        </w:rPr>
        <w:t>Osseo</w:t>
      </w:r>
      <w:r w:rsidRPr="00791C81">
        <w:rPr>
          <w:spacing w:val="-3"/>
          <w:sz w:val="16"/>
          <w:lang w:val="en-US"/>
        </w:rPr>
        <w:t xml:space="preserve"> </w:t>
      </w:r>
      <w:r w:rsidRPr="00791C81">
        <w:rPr>
          <w:sz w:val="16"/>
          <w:lang w:val="en-US"/>
        </w:rPr>
        <w:t>(GITMO).Blood.</w:t>
      </w:r>
      <w:r w:rsidRPr="00791C81">
        <w:rPr>
          <w:spacing w:val="-2"/>
          <w:sz w:val="16"/>
          <w:lang w:val="en-US"/>
        </w:rPr>
        <w:t xml:space="preserve"> </w:t>
      </w:r>
      <w:r w:rsidRPr="00791C81">
        <w:rPr>
          <w:sz w:val="16"/>
          <w:lang w:val="en-US"/>
        </w:rPr>
        <w:t>2000</w:t>
      </w:r>
      <w:proofErr w:type="gramStart"/>
      <w:r w:rsidRPr="00791C81">
        <w:rPr>
          <w:sz w:val="16"/>
          <w:lang w:val="en-US"/>
        </w:rPr>
        <w:t>;95</w:t>
      </w:r>
      <w:proofErr w:type="gramEnd"/>
      <w:r w:rsidRPr="00791C81">
        <w:rPr>
          <w:sz w:val="16"/>
          <w:lang w:val="en-US"/>
        </w:rPr>
        <w:t>(6):1931-4.</w:t>
      </w:r>
    </w:p>
    <w:p w:rsidR="00AB6593" w:rsidRPr="00791C81" w:rsidRDefault="00791C81">
      <w:pPr>
        <w:pStyle w:val="PargrafodaLista"/>
        <w:numPr>
          <w:ilvl w:val="0"/>
          <w:numId w:val="2"/>
        </w:numPr>
        <w:tabs>
          <w:tab w:val="left" w:pos="953"/>
        </w:tabs>
        <w:ind w:right="116" w:firstLine="566"/>
        <w:rPr>
          <w:sz w:val="16"/>
          <w:lang w:val="en-US"/>
        </w:rPr>
      </w:pPr>
      <w:r w:rsidRPr="00791C81">
        <w:rPr>
          <w:sz w:val="16"/>
          <w:lang w:val="en-US"/>
        </w:rPr>
        <w:t>Hord JD, Gay JC, Whitlock JA, Janco RL, Edwards JR, Greer JP, et al. Long-term gr</w:t>
      </w:r>
      <w:r w:rsidRPr="00791C81">
        <w:rPr>
          <w:sz w:val="16"/>
          <w:lang w:val="en-US"/>
        </w:rPr>
        <w:t>anulocyte-macrophage colony-stimulating factor and immunosuppression in the treatment of acquired severe aplastic anemia. J Pediatr Hematol Oncol.</w:t>
      </w:r>
      <w:r w:rsidRPr="00791C81">
        <w:rPr>
          <w:spacing w:val="-14"/>
          <w:sz w:val="16"/>
          <w:lang w:val="en-US"/>
        </w:rPr>
        <w:t xml:space="preserve"> </w:t>
      </w:r>
      <w:r w:rsidRPr="00791C81">
        <w:rPr>
          <w:sz w:val="16"/>
          <w:lang w:val="en-US"/>
        </w:rPr>
        <w:t>1995</w:t>
      </w:r>
      <w:proofErr w:type="gramStart"/>
      <w:r w:rsidRPr="00791C81">
        <w:rPr>
          <w:sz w:val="16"/>
          <w:lang w:val="en-US"/>
        </w:rPr>
        <w:t>;17</w:t>
      </w:r>
      <w:proofErr w:type="gramEnd"/>
      <w:r w:rsidRPr="00791C81">
        <w:rPr>
          <w:sz w:val="16"/>
          <w:lang w:val="en-US"/>
        </w:rPr>
        <w:t>(2):140-4.</w:t>
      </w:r>
    </w:p>
    <w:p w:rsidR="00AB6593" w:rsidRDefault="00791C81">
      <w:pPr>
        <w:pStyle w:val="PargrafodaLista"/>
        <w:numPr>
          <w:ilvl w:val="0"/>
          <w:numId w:val="2"/>
        </w:numPr>
        <w:tabs>
          <w:tab w:val="left" w:pos="953"/>
        </w:tabs>
        <w:spacing w:line="183" w:lineRule="exact"/>
        <w:ind w:left="952" w:hanging="286"/>
        <w:rPr>
          <w:sz w:val="16"/>
        </w:rPr>
      </w:pPr>
      <w:r w:rsidRPr="00791C81">
        <w:rPr>
          <w:sz w:val="16"/>
          <w:lang w:val="en-US"/>
        </w:rPr>
        <w:t xml:space="preserve">Bacigalupo A, Passweg J. Diagnosis and treatment of acquired aplastic anemia. </w:t>
      </w:r>
      <w:r>
        <w:rPr>
          <w:sz w:val="16"/>
        </w:rPr>
        <w:t>Hematol Oncol</w:t>
      </w:r>
      <w:r>
        <w:rPr>
          <w:sz w:val="16"/>
        </w:rPr>
        <w:t xml:space="preserve"> Clin North </w:t>
      </w:r>
      <w:proofErr w:type="gramStart"/>
      <w:r>
        <w:rPr>
          <w:sz w:val="16"/>
        </w:rPr>
        <w:t>Am</w:t>
      </w:r>
      <w:proofErr w:type="gramEnd"/>
      <w:r>
        <w:rPr>
          <w:sz w:val="16"/>
        </w:rPr>
        <w:t>.</w:t>
      </w:r>
      <w:r>
        <w:rPr>
          <w:spacing w:val="-25"/>
          <w:sz w:val="16"/>
        </w:rPr>
        <w:t xml:space="preserve"> </w:t>
      </w:r>
      <w:proofErr w:type="gramStart"/>
      <w:r>
        <w:rPr>
          <w:sz w:val="16"/>
        </w:rPr>
        <w:t>2009;</w:t>
      </w:r>
      <w:proofErr w:type="gramEnd"/>
      <w:r>
        <w:rPr>
          <w:sz w:val="16"/>
        </w:rPr>
        <w:t>23(2):159-70.</w:t>
      </w:r>
    </w:p>
    <w:p w:rsidR="00AB6593" w:rsidRPr="00791C81" w:rsidRDefault="00791C81">
      <w:pPr>
        <w:pStyle w:val="PargrafodaLista"/>
        <w:numPr>
          <w:ilvl w:val="0"/>
          <w:numId w:val="2"/>
        </w:numPr>
        <w:tabs>
          <w:tab w:val="left" w:pos="953"/>
        </w:tabs>
        <w:spacing w:before="1"/>
        <w:ind w:right="115" w:firstLine="566"/>
        <w:jc w:val="both"/>
        <w:rPr>
          <w:sz w:val="16"/>
          <w:lang w:val="en-US"/>
        </w:rPr>
      </w:pPr>
      <w:r w:rsidRPr="00791C81">
        <w:rPr>
          <w:sz w:val="16"/>
          <w:lang w:val="en-US"/>
        </w:rPr>
        <w:t xml:space="preserve">Gluckman E, Rokicka-Milewska R, Hann </w:t>
      </w:r>
      <w:r w:rsidRPr="00791C81">
        <w:rPr>
          <w:spacing w:val="-3"/>
          <w:sz w:val="16"/>
          <w:lang w:val="en-US"/>
        </w:rPr>
        <w:t xml:space="preserve">I, </w:t>
      </w:r>
      <w:r w:rsidRPr="00791C81">
        <w:rPr>
          <w:sz w:val="16"/>
          <w:lang w:val="en-US"/>
        </w:rPr>
        <w:t>Nikiforakis E, Tavakoli F, Cohen-Scali S, et al. Results and follow-up of a phase III randomized study of recombinant human-granulocyte stimulating factor as support for immunosuppr</w:t>
      </w:r>
      <w:r w:rsidRPr="00791C81">
        <w:rPr>
          <w:sz w:val="16"/>
          <w:lang w:val="en-US"/>
        </w:rPr>
        <w:t>essive therapy in patients with severe aplastic anaemia. Br J Haematol. 2002</w:t>
      </w:r>
      <w:proofErr w:type="gramStart"/>
      <w:r w:rsidRPr="00791C81">
        <w:rPr>
          <w:sz w:val="16"/>
          <w:lang w:val="en-US"/>
        </w:rPr>
        <w:t>;119</w:t>
      </w:r>
      <w:proofErr w:type="gramEnd"/>
      <w:r w:rsidRPr="00791C81">
        <w:rPr>
          <w:sz w:val="16"/>
          <w:lang w:val="en-US"/>
        </w:rPr>
        <w:t>(4):1075-82.</w:t>
      </w:r>
    </w:p>
    <w:p w:rsidR="00AB6593" w:rsidRPr="00791C81" w:rsidRDefault="00791C81">
      <w:pPr>
        <w:pStyle w:val="PargrafodaLista"/>
        <w:numPr>
          <w:ilvl w:val="0"/>
          <w:numId w:val="2"/>
        </w:numPr>
        <w:tabs>
          <w:tab w:val="left" w:pos="953"/>
        </w:tabs>
        <w:ind w:right="117" w:firstLine="566"/>
        <w:rPr>
          <w:sz w:val="16"/>
          <w:lang w:val="en-US"/>
        </w:rPr>
      </w:pPr>
      <w:r w:rsidRPr="00791C81">
        <w:rPr>
          <w:sz w:val="16"/>
          <w:lang w:val="en-US"/>
        </w:rPr>
        <w:t>Bernstein HM, Pollock BH, Calhoun DA, Christensen RD. Administration of recombinant granulocyte colony-stimulating factor to neonates with septicemia: A meta-analy</w:t>
      </w:r>
      <w:r w:rsidRPr="00791C81">
        <w:rPr>
          <w:sz w:val="16"/>
          <w:lang w:val="en-US"/>
        </w:rPr>
        <w:t>sis. J Pediatr.</w:t>
      </w:r>
      <w:r w:rsidRPr="00791C81">
        <w:rPr>
          <w:spacing w:val="-3"/>
          <w:sz w:val="16"/>
          <w:lang w:val="en-US"/>
        </w:rPr>
        <w:t xml:space="preserve"> </w:t>
      </w:r>
      <w:r w:rsidRPr="00791C81">
        <w:rPr>
          <w:sz w:val="16"/>
          <w:lang w:val="en-US"/>
        </w:rPr>
        <w:t>2001</w:t>
      </w:r>
      <w:proofErr w:type="gramStart"/>
      <w:r w:rsidRPr="00791C81">
        <w:rPr>
          <w:sz w:val="16"/>
          <w:lang w:val="en-US"/>
        </w:rPr>
        <w:t>;138</w:t>
      </w:r>
      <w:proofErr w:type="gramEnd"/>
      <w:r w:rsidRPr="00791C81">
        <w:rPr>
          <w:sz w:val="16"/>
          <w:lang w:val="en-US"/>
        </w:rPr>
        <w:t>(6):917-20.</w:t>
      </w:r>
    </w:p>
    <w:p w:rsidR="00AB6593" w:rsidRPr="00791C81" w:rsidRDefault="00791C81">
      <w:pPr>
        <w:pStyle w:val="PargrafodaLista"/>
        <w:numPr>
          <w:ilvl w:val="0"/>
          <w:numId w:val="2"/>
        </w:numPr>
        <w:tabs>
          <w:tab w:val="left" w:pos="953"/>
        </w:tabs>
        <w:ind w:right="115" w:firstLine="566"/>
        <w:rPr>
          <w:sz w:val="16"/>
          <w:lang w:val="en-US"/>
        </w:rPr>
      </w:pPr>
      <w:r w:rsidRPr="00791C81">
        <w:rPr>
          <w:sz w:val="16"/>
          <w:lang w:val="en-US"/>
        </w:rPr>
        <w:t xml:space="preserve">Bilgin K, Yaramis A, Haspolat K, </w:t>
      </w:r>
      <w:proofErr w:type="gramStart"/>
      <w:r w:rsidRPr="00791C81">
        <w:rPr>
          <w:sz w:val="16"/>
          <w:lang w:val="en-US"/>
        </w:rPr>
        <w:t>Tas</w:t>
      </w:r>
      <w:proofErr w:type="gramEnd"/>
      <w:r w:rsidRPr="00791C81">
        <w:rPr>
          <w:sz w:val="16"/>
          <w:lang w:val="en-US"/>
        </w:rPr>
        <w:t xml:space="preserve"> MA, Gunbey S, Derman O. A randomized trial of granulocyte-macrophage colony-stimulating factor in neonates with sepsis and neutropenia.Pediatrics.</w:t>
      </w:r>
      <w:r w:rsidRPr="00791C81">
        <w:rPr>
          <w:spacing w:val="-4"/>
          <w:sz w:val="16"/>
          <w:lang w:val="en-US"/>
        </w:rPr>
        <w:t xml:space="preserve"> </w:t>
      </w:r>
      <w:r w:rsidRPr="00791C81">
        <w:rPr>
          <w:sz w:val="16"/>
          <w:lang w:val="en-US"/>
        </w:rPr>
        <w:t>2001</w:t>
      </w:r>
      <w:proofErr w:type="gramStart"/>
      <w:r w:rsidRPr="00791C81">
        <w:rPr>
          <w:sz w:val="16"/>
          <w:lang w:val="en-US"/>
        </w:rPr>
        <w:t>;107</w:t>
      </w:r>
      <w:proofErr w:type="gramEnd"/>
      <w:r w:rsidRPr="00791C81">
        <w:rPr>
          <w:sz w:val="16"/>
          <w:lang w:val="en-US"/>
        </w:rPr>
        <w:t>(1):36-41.</w:t>
      </w:r>
    </w:p>
    <w:p w:rsidR="00AB6593" w:rsidRPr="00791C81" w:rsidRDefault="00791C81">
      <w:pPr>
        <w:pStyle w:val="PargrafodaLista"/>
        <w:numPr>
          <w:ilvl w:val="0"/>
          <w:numId w:val="2"/>
        </w:numPr>
        <w:tabs>
          <w:tab w:val="left" w:pos="953"/>
        </w:tabs>
        <w:spacing w:before="1"/>
        <w:ind w:right="115" w:firstLine="566"/>
        <w:rPr>
          <w:sz w:val="16"/>
          <w:lang w:val="en-US"/>
        </w:rPr>
      </w:pPr>
      <w:r>
        <w:rPr>
          <w:sz w:val="16"/>
        </w:rPr>
        <w:t>Teramura M, Kimur</w:t>
      </w:r>
      <w:r>
        <w:rPr>
          <w:sz w:val="16"/>
        </w:rPr>
        <w:t xml:space="preserve">a A, Iwase S, Yonemura Y, Nakao S, Urabe A, </w:t>
      </w:r>
      <w:proofErr w:type="gramStart"/>
      <w:r>
        <w:rPr>
          <w:sz w:val="16"/>
        </w:rPr>
        <w:t>et</w:t>
      </w:r>
      <w:proofErr w:type="gramEnd"/>
      <w:r>
        <w:rPr>
          <w:sz w:val="16"/>
        </w:rPr>
        <w:t xml:space="preserve"> al. </w:t>
      </w:r>
      <w:r w:rsidRPr="00791C81">
        <w:rPr>
          <w:sz w:val="16"/>
          <w:lang w:val="en-US"/>
        </w:rPr>
        <w:t>Treatment of severe aplastic anemia with antithymocyte globulin and cyclosporin A with or without G-CSF in adults: a multicenter randomized study in Japan. Blood.</w:t>
      </w:r>
      <w:r w:rsidRPr="00791C81">
        <w:rPr>
          <w:spacing w:val="-19"/>
          <w:sz w:val="16"/>
          <w:lang w:val="en-US"/>
        </w:rPr>
        <w:t xml:space="preserve"> </w:t>
      </w:r>
      <w:r w:rsidRPr="00791C81">
        <w:rPr>
          <w:sz w:val="16"/>
          <w:lang w:val="en-US"/>
        </w:rPr>
        <w:t>2007</w:t>
      </w:r>
      <w:proofErr w:type="gramStart"/>
      <w:r w:rsidRPr="00791C81">
        <w:rPr>
          <w:sz w:val="16"/>
          <w:lang w:val="en-US"/>
        </w:rPr>
        <w:t>;110</w:t>
      </w:r>
      <w:proofErr w:type="gramEnd"/>
      <w:r w:rsidRPr="00791C81">
        <w:rPr>
          <w:sz w:val="16"/>
          <w:lang w:val="en-US"/>
        </w:rPr>
        <w:t>(6):1756-61.</w:t>
      </w:r>
    </w:p>
    <w:p w:rsidR="00AB6593" w:rsidRPr="00791C81" w:rsidRDefault="00791C81">
      <w:pPr>
        <w:pStyle w:val="PargrafodaLista"/>
        <w:numPr>
          <w:ilvl w:val="0"/>
          <w:numId w:val="2"/>
        </w:numPr>
        <w:tabs>
          <w:tab w:val="left" w:pos="953"/>
        </w:tabs>
        <w:ind w:right="115" w:firstLine="566"/>
        <w:rPr>
          <w:sz w:val="16"/>
          <w:lang w:val="en-US"/>
        </w:rPr>
      </w:pPr>
      <w:r w:rsidRPr="00791C81">
        <w:rPr>
          <w:sz w:val="16"/>
          <w:lang w:val="en-US"/>
        </w:rPr>
        <w:t>Dale DC, Bonilla MA, Davis MW, Nakanishi AM, Hammond WP, Kurtzberg J, et al. A randomized controlled phase III trial of recombinant human granulocyte colony-stimulating factor (filgrastim) for treatment of severe chronic neutropenia.Blood.</w:t>
      </w:r>
      <w:r w:rsidRPr="00791C81">
        <w:rPr>
          <w:spacing w:val="-22"/>
          <w:sz w:val="16"/>
          <w:lang w:val="en-US"/>
        </w:rPr>
        <w:t xml:space="preserve"> </w:t>
      </w:r>
      <w:r w:rsidRPr="00791C81">
        <w:rPr>
          <w:sz w:val="16"/>
          <w:lang w:val="en-US"/>
        </w:rPr>
        <w:t>1993</w:t>
      </w:r>
      <w:proofErr w:type="gramStart"/>
      <w:r w:rsidRPr="00791C81">
        <w:rPr>
          <w:sz w:val="16"/>
          <w:lang w:val="en-US"/>
        </w:rPr>
        <w:t>;81</w:t>
      </w:r>
      <w:proofErr w:type="gramEnd"/>
      <w:r w:rsidRPr="00791C81">
        <w:rPr>
          <w:sz w:val="16"/>
          <w:lang w:val="en-US"/>
        </w:rPr>
        <w:t>(10):2496</w:t>
      </w:r>
      <w:r w:rsidRPr="00791C81">
        <w:rPr>
          <w:sz w:val="16"/>
          <w:lang w:val="en-US"/>
        </w:rPr>
        <w:t>-502.</w:t>
      </w:r>
    </w:p>
    <w:p w:rsidR="00AB6593" w:rsidRPr="00791C81" w:rsidRDefault="00791C81">
      <w:pPr>
        <w:pStyle w:val="PargrafodaLista"/>
        <w:numPr>
          <w:ilvl w:val="0"/>
          <w:numId w:val="2"/>
        </w:numPr>
        <w:tabs>
          <w:tab w:val="left" w:pos="953"/>
        </w:tabs>
        <w:ind w:right="113" w:firstLine="566"/>
        <w:rPr>
          <w:sz w:val="16"/>
          <w:lang w:val="en-US"/>
        </w:rPr>
      </w:pPr>
      <w:r w:rsidRPr="00791C81">
        <w:rPr>
          <w:sz w:val="16"/>
          <w:lang w:val="en-US"/>
        </w:rPr>
        <w:t xml:space="preserve">Jädersten M, Malcovati </w:t>
      </w:r>
      <w:r w:rsidRPr="00791C81">
        <w:rPr>
          <w:spacing w:val="-3"/>
          <w:sz w:val="16"/>
          <w:lang w:val="en-US"/>
        </w:rPr>
        <w:t xml:space="preserve">L, </w:t>
      </w:r>
      <w:r w:rsidRPr="00791C81">
        <w:rPr>
          <w:sz w:val="16"/>
          <w:lang w:val="en-US"/>
        </w:rPr>
        <w:t xml:space="preserve">Dybedal </w:t>
      </w:r>
      <w:r w:rsidRPr="00791C81">
        <w:rPr>
          <w:spacing w:val="-3"/>
          <w:sz w:val="16"/>
          <w:lang w:val="en-US"/>
        </w:rPr>
        <w:t xml:space="preserve">I, </w:t>
      </w:r>
      <w:r w:rsidRPr="00791C81">
        <w:rPr>
          <w:sz w:val="16"/>
          <w:lang w:val="en-US"/>
        </w:rPr>
        <w:t>Della Porta MG, Invernizzi R, Montgomery SM, et al. Erythropoietin and granulocyte-colony stimulating factor treatment associated with improved survival in myelodysplastic syndrome. J Clin Oncol.</w:t>
      </w:r>
      <w:r w:rsidRPr="00791C81">
        <w:rPr>
          <w:spacing w:val="-6"/>
          <w:sz w:val="16"/>
          <w:lang w:val="en-US"/>
        </w:rPr>
        <w:t xml:space="preserve"> </w:t>
      </w:r>
      <w:r w:rsidRPr="00791C81">
        <w:rPr>
          <w:sz w:val="16"/>
          <w:lang w:val="en-US"/>
        </w:rPr>
        <w:t>2008</w:t>
      </w:r>
      <w:proofErr w:type="gramStart"/>
      <w:r w:rsidRPr="00791C81">
        <w:rPr>
          <w:sz w:val="16"/>
          <w:lang w:val="en-US"/>
        </w:rPr>
        <w:t>;26</w:t>
      </w:r>
      <w:proofErr w:type="gramEnd"/>
      <w:r w:rsidRPr="00791C81">
        <w:rPr>
          <w:sz w:val="16"/>
          <w:lang w:val="en-US"/>
        </w:rPr>
        <w:t>(21):3607-</w:t>
      </w:r>
      <w:r w:rsidRPr="00791C81">
        <w:rPr>
          <w:sz w:val="16"/>
          <w:lang w:val="en-US"/>
        </w:rPr>
        <w:t>13.</w:t>
      </w:r>
    </w:p>
    <w:p w:rsidR="00AB6593" w:rsidRDefault="00791C81">
      <w:pPr>
        <w:pStyle w:val="PargrafodaLista"/>
        <w:numPr>
          <w:ilvl w:val="0"/>
          <w:numId w:val="2"/>
        </w:numPr>
        <w:tabs>
          <w:tab w:val="left" w:pos="953"/>
        </w:tabs>
        <w:ind w:right="116" w:firstLine="566"/>
        <w:rPr>
          <w:sz w:val="16"/>
        </w:rPr>
      </w:pPr>
      <w:r w:rsidRPr="00791C81">
        <w:rPr>
          <w:sz w:val="16"/>
          <w:lang w:val="en-US"/>
        </w:rPr>
        <w:t>Yoshida Y, Hirashima K, Asano S, Takaku F. A phase II trial of recombinant human granulocyte colony-stimulating factor in the myelodysplastic syndromes.Br J Haematol.</w:t>
      </w:r>
      <w:r w:rsidRPr="00791C81">
        <w:rPr>
          <w:spacing w:val="-4"/>
          <w:sz w:val="16"/>
          <w:lang w:val="en-US"/>
        </w:rPr>
        <w:t xml:space="preserve"> </w:t>
      </w:r>
      <w:proofErr w:type="gramStart"/>
      <w:r>
        <w:rPr>
          <w:sz w:val="16"/>
        </w:rPr>
        <w:t>1991;</w:t>
      </w:r>
      <w:proofErr w:type="gramEnd"/>
      <w:r>
        <w:rPr>
          <w:sz w:val="16"/>
        </w:rPr>
        <w:t>78(3):378-84.</w:t>
      </w:r>
    </w:p>
    <w:p w:rsidR="00AB6593" w:rsidRPr="00791C81" w:rsidRDefault="00791C81">
      <w:pPr>
        <w:pStyle w:val="PargrafodaLista"/>
        <w:numPr>
          <w:ilvl w:val="0"/>
          <w:numId w:val="2"/>
        </w:numPr>
        <w:tabs>
          <w:tab w:val="left" w:pos="953"/>
        </w:tabs>
        <w:ind w:right="114" w:firstLine="566"/>
        <w:rPr>
          <w:sz w:val="16"/>
          <w:lang w:val="en-US"/>
        </w:rPr>
      </w:pPr>
      <w:r w:rsidRPr="00791C81">
        <w:rPr>
          <w:sz w:val="16"/>
          <w:lang w:val="en-US"/>
        </w:rPr>
        <w:t>Aapro MS, Cameron DA, Pettengell R, Bohlius J, Crawford J, Ellis M, et al. EORTC guidelines for the use of granulocyte-colony stimulating factor to</w:t>
      </w:r>
      <w:r w:rsidRPr="00791C81">
        <w:rPr>
          <w:spacing w:val="-4"/>
          <w:sz w:val="16"/>
          <w:lang w:val="en-US"/>
        </w:rPr>
        <w:t xml:space="preserve"> </w:t>
      </w:r>
      <w:r w:rsidRPr="00791C81">
        <w:rPr>
          <w:sz w:val="16"/>
          <w:lang w:val="en-US"/>
        </w:rPr>
        <w:t>reduce</w:t>
      </w:r>
      <w:r w:rsidRPr="00791C81">
        <w:rPr>
          <w:spacing w:val="-5"/>
          <w:sz w:val="16"/>
          <w:lang w:val="en-US"/>
        </w:rPr>
        <w:t xml:space="preserve"> </w:t>
      </w:r>
      <w:r w:rsidRPr="00791C81">
        <w:rPr>
          <w:sz w:val="16"/>
          <w:lang w:val="en-US"/>
        </w:rPr>
        <w:t>the</w:t>
      </w:r>
      <w:r w:rsidRPr="00791C81">
        <w:rPr>
          <w:spacing w:val="-6"/>
          <w:sz w:val="16"/>
          <w:lang w:val="en-US"/>
        </w:rPr>
        <w:t xml:space="preserve"> </w:t>
      </w:r>
      <w:r w:rsidRPr="00791C81">
        <w:rPr>
          <w:sz w:val="16"/>
          <w:lang w:val="en-US"/>
        </w:rPr>
        <w:t>incidence</w:t>
      </w:r>
      <w:r w:rsidRPr="00791C81">
        <w:rPr>
          <w:spacing w:val="-4"/>
          <w:sz w:val="16"/>
          <w:lang w:val="en-US"/>
        </w:rPr>
        <w:t xml:space="preserve"> </w:t>
      </w:r>
      <w:r w:rsidRPr="00791C81">
        <w:rPr>
          <w:sz w:val="16"/>
          <w:lang w:val="en-US"/>
        </w:rPr>
        <w:t>of</w:t>
      </w:r>
      <w:r w:rsidRPr="00791C81">
        <w:rPr>
          <w:spacing w:val="-3"/>
          <w:sz w:val="16"/>
          <w:lang w:val="en-US"/>
        </w:rPr>
        <w:t xml:space="preserve"> </w:t>
      </w:r>
      <w:r w:rsidRPr="00791C81">
        <w:rPr>
          <w:sz w:val="16"/>
          <w:lang w:val="en-US"/>
        </w:rPr>
        <w:t>chemotherapy-induced</w:t>
      </w:r>
      <w:r w:rsidRPr="00791C81">
        <w:rPr>
          <w:spacing w:val="-2"/>
          <w:sz w:val="16"/>
          <w:lang w:val="en-US"/>
        </w:rPr>
        <w:t xml:space="preserve"> </w:t>
      </w:r>
      <w:r w:rsidRPr="00791C81">
        <w:rPr>
          <w:sz w:val="16"/>
          <w:lang w:val="en-US"/>
        </w:rPr>
        <w:t>febrile</w:t>
      </w:r>
      <w:r w:rsidRPr="00791C81">
        <w:rPr>
          <w:spacing w:val="-4"/>
          <w:sz w:val="16"/>
          <w:lang w:val="en-US"/>
        </w:rPr>
        <w:t xml:space="preserve"> </w:t>
      </w:r>
      <w:r w:rsidRPr="00791C81">
        <w:rPr>
          <w:sz w:val="16"/>
          <w:lang w:val="en-US"/>
        </w:rPr>
        <w:t>neutropenia</w:t>
      </w:r>
      <w:r w:rsidRPr="00791C81">
        <w:rPr>
          <w:spacing w:val="-4"/>
          <w:sz w:val="16"/>
          <w:lang w:val="en-US"/>
        </w:rPr>
        <w:t xml:space="preserve"> </w:t>
      </w:r>
      <w:r w:rsidRPr="00791C81">
        <w:rPr>
          <w:sz w:val="16"/>
          <w:lang w:val="en-US"/>
        </w:rPr>
        <w:t>in</w:t>
      </w:r>
      <w:r w:rsidRPr="00791C81">
        <w:rPr>
          <w:spacing w:val="-1"/>
          <w:sz w:val="16"/>
          <w:lang w:val="en-US"/>
        </w:rPr>
        <w:t xml:space="preserve"> </w:t>
      </w:r>
      <w:r w:rsidRPr="00791C81">
        <w:rPr>
          <w:sz w:val="16"/>
          <w:lang w:val="en-US"/>
        </w:rPr>
        <w:t>adult</w:t>
      </w:r>
      <w:r w:rsidRPr="00791C81">
        <w:rPr>
          <w:spacing w:val="-1"/>
          <w:sz w:val="16"/>
          <w:lang w:val="en-US"/>
        </w:rPr>
        <w:t xml:space="preserve"> </w:t>
      </w:r>
      <w:r w:rsidRPr="00791C81">
        <w:rPr>
          <w:sz w:val="16"/>
          <w:lang w:val="en-US"/>
        </w:rPr>
        <w:t>patients</w:t>
      </w:r>
      <w:r w:rsidRPr="00791C81">
        <w:rPr>
          <w:spacing w:val="-4"/>
          <w:sz w:val="16"/>
          <w:lang w:val="en-US"/>
        </w:rPr>
        <w:t xml:space="preserve"> </w:t>
      </w:r>
      <w:r w:rsidRPr="00791C81">
        <w:rPr>
          <w:sz w:val="16"/>
          <w:lang w:val="en-US"/>
        </w:rPr>
        <w:t>with</w:t>
      </w:r>
      <w:r w:rsidRPr="00791C81">
        <w:rPr>
          <w:spacing w:val="-3"/>
          <w:sz w:val="16"/>
          <w:lang w:val="en-US"/>
        </w:rPr>
        <w:t xml:space="preserve"> </w:t>
      </w:r>
      <w:r w:rsidRPr="00791C81">
        <w:rPr>
          <w:sz w:val="16"/>
          <w:lang w:val="en-US"/>
        </w:rPr>
        <w:t>lymphomas</w:t>
      </w:r>
      <w:r w:rsidRPr="00791C81">
        <w:rPr>
          <w:spacing w:val="-2"/>
          <w:sz w:val="16"/>
          <w:lang w:val="en-US"/>
        </w:rPr>
        <w:t xml:space="preserve"> </w:t>
      </w:r>
      <w:r w:rsidRPr="00791C81">
        <w:rPr>
          <w:sz w:val="16"/>
          <w:lang w:val="en-US"/>
        </w:rPr>
        <w:t>and</w:t>
      </w:r>
      <w:r w:rsidRPr="00791C81">
        <w:rPr>
          <w:spacing w:val="-1"/>
          <w:sz w:val="16"/>
          <w:lang w:val="en-US"/>
        </w:rPr>
        <w:t xml:space="preserve"> </w:t>
      </w:r>
      <w:r w:rsidRPr="00791C81">
        <w:rPr>
          <w:sz w:val="16"/>
          <w:lang w:val="en-US"/>
        </w:rPr>
        <w:t>solid</w:t>
      </w:r>
      <w:r w:rsidRPr="00791C81">
        <w:rPr>
          <w:spacing w:val="-4"/>
          <w:sz w:val="16"/>
          <w:lang w:val="en-US"/>
        </w:rPr>
        <w:t xml:space="preserve"> </w:t>
      </w:r>
      <w:r w:rsidRPr="00791C81">
        <w:rPr>
          <w:sz w:val="16"/>
          <w:lang w:val="en-US"/>
        </w:rPr>
        <w:t>tumours.</w:t>
      </w:r>
      <w:r w:rsidRPr="00791C81">
        <w:rPr>
          <w:spacing w:val="-4"/>
          <w:sz w:val="16"/>
          <w:lang w:val="en-US"/>
        </w:rPr>
        <w:t xml:space="preserve"> </w:t>
      </w:r>
      <w:r w:rsidRPr="00791C81">
        <w:rPr>
          <w:sz w:val="16"/>
          <w:lang w:val="en-US"/>
        </w:rPr>
        <w:t>Eur</w:t>
      </w:r>
      <w:r w:rsidRPr="00791C81">
        <w:rPr>
          <w:spacing w:val="-3"/>
          <w:sz w:val="16"/>
          <w:lang w:val="en-US"/>
        </w:rPr>
        <w:t xml:space="preserve"> </w:t>
      </w:r>
      <w:r w:rsidRPr="00791C81">
        <w:rPr>
          <w:sz w:val="16"/>
          <w:lang w:val="en-US"/>
        </w:rPr>
        <w:t>J</w:t>
      </w:r>
      <w:r w:rsidRPr="00791C81">
        <w:rPr>
          <w:spacing w:val="-4"/>
          <w:sz w:val="16"/>
          <w:lang w:val="en-US"/>
        </w:rPr>
        <w:t xml:space="preserve"> </w:t>
      </w:r>
      <w:r w:rsidRPr="00791C81">
        <w:rPr>
          <w:sz w:val="16"/>
          <w:lang w:val="en-US"/>
        </w:rPr>
        <w:t>Cancer.</w:t>
      </w:r>
      <w:r w:rsidRPr="00791C81">
        <w:rPr>
          <w:spacing w:val="-4"/>
          <w:sz w:val="16"/>
          <w:lang w:val="en-US"/>
        </w:rPr>
        <w:t xml:space="preserve"> </w:t>
      </w:r>
      <w:r w:rsidRPr="00791C81">
        <w:rPr>
          <w:sz w:val="16"/>
          <w:lang w:val="en-US"/>
        </w:rPr>
        <w:t>2006</w:t>
      </w:r>
      <w:proofErr w:type="gramStart"/>
      <w:r w:rsidRPr="00791C81">
        <w:rPr>
          <w:sz w:val="16"/>
          <w:lang w:val="en-US"/>
        </w:rPr>
        <w:t>;42</w:t>
      </w:r>
      <w:proofErr w:type="gramEnd"/>
      <w:r w:rsidRPr="00791C81">
        <w:rPr>
          <w:sz w:val="16"/>
          <w:lang w:val="en-US"/>
        </w:rPr>
        <w:t>(15):2433-53.</w:t>
      </w:r>
    </w:p>
    <w:p w:rsidR="00AB6593" w:rsidRPr="00791C81" w:rsidRDefault="00791C81">
      <w:pPr>
        <w:pStyle w:val="PargrafodaLista"/>
        <w:numPr>
          <w:ilvl w:val="0"/>
          <w:numId w:val="2"/>
        </w:numPr>
        <w:tabs>
          <w:tab w:val="left" w:pos="953"/>
        </w:tabs>
        <w:ind w:right="114" w:firstLine="566"/>
        <w:rPr>
          <w:sz w:val="16"/>
          <w:lang w:val="en-US"/>
        </w:rPr>
      </w:pPr>
      <w:r w:rsidRPr="00791C81">
        <w:rPr>
          <w:sz w:val="16"/>
          <w:lang w:val="en-US"/>
        </w:rPr>
        <w:t xml:space="preserve">Crawford J, Althaus B, Armitage J, Balducci </w:t>
      </w:r>
      <w:r w:rsidRPr="00791C81">
        <w:rPr>
          <w:spacing w:val="-3"/>
          <w:sz w:val="16"/>
          <w:lang w:val="en-US"/>
        </w:rPr>
        <w:t xml:space="preserve">L, </w:t>
      </w:r>
      <w:r w:rsidRPr="00791C81">
        <w:rPr>
          <w:sz w:val="16"/>
          <w:lang w:val="en-US"/>
        </w:rPr>
        <w:t xml:space="preserve">Bennett C, Blayney DW, et al. </w:t>
      </w:r>
      <w:r>
        <w:rPr>
          <w:sz w:val="16"/>
        </w:rPr>
        <w:t xml:space="preserve">Myeloid growth factors. </w:t>
      </w:r>
      <w:r w:rsidRPr="00791C81">
        <w:rPr>
          <w:sz w:val="16"/>
          <w:lang w:val="en-US"/>
        </w:rPr>
        <w:t>Clinical practice guidelines in oncology.J Natl Compr Canc Netw.</w:t>
      </w:r>
      <w:r w:rsidRPr="00791C81">
        <w:rPr>
          <w:spacing w:val="-1"/>
          <w:sz w:val="16"/>
          <w:lang w:val="en-US"/>
        </w:rPr>
        <w:t xml:space="preserve"> </w:t>
      </w:r>
      <w:r w:rsidRPr="00791C81">
        <w:rPr>
          <w:sz w:val="16"/>
          <w:lang w:val="en-US"/>
        </w:rPr>
        <w:t>2007</w:t>
      </w:r>
      <w:proofErr w:type="gramStart"/>
      <w:r w:rsidRPr="00791C81">
        <w:rPr>
          <w:sz w:val="16"/>
          <w:lang w:val="en-US"/>
        </w:rPr>
        <w:t>;5</w:t>
      </w:r>
      <w:proofErr w:type="gramEnd"/>
      <w:r w:rsidRPr="00791C81">
        <w:rPr>
          <w:sz w:val="16"/>
          <w:lang w:val="en-US"/>
        </w:rPr>
        <w:t>(2):188-202.</w:t>
      </w:r>
    </w:p>
    <w:p w:rsidR="00AB6593" w:rsidRDefault="00791C81">
      <w:pPr>
        <w:pStyle w:val="PargrafodaLista"/>
        <w:numPr>
          <w:ilvl w:val="0"/>
          <w:numId w:val="2"/>
        </w:numPr>
        <w:tabs>
          <w:tab w:val="left" w:pos="953"/>
        </w:tabs>
        <w:ind w:right="115" w:firstLine="566"/>
        <w:rPr>
          <w:sz w:val="16"/>
        </w:rPr>
      </w:pPr>
      <w:r w:rsidRPr="00791C81">
        <w:rPr>
          <w:sz w:val="16"/>
          <w:lang w:val="en-US"/>
        </w:rPr>
        <w:t>Sieff CA. Introduction to r</w:t>
      </w:r>
      <w:r w:rsidRPr="00791C81">
        <w:rPr>
          <w:sz w:val="16"/>
          <w:lang w:val="en-US"/>
        </w:rPr>
        <w:t xml:space="preserve">ecombinant hematopoietic growth factors [Internet]. </w:t>
      </w:r>
      <w:proofErr w:type="gramStart"/>
      <w:r>
        <w:rPr>
          <w:sz w:val="16"/>
        </w:rPr>
        <w:t>UpToDate</w:t>
      </w:r>
      <w:proofErr w:type="gramEnd"/>
      <w:r>
        <w:rPr>
          <w:sz w:val="16"/>
        </w:rPr>
        <w:t xml:space="preserve">; 2010. [acesso em </w:t>
      </w:r>
      <w:proofErr w:type="gramStart"/>
      <w:r>
        <w:rPr>
          <w:sz w:val="16"/>
        </w:rPr>
        <w:t>23 set 14</w:t>
      </w:r>
      <w:proofErr w:type="gramEnd"/>
      <w:r>
        <w:rPr>
          <w:sz w:val="16"/>
        </w:rPr>
        <w:t xml:space="preserve">]. Disponível </w:t>
      </w:r>
      <w:proofErr w:type="gramStart"/>
      <w:r>
        <w:rPr>
          <w:sz w:val="16"/>
        </w:rPr>
        <w:t>em:</w:t>
      </w:r>
      <w:proofErr w:type="gramEnd"/>
      <w:r>
        <w:fldChar w:fldCharType="begin"/>
      </w:r>
      <w:r>
        <w:instrText xml:space="preserve"> HYPERLINK "http://www.uptodate.com/contents/introduction-to-recombinant-hematopoietic-growth-factors" \l "H9" \h </w:instrText>
      </w:r>
      <w:r>
        <w:fldChar w:fldCharType="separate"/>
      </w:r>
      <w:r>
        <w:rPr>
          <w:sz w:val="16"/>
        </w:rPr>
        <w:t xml:space="preserve"> http://www.uptodate.com/contents/</w:t>
      </w:r>
      <w:r>
        <w:rPr>
          <w:sz w:val="16"/>
        </w:rPr>
        <w:t>introduction-to-recombinant-hematopoietic-growth-factors#H9.</w:t>
      </w:r>
      <w:r>
        <w:rPr>
          <w:sz w:val="16"/>
        </w:rPr>
        <w:fldChar w:fldCharType="end"/>
      </w:r>
    </w:p>
    <w:p w:rsidR="00AB6593" w:rsidRDefault="00791C81">
      <w:pPr>
        <w:pStyle w:val="PargrafodaLista"/>
        <w:numPr>
          <w:ilvl w:val="0"/>
          <w:numId w:val="2"/>
        </w:numPr>
        <w:tabs>
          <w:tab w:val="left" w:pos="953"/>
        </w:tabs>
        <w:ind w:right="115" w:firstLine="566"/>
        <w:rPr>
          <w:sz w:val="16"/>
        </w:rPr>
      </w:pPr>
      <w:r w:rsidRPr="00791C81">
        <w:rPr>
          <w:sz w:val="16"/>
          <w:lang w:val="en-US"/>
        </w:rPr>
        <w:t xml:space="preserve">Cottle TE, Fier CJ, Donadieu J, Kinsey SE. Risk and benefit of treatment of severe chronic neutropenia with granulocyte colony-stimulating factor. </w:t>
      </w:r>
      <w:r>
        <w:rPr>
          <w:sz w:val="16"/>
        </w:rPr>
        <w:t>Semin Hematol.</w:t>
      </w:r>
      <w:r>
        <w:rPr>
          <w:spacing w:val="-2"/>
          <w:sz w:val="16"/>
        </w:rPr>
        <w:t xml:space="preserve"> </w:t>
      </w:r>
      <w:proofErr w:type="gramStart"/>
      <w:r>
        <w:rPr>
          <w:sz w:val="16"/>
        </w:rPr>
        <w:t>2002;</w:t>
      </w:r>
      <w:proofErr w:type="gramEnd"/>
      <w:r>
        <w:rPr>
          <w:sz w:val="16"/>
        </w:rPr>
        <w:t>39(2):134-40.</w:t>
      </w:r>
    </w:p>
    <w:p w:rsidR="00AB6593" w:rsidRDefault="00791C81">
      <w:pPr>
        <w:pStyle w:val="PargrafodaLista"/>
        <w:numPr>
          <w:ilvl w:val="0"/>
          <w:numId w:val="2"/>
        </w:numPr>
        <w:tabs>
          <w:tab w:val="left" w:pos="953"/>
        </w:tabs>
        <w:spacing w:line="183" w:lineRule="exact"/>
        <w:ind w:left="952" w:hanging="286"/>
        <w:rPr>
          <w:sz w:val="16"/>
        </w:rPr>
      </w:pPr>
      <w:r w:rsidRPr="00791C81">
        <w:rPr>
          <w:sz w:val="16"/>
          <w:lang w:val="en-US"/>
        </w:rPr>
        <w:t>Smith MA, Smit</w:t>
      </w:r>
      <w:r w:rsidRPr="00791C81">
        <w:rPr>
          <w:sz w:val="16"/>
          <w:lang w:val="en-US"/>
        </w:rPr>
        <w:t>h JG. The use of granulocyte colony-stimulating factor for treatment of autoimmune neutropenia.Curr Opin Hematol.</w:t>
      </w:r>
      <w:r w:rsidRPr="00791C81">
        <w:rPr>
          <w:spacing w:val="-25"/>
          <w:sz w:val="16"/>
          <w:lang w:val="en-US"/>
        </w:rPr>
        <w:t xml:space="preserve"> </w:t>
      </w:r>
      <w:proofErr w:type="gramStart"/>
      <w:r>
        <w:rPr>
          <w:sz w:val="16"/>
        </w:rPr>
        <w:t>2001;</w:t>
      </w:r>
      <w:proofErr w:type="gramEnd"/>
      <w:r>
        <w:rPr>
          <w:sz w:val="16"/>
        </w:rPr>
        <w:t>8(3):165-</w:t>
      </w:r>
    </w:p>
    <w:p w:rsidR="00AB6593" w:rsidRDefault="00791C81">
      <w:pPr>
        <w:pStyle w:val="Corpodetexto"/>
        <w:ind w:firstLine="0"/>
      </w:pPr>
      <w:r>
        <w:t>9.</w:t>
      </w:r>
    </w:p>
    <w:p w:rsidR="00AB6593" w:rsidRPr="00791C81" w:rsidRDefault="00791C81">
      <w:pPr>
        <w:pStyle w:val="PargrafodaLista"/>
        <w:numPr>
          <w:ilvl w:val="0"/>
          <w:numId w:val="2"/>
        </w:numPr>
        <w:tabs>
          <w:tab w:val="left" w:pos="953"/>
        </w:tabs>
        <w:spacing w:before="1"/>
        <w:ind w:left="952" w:hanging="286"/>
        <w:rPr>
          <w:sz w:val="16"/>
          <w:lang w:val="en-US"/>
        </w:rPr>
      </w:pPr>
      <w:r w:rsidRPr="00791C81">
        <w:rPr>
          <w:sz w:val="16"/>
          <w:lang w:val="en-US"/>
        </w:rPr>
        <w:t>Schaison</w:t>
      </w:r>
      <w:r w:rsidRPr="00791C81">
        <w:rPr>
          <w:spacing w:val="13"/>
          <w:sz w:val="16"/>
          <w:lang w:val="en-US"/>
        </w:rPr>
        <w:t xml:space="preserve"> </w:t>
      </w:r>
      <w:r w:rsidRPr="00791C81">
        <w:rPr>
          <w:sz w:val="16"/>
          <w:lang w:val="en-US"/>
        </w:rPr>
        <w:t>G,</w:t>
      </w:r>
      <w:r w:rsidRPr="00791C81">
        <w:rPr>
          <w:spacing w:val="13"/>
          <w:sz w:val="16"/>
          <w:lang w:val="en-US"/>
        </w:rPr>
        <w:t xml:space="preserve"> </w:t>
      </w:r>
      <w:r w:rsidRPr="00791C81">
        <w:rPr>
          <w:sz w:val="16"/>
          <w:lang w:val="en-US"/>
        </w:rPr>
        <w:t>Eden</w:t>
      </w:r>
      <w:r w:rsidRPr="00791C81">
        <w:rPr>
          <w:spacing w:val="13"/>
          <w:sz w:val="16"/>
          <w:lang w:val="en-US"/>
        </w:rPr>
        <w:t xml:space="preserve"> </w:t>
      </w:r>
      <w:r w:rsidRPr="00791C81">
        <w:rPr>
          <w:sz w:val="16"/>
          <w:lang w:val="en-US"/>
        </w:rPr>
        <w:t>OB,</w:t>
      </w:r>
      <w:r w:rsidRPr="00791C81">
        <w:rPr>
          <w:spacing w:val="13"/>
          <w:sz w:val="16"/>
          <w:lang w:val="en-US"/>
        </w:rPr>
        <w:t xml:space="preserve"> </w:t>
      </w:r>
      <w:r w:rsidRPr="00791C81">
        <w:rPr>
          <w:sz w:val="16"/>
          <w:lang w:val="en-US"/>
        </w:rPr>
        <w:t>Henze</w:t>
      </w:r>
      <w:r w:rsidRPr="00791C81">
        <w:rPr>
          <w:spacing w:val="12"/>
          <w:sz w:val="16"/>
          <w:lang w:val="en-US"/>
        </w:rPr>
        <w:t xml:space="preserve"> </w:t>
      </w:r>
      <w:r w:rsidRPr="00791C81">
        <w:rPr>
          <w:sz w:val="16"/>
          <w:lang w:val="en-US"/>
        </w:rPr>
        <w:t>G,</w:t>
      </w:r>
      <w:r w:rsidRPr="00791C81">
        <w:rPr>
          <w:spacing w:val="15"/>
          <w:sz w:val="16"/>
          <w:lang w:val="en-US"/>
        </w:rPr>
        <w:t xml:space="preserve"> </w:t>
      </w:r>
      <w:r w:rsidRPr="00791C81">
        <w:rPr>
          <w:sz w:val="16"/>
          <w:lang w:val="en-US"/>
        </w:rPr>
        <w:t>Kamps</w:t>
      </w:r>
      <w:r w:rsidRPr="00791C81">
        <w:rPr>
          <w:spacing w:val="12"/>
          <w:sz w:val="16"/>
          <w:lang w:val="en-US"/>
        </w:rPr>
        <w:t xml:space="preserve"> </w:t>
      </w:r>
      <w:r w:rsidRPr="00791C81">
        <w:rPr>
          <w:spacing w:val="-3"/>
          <w:sz w:val="16"/>
          <w:lang w:val="en-US"/>
        </w:rPr>
        <w:t>WA,</w:t>
      </w:r>
      <w:r w:rsidRPr="00791C81">
        <w:rPr>
          <w:spacing w:val="15"/>
          <w:sz w:val="16"/>
          <w:lang w:val="en-US"/>
        </w:rPr>
        <w:t xml:space="preserve"> </w:t>
      </w:r>
      <w:r w:rsidRPr="00791C81">
        <w:rPr>
          <w:sz w:val="16"/>
          <w:lang w:val="en-US"/>
        </w:rPr>
        <w:t>Locatelli</w:t>
      </w:r>
      <w:r w:rsidRPr="00791C81">
        <w:rPr>
          <w:spacing w:val="14"/>
          <w:sz w:val="16"/>
          <w:lang w:val="en-US"/>
        </w:rPr>
        <w:t xml:space="preserve"> </w:t>
      </w:r>
      <w:r w:rsidRPr="00791C81">
        <w:rPr>
          <w:sz w:val="16"/>
          <w:lang w:val="en-US"/>
        </w:rPr>
        <w:t>F,</w:t>
      </w:r>
      <w:r w:rsidRPr="00791C81">
        <w:rPr>
          <w:spacing w:val="13"/>
          <w:sz w:val="16"/>
          <w:lang w:val="en-US"/>
        </w:rPr>
        <w:t xml:space="preserve"> </w:t>
      </w:r>
      <w:r w:rsidRPr="00791C81">
        <w:rPr>
          <w:sz w:val="16"/>
          <w:lang w:val="en-US"/>
        </w:rPr>
        <w:t>Ninane</w:t>
      </w:r>
      <w:r w:rsidRPr="00791C81">
        <w:rPr>
          <w:spacing w:val="11"/>
          <w:sz w:val="16"/>
          <w:lang w:val="en-US"/>
        </w:rPr>
        <w:t xml:space="preserve"> </w:t>
      </w:r>
      <w:r w:rsidRPr="00791C81">
        <w:rPr>
          <w:sz w:val="16"/>
          <w:lang w:val="en-US"/>
        </w:rPr>
        <w:t>J,</w:t>
      </w:r>
      <w:r w:rsidRPr="00791C81">
        <w:rPr>
          <w:spacing w:val="13"/>
          <w:sz w:val="16"/>
          <w:lang w:val="en-US"/>
        </w:rPr>
        <w:t xml:space="preserve"> </w:t>
      </w:r>
      <w:r w:rsidRPr="00791C81">
        <w:rPr>
          <w:sz w:val="16"/>
          <w:lang w:val="en-US"/>
        </w:rPr>
        <w:t>et</w:t>
      </w:r>
      <w:r w:rsidRPr="00791C81">
        <w:rPr>
          <w:spacing w:val="12"/>
          <w:sz w:val="16"/>
          <w:lang w:val="en-US"/>
        </w:rPr>
        <w:t xml:space="preserve"> </w:t>
      </w:r>
      <w:r w:rsidRPr="00791C81">
        <w:rPr>
          <w:sz w:val="16"/>
          <w:lang w:val="en-US"/>
        </w:rPr>
        <w:t>al.</w:t>
      </w:r>
      <w:r w:rsidRPr="00791C81">
        <w:rPr>
          <w:spacing w:val="13"/>
          <w:sz w:val="16"/>
          <w:lang w:val="en-US"/>
        </w:rPr>
        <w:t xml:space="preserve"> </w:t>
      </w:r>
      <w:r w:rsidRPr="00791C81">
        <w:rPr>
          <w:sz w:val="16"/>
          <w:lang w:val="en-US"/>
        </w:rPr>
        <w:t>Recommendations</w:t>
      </w:r>
      <w:r w:rsidRPr="00791C81">
        <w:rPr>
          <w:spacing w:val="12"/>
          <w:sz w:val="16"/>
          <w:lang w:val="en-US"/>
        </w:rPr>
        <w:t xml:space="preserve"> </w:t>
      </w:r>
      <w:r w:rsidRPr="00791C81">
        <w:rPr>
          <w:sz w:val="16"/>
          <w:lang w:val="en-US"/>
        </w:rPr>
        <w:t>on</w:t>
      </w:r>
      <w:r w:rsidRPr="00791C81">
        <w:rPr>
          <w:spacing w:val="13"/>
          <w:sz w:val="16"/>
          <w:lang w:val="en-US"/>
        </w:rPr>
        <w:t xml:space="preserve"> </w:t>
      </w:r>
      <w:r w:rsidRPr="00791C81">
        <w:rPr>
          <w:sz w:val="16"/>
          <w:lang w:val="en-US"/>
        </w:rPr>
        <w:t>the</w:t>
      </w:r>
      <w:r w:rsidRPr="00791C81">
        <w:rPr>
          <w:spacing w:val="12"/>
          <w:sz w:val="16"/>
          <w:lang w:val="en-US"/>
        </w:rPr>
        <w:t xml:space="preserve"> </w:t>
      </w:r>
      <w:r w:rsidRPr="00791C81">
        <w:rPr>
          <w:sz w:val="16"/>
          <w:lang w:val="en-US"/>
        </w:rPr>
        <w:t>use</w:t>
      </w:r>
      <w:r w:rsidRPr="00791C81">
        <w:rPr>
          <w:spacing w:val="11"/>
          <w:sz w:val="16"/>
          <w:lang w:val="en-US"/>
        </w:rPr>
        <w:t xml:space="preserve"> </w:t>
      </w:r>
      <w:r w:rsidRPr="00791C81">
        <w:rPr>
          <w:sz w:val="16"/>
          <w:lang w:val="en-US"/>
        </w:rPr>
        <w:t>of</w:t>
      </w:r>
      <w:r w:rsidRPr="00791C81">
        <w:rPr>
          <w:spacing w:val="12"/>
          <w:sz w:val="16"/>
          <w:lang w:val="en-US"/>
        </w:rPr>
        <w:t xml:space="preserve"> </w:t>
      </w:r>
      <w:r w:rsidRPr="00791C81">
        <w:rPr>
          <w:sz w:val="16"/>
          <w:lang w:val="en-US"/>
        </w:rPr>
        <w:t>colony-stimulating</w:t>
      </w:r>
      <w:r w:rsidRPr="00791C81">
        <w:rPr>
          <w:spacing w:val="12"/>
          <w:sz w:val="16"/>
          <w:lang w:val="en-US"/>
        </w:rPr>
        <w:t xml:space="preserve"> </w:t>
      </w:r>
      <w:r w:rsidRPr="00791C81">
        <w:rPr>
          <w:sz w:val="16"/>
          <w:lang w:val="en-US"/>
        </w:rPr>
        <w:t>factors</w:t>
      </w:r>
      <w:r w:rsidRPr="00791C81">
        <w:rPr>
          <w:spacing w:val="12"/>
          <w:sz w:val="16"/>
          <w:lang w:val="en-US"/>
        </w:rPr>
        <w:t xml:space="preserve"> </w:t>
      </w:r>
      <w:r w:rsidRPr="00791C81">
        <w:rPr>
          <w:sz w:val="16"/>
          <w:lang w:val="en-US"/>
        </w:rPr>
        <w:t>in</w:t>
      </w:r>
      <w:r w:rsidRPr="00791C81">
        <w:rPr>
          <w:spacing w:val="11"/>
          <w:sz w:val="16"/>
          <w:lang w:val="en-US"/>
        </w:rPr>
        <w:t xml:space="preserve"> </w:t>
      </w:r>
      <w:r w:rsidRPr="00791C81">
        <w:rPr>
          <w:sz w:val="16"/>
          <w:lang w:val="en-US"/>
        </w:rPr>
        <w:t>children:</w:t>
      </w:r>
    </w:p>
    <w:p w:rsidR="00AB6593" w:rsidRDefault="00791C81">
      <w:pPr>
        <w:pStyle w:val="Corpodetexto"/>
        <w:spacing w:line="183" w:lineRule="exact"/>
        <w:ind w:firstLine="0"/>
      </w:pPr>
      <w:proofErr w:type="gramStart"/>
      <w:r w:rsidRPr="00791C81">
        <w:rPr>
          <w:lang w:val="en-US"/>
        </w:rPr>
        <w:t>conclusions</w:t>
      </w:r>
      <w:proofErr w:type="gramEnd"/>
      <w:r w:rsidRPr="00791C81">
        <w:rPr>
          <w:lang w:val="en-US"/>
        </w:rPr>
        <w:t xml:space="preserve"> of a European panel. </w:t>
      </w:r>
      <w:r>
        <w:t xml:space="preserve">Eur J Pediatr. </w:t>
      </w:r>
      <w:proofErr w:type="gramStart"/>
      <w:r>
        <w:t>1998;</w:t>
      </w:r>
      <w:proofErr w:type="gramEnd"/>
      <w:r>
        <w:t>157(12):955-66.</w:t>
      </w:r>
    </w:p>
    <w:p w:rsidR="00AB6593" w:rsidRPr="00791C81" w:rsidRDefault="00791C81">
      <w:pPr>
        <w:pStyle w:val="PargrafodaLista"/>
        <w:numPr>
          <w:ilvl w:val="0"/>
          <w:numId w:val="2"/>
        </w:numPr>
        <w:tabs>
          <w:tab w:val="left" w:pos="953"/>
        </w:tabs>
        <w:spacing w:before="1"/>
        <w:ind w:right="116" w:firstLine="566"/>
        <w:rPr>
          <w:sz w:val="16"/>
          <w:lang w:val="en-US"/>
        </w:rPr>
      </w:pPr>
      <w:r w:rsidRPr="00791C81">
        <w:rPr>
          <w:sz w:val="16"/>
          <w:lang w:val="en-US"/>
        </w:rPr>
        <w:t>Zeidler C, Welte K, Barak Y, Barriga F, Bolyard AA, Boxer L, et al. Stem cell transplantation in patients with severe congenital neutropenia without evidence of leuke</w:t>
      </w:r>
      <w:r w:rsidRPr="00791C81">
        <w:rPr>
          <w:sz w:val="16"/>
          <w:lang w:val="en-US"/>
        </w:rPr>
        <w:t>mic transformation. Blood.</w:t>
      </w:r>
      <w:r w:rsidRPr="00791C81">
        <w:rPr>
          <w:spacing w:val="-7"/>
          <w:sz w:val="16"/>
          <w:lang w:val="en-US"/>
        </w:rPr>
        <w:t xml:space="preserve"> </w:t>
      </w:r>
      <w:r w:rsidRPr="00791C81">
        <w:rPr>
          <w:sz w:val="16"/>
          <w:lang w:val="en-US"/>
        </w:rPr>
        <w:t>2000</w:t>
      </w:r>
      <w:proofErr w:type="gramStart"/>
      <w:r w:rsidRPr="00791C81">
        <w:rPr>
          <w:sz w:val="16"/>
          <w:lang w:val="en-US"/>
        </w:rPr>
        <w:t>;95</w:t>
      </w:r>
      <w:proofErr w:type="gramEnd"/>
      <w:r w:rsidRPr="00791C81">
        <w:rPr>
          <w:sz w:val="16"/>
          <w:lang w:val="en-US"/>
        </w:rPr>
        <w:t>(4):1195-8.</w:t>
      </w:r>
    </w:p>
    <w:p w:rsidR="00AB6593" w:rsidRDefault="00791C81">
      <w:pPr>
        <w:pStyle w:val="PargrafodaLista"/>
        <w:numPr>
          <w:ilvl w:val="0"/>
          <w:numId w:val="2"/>
        </w:numPr>
        <w:tabs>
          <w:tab w:val="left" w:pos="953"/>
        </w:tabs>
        <w:ind w:right="117" w:firstLine="566"/>
        <w:rPr>
          <w:sz w:val="16"/>
        </w:rPr>
      </w:pPr>
      <w:r w:rsidRPr="00791C81">
        <w:rPr>
          <w:sz w:val="16"/>
          <w:lang w:val="en-US"/>
        </w:rPr>
        <w:t xml:space="preserve">Greenberg PL. NCCN Clinical Practice Guidelines in Oncology – Myelodysplastic Syndromes [Internet]. </w:t>
      </w:r>
      <w:r>
        <w:rPr>
          <w:sz w:val="16"/>
        </w:rPr>
        <w:t>National Comprehensive Cancer Network (NCCN); 2007 [acesso em 30 dec 2009]. Disponível em:</w:t>
      </w:r>
      <w:r>
        <w:rPr>
          <w:spacing w:val="-12"/>
          <w:sz w:val="16"/>
        </w:rPr>
        <w:t xml:space="preserve"> </w:t>
      </w:r>
      <w:hyperlink r:id="rId9">
        <w:r>
          <w:rPr>
            <w:sz w:val="16"/>
          </w:rPr>
          <w:t>http://www.nccn.org/professionals/physicians_gls/f_guidelines.asp.</w:t>
        </w:r>
      </w:hyperlink>
    </w:p>
    <w:p w:rsidR="00AB6593" w:rsidRPr="00791C81" w:rsidRDefault="00791C81">
      <w:pPr>
        <w:pStyle w:val="PargrafodaLista"/>
        <w:numPr>
          <w:ilvl w:val="0"/>
          <w:numId w:val="2"/>
        </w:numPr>
        <w:tabs>
          <w:tab w:val="left" w:pos="953"/>
        </w:tabs>
        <w:spacing w:before="1"/>
        <w:ind w:right="116" w:firstLine="566"/>
        <w:rPr>
          <w:sz w:val="16"/>
          <w:lang w:val="en-US"/>
        </w:rPr>
      </w:pPr>
      <w:r>
        <w:rPr>
          <w:sz w:val="16"/>
        </w:rPr>
        <w:t xml:space="preserve">Hellström-Lindberg E, Negrin R, Stein R, Krantz S, Lindberg G, Vardiman J, </w:t>
      </w:r>
      <w:proofErr w:type="gramStart"/>
      <w:r>
        <w:rPr>
          <w:sz w:val="16"/>
        </w:rPr>
        <w:t>et</w:t>
      </w:r>
      <w:proofErr w:type="gramEnd"/>
      <w:r>
        <w:rPr>
          <w:sz w:val="16"/>
        </w:rPr>
        <w:t xml:space="preserve"> al. </w:t>
      </w:r>
      <w:r w:rsidRPr="00791C81">
        <w:rPr>
          <w:sz w:val="16"/>
          <w:lang w:val="en-US"/>
        </w:rPr>
        <w:t>Erythroid response to tr</w:t>
      </w:r>
      <w:r w:rsidRPr="00791C81">
        <w:rPr>
          <w:sz w:val="16"/>
          <w:lang w:val="en-US"/>
        </w:rPr>
        <w:t>eatment with G-CSF plus erythropoietin for the anaemia of patients with myelodysplastic syndromes: proposal for a predictive model. Br J Haematol.</w:t>
      </w:r>
      <w:r w:rsidRPr="00791C81">
        <w:rPr>
          <w:spacing w:val="-19"/>
          <w:sz w:val="16"/>
          <w:lang w:val="en-US"/>
        </w:rPr>
        <w:t xml:space="preserve"> </w:t>
      </w:r>
      <w:r w:rsidRPr="00791C81">
        <w:rPr>
          <w:sz w:val="16"/>
          <w:lang w:val="en-US"/>
        </w:rPr>
        <w:t>1997</w:t>
      </w:r>
      <w:proofErr w:type="gramStart"/>
      <w:r w:rsidRPr="00791C81">
        <w:rPr>
          <w:sz w:val="16"/>
          <w:lang w:val="en-US"/>
        </w:rPr>
        <w:t>;99</w:t>
      </w:r>
      <w:proofErr w:type="gramEnd"/>
      <w:r w:rsidRPr="00791C81">
        <w:rPr>
          <w:sz w:val="16"/>
          <w:lang w:val="en-US"/>
        </w:rPr>
        <w:t>(2):344-51.</w:t>
      </w:r>
    </w:p>
    <w:p w:rsidR="00AB6593" w:rsidRDefault="00791C81">
      <w:pPr>
        <w:pStyle w:val="PargrafodaLista"/>
        <w:numPr>
          <w:ilvl w:val="0"/>
          <w:numId w:val="2"/>
        </w:numPr>
        <w:tabs>
          <w:tab w:val="left" w:pos="953"/>
        </w:tabs>
        <w:ind w:right="118" w:firstLine="566"/>
        <w:rPr>
          <w:sz w:val="16"/>
        </w:rPr>
      </w:pPr>
      <w:r w:rsidRPr="00791C81">
        <w:rPr>
          <w:sz w:val="16"/>
          <w:lang w:val="en-US"/>
        </w:rPr>
        <w:t xml:space="preserve">Kuderer NM, Dale DC, Crawford J, Lyman GH. Impact of primary prophylaxis with granulocyte </w:t>
      </w:r>
      <w:r w:rsidRPr="00791C81">
        <w:rPr>
          <w:sz w:val="16"/>
          <w:lang w:val="en-US"/>
        </w:rPr>
        <w:t xml:space="preserve">colony-stimulating factor on febrile neutropenia and mortality in adult cancer patients receiving chemotherapy: a systematic review. </w:t>
      </w:r>
      <w:r>
        <w:rPr>
          <w:sz w:val="16"/>
        </w:rPr>
        <w:t>J Clin Oncol.</w:t>
      </w:r>
      <w:r>
        <w:rPr>
          <w:spacing w:val="-12"/>
          <w:sz w:val="16"/>
        </w:rPr>
        <w:t xml:space="preserve"> </w:t>
      </w:r>
      <w:proofErr w:type="gramStart"/>
      <w:r>
        <w:rPr>
          <w:sz w:val="16"/>
        </w:rPr>
        <w:t>2007;</w:t>
      </w:r>
      <w:proofErr w:type="gramEnd"/>
      <w:r>
        <w:rPr>
          <w:sz w:val="16"/>
        </w:rPr>
        <w:t>25(21):3158-67.</w:t>
      </w:r>
    </w:p>
    <w:p w:rsidR="00AB6593" w:rsidRPr="00791C81" w:rsidRDefault="00791C81">
      <w:pPr>
        <w:pStyle w:val="PargrafodaLista"/>
        <w:numPr>
          <w:ilvl w:val="0"/>
          <w:numId w:val="2"/>
        </w:numPr>
        <w:tabs>
          <w:tab w:val="left" w:pos="953"/>
        </w:tabs>
        <w:ind w:right="113" w:firstLine="566"/>
        <w:rPr>
          <w:sz w:val="16"/>
          <w:lang w:val="en-US"/>
        </w:rPr>
      </w:pPr>
      <w:r w:rsidRPr="00791C81">
        <w:rPr>
          <w:sz w:val="16"/>
          <w:lang w:val="en-US"/>
        </w:rPr>
        <w:t xml:space="preserve">Paul M, Ram R, Kugler E, Farbman </w:t>
      </w:r>
      <w:r w:rsidRPr="00791C81">
        <w:rPr>
          <w:spacing w:val="-3"/>
          <w:sz w:val="16"/>
          <w:lang w:val="en-US"/>
        </w:rPr>
        <w:t xml:space="preserve">L, </w:t>
      </w:r>
      <w:r w:rsidRPr="00791C81">
        <w:rPr>
          <w:sz w:val="16"/>
          <w:lang w:val="en-US"/>
        </w:rPr>
        <w:t xml:space="preserve">Peck A, Leibovici </w:t>
      </w:r>
      <w:r w:rsidRPr="00791C81">
        <w:rPr>
          <w:spacing w:val="-3"/>
          <w:sz w:val="16"/>
          <w:lang w:val="en-US"/>
        </w:rPr>
        <w:t xml:space="preserve">L, </w:t>
      </w:r>
      <w:r w:rsidRPr="00791C81">
        <w:rPr>
          <w:sz w:val="16"/>
          <w:lang w:val="en-US"/>
        </w:rPr>
        <w:t>et al. Subcutaneous versus intr</w:t>
      </w:r>
      <w:r w:rsidRPr="00791C81">
        <w:rPr>
          <w:sz w:val="16"/>
          <w:lang w:val="en-US"/>
        </w:rPr>
        <w:t>avenous granulocyte colony stimulating factor for the treatment of neutropenia in hospitalized hemato-oncological patients: randomized controlled trial. Am J Hematol.</w:t>
      </w:r>
      <w:r w:rsidRPr="00791C81">
        <w:rPr>
          <w:spacing w:val="-12"/>
          <w:sz w:val="16"/>
          <w:lang w:val="en-US"/>
        </w:rPr>
        <w:t xml:space="preserve"> </w:t>
      </w:r>
      <w:r w:rsidRPr="00791C81">
        <w:rPr>
          <w:sz w:val="16"/>
          <w:lang w:val="en-US"/>
        </w:rPr>
        <w:t>2014</w:t>
      </w:r>
      <w:proofErr w:type="gramStart"/>
      <w:r w:rsidRPr="00791C81">
        <w:rPr>
          <w:sz w:val="16"/>
          <w:lang w:val="en-US"/>
        </w:rPr>
        <w:t>;89</w:t>
      </w:r>
      <w:proofErr w:type="gramEnd"/>
      <w:r w:rsidRPr="00791C81">
        <w:rPr>
          <w:sz w:val="16"/>
          <w:lang w:val="en-US"/>
        </w:rPr>
        <w:t>(3):243-8.</w:t>
      </w:r>
    </w:p>
    <w:p w:rsidR="00AB6593" w:rsidRPr="00791C81" w:rsidRDefault="00791C81">
      <w:pPr>
        <w:pStyle w:val="PargrafodaLista"/>
        <w:numPr>
          <w:ilvl w:val="0"/>
          <w:numId w:val="2"/>
        </w:numPr>
        <w:tabs>
          <w:tab w:val="left" w:pos="953"/>
        </w:tabs>
        <w:ind w:right="114" w:firstLine="566"/>
        <w:rPr>
          <w:sz w:val="16"/>
          <w:lang w:val="en-US"/>
        </w:rPr>
      </w:pPr>
      <w:r w:rsidRPr="00791C81">
        <w:rPr>
          <w:sz w:val="16"/>
          <w:lang w:val="en-US"/>
        </w:rPr>
        <w:t>Heath JA, Steinherz PG, Altman A, Sather H, Jhanwar S, Halpern S, et al</w:t>
      </w:r>
      <w:r w:rsidRPr="00791C81">
        <w:rPr>
          <w:sz w:val="16"/>
          <w:lang w:val="en-US"/>
        </w:rPr>
        <w:t>. Human granulocyte colony-stimulating factor in children with high-risk acute lymphoblastic leukemia: a Children’s Cancer Group Study. J Clin Oncol.</w:t>
      </w:r>
      <w:r w:rsidRPr="00791C81">
        <w:rPr>
          <w:spacing w:val="-2"/>
          <w:sz w:val="16"/>
          <w:lang w:val="en-US"/>
        </w:rPr>
        <w:t xml:space="preserve"> </w:t>
      </w:r>
      <w:r w:rsidRPr="00791C81">
        <w:rPr>
          <w:sz w:val="16"/>
          <w:lang w:val="en-US"/>
        </w:rPr>
        <w:t>2003</w:t>
      </w:r>
      <w:proofErr w:type="gramStart"/>
      <w:r w:rsidRPr="00791C81">
        <w:rPr>
          <w:sz w:val="16"/>
          <w:lang w:val="en-US"/>
        </w:rPr>
        <w:t>;21</w:t>
      </w:r>
      <w:proofErr w:type="gramEnd"/>
      <w:r w:rsidRPr="00791C81">
        <w:rPr>
          <w:sz w:val="16"/>
          <w:lang w:val="en-US"/>
        </w:rPr>
        <w:t>(8):1612-7.</w:t>
      </w:r>
    </w:p>
    <w:p w:rsidR="00AB6593" w:rsidRPr="00791C81" w:rsidRDefault="00AB6593">
      <w:pPr>
        <w:rPr>
          <w:sz w:val="16"/>
          <w:lang w:val="en-US"/>
        </w:rPr>
        <w:sectPr w:rsidR="00AB6593" w:rsidRPr="00791C81">
          <w:pgSz w:w="11910" w:h="16840"/>
          <w:pgMar w:top="620" w:right="600" w:bottom="280" w:left="620" w:header="720" w:footer="720" w:gutter="0"/>
          <w:cols w:space="720"/>
        </w:sectPr>
      </w:pPr>
    </w:p>
    <w:p w:rsidR="00AB6593" w:rsidRPr="00791C81" w:rsidRDefault="00791C81">
      <w:pPr>
        <w:pStyle w:val="PargrafodaLista"/>
        <w:numPr>
          <w:ilvl w:val="0"/>
          <w:numId w:val="2"/>
        </w:numPr>
        <w:tabs>
          <w:tab w:val="left" w:pos="953"/>
        </w:tabs>
        <w:spacing w:before="76"/>
        <w:ind w:right="114" w:firstLine="566"/>
        <w:jc w:val="both"/>
        <w:rPr>
          <w:sz w:val="16"/>
          <w:lang w:val="en-US"/>
        </w:rPr>
      </w:pPr>
      <w:r>
        <w:rPr>
          <w:sz w:val="16"/>
        </w:rPr>
        <w:lastRenderedPageBreak/>
        <w:t xml:space="preserve">Usuki K, Urabe A, Masaoka T, Ohno R, Mizoguchi H, Hamajima N, </w:t>
      </w:r>
      <w:proofErr w:type="gramStart"/>
      <w:r>
        <w:rPr>
          <w:sz w:val="16"/>
        </w:rPr>
        <w:t>et</w:t>
      </w:r>
      <w:proofErr w:type="gramEnd"/>
      <w:r>
        <w:rPr>
          <w:sz w:val="16"/>
        </w:rPr>
        <w:t xml:space="preserve"> al. </w:t>
      </w:r>
      <w:r w:rsidRPr="00791C81">
        <w:rPr>
          <w:sz w:val="16"/>
          <w:lang w:val="en-US"/>
        </w:rPr>
        <w:t>Effi</w:t>
      </w:r>
      <w:r w:rsidRPr="00791C81">
        <w:rPr>
          <w:sz w:val="16"/>
          <w:lang w:val="en-US"/>
        </w:rPr>
        <w:t>cacy of granulocyte colony-stimulating factor in the treatment of acute myelogenous leukaemia: a multicentre randomized study. Br J Haematol.</w:t>
      </w:r>
      <w:r w:rsidRPr="00791C81">
        <w:rPr>
          <w:spacing w:val="-11"/>
          <w:sz w:val="16"/>
          <w:lang w:val="en-US"/>
        </w:rPr>
        <w:t xml:space="preserve"> </w:t>
      </w:r>
      <w:r w:rsidRPr="00791C81">
        <w:rPr>
          <w:sz w:val="16"/>
          <w:lang w:val="en-US"/>
        </w:rPr>
        <w:t>2002</w:t>
      </w:r>
      <w:proofErr w:type="gramStart"/>
      <w:r w:rsidRPr="00791C81">
        <w:rPr>
          <w:sz w:val="16"/>
          <w:lang w:val="en-US"/>
        </w:rPr>
        <w:t>;116</w:t>
      </w:r>
      <w:proofErr w:type="gramEnd"/>
      <w:r w:rsidRPr="00791C81">
        <w:rPr>
          <w:sz w:val="16"/>
          <w:lang w:val="en-US"/>
        </w:rPr>
        <w:t>(1):103-12.</w:t>
      </w:r>
    </w:p>
    <w:p w:rsidR="00AB6593" w:rsidRDefault="00791C81">
      <w:pPr>
        <w:pStyle w:val="PargrafodaLista"/>
        <w:numPr>
          <w:ilvl w:val="0"/>
          <w:numId w:val="2"/>
        </w:numPr>
        <w:tabs>
          <w:tab w:val="left" w:pos="953"/>
        </w:tabs>
        <w:ind w:right="117" w:firstLine="566"/>
        <w:jc w:val="both"/>
        <w:rPr>
          <w:sz w:val="16"/>
        </w:rPr>
      </w:pPr>
      <w:r w:rsidRPr="00791C81">
        <w:rPr>
          <w:sz w:val="16"/>
          <w:lang w:val="en-US"/>
        </w:rPr>
        <w:t>Dombret H, Chastang C, Fenaux P, Reiffers J, Bordessoule D, Bouabdallah R, et al. A controlled study of recombinant human granulocyte colony- stimulating</w:t>
      </w:r>
      <w:r w:rsidRPr="00791C81">
        <w:rPr>
          <w:spacing w:val="-3"/>
          <w:sz w:val="16"/>
          <w:lang w:val="en-US"/>
        </w:rPr>
        <w:t xml:space="preserve"> </w:t>
      </w:r>
      <w:r w:rsidRPr="00791C81">
        <w:rPr>
          <w:sz w:val="16"/>
          <w:lang w:val="en-US"/>
        </w:rPr>
        <w:t>factor</w:t>
      </w:r>
      <w:r w:rsidRPr="00791C81">
        <w:rPr>
          <w:spacing w:val="-5"/>
          <w:sz w:val="16"/>
          <w:lang w:val="en-US"/>
        </w:rPr>
        <w:t xml:space="preserve"> </w:t>
      </w:r>
      <w:r w:rsidRPr="00791C81">
        <w:rPr>
          <w:sz w:val="16"/>
          <w:lang w:val="en-US"/>
        </w:rPr>
        <w:t>in</w:t>
      </w:r>
      <w:r w:rsidRPr="00791C81">
        <w:rPr>
          <w:spacing w:val="-3"/>
          <w:sz w:val="16"/>
          <w:lang w:val="en-US"/>
        </w:rPr>
        <w:t xml:space="preserve"> </w:t>
      </w:r>
      <w:r w:rsidRPr="00791C81">
        <w:rPr>
          <w:sz w:val="16"/>
          <w:lang w:val="en-US"/>
        </w:rPr>
        <w:t>elderly</w:t>
      </w:r>
      <w:r w:rsidRPr="00791C81">
        <w:rPr>
          <w:spacing w:val="-4"/>
          <w:sz w:val="16"/>
          <w:lang w:val="en-US"/>
        </w:rPr>
        <w:t xml:space="preserve"> </w:t>
      </w:r>
      <w:r w:rsidRPr="00791C81">
        <w:rPr>
          <w:sz w:val="16"/>
          <w:lang w:val="en-US"/>
        </w:rPr>
        <w:t>patients</w:t>
      </w:r>
      <w:r w:rsidRPr="00791C81">
        <w:rPr>
          <w:spacing w:val="-2"/>
          <w:sz w:val="16"/>
          <w:lang w:val="en-US"/>
        </w:rPr>
        <w:t xml:space="preserve"> </w:t>
      </w:r>
      <w:r w:rsidRPr="00791C81">
        <w:rPr>
          <w:sz w:val="16"/>
          <w:lang w:val="en-US"/>
        </w:rPr>
        <w:t>after</w:t>
      </w:r>
      <w:r w:rsidRPr="00791C81">
        <w:rPr>
          <w:spacing w:val="-3"/>
          <w:sz w:val="16"/>
          <w:lang w:val="en-US"/>
        </w:rPr>
        <w:t xml:space="preserve"> </w:t>
      </w:r>
      <w:r w:rsidRPr="00791C81">
        <w:rPr>
          <w:sz w:val="16"/>
          <w:lang w:val="en-US"/>
        </w:rPr>
        <w:t>treatment</w:t>
      </w:r>
      <w:r w:rsidRPr="00791C81">
        <w:rPr>
          <w:spacing w:val="-1"/>
          <w:sz w:val="16"/>
          <w:lang w:val="en-US"/>
        </w:rPr>
        <w:t xml:space="preserve"> </w:t>
      </w:r>
      <w:r w:rsidRPr="00791C81">
        <w:rPr>
          <w:sz w:val="16"/>
          <w:lang w:val="en-US"/>
        </w:rPr>
        <w:t>for</w:t>
      </w:r>
      <w:r w:rsidRPr="00791C81">
        <w:rPr>
          <w:spacing w:val="-3"/>
          <w:sz w:val="16"/>
          <w:lang w:val="en-US"/>
        </w:rPr>
        <w:t xml:space="preserve"> </w:t>
      </w:r>
      <w:r w:rsidRPr="00791C81">
        <w:rPr>
          <w:sz w:val="16"/>
          <w:lang w:val="en-US"/>
        </w:rPr>
        <w:t>acute</w:t>
      </w:r>
      <w:r w:rsidRPr="00791C81">
        <w:rPr>
          <w:spacing w:val="-3"/>
          <w:sz w:val="16"/>
          <w:lang w:val="en-US"/>
        </w:rPr>
        <w:t xml:space="preserve"> </w:t>
      </w:r>
      <w:r w:rsidRPr="00791C81">
        <w:rPr>
          <w:sz w:val="16"/>
          <w:lang w:val="en-US"/>
        </w:rPr>
        <w:t>myelogenous</w:t>
      </w:r>
      <w:r w:rsidRPr="00791C81">
        <w:rPr>
          <w:spacing w:val="-2"/>
          <w:sz w:val="16"/>
          <w:lang w:val="en-US"/>
        </w:rPr>
        <w:t xml:space="preserve"> </w:t>
      </w:r>
      <w:r w:rsidRPr="00791C81">
        <w:rPr>
          <w:sz w:val="16"/>
          <w:lang w:val="en-US"/>
        </w:rPr>
        <w:t>leukemia.</w:t>
      </w:r>
      <w:r w:rsidRPr="00791C81">
        <w:rPr>
          <w:spacing w:val="-1"/>
          <w:sz w:val="16"/>
          <w:lang w:val="en-US"/>
        </w:rPr>
        <w:t xml:space="preserve"> </w:t>
      </w:r>
      <w:r>
        <w:rPr>
          <w:sz w:val="16"/>
        </w:rPr>
        <w:t>AML</w:t>
      </w:r>
      <w:r>
        <w:rPr>
          <w:spacing w:val="-6"/>
          <w:sz w:val="16"/>
        </w:rPr>
        <w:t xml:space="preserve"> </w:t>
      </w:r>
      <w:r>
        <w:rPr>
          <w:sz w:val="16"/>
        </w:rPr>
        <w:t>Cooperative</w:t>
      </w:r>
      <w:r>
        <w:rPr>
          <w:spacing w:val="-3"/>
          <w:sz w:val="16"/>
        </w:rPr>
        <w:t xml:space="preserve"> </w:t>
      </w:r>
      <w:r>
        <w:rPr>
          <w:sz w:val="16"/>
        </w:rPr>
        <w:t>Study</w:t>
      </w:r>
      <w:r>
        <w:rPr>
          <w:spacing w:val="-5"/>
          <w:sz w:val="16"/>
        </w:rPr>
        <w:t xml:space="preserve"> </w:t>
      </w:r>
      <w:r>
        <w:rPr>
          <w:sz w:val="16"/>
        </w:rPr>
        <w:t>Group</w:t>
      </w:r>
      <w:r>
        <w:rPr>
          <w:sz w:val="16"/>
        </w:rPr>
        <w:t>.</w:t>
      </w:r>
      <w:r>
        <w:rPr>
          <w:spacing w:val="-4"/>
          <w:sz w:val="16"/>
        </w:rPr>
        <w:t xml:space="preserve"> </w:t>
      </w:r>
      <w:r>
        <w:rPr>
          <w:sz w:val="16"/>
        </w:rPr>
        <w:t>N</w:t>
      </w:r>
      <w:r>
        <w:rPr>
          <w:spacing w:val="-3"/>
          <w:sz w:val="16"/>
        </w:rPr>
        <w:t xml:space="preserve"> </w:t>
      </w:r>
      <w:r>
        <w:rPr>
          <w:sz w:val="16"/>
        </w:rPr>
        <w:t>Engl</w:t>
      </w:r>
      <w:r>
        <w:rPr>
          <w:spacing w:val="-2"/>
          <w:sz w:val="16"/>
        </w:rPr>
        <w:t xml:space="preserve"> </w:t>
      </w:r>
      <w:r>
        <w:rPr>
          <w:sz w:val="16"/>
        </w:rPr>
        <w:t>J</w:t>
      </w:r>
      <w:r>
        <w:rPr>
          <w:spacing w:val="-2"/>
          <w:sz w:val="16"/>
        </w:rPr>
        <w:t xml:space="preserve"> </w:t>
      </w:r>
      <w:r>
        <w:rPr>
          <w:sz w:val="16"/>
        </w:rPr>
        <w:t>Med.</w:t>
      </w:r>
      <w:r>
        <w:rPr>
          <w:spacing w:val="-4"/>
          <w:sz w:val="16"/>
        </w:rPr>
        <w:t xml:space="preserve"> </w:t>
      </w:r>
      <w:proofErr w:type="gramStart"/>
      <w:r>
        <w:rPr>
          <w:sz w:val="16"/>
        </w:rPr>
        <w:t>1995;</w:t>
      </w:r>
      <w:proofErr w:type="gramEnd"/>
      <w:r>
        <w:rPr>
          <w:sz w:val="16"/>
        </w:rPr>
        <w:t>332(25):1678-83.</w:t>
      </w:r>
    </w:p>
    <w:p w:rsidR="00AB6593" w:rsidRDefault="00791C81">
      <w:pPr>
        <w:pStyle w:val="PargrafodaLista"/>
        <w:numPr>
          <w:ilvl w:val="0"/>
          <w:numId w:val="2"/>
        </w:numPr>
        <w:tabs>
          <w:tab w:val="left" w:pos="953"/>
        </w:tabs>
        <w:spacing w:before="1"/>
        <w:ind w:right="115" w:firstLine="566"/>
        <w:jc w:val="both"/>
        <w:rPr>
          <w:sz w:val="16"/>
        </w:rPr>
      </w:pPr>
      <w:r w:rsidRPr="00791C81">
        <w:rPr>
          <w:sz w:val="16"/>
          <w:lang w:val="en-US"/>
        </w:rPr>
        <w:t>Godwin JE, Kopecky KJ, Head DR, Willman CL, Leith CP, Hynes HE, et al. A double-blind placebo-controlled trial of granulocyte colony- stimulating</w:t>
      </w:r>
      <w:r w:rsidRPr="00791C81">
        <w:rPr>
          <w:spacing w:val="-4"/>
          <w:sz w:val="16"/>
          <w:lang w:val="en-US"/>
        </w:rPr>
        <w:t xml:space="preserve"> </w:t>
      </w:r>
      <w:r w:rsidRPr="00791C81">
        <w:rPr>
          <w:sz w:val="16"/>
          <w:lang w:val="en-US"/>
        </w:rPr>
        <w:t>factor</w:t>
      </w:r>
      <w:r w:rsidRPr="00791C81">
        <w:rPr>
          <w:spacing w:val="-6"/>
          <w:sz w:val="16"/>
          <w:lang w:val="en-US"/>
        </w:rPr>
        <w:t xml:space="preserve"> </w:t>
      </w:r>
      <w:r w:rsidRPr="00791C81">
        <w:rPr>
          <w:sz w:val="16"/>
          <w:lang w:val="en-US"/>
        </w:rPr>
        <w:t>in</w:t>
      </w:r>
      <w:r w:rsidRPr="00791C81">
        <w:rPr>
          <w:spacing w:val="-3"/>
          <w:sz w:val="16"/>
          <w:lang w:val="en-US"/>
        </w:rPr>
        <w:t xml:space="preserve"> </w:t>
      </w:r>
      <w:r w:rsidRPr="00791C81">
        <w:rPr>
          <w:sz w:val="16"/>
          <w:lang w:val="en-US"/>
        </w:rPr>
        <w:t>elderly</w:t>
      </w:r>
      <w:r w:rsidRPr="00791C81">
        <w:rPr>
          <w:spacing w:val="-6"/>
          <w:sz w:val="16"/>
          <w:lang w:val="en-US"/>
        </w:rPr>
        <w:t xml:space="preserve"> </w:t>
      </w:r>
      <w:r w:rsidRPr="00791C81">
        <w:rPr>
          <w:sz w:val="16"/>
          <w:lang w:val="en-US"/>
        </w:rPr>
        <w:t>patients</w:t>
      </w:r>
      <w:r w:rsidRPr="00791C81">
        <w:rPr>
          <w:spacing w:val="-4"/>
          <w:sz w:val="16"/>
          <w:lang w:val="en-US"/>
        </w:rPr>
        <w:t xml:space="preserve"> </w:t>
      </w:r>
      <w:r w:rsidRPr="00791C81">
        <w:rPr>
          <w:sz w:val="16"/>
          <w:lang w:val="en-US"/>
        </w:rPr>
        <w:t>with</w:t>
      </w:r>
      <w:r w:rsidRPr="00791C81">
        <w:rPr>
          <w:spacing w:val="-2"/>
          <w:sz w:val="16"/>
          <w:lang w:val="en-US"/>
        </w:rPr>
        <w:t xml:space="preserve"> </w:t>
      </w:r>
      <w:r w:rsidRPr="00791C81">
        <w:rPr>
          <w:sz w:val="16"/>
          <w:lang w:val="en-US"/>
        </w:rPr>
        <w:t>previously</w:t>
      </w:r>
      <w:r w:rsidRPr="00791C81">
        <w:rPr>
          <w:spacing w:val="-5"/>
          <w:sz w:val="16"/>
          <w:lang w:val="en-US"/>
        </w:rPr>
        <w:t xml:space="preserve"> </w:t>
      </w:r>
      <w:r w:rsidRPr="00791C81">
        <w:rPr>
          <w:sz w:val="16"/>
          <w:lang w:val="en-US"/>
        </w:rPr>
        <w:t>untreated</w:t>
      </w:r>
      <w:r w:rsidRPr="00791C81">
        <w:rPr>
          <w:spacing w:val="-2"/>
          <w:sz w:val="16"/>
          <w:lang w:val="en-US"/>
        </w:rPr>
        <w:t xml:space="preserve"> </w:t>
      </w:r>
      <w:r w:rsidRPr="00791C81">
        <w:rPr>
          <w:sz w:val="16"/>
          <w:lang w:val="en-US"/>
        </w:rPr>
        <w:t>acute</w:t>
      </w:r>
      <w:r w:rsidRPr="00791C81">
        <w:rPr>
          <w:spacing w:val="-5"/>
          <w:sz w:val="16"/>
          <w:lang w:val="en-US"/>
        </w:rPr>
        <w:t xml:space="preserve"> </w:t>
      </w:r>
      <w:r w:rsidRPr="00791C81">
        <w:rPr>
          <w:sz w:val="16"/>
          <w:lang w:val="en-US"/>
        </w:rPr>
        <w:t>myeloid</w:t>
      </w:r>
      <w:r w:rsidRPr="00791C81">
        <w:rPr>
          <w:spacing w:val="-2"/>
          <w:sz w:val="16"/>
          <w:lang w:val="en-US"/>
        </w:rPr>
        <w:t xml:space="preserve"> </w:t>
      </w:r>
      <w:r w:rsidRPr="00791C81">
        <w:rPr>
          <w:sz w:val="16"/>
          <w:lang w:val="en-US"/>
        </w:rPr>
        <w:t>leuke</w:t>
      </w:r>
      <w:r w:rsidRPr="00791C81">
        <w:rPr>
          <w:sz w:val="16"/>
          <w:lang w:val="en-US"/>
        </w:rPr>
        <w:t>mia:</w:t>
      </w:r>
      <w:r w:rsidRPr="00791C81">
        <w:rPr>
          <w:spacing w:val="-3"/>
          <w:sz w:val="16"/>
          <w:lang w:val="en-US"/>
        </w:rPr>
        <w:t xml:space="preserve"> </w:t>
      </w:r>
      <w:r w:rsidRPr="00791C81">
        <w:rPr>
          <w:sz w:val="16"/>
          <w:lang w:val="en-US"/>
        </w:rPr>
        <w:t>a</w:t>
      </w:r>
      <w:r w:rsidRPr="00791C81">
        <w:rPr>
          <w:spacing w:val="-5"/>
          <w:sz w:val="16"/>
          <w:lang w:val="en-US"/>
        </w:rPr>
        <w:t xml:space="preserve"> </w:t>
      </w:r>
      <w:r w:rsidRPr="00791C81">
        <w:rPr>
          <w:sz w:val="16"/>
          <w:lang w:val="en-US"/>
        </w:rPr>
        <w:t>Southwest</w:t>
      </w:r>
      <w:r w:rsidRPr="00791C81">
        <w:rPr>
          <w:spacing w:val="-1"/>
          <w:sz w:val="16"/>
          <w:lang w:val="en-US"/>
        </w:rPr>
        <w:t xml:space="preserve"> </w:t>
      </w:r>
      <w:r w:rsidRPr="00791C81">
        <w:rPr>
          <w:sz w:val="16"/>
          <w:lang w:val="en-US"/>
        </w:rPr>
        <w:t>oncology</w:t>
      </w:r>
      <w:r w:rsidRPr="00791C81">
        <w:rPr>
          <w:spacing w:val="-6"/>
          <w:sz w:val="16"/>
          <w:lang w:val="en-US"/>
        </w:rPr>
        <w:t xml:space="preserve"> </w:t>
      </w:r>
      <w:r w:rsidRPr="00791C81">
        <w:rPr>
          <w:sz w:val="16"/>
          <w:lang w:val="en-US"/>
        </w:rPr>
        <w:t>group</w:t>
      </w:r>
      <w:r w:rsidRPr="00791C81">
        <w:rPr>
          <w:spacing w:val="-2"/>
          <w:sz w:val="16"/>
          <w:lang w:val="en-US"/>
        </w:rPr>
        <w:t xml:space="preserve"> </w:t>
      </w:r>
      <w:r w:rsidRPr="00791C81">
        <w:rPr>
          <w:sz w:val="16"/>
          <w:lang w:val="en-US"/>
        </w:rPr>
        <w:t>study</w:t>
      </w:r>
      <w:r w:rsidRPr="00791C81">
        <w:rPr>
          <w:spacing w:val="-5"/>
          <w:sz w:val="16"/>
          <w:lang w:val="en-US"/>
        </w:rPr>
        <w:t xml:space="preserve"> </w:t>
      </w:r>
      <w:r w:rsidRPr="00791C81">
        <w:rPr>
          <w:sz w:val="16"/>
          <w:lang w:val="en-US"/>
        </w:rPr>
        <w:t>(9031).</w:t>
      </w:r>
      <w:r w:rsidRPr="00791C81">
        <w:rPr>
          <w:spacing w:val="-5"/>
          <w:sz w:val="16"/>
          <w:lang w:val="en-US"/>
        </w:rPr>
        <w:t xml:space="preserve"> </w:t>
      </w:r>
      <w:r>
        <w:rPr>
          <w:sz w:val="16"/>
        </w:rPr>
        <w:t>Blood.</w:t>
      </w:r>
      <w:r>
        <w:rPr>
          <w:spacing w:val="-2"/>
          <w:sz w:val="16"/>
        </w:rPr>
        <w:t xml:space="preserve"> </w:t>
      </w:r>
      <w:proofErr w:type="gramStart"/>
      <w:r>
        <w:rPr>
          <w:sz w:val="16"/>
        </w:rPr>
        <w:t>1998;</w:t>
      </w:r>
      <w:proofErr w:type="gramEnd"/>
      <w:r>
        <w:rPr>
          <w:sz w:val="16"/>
        </w:rPr>
        <w:t>91(10):3607-15.</w:t>
      </w:r>
    </w:p>
    <w:p w:rsidR="00AB6593" w:rsidRPr="00791C81" w:rsidRDefault="00791C81">
      <w:pPr>
        <w:pStyle w:val="PargrafodaLista"/>
        <w:numPr>
          <w:ilvl w:val="0"/>
          <w:numId w:val="2"/>
        </w:numPr>
        <w:tabs>
          <w:tab w:val="left" w:pos="953"/>
        </w:tabs>
        <w:ind w:right="118" w:firstLine="566"/>
        <w:jc w:val="both"/>
        <w:rPr>
          <w:sz w:val="16"/>
          <w:lang w:val="en-US"/>
        </w:rPr>
      </w:pPr>
      <w:r>
        <w:rPr>
          <w:sz w:val="16"/>
        </w:rPr>
        <w:t xml:space="preserve">Heil G, Hoelzer D, Sanz MA, Lechner K, Liu Yin JA, Papa G, </w:t>
      </w:r>
      <w:proofErr w:type="gramStart"/>
      <w:r>
        <w:rPr>
          <w:sz w:val="16"/>
        </w:rPr>
        <w:t>et</w:t>
      </w:r>
      <w:proofErr w:type="gramEnd"/>
      <w:r>
        <w:rPr>
          <w:sz w:val="16"/>
        </w:rPr>
        <w:t xml:space="preserve"> al. </w:t>
      </w:r>
      <w:r w:rsidRPr="00791C81">
        <w:rPr>
          <w:sz w:val="16"/>
          <w:lang w:val="en-US"/>
        </w:rPr>
        <w:t>A randomized, double-blind, placebo-controlled, phase III study of filgrastim in remission induction and consolidation therapy for adults with de novo acute myeloid leukemia. The Internation</w:t>
      </w:r>
      <w:r w:rsidRPr="00791C81">
        <w:rPr>
          <w:sz w:val="16"/>
          <w:lang w:val="en-US"/>
        </w:rPr>
        <w:t>al Acute Myeloid Leukemia Study Group.Blood. 1997</w:t>
      </w:r>
      <w:proofErr w:type="gramStart"/>
      <w:r w:rsidRPr="00791C81">
        <w:rPr>
          <w:sz w:val="16"/>
          <w:lang w:val="en-US"/>
        </w:rPr>
        <w:t>;90</w:t>
      </w:r>
      <w:proofErr w:type="gramEnd"/>
      <w:r w:rsidRPr="00791C81">
        <w:rPr>
          <w:sz w:val="16"/>
          <w:lang w:val="en-US"/>
        </w:rPr>
        <w:t>(12):4710-8.</w:t>
      </w:r>
    </w:p>
    <w:p w:rsidR="00AB6593" w:rsidRPr="00791C81" w:rsidRDefault="00791C81">
      <w:pPr>
        <w:pStyle w:val="PargrafodaLista"/>
        <w:numPr>
          <w:ilvl w:val="0"/>
          <w:numId w:val="2"/>
        </w:numPr>
        <w:tabs>
          <w:tab w:val="left" w:pos="953"/>
        </w:tabs>
        <w:ind w:right="112" w:firstLine="566"/>
        <w:jc w:val="both"/>
        <w:rPr>
          <w:sz w:val="16"/>
          <w:lang w:val="en-US"/>
        </w:rPr>
      </w:pPr>
      <w:r>
        <w:rPr>
          <w:sz w:val="16"/>
        </w:rPr>
        <w:t xml:space="preserve">Löwenberg B, Boogaerts MA, Daenen SM, Verhoef GE, Hagenbeek A, Vellenga E, </w:t>
      </w:r>
      <w:proofErr w:type="gramStart"/>
      <w:r>
        <w:rPr>
          <w:sz w:val="16"/>
        </w:rPr>
        <w:t>et</w:t>
      </w:r>
      <w:proofErr w:type="gramEnd"/>
      <w:r>
        <w:rPr>
          <w:sz w:val="16"/>
        </w:rPr>
        <w:t xml:space="preserve"> al. </w:t>
      </w:r>
      <w:r w:rsidRPr="00791C81">
        <w:rPr>
          <w:sz w:val="16"/>
          <w:lang w:val="en-US"/>
        </w:rPr>
        <w:t>Value of different modalities of granulocyte-macrophage colony-stimulating factor applied during or after ind</w:t>
      </w:r>
      <w:r w:rsidRPr="00791C81">
        <w:rPr>
          <w:sz w:val="16"/>
          <w:lang w:val="en-US"/>
        </w:rPr>
        <w:t>uction therapy of acute myeloid leukemia. J Clin Oncol.</w:t>
      </w:r>
      <w:r w:rsidRPr="00791C81">
        <w:rPr>
          <w:spacing w:val="-25"/>
          <w:sz w:val="16"/>
          <w:lang w:val="en-US"/>
        </w:rPr>
        <w:t xml:space="preserve"> </w:t>
      </w:r>
      <w:r w:rsidRPr="00791C81">
        <w:rPr>
          <w:sz w:val="16"/>
          <w:lang w:val="en-US"/>
        </w:rPr>
        <w:t>1997</w:t>
      </w:r>
      <w:proofErr w:type="gramStart"/>
      <w:r w:rsidRPr="00791C81">
        <w:rPr>
          <w:sz w:val="16"/>
          <w:lang w:val="en-US"/>
        </w:rPr>
        <w:t>;15</w:t>
      </w:r>
      <w:proofErr w:type="gramEnd"/>
      <w:r w:rsidRPr="00791C81">
        <w:rPr>
          <w:sz w:val="16"/>
          <w:lang w:val="en-US"/>
        </w:rPr>
        <w:t>(12):3496-506.</w:t>
      </w:r>
    </w:p>
    <w:p w:rsidR="00AB6593" w:rsidRPr="00791C81" w:rsidRDefault="00791C81">
      <w:pPr>
        <w:pStyle w:val="PargrafodaLista"/>
        <w:numPr>
          <w:ilvl w:val="0"/>
          <w:numId w:val="2"/>
        </w:numPr>
        <w:tabs>
          <w:tab w:val="left" w:pos="953"/>
        </w:tabs>
        <w:ind w:right="116" w:firstLine="566"/>
        <w:jc w:val="both"/>
        <w:rPr>
          <w:sz w:val="16"/>
          <w:lang w:val="en-US"/>
        </w:rPr>
      </w:pPr>
      <w:r>
        <w:rPr>
          <w:sz w:val="16"/>
        </w:rPr>
        <w:t xml:space="preserve">Löwenberg B, Suciu S, Archimbaud E, Ossenkoppele G, Verhoef GE, Vellenga E, </w:t>
      </w:r>
      <w:proofErr w:type="gramStart"/>
      <w:r>
        <w:rPr>
          <w:sz w:val="16"/>
        </w:rPr>
        <w:t>et</w:t>
      </w:r>
      <w:proofErr w:type="gramEnd"/>
      <w:r>
        <w:rPr>
          <w:sz w:val="16"/>
        </w:rPr>
        <w:t xml:space="preserve"> al. </w:t>
      </w:r>
      <w:r w:rsidRPr="00791C81">
        <w:rPr>
          <w:sz w:val="16"/>
          <w:lang w:val="en-US"/>
        </w:rPr>
        <w:t xml:space="preserve">Use of recombinant GM-CSF during and after remission induction chemotherapy in patients aged 61 years and older with acute myeloid leukemia: final report of AML-11, a phase </w:t>
      </w:r>
      <w:r w:rsidRPr="00791C81">
        <w:rPr>
          <w:sz w:val="16"/>
          <w:lang w:val="en-US"/>
        </w:rPr>
        <w:t>III randomized study of the Leukemia Cooperative Group of European Organisation for the Research and Treatment of Cancer and the Dutch Belgian Hemato-Oncology Cooperative Group. Blood. 1997</w:t>
      </w:r>
      <w:proofErr w:type="gramStart"/>
      <w:r w:rsidRPr="00791C81">
        <w:rPr>
          <w:sz w:val="16"/>
          <w:lang w:val="en-US"/>
        </w:rPr>
        <w:t>;90</w:t>
      </w:r>
      <w:proofErr w:type="gramEnd"/>
      <w:r w:rsidRPr="00791C81">
        <w:rPr>
          <w:sz w:val="16"/>
          <w:lang w:val="en-US"/>
        </w:rPr>
        <w:t>(8):2952-61.</w:t>
      </w:r>
    </w:p>
    <w:p w:rsidR="00AB6593" w:rsidRDefault="00791C81">
      <w:pPr>
        <w:pStyle w:val="PargrafodaLista"/>
        <w:numPr>
          <w:ilvl w:val="0"/>
          <w:numId w:val="2"/>
        </w:numPr>
        <w:tabs>
          <w:tab w:val="left" w:pos="953"/>
        </w:tabs>
        <w:ind w:right="115" w:firstLine="566"/>
        <w:jc w:val="both"/>
        <w:rPr>
          <w:sz w:val="16"/>
        </w:rPr>
      </w:pPr>
      <w:r w:rsidRPr="00791C81">
        <w:rPr>
          <w:sz w:val="16"/>
          <w:lang w:val="en-US"/>
        </w:rPr>
        <w:t>Rowe JM, Andersen JW, Mazza JJ, Bennett JM, Paietta</w:t>
      </w:r>
      <w:r w:rsidRPr="00791C81">
        <w:rPr>
          <w:sz w:val="16"/>
          <w:lang w:val="en-US"/>
        </w:rPr>
        <w:t xml:space="preserve"> E, Hayes FA, et al. A randomized placebo-controlled phase III study of granulocyte- macrophage colony-stimulating factor in adult patients (&gt; 55 to 70 years of age) with acute myelogenous leukemia: a study of the Eastern Cooperative Oncology Group (E1490)</w:t>
      </w:r>
      <w:r w:rsidRPr="00791C81">
        <w:rPr>
          <w:sz w:val="16"/>
          <w:lang w:val="en-US"/>
        </w:rPr>
        <w:t xml:space="preserve">. </w:t>
      </w:r>
      <w:r>
        <w:rPr>
          <w:sz w:val="16"/>
        </w:rPr>
        <w:t>Blood.</w:t>
      </w:r>
      <w:r>
        <w:rPr>
          <w:spacing w:val="-1"/>
          <w:sz w:val="16"/>
        </w:rPr>
        <w:t xml:space="preserve"> </w:t>
      </w:r>
      <w:proofErr w:type="gramStart"/>
      <w:r>
        <w:rPr>
          <w:sz w:val="16"/>
        </w:rPr>
        <w:t>1995;</w:t>
      </w:r>
      <w:proofErr w:type="gramEnd"/>
      <w:r>
        <w:rPr>
          <w:sz w:val="16"/>
        </w:rPr>
        <w:t>86(2):457-62.</w:t>
      </w:r>
    </w:p>
    <w:p w:rsidR="00AB6593" w:rsidRPr="00791C81" w:rsidRDefault="00791C81">
      <w:pPr>
        <w:pStyle w:val="PargrafodaLista"/>
        <w:numPr>
          <w:ilvl w:val="0"/>
          <w:numId w:val="2"/>
        </w:numPr>
        <w:tabs>
          <w:tab w:val="left" w:pos="953"/>
        </w:tabs>
        <w:ind w:right="116" w:firstLine="566"/>
        <w:jc w:val="both"/>
        <w:rPr>
          <w:sz w:val="16"/>
          <w:lang w:val="en-US"/>
        </w:rPr>
      </w:pPr>
      <w:r w:rsidRPr="00791C81">
        <w:rPr>
          <w:sz w:val="16"/>
          <w:lang w:val="en-US"/>
        </w:rPr>
        <w:t>Stone RM, Berg DT, George SL, Dodge RK, Paciucci PA, Schulman P, et al. Granulocyte-macrophage colony-stimulating factor after initial chemotherapy</w:t>
      </w:r>
      <w:r w:rsidRPr="00791C81">
        <w:rPr>
          <w:spacing w:val="-4"/>
          <w:sz w:val="16"/>
          <w:lang w:val="en-US"/>
        </w:rPr>
        <w:t xml:space="preserve"> </w:t>
      </w:r>
      <w:r w:rsidRPr="00791C81">
        <w:rPr>
          <w:sz w:val="16"/>
          <w:lang w:val="en-US"/>
        </w:rPr>
        <w:t>for</w:t>
      </w:r>
      <w:r w:rsidRPr="00791C81">
        <w:rPr>
          <w:spacing w:val="-2"/>
          <w:sz w:val="16"/>
          <w:lang w:val="en-US"/>
        </w:rPr>
        <w:t xml:space="preserve"> </w:t>
      </w:r>
      <w:r w:rsidRPr="00791C81">
        <w:rPr>
          <w:sz w:val="16"/>
          <w:lang w:val="en-US"/>
        </w:rPr>
        <w:t>elderly</w:t>
      </w:r>
      <w:r w:rsidRPr="00791C81">
        <w:rPr>
          <w:spacing w:val="-4"/>
          <w:sz w:val="16"/>
          <w:lang w:val="en-US"/>
        </w:rPr>
        <w:t xml:space="preserve"> </w:t>
      </w:r>
      <w:r w:rsidRPr="00791C81">
        <w:rPr>
          <w:sz w:val="16"/>
          <w:lang w:val="en-US"/>
        </w:rPr>
        <w:t>patients with</w:t>
      </w:r>
      <w:r w:rsidRPr="00791C81">
        <w:rPr>
          <w:spacing w:val="-2"/>
          <w:sz w:val="16"/>
          <w:lang w:val="en-US"/>
        </w:rPr>
        <w:t xml:space="preserve"> </w:t>
      </w:r>
      <w:r w:rsidRPr="00791C81">
        <w:rPr>
          <w:sz w:val="16"/>
          <w:lang w:val="en-US"/>
        </w:rPr>
        <w:t>primary</w:t>
      </w:r>
      <w:r w:rsidRPr="00791C81">
        <w:rPr>
          <w:spacing w:val="-5"/>
          <w:sz w:val="16"/>
          <w:lang w:val="en-US"/>
        </w:rPr>
        <w:t xml:space="preserve"> </w:t>
      </w:r>
      <w:r w:rsidRPr="00791C81">
        <w:rPr>
          <w:sz w:val="16"/>
          <w:lang w:val="en-US"/>
        </w:rPr>
        <w:t>acute</w:t>
      </w:r>
      <w:r w:rsidRPr="00791C81">
        <w:rPr>
          <w:spacing w:val="-3"/>
          <w:sz w:val="16"/>
          <w:lang w:val="en-US"/>
        </w:rPr>
        <w:t xml:space="preserve"> </w:t>
      </w:r>
      <w:r w:rsidRPr="00791C81">
        <w:rPr>
          <w:sz w:val="16"/>
          <w:lang w:val="en-US"/>
        </w:rPr>
        <w:t>myelogenous leukemia.</w:t>
      </w:r>
      <w:r w:rsidRPr="00791C81">
        <w:rPr>
          <w:spacing w:val="-3"/>
          <w:sz w:val="16"/>
          <w:lang w:val="en-US"/>
        </w:rPr>
        <w:t xml:space="preserve"> </w:t>
      </w:r>
      <w:r w:rsidRPr="00791C81">
        <w:rPr>
          <w:sz w:val="16"/>
          <w:lang w:val="en-US"/>
        </w:rPr>
        <w:t>Cancer</w:t>
      </w:r>
      <w:r w:rsidRPr="00791C81">
        <w:rPr>
          <w:spacing w:val="-2"/>
          <w:sz w:val="16"/>
          <w:lang w:val="en-US"/>
        </w:rPr>
        <w:t xml:space="preserve"> </w:t>
      </w:r>
      <w:r w:rsidRPr="00791C81">
        <w:rPr>
          <w:sz w:val="16"/>
          <w:lang w:val="en-US"/>
        </w:rPr>
        <w:t>and</w:t>
      </w:r>
      <w:r w:rsidRPr="00791C81">
        <w:rPr>
          <w:spacing w:val="-2"/>
          <w:sz w:val="16"/>
          <w:lang w:val="en-US"/>
        </w:rPr>
        <w:t xml:space="preserve"> </w:t>
      </w:r>
      <w:r w:rsidRPr="00791C81">
        <w:rPr>
          <w:sz w:val="16"/>
          <w:lang w:val="en-US"/>
        </w:rPr>
        <w:t>Leukemi</w:t>
      </w:r>
      <w:r w:rsidRPr="00791C81">
        <w:rPr>
          <w:sz w:val="16"/>
          <w:lang w:val="en-US"/>
        </w:rPr>
        <w:t>a Group</w:t>
      </w:r>
      <w:r w:rsidRPr="00791C81">
        <w:rPr>
          <w:spacing w:val="-1"/>
          <w:sz w:val="16"/>
          <w:lang w:val="en-US"/>
        </w:rPr>
        <w:t xml:space="preserve"> </w:t>
      </w:r>
      <w:r w:rsidRPr="00791C81">
        <w:rPr>
          <w:sz w:val="16"/>
          <w:lang w:val="en-US"/>
        </w:rPr>
        <w:t>B.</w:t>
      </w:r>
      <w:r w:rsidRPr="00791C81">
        <w:rPr>
          <w:spacing w:val="-3"/>
          <w:sz w:val="16"/>
          <w:lang w:val="en-US"/>
        </w:rPr>
        <w:t xml:space="preserve"> </w:t>
      </w:r>
      <w:r w:rsidRPr="00791C81">
        <w:rPr>
          <w:sz w:val="16"/>
          <w:lang w:val="en-US"/>
        </w:rPr>
        <w:t>N</w:t>
      </w:r>
      <w:r w:rsidRPr="00791C81">
        <w:rPr>
          <w:spacing w:val="-4"/>
          <w:sz w:val="16"/>
          <w:lang w:val="en-US"/>
        </w:rPr>
        <w:t xml:space="preserve"> </w:t>
      </w:r>
      <w:r w:rsidRPr="00791C81">
        <w:rPr>
          <w:sz w:val="16"/>
          <w:lang w:val="en-US"/>
        </w:rPr>
        <w:t>Engl</w:t>
      </w:r>
      <w:r w:rsidRPr="00791C81">
        <w:rPr>
          <w:spacing w:val="-2"/>
          <w:sz w:val="16"/>
          <w:lang w:val="en-US"/>
        </w:rPr>
        <w:t xml:space="preserve"> </w:t>
      </w:r>
      <w:r w:rsidRPr="00791C81">
        <w:rPr>
          <w:sz w:val="16"/>
          <w:lang w:val="en-US"/>
        </w:rPr>
        <w:t>J</w:t>
      </w:r>
      <w:r w:rsidRPr="00791C81">
        <w:rPr>
          <w:spacing w:val="-2"/>
          <w:sz w:val="16"/>
          <w:lang w:val="en-US"/>
        </w:rPr>
        <w:t xml:space="preserve"> </w:t>
      </w:r>
      <w:r w:rsidRPr="00791C81">
        <w:rPr>
          <w:sz w:val="16"/>
          <w:lang w:val="en-US"/>
        </w:rPr>
        <w:t>Med.</w:t>
      </w:r>
      <w:r w:rsidRPr="00791C81">
        <w:rPr>
          <w:spacing w:val="-3"/>
          <w:sz w:val="16"/>
          <w:lang w:val="en-US"/>
        </w:rPr>
        <w:t xml:space="preserve"> </w:t>
      </w:r>
      <w:r w:rsidRPr="00791C81">
        <w:rPr>
          <w:sz w:val="16"/>
          <w:lang w:val="en-US"/>
        </w:rPr>
        <w:t>1995</w:t>
      </w:r>
      <w:proofErr w:type="gramStart"/>
      <w:r w:rsidRPr="00791C81">
        <w:rPr>
          <w:sz w:val="16"/>
          <w:lang w:val="en-US"/>
        </w:rPr>
        <w:t>;332</w:t>
      </w:r>
      <w:proofErr w:type="gramEnd"/>
      <w:r w:rsidRPr="00791C81">
        <w:rPr>
          <w:sz w:val="16"/>
          <w:lang w:val="en-US"/>
        </w:rPr>
        <w:t>(25):1671-7.</w:t>
      </w:r>
    </w:p>
    <w:p w:rsidR="00AB6593" w:rsidRDefault="00791C81">
      <w:pPr>
        <w:pStyle w:val="PargrafodaLista"/>
        <w:numPr>
          <w:ilvl w:val="0"/>
          <w:numId w:val="2"/>
        </w:numPr>
        <w:tabs>
          <w:tab w:val="left" w:pos="953"/>
        </w:tabs>
        <w:ind w:right="110" w:firstLine="566"/>
        <w:jc w:val="both"/>
        <w:rPr>
          <w:sz w:val="16"/>
        </w:rPr>
      </w:pPr>
      <w:r w:rsidRPr="00791C81">
        <w:rPr>
          <w:sz w:val="16"/>
          <w:lang w:val="en-US"/>
        </w:rPr>
        <w:t>Witz F, Sadoun A, Perrin MC, Berthou C, Brière J, Cahn JY et al. A placebo-controlled study of recombinant human granulocyte-macrophage colony-stimulating factor administered during and after induction treatmen</w:t>
      </w:r>
      <w:r w:rsidRPr="00791C81">
        <w:rPr>
          <w:sz w:val="16"/>
          <w:lang w:val="en-US"/>
        </w:rPr>
        <w:t xml:space="preserve">t for de novo acute myelogenous leukemia in elderly patients. </w:t>
      </w:r>
      <w:r>
        <w:rPr>
          <w:sz w:val="16"/>
        </w:rPr>
        <w:t xml:space="preserve">Blood. </w:t>
      </w:r>
      <w:proofErr w:type="gramStart"/>
      <w:r>
        <w:rPr>
          <w:sz w:val="16"/>
        </w:rPr>
        <w:t>1998;</w:t>
      </w:r>
      <w:proofErr w:type="gramEnd"/>
      <w:r>
        <w:rPr>
          <w:sz w:val="16"/>
        </w:rPr>
        <w:t>91(8):2722- 30.</w:t>
      </w:r>
    </w:p>
    <w:p w:rsidR="00AB6593" w:rsidRPr="00791C81" w:rsidRDefault="00791C81">
      <w:pPr>
        <w:pStyle w:val="PargrafodaLista"/>
        <w:numPr>
          <w:ilvl w:val="0"/>
          <w:numId w:val="2"/>
        </w:numPr>
        <w:tabs>
          <w:tab w:val="left" w:pos="953"/>
        </w:tabs>
        <w:ind w:right="114" w:firstLine="566"/>
        <w:jc w:val="both"/>
        <w:rPr>
          <w:sz w:val="16"/>
          <w:lang w:val="en-US"/>
        </w:rPr>
      </w:pPr>
      <w:r w:rsidRPr="00791C81">
        <w:rPr>
          <w:sz w:val="16"/>
          <w:lang w:val="en-US"/>
        </w:rPr>
        <w:t>Zittoun R, Suciu S, Mandelli F, de Witte T, Thaler J, Stryckmans P, et al. Granulocyte-macrophage colony-stimulating factor associated with induction treatment of acu</w:t>
      </w:r>
      <w:r w:rsidRPr="00791C81">
        <w:rPr>
          <w:sz w:val="16"/>
          <w:lang w:val="en-US"/>
        </w:rPr>
        <w:t>te myelogenous leukemia: a randomized trial by the European Organization for Research and Treatment of Cancer Leukemia Cooperative Group. J Clin Oncol.</w:t>
      </w:r>
      <w:r w:rsidRPr="00791C81">
        <w:rPr>
          <w:spacing w:val="-3"/>
          <w:sz w:val="16"/>
          <w:lang w:val="en-US"/>
        </w:rPr>
        <w:t xml:space="preserve"> </w:t>
      </w:r>
      <w:r w:rsidRPr="00791C81">
        <w:rPr>
          <w:sz w:val="16"/>
          <w:lang w:val="en-US"/>
        </w:rPr>
        <w:t>1996</w:t>
      </w:r>
      <w:proofErr w:type="gramStart"/>
      <w:r w:rsidRPr="00791C81">
        <w:rPr>
          <w:sz w:val="16"/>
          <w:lang w:val="en-US"/>
        </w:rPr>
        <w:t>;14</w:t>
      </w:r>
      <w:proofErr w:type="gramEnd"/>
      <w:r w:rsidRPr="00791C81">
        <w:rPr>
          <w:sz w:val="16"/>
          <w:lang w:val="en-US"/>
        </w:rPr>
        <w:t>(7):2150-9.</w:t>
      </w:r>
    </w:p>
    <w:p w:rsidR="00AB6593" w:rsidRPr="00791C81" w:rsidRDefault="00791C81">
      <w:pPr>
        <w:pStyle w:val="PargrafodaLista"/>
        <w:numPr>
          <w:ilvl w:val="0"/>
          <w:numId w:val="2"/>
        </w:numPr>
        <w:tabs>
          <w:tab w:val="left" w:pos="953"/>
        </w:tabs>
        <w:ind w:right="119" w:firstLine="566"/>
        <w:jc w:val="both"/>
        <w:rPr>
          <w:sz w:val="16"/>
          <w:lang w:val="en-US"/>
        </w:rPr>
      </w:pPr>
      <w:r w:rsidRPr="00791C81">
        <w:rPr>
          <w:sz w:val="16"/>
          <w:lang w:val="en-US"/>
        </w:rPr>
        <w:t>Er O, Coskun HS, Altinbas M, Ozkan M, Eser B, Cetin M, et al. Meropenem +/- granulocy</w:t>
      </w:r>
      <w:r w:rsidRPr="00791C81">
        <w:rPr>
          <w:sz w:val="16"/>
          <w:lang w:val="en-US"/>
        </w:rPr>
        <w:t>te colony stimulating factor in the treatment of febrile neutropenic patients with cancer: prospective randomized study. J Chemother.</w:t>
      </w:r>
      <w:r w:rsidRPr="00791C81">
        <w:rPr>
          <w:spacing w:val="-11"/>
          <w:sz w:val="16"/>
          <w:lang w:val="en-US"/>
        </w:rPr>
        <w:t xml:space="preserve"> </w:t>
      </w:r>
      <w:r w:rsidRPr="00791C81">
        <w:rPr>
          <w:sz w:val="16"/>
          <w:lang w:val="en-US"/>
        </w:rPr>
        <w:t>2004</w:t>
      </w:r>
      <w:proofErr w:type="gramStart"/>
      <w:r w:rsidRPr="00791C81">
        <w:rPr>
          <w:sz w:val="16"/>
          <w:lang w:val="en-US"/>
        </w:rPr>
        <w:t>;16</w:t>
      </w:r>
      <w:proofErr w:type="gramEnd"/>
      <w:r w:rsidRPr="00791C81">
        <w:rPr>
          <w:sz w:val="16"/>
          <w:lang w:val="en-US"/>
        </w:rPr>
        <w:t>(3):288-92.</w:t>
      </w:r>
    </w:p>
    <w:p w:rsidR="00AB6593" w:rsidRDefault="00791C81">
      <w:pPr>
        <w:pStyle w:val="PargrafodaLista"/>
        <w:numPr>
          <w:ilvl w:val="0"/>
          <w:numId w:val="2"/>
        </w:numPr>
        <w:tabs>
          <w:tab w:val="left" w:pos="953"/>
        </w:tabs>
        <w:ind w:right="114" w:firstLine="566"/>
        <w:jc w:val="both"/>
        <w:rPr>
          <w:sz w:val="16"/>
        </w:rPr>
      </w:pPr>
      <w:r w:rsidRPr="00791C81">
        <w:rPr>
          <w:sz w:val="16"/>
          <w:lang w:val="en-US"/>
        </w:rPr>
        <w:t>Lehrnbecher T, Zimmermann M, Reinhardt D, Dworzak M, Stary J, Creutzig U. Prophylactic human granulocyt</w:t>
      </w:r>
      <w:r w:rsidRPr="00791C81">
        <w:rPr>
          <w:sz w:val="16"/>
          <w:lang w:val="en-US"/>
        </w:rPr>
        <w:t xml:space="preserve">e colony-stimulating factor after induction therapy in pediatric acute myeloid leukemia. </w:t>
      </w:r>
      <w:r>
        <w:rPr>
          <w:sz w:val="16"/>
        </w:rPr>
        <w:t>Blood.</w:t>
      </w:r>
      <w:r>
        <w:rPr>
          <w:spacing w:val="-11"/>
          <w:sz w:val="16"/>
        </w:rPr>
        <w:t xml:space="preserve"> </w:t>
      </w:r>
      <w:proofErr w:type="gramStart"/>
      <w:r>
        <w:rPr>
          <w:sz w:val="16"/>
        </w:rPr>
        <w:t>2007;</w:t>
      </w:r>
      <w:proofErr w:type="gramEnd"/>
      <w:r>
        <w:rPr>
          <w:sz w:val="16"/>
        </w:rPr>
        <w:t>109(3):936-43.</w:t>
      </w:r>
    </w:p>
    <w:p w:rsidR="00AB6593" w:rsidRDefault="00791C81">
      <w:pPr>
        <w:pStyle w:val="PargrafodaLista"/>
        <w:numPr>
          <w:ilvl w:val="0"/>
          <w:numId w:val="2"/>
        </w:numPr>
        <w:tabs>
          <w:tab w:val="left" w:pos="953"/>
        </w:tabs>
        <w:ind w:right="115" w:firstLine="566"/>
        <w:jc w:val="both"/>
        <w:rPr>
          <w:sz w:val="16"/>
        </w:rPr>
      </w:pPr>
      <w:r w:rsidRPr="00791C81">
        <w:rPr>
          <w:sz w:val="16"/>
          <w:lang w:val="en-US"/>
        </w:rPr>
        <w:t>Little MA, Morland B, Chisholm J, Hole A, Shankar A, Devine T, et al. A randomised study of prophylactic G-CSF following MRC UKALL XI intens</w:t>
      </w:r>
      <w:r w:rsidRPr="00791C81">
        <w:rPr>
          <w:sz w:val="16"/>
          <w:lang w:val="en-US"/>
        </w:rPr>
        <w:t xml:space="preserve">ification regimen in childhood ALL and T-NHL. </w:t>
      </w:r>
      <w:r>
        <w:rPr>
          <w:sz w:val="16"/>
        </w:rPr>
        <w:t>Med Pediatr Oncol.</w:t>
      </w:r>
      <w:r>
        <w:rPr>
          <w:spacing w:val="-8"/>
          <w:sz w:val="16"/>
        </w:rPr>
        <w:t xml:space="preserve"> </w:t>
      </w:r>
      <w:proofErr w:type="gramStart"/>
      <w:r>
        <w:rPr>
          <w:sz w:val="16"/>
        </w:rPr>
        <w:t>2002;</w:t>
      </w:r>
      <w:proofErr w:type="gramEnd"/>
      <w:r>
        <w:rPr>
          <w:sz w:val="16"/>
        </w:rPr>
        <w:t>38(2):98-103.</w:t>
      </w:r>
    </w:p>
    <w:p w:rsidR="00AB6593" w:rsidRDefault="00791C81">
      <w:pPr>
        <w:pStyle w:val="PargrafodaLista"/>
        <w:numPr>
          <w:ilvl w:val="0"/>
          <w:numId w:val="2"/>
        </w:numPr>
        <w:tabs>
          <w:tab w:val="left" w:pos="953"/>
        </w:tabs>
        <w:ind w:right="114" w:firstLine="566"/>
        <w:jc w:val="both"/>
        <w:rPr>
          <w:sz w:val="16"/>
        </w:rPr>
      </w:pPr>
      <w:r w:rsidRPr="00791C81">
        <w:rPr>
          <w:sz w:val="16"/>
          <w:lang w:val="en-US"/>
        </w:rPr>
        <w:t xml:space="preserve">Ozkaynak MF, Krailo M, Chen Z, Feusner J. Randomized comparison of antibiotics with and without granulocyte colony-stimulating factor in children with chemotherapy-induced </w:t>
      </w:r>
      <w:r w:rsidRPr="00791C81">
        <w:rPr>
          <w:sz w:val="16"/>
          <w:lang w:val="en-US"/>
        </w:rPr>
        <w:t xml:space="preserve">febrile neutropenia: a report from the Children's Oncology Group. </w:t>
      </w:r>
      <w:r>
        <w:rPr>
          <w:sz w:val="16"/>
        </w:rPr>
        <w:t>Pediatr Blood Cancer.</w:t>
      </w:r>
      <w:r>
        <w:rPr>
          <w:spacing w:val="-26"/>
          <w:sz w:val="16"/>
        </w:rPr>
        <w:t xml:space="preserve"> </w:t>
      </w:r>
      <w:proofErr w:type="gramStart"/>
      <w:r>
        <w:rPr>
          <w:sz w:val="16"/>
        </w:rPr>
        <w:t>2005;</w:t>
      </w:r>
      <w:proofErr w:type="gramEnd"/>
      <w:r>
        <w:rPr>
          <w:sz w:val="16"/>
        </w:rPr>
        <w:t>45(3):274-80.</w:t>
      </w:r>
    </w:p>
    <w:p w:rsidR="00AB6593" w:rsidRPr="00791C81" w:rsidRDefault="00791C81">
      <w:pPr>
        <w:pStyle w:val="PargrafodaLista"/>
        <w:numPr>
          <w:ilvl w:val="0"/>
          <w:numId w:val="2"/>
        </w:numPr>
        <w:tabs>
          <w:tab w:val="left" w:pos="953"/>
        </w:tabs>
        <w:ind w:right="117" w:firstLine="566"/>
        <w:jc w:val="both"/>
        <w:rPr>
          <w:sz w:val="16"/>
          <w:lang w:val="en-US"/>
        </w:rPr>
      </w:pPr>
      <w:r w:rsidRPr="00791C81">
        <w:rPr>
          <w:sz w:val="16"/>
          <w:lang w:val="en-US"/>
        </w:rPr>
        <w:t xml:space="preserve">Patte C, Laplanche A, Bertozzi </w:t>
      </w:r>
      <w:r w:rsidRPr="00791C81">
        <w:rPr>
          <w:spacing w:val="-3"/>
          <w:sz w:val="16"/>
          <w:lang w:val="en-US"/>
        </w:rPr>
        <w:t xml:space="preserve">AI, </w:t>
      </w:r>
      <w:r w:rsidRPr="00791C81">
        <w:rPr>
          <w:sz w:val="16"/>
          <w:lang w:val="en-US"/>
        </w:rPr>
        <w:t>Baruchel A, Frappaz D, Schmitt C, et al. Granulocyte colony-stimulating factor in induction treatment of children with non-Hodgkin's lymphoma: a randomized study of the French Society of Pediatric Oncology. J Clin Oncol.</w:t>
      </w:r>
      <w:r w:rsidRPr="00791C81">
        <w:rPr>
          <w:spacing w:val="-20"/>
          <w:sz w:val="16"/>
          <w:lang w:val="en-US"/>
        </w:rPr>
        <w:t xml:space="preserve"> </w:t>
      </w:r>
      <w:r w:rsidRPr="00791C81">
        <w:rPr>
          <w:sz w:val="16"/>
          <w:lang w:val="en-US"/>
        </w:rPr>
        <w:t>2002</w:t>
      </w:r>
      <w:proofErr w:type="gramStart"/>
      <w:r w:rsidRPr="00791C81">
        <w:rPr>
          <w:sz w:val="16"/>
          <w:lang w:val="en-US"/>
        </w:rPr>
        <w:t>;20</w:t>
      </w:r>
      <w:proofErr w:type="gramEnd"/>
      <w:r w:rsidRPr="00791C81">
        <w:rPr>
          <w:sz w:val="16"/>
          <w:lang w:val="en-US"/>
        </w:rPr>
        <w:t>(2):441-8.</w:t>
      </w:r>
    </w:p>
    <w:p w:rsidR="00AB6593" w:rsidRPr="00791C81" w:rsidRDefault="00791C81">
      <w:pPr>
        <w:pStyle w:val="PargrafodaLista"/>
        <w:numPr>
          <w:ilvl w:val="0"/>
          <w:numId w:val="2"/>
        </w:numPr>
        <w:tabs>
          <w:tab w:val="left" w:pos="953"/>
        </w:tabs>
        <w:ind w:right="117" w:firstLine="566"/>
        <w:jc w:val="both"/>
        <w:rPr>
          <w:sz w:val="16"/>
          <w:lang w:val="en-US"/>
        </w:rPr>
      </w:pPr>
      <w:r>
        <w:rPr>
          <w:sz w:val="16"/>
        </w:rPr>
        <w:t>Rodriguez ZN, Tor</w:t>
      </w:r>
      <w:r>
        <w:rPr>
          <w:sz w:val="16"/>
        </w:rPr>
        <w:t xml:space="preserve">decilla CJ, Campbell BM, Joannon SP, Rizzardini LC, Soto AV, </w:t>
      </w:r>
      <w:proofErr w:type="gramStart"/>
      <w:r>
        <w:rPr>
          <w:sz w:val="16"/>
        </w:rPr>
        <w:t>et</w:t>
      </w:r>
      <w:proofErr w:type="gramEnd"/>
      <w:r>
        <w:rPr>
          <w:sz w:val="16"/>
        </w:rPr>
        <w:t xml:space="preserve"> al. </w:t>
      </w:r>
      <w:r w:rsidRPr="00791C81">
        <w:rPr>
          <w:sz w:val="16"/>
          <w:lang w:val="en-US"/>
        </w:rPr>
        <w:t>[Usefulness of G-CSF in pediatric high risk cancer patients with fever and neutropenia]. Rev Chilena Infectol.</w:t>
      </w:r>
      <w:r w:rsidRPr="00791C81">
        <w:rPr>
          <w:spacing w:val="-4"/>
          <w:sz w:val="16"/>
          <w:lang w:val="en-US"/>
        </w:rPr>
        <w:t xml:space="preserve"> </w:t>
      </w:r>
      <w:r w:rsidRPr="00791C81">
        <w:rPr>
          <w:sz w:val="16"/>
          <w:lang w:val="en-US"/>
        </w:rPr>
        <w:t>2005</w:t>
      </w:r>
      <w:proofErr w:type="gramStart"/>
      <w:r w:rsidRPr="00791C81">
        <w:rPr>
          <w:sz w:val="16"/>
          <w:lang w:val="en-US"/>
        </w:rPr>
        <w:t>;22</w:t>
      </w:r>
      <w:proofErr w:type="gramEnd"/>
      <w:r w:rsidRPr="00791C81">
        <w:rPr>
          <w:sz w:val="16"/>
          <w:lang w:val="en-US"/>
        </w:rPr>
        <w:t>(3):223-7.</w:t>
      </w:r>
    </w:p>
    <w:p w:rsidR="00AB6593" w:rsidRPr="00791C81" w:rsidRDefault="00791C81">
      <w:pPr>
        <w:pStyle w:val="PargrafodaLista"/>
        <w:numPr>
          <w:ilvl w:val="0"/>
          <w:numId w:val="2"/>
        </w:numPr>
        <w:tabs>
          <w:tab w:val="left" w:pos="953"/>
        </w:tabs>
        <w:ind w:right="112" w:firstLine="566"/>
        <w:jc w:val="both"/>
        <w:rPr>
          <w:sz w:val="16"/>
          <w:lang w:val="en-US"/>
        </w:rPr>
      </w:pPr>
      <w:r w:rsidRPr="00791C81">
        <w:rPr>
          <w:sz w:val="16"/>
          <w:lang w:val="en-US"/>
        </w:rPr>
        <w:t xml:space="preserve">Thomas X, Boiron JM, Huguet F, Reman O, Sutton </w:t>
      </w:r>
      <w:r w:rsidRPr="00791C81">
        <w:rPr>
          <w:spacing w:val="-3"/>
          <w:sz w:val="16"/>
          <w:lang w:val="en-US"/>
        </w:rPr>
        <w:t xml:space="preserve">L, </w:t>
      </w:r>
      <w:proofErr w:type="gramStart"/>
      <w:r w:rsidRPr="00791C81">
        <w:rPr>
          <w:sz w:val="16"/>
          <w:lang w:val="en-US"/>
        </w:rPr>
        <w:t>Turlure</w:t>
      </w:r>
      <w:proofErr w:type="gramEnd"/>
      <w:r w:rsidRPr="00791C81">
        <w:rPr>
          <w:sz w:val="16"/>
          <w:lang w:val="en-US"/>
        </w:rPr>
        <w:t xml:space="preserve"> P</w:t>
      </w:r>
      <w:r w:rsidRPr="00791C81">
        <w:rPr>
          <w:sz w:val="16"/>
          <w:lang w:val="en-US"/>
        </w:rPr>
        <w:t>, et al. Efficacy of granulocyte and granulocyte-macrophage colony-stimulating factors in the induction treatment of adult acute lymphoblastic leukemia: a multicenter randomized study. Hematol J.</w:t>
      </w:r>
      <w:r w:rsidRPr="00791C81">
        <w:rPr>
          <w:spacing w:val="-19"/>
          <w:sz w:val="16"/>
          <w:lang w:val="en-US"/>
        </w:rPr>
        <w:t xml:space="preserve"> </w:t>
      </w:r>
      <w:r w:rsidRPr="00791C81">
        <w:rPr>
          <w:sz w:val="16"/>
          <w:lang w:val="en-US"/>
        </w:rPr>
        <w:t>2004</w:t>
      </w:r>
      <w:proofErr w:type="gramStart"/>
      <w:r w:rsidRPr="00791C81">
        <w:rPr>
          <w:sz w:val="16"/>
          <w:lang w:val="en-US"/>
        </w:rPr>
        <w:t>;5</w:t>
      </w:r>
      <w:proofErr w:type="gramEnd"/>
      <w:r w:rsidRPr="00791C81">
        <w:rPr>
          <w:sz w:val="16"/>
          <w:lang w:val="en-US"/>
        </w:rPr>
        <w:t>(5):384-94.</w:t>
      </w:r>
    </w:p>
    <w:p w:rsidR="00AB6593" w:rsidRPr="00791C81" w:rsidRDefault="00791C81">
      <w:pPr>
        <w:pStyle w:val="PargrafodaLista"/>
        <w:numPr>
          <w:ilvl w:val="0"/>
          <w:numId w:val="2"/>
        </w:numPr>
        <w:tabs>
          <w:tab w:val="left" w:pos="953"/>
        </w:tabs>
        <w:ind w:right="115" w:firstLine="566"/>
        <w:jc w:val="both"/>
        <w:rPr>
          <w:sz w:val="16"/>
          <w:lang w:val="en-US"/>
        </w:rPr>
      </w:pPr>
      <w:r w:rsidRPr="00791C81">
        <w:rPr>
          <w:sz w:val="16"/>
          <w:lang w:val="en-US"/>
        </w:rPr>
        <w:t>Berghmans T, Paesmans M, Lafitte JJ, Masca</w:t>
      </w:r>
      <w:r w:rsidRPr="00791C81">
        <w:rPr>
          <w:sz w:val="16"/>
          <w:lang w:val="en-US"/>
        </w:rPr>
        <w:t>ux C, Meert AP, Jacquy C, et al. Therapeutic use of granulocyte and granulocyte-macrophage colony- stimulating</w:t>
      </w:r>
      <w:r w:rsidRPr="00791C81">
        <w:rPr>
          <w:spacing w:val="-3"/>
          <w:sz w:val="16"/>
          <w:lang w:val="en-US"/>
        </w:rPr>
        <w:t xml:space="preserve"> </w:t>
      </w:r>
      <w:r w:rsidRPr="00791C81">
        <w:rPr>
          <w:sz w:val="16"/>
          <w:lang w:val="en-US"/>
        </w:rPr>
        <w:t>factors</w:t>
      </w:r>
      <w:r w:rsidRPr="00791C81">
        <w:rPr>
          <w:spacing w:val="-3"/>
          <w:sz w:val="16"/>
          <w:lang w:val="en-US"/>
        </w:rPr>
        <w:t xml:space="preserve"> </w:t>
      </w:r>
      <w:r w:rsidRPr="00791C81">
        <w:rPr>
          <w:sz w:val="16"/>
          <w:lang w:val="en-US"/>
        </w:rPr>
        <w:t>in</w:t>
      </w:r>
      <w:r w:rsidRPr="00791C81">
        <w:rPr>
          <w:spacing w:val="-3"/>
          <w:sz w:val="16"/>
          <w:lang w:val="en-US"/>
        </w:rPr>
        <w:t xml:space="preserve"> </w:t>
      </w:r>
      <w:r w:rsidRPr="00791C81">
        <w:rPr>
          <w:sz w:val="16"/>
          <w:lang w:val="en-US"/>
        </w:rPr>
        <w:t>febrile</w:t>
      </w:r>
      <w:r w:rsidRPr="00791C81">
        <w:rPr>
          <w:spacing w:val="-3"/>
          <w:sz w:val="16"/>
          <w:lang w:val="en-US"/>
        </w:rPr>
        <w:t xml:space="preserve"> </w:t>
      </w:r>
      <w:r w:rsidRPr="00791C81">
        <w:rPr>
          <w:sz w:val="16"/>
          <w:lang w:val="en-US"/>
        </w:rPr>
        <w:t>neutropenic</w:t>
      </w:r>
      <w:r w:rsidRPr="00791C81">
        <w:rPr>
          <w:spacing w:val="-1"/>
          <w:sz w:val="16"/>
          <w:lang w:val="en-US"/>
        </w:rPr>
        <w:t xml:space="preserve"> </w:t>
      </w:r>
      <w:r w:rsidRPr="00791C81">
        <w:rPr>
          <w:sz w:val="16"/>
          <w:lang w:val="en-US"/>
        </w:rPr>
        <w:t>cancer</w:t>
      </w:r>
      <w:r w:rsidRPr="00791C81">
        <w:rPr>
          <w:spacing w:val="-2"/>
          <w:sz w:val="16"/>
          <w:lang w:val="en-US"/>
        </w:rPr>
        <w:t xml:space="preserve"> </w:t>
      </w:r>
      <w:r w:rsidRPr="00791C81">
        <w:rPr>
          <w:sz w:val="16"/>
          <w:lang w:val="en-US"/>
        </w:rPr>
        <w:t>patients.A</w:t>
      </w:r>
      <w:r w:rsidRPr="00791C81">
        <w:rPr>
          <w:spacing w:val="-4"/>
          <w:sz w:val="16"/>
          <w:lang w:val="en-US"/>
        </w:rPr>
        <w:t xml:space="preserve"> </w:t>
      </w:r>
      <w:r w:rsidRPr="00791C81">
        <w:rPr>
          <w:sz w:val="16"/>
          <w:lang w:val="en-US"/>
        </w:rPr>
        <w:t>systematic</w:t>
      </w:r>
      <w:r w:rsidRPr="00791C81">
        <w:rPr>
          <w:spacing w:val="-1"/>
          <w:sz w:val="16"/>
          <w:lang w:val="en-US"/>
        </w:rPr>
        <w:t xml:space="preserve"> </w:t>
      </w:r>
      <w:r w:rsidRPr="00791C81">
        <w:rPr>
          <w:sz w:val="16"/>
          <w:lang w:val="en-US"/>
        </w:rPr>
        <w:t>review</w:t>
      </w:r>
      <w:r w:rsidRPr="00791C81">
        <w:rPr>
          <w:spacing w:val="-4"/>
          <w:sz w:val="16"/>
          <w:lang w:val="en-US"/>
        </w:rPr>
        <w:t xml:space="preserve"> </w:t>
      </w:r>
      <w:r w:rsidRPr="00791C81">
        <w:rPr>
          <w:sz w:val="16"/>
          <w:lang w:val="en-US"/>
        </w:rPr>
        <w:t>of</w:t>
      </w:r>
      <w:r w:rsidRPr="00791C81">
        <w:rPr>
          <w:spacing w:val="-3"/>
          <w:sz w:val="16"/>
          <w:lang w:val="en-US"/>
        </w:rPr>
        <w:t xml:space="preserve"> </w:t>
      </w:r>
      <w:r w:rsidRPr="00791C81">
        <w:rPr>
          <w:sz w:val="16"/>
          <w:lang w:val="en-US"/>
        </w:rPr>
        <w:t>the</w:t>
      </w:r>
      <w:r w:rsidRPr="00791C81">
        <w:rPr>
          <w:spacing w:val="-3"/>
          <w:sz w:val="16"/>
          <w:lang w:val="en-US"/>
        </w:rPr>
        <w:t xml:space="preserve"> </w:t>
      </w:r>
      <w:r w:rsidRPr="00791C81">
        <w:rPr>
          <w:sz w:val="16"/>
          <w:lang w:val="en-US"/>
        </w:rPr>
        <w:t>literature</w:t>
      </w:r>
      <w:r w:rsidRPr="00791C81">
        <w:rPr>
          <w:spacing w:val="-4"/>
          <w:sz w:val="16"/>
          <w:lang w:val="en-US"/>
        </w:rPr>
        <w:t xml:space="preserve"> </w:t>
      </w:r>
      <w:r w:rsidRPr="00791C81">
        <w:rPr>
          <w:sz w:val="16"/>
          <w:lang w:val="en-US"/>
        </w:rPr>
        <w:t>with</w:t>
      </w:r>
      <w:r w:rsidRPr="00791C81">
        <w:rPr>
          <w:spacing w:val="-2"/>
          <w:sz w:val="16"/>
          <w:lang w:val="en-US"/>
        </w:rPr>
        <w:t xml:space="preserve"> </w:t>
      </w:r>
      <w:r w:rsidRPr="00791C81">
        <w:rPr>
          <w:sz w:val="16"/>
          <w:lang w:val="en-US"/>
        </w:rPr>
        <w:t>meta-analysis.</w:t>
      </w:r>
      <w:r w:rsidRPr="00791C81">
        <w:rPr>
          <w:spacing w:val="-1"/>
          <w:sz w:val="16"/>
          <w:lang w:val="en-US"/>
        </w:rPr>
        <w:t xml:space="preserve"> </w:t>
      </w:r>
      <w:r w:rsidRPr="00791C81">
        <w:rPr>
          <w:sz w:val="16"/>
          <w:lang w:val="en-US"/>
        </w:rPr>
        <w:t>Support</w:t>
      </w:r>
      <w:r w:rsidRPr="00791C81">
        <w:rPr>
          <w:spacing w:val="-2"/>
          <w:sz w:val="16"/>
          <w:lang w:val="en-US"/>
        </w:rPr>
        <w:t xml:space="preserve"> </w:t>
      </w:r>
      <w:r w:rsidRPr="00791C81">
        <w:rPr>
          <w:sz w:val="16"/>
          <w:lang w:val="en-US"/>
        </w:rPr>
        <w:t>Care</w:t>
      </w:r>
      <w:r w:rsidRPr="00791C81">
        <w:rPr>
          <w:spacing w:val="-5"/>
          <w:sz w:val="16"/>
          <w:lang w:val="en-US"/>
        </w:rPr>
        <w:t xml:space="preserve"> </w:t>
      </w:r>
      <w:r w:rsidRPr="00791C81">
        <w:rPr>
          <w:sz w:val="16"/>
          <w:lang w:val="en-US"/>
        </w:rPr>
        <w:t>Cancer.</w:t>
      </w:r>
      <w:r w:rsidRPr="00791C81">
        <w:rPr>
          <w:spacing w:val="-4"/>
          <w:sz w:val="16"/>
          <w:lang w:val="en-US"/>
        </w:rPr>
        <w:t xml:space="preserve"> </w:t>
      </w:r>
      <w:r w:rsidRPr="00791C81">
        <w:rPr>
          <w:sz w:val="16"/>
          <w:lang w:val="en-US"/>
        </w:rPr>
        <w:t>2002</w:t>
      </w:r>
      <w:proofErr w:type="gramStart"/>
      <w:r w:rsidRPr="00791C81">
        <w:rPr>
          <w:sz w:val="16"/>
          <w:lang w:val="en-US"/>
        </w:rPr>
        <w:t>;10</w:t>
      </w:r>
      <w:proofErr w:type="gramEnd"/>
      <w:r w:rsidRPr="00791C81">
        <w:rPr>
          <w:sz w:val="16"/>
          <w:lang w:val="en-US"/>
        </w:rPr>
        <w:t>(3):181-8.</w:t>
      </w:r>
    </w:p>
    <w:p w:rsidR="00AB6593" w:rsidRDefault="00791C81">
      <w:pPr>
        <w:pStyle w:val="PargrafodaLista"/>
        <w:numPr>
          <w:ilvl w:val="0"/>
          <w:numId w:val="2"/>
        </w:numPr>
        <w:tabs>
          <w:tab w:val="left" w:pos="953"/>
        </w:tabs>
        <w:spacing w:before="1"/>
        <w:ind w:right="114" w:firstLine="566"/>
        <w:jc w:val="both"/>
        <w:rPr>
          <w:sz w:val="16"/>
        </w:rPr>
      </w:pPr>
      <w:r w:rsidRPr="00791C81">
        <w:rPr>
          <w:sz w:val="16"/>
          <w:lang w:val="en-US"/>
        </w:rPr>
        <w:t xml:space="preserve">Bohlius J, Reiser M, Schwarzer G, Engert A. Impact of granulocyte colony-stimulating factor (CSF) and granulocyte-macrophage CSF in patients with malignant lymphoma: a systematic review. </w:t>
      </w:r>
      <w:proofErr w:type="gramStart"/>
      <w:r>
        <w:rPr>
          <w:sz w:val="16"/>
        </w:rPr>
        <w:t>Br</w:t>
      </w:r>
      <w:proofErr w:type="gramEnd"/>
      <w:r>
        <w:rPr>
          <w:sz w:val="16"/>
        </w:rPr>
        <w:t xml:space="preserve"> J Haematol.</w:t>
      </w:r>
      <w:r>
        <w:rPr>
          <w:spacing w:val="-4"/>
          <w:sz w:val="16"/>
        </w:rPr>
        <w:t xml:space="preserve"> </w:t>
      </w:r>
      <w:proofErr w:type="gramStart"/>
      <w:r>
        <w:rPr>
          <w:sz w:val="16"/>
        </w:rPr>
        <w:t>2003;</w:t>
      </w:r>
      <w:proofErr w:type="gramEnd"/>
      <w:r>
        <w:rPr>
          <w:sz w:val="16"/>
        </w:rPr>
        <w:t>122(3):413-23.</w:t>
      </w:r>
    </w:p>
    <w:p w:rsidR="00AB6593" w:rsidRDefault="00791C81">
      <w:pPr>
        <w:pStyle w:val="PargrafodaLista"/>
        <w:numPr>
          <w:ilvl w:val="0"/>
          <w:numId w:val="2"/>
        </w:numPr>
        <w:tabs>
          <w:tab w:val="left" w:pos="953"/>
        </w:tabs>
        <w:ind w:right="117" w:firstLine="566"/>
        <w:jc w:val="both"/>
        <w:rPr>
          <w:sz w:val="16"/>
        </w:rPr>
      </w:pPr>
      <w:r w:rsidRPr="00791C81">
        <w:rPr>
          <w:sz w:val="16"/>
          <w:lang w:val="en-US"/>
        </w:rPr>
        <w:t xml:space="preserve">Bohlius J, Reiser M, Schwarzer G, </w:t>
      </w:r>
      <w:r w:rsidRPr="00791C81">
        <w:rPr>
          <w:sz w:val="16"/>
          <w:lang w:val="en-US"/>
        </w:rPr>
        <w:t xml:space="preserve">Engert A. Granulopoiesis-stimulating factors to prevent adverse effects in the treatment of malignant lymphoma. </w:t>
      </w:r>
      <w:r>
        <w:rPr>
          <w:sz w:val="16"/>
        </w:rPr>
        <w:t>Cochrane Database Syst Rev.</w:t>
      </w:r>
      <w:r>
        <w:rPr>
          <w:spacing w:val="-3"/>
          <w:sz w:val="16"/>
        </w:rPr>
        <w:t xml:space="preserve"> </w:t>
      </w:r>
      <w:proofErr w:type="gramStart"/>
      <w:r>
        <w:rPr>
          <w:sz w:val="16"/>
        </w:rPr>
        <w:t>2002;</w:t>
      </w:r>
      <w:proofErr w:type="gramEnd"/>
      <w:r>
        <w:rPr>
          <w:sz w:val="16"/>
        </w:rPr>
        <w:t>(4):CD003189.</w:t>
      </w:r>
    </w:p>
    <w:p w:rsidR="00AB6593" w:rsidRDefault="00791C81">
      <w:pPr>
        <w:pStyle w:val="PargrafodaLista"/>
        <w:numPr>
          <w:ilvl w:val="0"/>
          <w:numId w:val="2"/>
        </w:numPr>
        <w:tabs>
          <w:tab w:val="left" w:pos="953"/>
        </w:tabs>
        <w:ind w:right="112" w:firstLine="566"/>
        <w:jc w:val="both"/>
        <w:rPr>
          <w:sz w:val="16"/>
        </w:rPr>
      </w:pPr>
      <w:r w:rsidRPr="00791C81">
        <w:rPr>
          <w:sz w:val="16"/>
          <w:lang w:val="en-US"/>
        </w:rPr>
        <w:t xml:space="preserve">Clark OA, Lyman G, Castro AA, Clark </w:t>
      </w:r>
      <w:r w:rsidRPr="00791C81">
        <w:rPr>
          <w:spacing w:val="-3"/>
          <w:sz w:val="16"/>
          <w:lang w:val="en-US"/>
        </w:rPr>
        <w:t xml:space="preserve">LG, </w:t>
      </w:r>
      <w:r w:rsidRPr="00791C81">
        <w:rPr>
          <w:sz w:val="16"/>
          <w:lang w:val="en-US"/>
        </w:rPr>
        <w:t>Djulbegovic B. Colony stimulating factors for chemotherap</w:t>
      </w:r>
      <w:r w:rsidRPr="00791C81">
        <w:rPr>
          <w:sz w:val="16"/>
          <w:lang w:val="en-US"/>
        </w:rPr>
        <w:t xml:space="preserve">y induced febrile neutropenia. </w:t>
      </w:r>
      <w:r>
        <w:rPr>
          <w:sz w:val="16"/>
        </w:rPr>
        <w:t>Cochrane Database Syst Rev.</w:t>
      </w:r>
      <w:r>
        <w:rPr>
          <w:spacing w:val="-1"/>
          <w:sz w:val="16"/>
        </w:rPr>
        <w:t xml:space="preserve"> </w:t>
      </w:r>
      <w:proofErr w:type="gramStart"/>
      <w:r>
        <w:rPr>
          <w:sz w:val="16"/>
        </w:rPr>
        <w:t>2003(3):</w:t>
      </w:r>
      <w:proofErr w:type="gramEnd"/>
      <w:r>
        <w:rPr>
          <w:sz w:val="16"/>
        </w:rPr>
        <w:t>CD003039.</w:t>
      </w:r>
    </w:p>
    <w:p w:rsidR="00AB6593" w:rsidRDefault="00791C81">
      <w:pPr>
        <w:pStyle w:val="PargrafodaLista"/>
        <w:numPr>
          <w:ilvl w:val="0"/>
          <w:numId w:val="2"/>
        </w:numPr>
        <w:tabs>
          <w:tab w:val="left" w:pos="953"/>
        </w:tabs>
        <w:ind w:right="113" w:firstLine="566"/>
        <w:jc w:val="both"/>
        <w:rPr>
          <w:sz w:val="16"/>
        </w:rPr>
      </w:pPr>
      <w:r w:rsidRPr="00791C81">
        <w:rPr>
          <w:sz w:val="16"/>
          <w:lang w:val="en-US"/>
        </w:rPr>
        <w:t xml:space="preserve">Lyman GH, Kuderer NM, Djulbegovic B. Prophylactic granulocyte colony-stimulating factor in patients receiving dose-intensive cancer chemotherapy: a meta-analysis. </w:t>
      </w:r>
      <w:proofErr w:type="gramStart"/>
      <w:r>
        <w:rPr>
          <w:sz w:val="16"/>
        </w:rPr>
        <w:t>Am</w:t>
      </w:r>
      <w:proofErr w:type="gramEnd"/>
      <w:r>
        <w:rPr>
          <w:sz w:val="16"/>
        </w:rPr>
        <w:t xml:space="preserve"> J Med.</w:t>
      </w:r>
      <w:r>
        <w:rPr>
          <w:spacing w:val="-3"/>
          <w:sz w:val="16"/>
        </w:rPr>
        <w:t xml:space="preserve"> </w:t>
      </w:r>
      <w:r>
        <w:rPr>
          <w:sz w:val="16"/>
        </w:rPr>
        <w:t>2002;1</w:t>
      </w:r>
      <w:r>
        <w:rPr>
          <w:sz w:val="16"/>
        </w:rPr>
        <w:t>12(5):406-11.</w:t>
      </w:r>
    </w:p>
    <w:p w:rsidR="00AB6593" w:rsidRDefault="00791C81">
      <w:pPr>
        <w:pStyle w:val="PargrafodaLista"/>
        <w:numPr>
          <w:ilvl w:val="0"/>
          <w:numId w:val="2"/>
        </w:numPr>
        <w:tabs>
          <w:tab w:val="left" w:pos="953"/>
        </w:tabs>
        <w:ind w:right="121" w:firstLine="566"/>
        <w:jc w:val="both"/>
        <w:rPr>
          <w:sz w:val="16"/>
        </w:rPr>
      </w:pPr>
      <w:r w:rsidRPr="00791C81">
        <w:rPr>
          <w:sz w:val="16"/>
          <w:lang w:val="en-US"/>
        </w:rPr>
        <w:t xml:space="preserve">Sasse EC, Sasse AD, Brandalise S, Clark OA, Richards S. Colony stimulating factors for prevention of myelosupressive therapy induced febrile neutropenia in children with acute lymphoblastic leukaemia. </w:t>
      </w:r>
      <w:r>
        <w:rPr>
          <w:sz w:val="16"/>
        </w:rPr>
        <w:t>Cochrane Database Syst Rev.</w:t>
      </w:r>
      <w:r>
        <w:rPr>
          <w:spacing w:val="-15"/>
          <w:sz w:val="16"/>
        </w:rPr>
        <w:t xml:space="preserve"> </w:t>
      </w:r>
      <w:proofErr w:type="gramStart"/>
      <w:r>
        <w:rPr>
          <w:sz w:val="16"/>
        </w:rPr>
        <w:t>2005(3):</w:t>
      </w:r>
      <w:proofErr w:type="gramEnd"/>
      <w:r>
        <w:rPr>
          <w:sz w:val="16"/>
        </w:rPr>
        <w:t>CD004</w:t>
      </w:r>
      <w:r>
        <w:rPr>
          <w:sz w:val="16"/>
        </w:rPr>
        <w:t>139.</w:t>
      </w:r>
    </w:p>
    <w:p w:rsidR="00AB6593" w:rsidRDefault="00791C81">
      <w:pPr>
        <w:pStyle w:val="PargrafodaLista"/>
        <w:numPr>
          <w:ilvl w:val="0"/>
          <w:numId w:val="2"/>
        </w:numPr>
        <w:tabs>
          <w:tab w:val="left" w:pos="953"/>
        </w:tabs>
        <w:ind w:right="115" w:firstLine="566"/>
        <w:jc w:val="both"/>
        <w:rPr>
          <w:sz w:val="16"/>
        </w:rPr>
      </w:pPr>
      <w:r w:rsidRPr="00791C81">
        <w:rPr>
          <w:sz w:val="16"/>
          <w:lang w:val="en-US"/>
        </w:rPr>
        <w:t xml:space="preserve">Sung </w:t>
      </w:r>
      <w:r w:rsidRPr="00791C81">
        <w:rPr>
          <w:spacing w:val="-3"/>
          <w:sz w:val="16"/>
          <w:lang w:val="en-US"/>
        </w:rPr>
        <w:t xml:space="preserve">L, </w:t>
      </w:r>
      <w:r w:rsidRPr="00791C81">
        <w:rPr>
          <w:sz w:val="16"/>
          <w:lang w:val="en-US"/>
        </w:rPr>
        <w:t xml:space="preserve">Nathan PC, Alibhai SM, Tomlinson </w:t>
      </w:r>
      <w:r w:rsidRPr="00791C81">
        <w:rPr>
          <w:spacing w:val="-3"/>
          <w:sz w:val="16"/>
          <w:lang w:val="en-US"/>
        </w:rPr>
        <w:t xml:space="preserve">GA, </w:t>
      </w:r>
      <w:proofErr w:type="gramStart"/>
      <w:r w:rsidRPr="00791C81">
        <w:rPr>
          <w:sz w:val="16"/>
          <w:lang w:val="en-US"/>
        </w:rPr>
        <w:t>Beyene</w:t>
      </w:r>
      <w:proofErr w:type="gramEnd"/>
      <w:r w:rsidRPr="00791C81">
        <w:rPr>
          <w:sz w:val="16"/>
          <w:lang w:val="en-US"/>
        </w:rPr>
        <w:t xml:space="preserve"> J. Meta-analysis: effect of prophylactic hematopoietic colony-stimulating factors on mortality and outcomes of infection. </w:t>
      </w:r>
      <w:r>
        <w:rPr>
          <w:sz w:val="16"/>
        </w:rPr>
        <w:t>Ann Intern Med.</w:t>
      </w:r>
      <w:r>
        <w:rPr>
          <w:spacing w:val="-4"/>
          <w:sz w:val="16"/>
        </w:rPr>
        <w:t xml:space="preserve"> </w:t>
      </w:r>
      <w:proofErr w:type="gramStart"/>
      <w:r>
        <w:rPr>
          <w:sz w:val="16"/>
        </w:rPr>
        <w:t>2007;</w:t>
      </w:r>
      <w:proofErr w:type="gramEnd"/>
      <w:r>
        <w:rPr>
          <w:sz w:val="16"/>
        </w:rPr>
        <w:t>147(6):400-11.</w:t>
      </w:r>
    </w:p>
    <w:p w:rsidR="00AB6593" w:rsidRDefault="00791C81">
      <w:pPr>
        <w:pStyle w:val="PargrafodaLista"/>
        <w:numPr>
          <w:ilvl w:val="0"/>
          <w:numId w:val="2"/>
        </w:numPr>
        <w:tabs>
          <w:tab w:val="left" w:pos="953"/>
        </w:tabs>
        <w:ind w:right="113" w:firstLine="566"/>
        <w:jc w:val="both"/>
        <w:rPr>
          <w:sz w:val="16"/>
        </w:rPr>
      </w:pPr>
      <w:r w:rsidRPr="00791C81">
        <w:rPr>
          <w:sz w:val="16"/>
          <w:lang w:val="en-US"/>
        </w:rPr>
        <w:t>Wittman B, Horan J, Lyman GH. Prophylacti</w:t>
      </w:r>
      <w:r w:rsidRPr="00791C81">
        <w:rPr>
          <w:sz w:val="16"/>
          <w:lang w:val="en-US"/>
        </w:rPr>
        <w:t xml:space="preserve">c colony-stimulating factors in children receiving myelosuppressive chemotherapy: a meta-analysis of randomized controlled trials. </w:t>
      </w:r>
      <w:r>
        <w:rPr>
          <w:sz w:val="16"/>
        </w:rPr>
        <w:t>Cancer Treat Rev.</w:t>
      </w:r>
      <w:r>
        <w:rPr>
          <w:spacing w:val="-6"/>
          <w:sz w:val="16"/>
        </w:rPr>
        <w:t xml:space="preserve"> </w:t>
      </w:r>
      <w:proofErr w:type="gramStart"/>
      <w:r>
        <w:rPr>
          <w:sz w:val="16"/>
        </w:rPr>
        <w:t>2006;</w:t>
      </w:r>
      <w:proofErr w:type="gramEnd"/>
      <w:r>
        <w:rPr>
          <w:sz w:val="16"/>
        </w:rPr>
        <w:t>32(4):289-303.</w:t>
      </w:r>
    </w:p>
    <w:p w:rsidR="00AB6593" w:rsidRDefault="00791C81">
      <w:pPr>
        <w:pStyle w:val="PargrafodaLista"/>
        <w:numPr>
          <w:ilvl w:val="0"/>
          <w:numId w:val="2"/>
        </w:numPr>
        <w:tabs>
          <w:tab w:val="left" w:pos="953"/>
        </w:tabs>
        <w:ind w:left="666" w:right="221" w:firstLine="0"/>
        <w:rPr>
          <w:sz w:val="16"/>
        </w:rPr>
      </w:pPr>
      <w:r w:rsidRPr="00791C81">
        <w:rPr>
          <w:sz w:val="16"/>
          <w:lang w:val="en-US"/>
        </w:rPr>
        <w:t>Roilides E, Farmaki E. Granulocyte colony-stimulating factor and other cytokines in ant</w:t>
      </w:r>
      <w:r w:rsidRPr="00791C81">
        <w:rPr>
          <w:sz w:val="16"/>
          <w:lang w:val="en-US"/>
        </w:rPr>
        <w:t>ifungal therapy. Clin Microbiol Infect. 2001</w:t>
      </w:r>
      <w:proofErr w:type="gramStart"/>
      <w:r w:rsidRPr="00791C81">
        <w:rPr>
          <w:sz w:val="16"/>
          <w:lang w:val="en-US"/>
        </w:rPr>
        <w:t>;7</w:t>
      </w:r>
      <w:proofErr w:type="gramEnd"/>
      <w:r w:rsidRPr="00791C81">
        <w:rPr>
          <w:sz w:val="16"/>
          <w:lang w:val="en-US"/>
        </w:rPr>
        <w:t xml:space="preserve"> Suppl 2:62-7. 105</w:t>
      </w:r>
      <w:proofErr w:type="gramStart"/>
      <w:r w:rsidRPr="00791C81">
        <w:rPr>
          <w:sz w:val="16"/>
          <w:lang w:val="en-US"/>
        </w:rPr>
        <w:t>.Blinder</w:t>
      </w:r>
      <w:proofErr w:type="gramEnd"/>
      <w:r w:rsidRPr="00791C81">
        <w:rPr>
          <w:sz w:val="16"/>
          <w:lang w:val="en-US"/>
        </w:rPr>
        <w:t xml:space="preserve"> VS, Roboz GJ. Hematopoietic growth factors in myelodysplastic syndromes. </w:t>
      </w:r>
      <w:r>
        <w:rPr>
          <w:sz w:val="16"/>
        </w:rPr>
        <w:t>Curr Hematol Rep.</w:t>
      </w:r>
      <w:r>
        <w:rPr>
          <w:spacing w:val="-18"/>
          <w:sz w:val="16"/>
        </w:rPr>
        <w:t xml:space="preserve"> </w:t>
      </w:r>
      <w:proofErr w:type="gramStart"/>
      <w:r>
        <w:rPr>
          <w:sz w:val="16"/>
        </w:rPr>
        <w:t>2003;</w:t>
      </w:r>
      <w:proofErr w:type="gramEnd"/>
      <w:r>
        <w:rPr>
          <w:sz w:val="16"/>
        </w:rPr>
        <w:t>2(6):453-8.</w:t>
      </w:r>
    </w:p>
    <w:p w:rsidR="00AB6593" w:rsidRDefault="00791C81">
      <w:pPr>
        <w:pStyle w:val="PargrafodaLista"/>
        <w:numPr>
          <w:ilvl w:val="0"/>
          <w:numId w:val="1"/>
        </w:numPr>
        <w:tabs>
          <w:tab w:val="left" w:pos="953"/>
        </w:tabs>
        <w:ind w:right="115" w:firstLine="566"/>
        <w:jc w:val="both"/>
        <w:rPr>
          <w:sz w:val="16"/>
        </w:rPr>
      </w:pPr>
      <w:r w:rsidRPr="00791C81">
        <w:rPr>
          <w:sz w:val="16"/>
          <w:lang w:val="en-US"/>
        </w:rPr>
        <w:t xml:space="preserve">Kojima S, Fukuda M, Miyajima Y, Matsuyama T, Horibe K. Treatment of aplastic anemia in children with recombinant human granulocyte colony- stimulating factor. </w:t>
      </w:r>
      <w:r>
        <w:rPr>
          <w:sz w:val="16"/>
        </w:rPr>
        <w:t>Blood.</w:t>
      </w:r>
      <w:r>
        <w:rPr>
          <w:spacing w:val="-6"/>
          <w:sz w:val="16"/>
        </w:rPr>
        <w:t xml:space="preserve"> </w:t>
      </w:r>
      <w:proofErr w:type="gramStart"/>
      <w:r>
        <w:rPr>
          <w:sz w:val="16"/>
        </w:rPr>
        <w:t>1991;</w:t>
      </w:r>
      <w:proofErr w:type="gramEnd"/>
      <w:r>
        <w:rPr>
          <w:sz w:val="16"/>
        </w:rPr>
        <w:t>77(5):937-41.</w:t>
      </w:r>
    </w:p>
    <w:p w:rsidR="00AB6593" w:rsidRDefault="00791C81">
      <w:pPr>
        <w:pStyle w:val="PargrafodaLista"/>
        <w:numPr>
          <w:ilvl w:val="0"/>
          <w:numId w:val="1"/>
        </w:numPr>
        <w:tabs>
          <w:tab w:val="left" w:pos="953"/>
        </w:tabs>
        <w:spacing w:before="1"/>
        <w:ind w:right="117" w:firstLine="566"/>
        <w:jc w:val="both"/>
        <w:rPr>
          <w:sz w:val="16"/>
        </w:rPr>
      </w:pPr>
      <w:r w:rsidRPr="00791C81">
        <w:rPr>
          <w:sz w:val="16"/>
          <w:lang w:val="en-US"/>
        </w:rPr>
        <w:t>Kojima S, Matsuyama T. Stimulation of granulopoiesis by high-dose recom</w:t>
      </w:r>
      <w:r w:rsidRPr="00791C81">
        <w:rPr>
          <w:sz w:val="16"/>
          <w:lang w:val="en-US"/>
        </w:rPr>
        <w:t xml:space="preserve">binant human granulocyte colony-stimulating factor in children </w:t>
      </w:r>
      <w:r w:rsidRPr="00791C81">
        <w:rPr>
          <w:spacing w:val="-3"/>
          <w:sz w:val="16"/>
          <w:lang w:val="en-US"/>
        </w:rPr>
        <w:t xml:space="preserve">with </w:t>
      </w:r>
      <w:r w:rsidRPr="00791C81">
        <w:rPr>
          <w:sz w:val="16"/>
          <w:lang w:val="en-US"/>
        </w:rPr>
        <w:t xml:space="preserve">aplastic anemia and very severe neutropenia. </w:t>
      </w:r>
      <w:r>
        <w:rPr>
          <w:sz w:val="16"/>
        </w:rPr>
        <w:t>Blood.</w:t>
      </w:r>
      <w:r>
        <w:rPr>
          <w:spacing w:val="-9"/>
          <w:sz w:val="16"/>
        </w:rPr>
        <w:t xml:space="preserve"> </w:t>
      </w:r>
      <w:proofErr w:type="gramStart"/>
      <w:r>
        <w:rPr>
          <w:sz w:val="16"/>
        </w:rPr>
        <w:t>1994;</w:t>
      </w:r>
      <w:proofErr w:type="gramEnd"/>
      <w:r>
        <w:rPr>
          <w:sz w:val="16"/>
        </w:rPr>
        <w:t>83(6):1474-8.</w:t>
      </w:r>
    </w:p>
    <w:p w:rsidR="00AB6593" w:rsidRPr="00791C81" w:rsidRDefault="00791C81">
      <w:pPr>
        <w:pStyle w:val="PargrafodaLista"/>
        <w:numPr>
          <w:ilvl w:val="0"/>
          <w:numId w:val="1"/>
        </w:numPr>
        <w:tabs>
          <w:tab w:val="left" w:pos="953"/>
        </w:tabs>
        <w:ind w:right="115" w:firstLine="566"/>
        <w:jc w:val="both"/>
        <w:rPr>
          <w:sz w:val="16"/>
          <w:lang w:val="en-US"/>
        </w:rPr>
      </w:pPr>
      <w:r w:rsidRPr="00791C81">
        <w:rPr>
          <w:sz w:val="16"/>
          <w:lang w:val="en-US"/>
        </w:rPr>
        <w:t xml:space="preserve">Bonilla MA, Dale D, Zeidler C, Last </w:t>
      </w:r>
      <w:r w:rsidRPr="00791C81">
        <w:rPr>
          <w:spacing w:val="-3"/>
          <w:sz w:val="16"/>
          <w:lang w:val="en-US"/>
        </w:rPr>
        <w:t xml:space="preserve">L, </w:t>
      </w:r>
      <w:r w:rsidRPr="00791C81">
        <w:rPr>
          <w:sz w:val="16"/>
          <w:lang w:val="en-US"/>
        </w:rPr>
        <w:t>Reiter A, Ruggeiro M, et al. Long-term safety of treatment with recombinant human granulocyte colony- stimulating factor (r-metHuG-CSF) in patients with severe congenital neutropenias.Br J Haematol.</w:t>
      </w:r>
      <w:r w:rsidRPr="00791C81">
        <w:rPr>
          <w:spacing w:val="-16"/>
          <w:sz w:val="16"/>
          <w:lang w:val="en-US"/>
        </w:rPr>
        <w:t xml:space="preserve"> </w:t>
      </w:r>
      <w:r w:rsidRPr="00791C81">
        <w:rPr>
          <w:sz w:val="16"/>
          <w:lang w:val="en-US"/>
        </w:rPr>
        <w:t>1994</w:t>
      </w:r>
      <w:proofErr w:type="gramStart"/>
      <w:r w:rsidRPr="00791C81">
        <w:rPr>
          <w:sz w:val="16"/>
          <w:lang w:val="en-US"/>
        </w:rPr>
        <w:t>;88</w:t>
      </w:r>
      <w:proofErr w:type="gramEnd"/>
      <w:r w:rsidRPr="00791C81">
        <w:rPr>
          <w:sz w:val="16"/>
          <w:lang w:val="en-US"/>
        </w:rPr>
        <w:t>(4):723-30.</w:t>
      </w:r>
    </w:p>
    <w:p w:rsidR="00AB6593" w:rsidRDefault="00791C81">
      <w:pPr>
        <w:pStyle w:val="PargrafodaLista"/>
        <w:numPr>
          <w:ilvl w:val="0"/>
          <w:numId w:val="1"/>
        </w:numPr>
        <w:tabs>
          <w:tab w:val="left" w:pos="953"/>
        </w:tabs>
        <w:spacing w:line="183" w:lineRule="exact"/>
        <w:ind w:firstLine="566"/>
        <w:rPr>
          <w:sz w:val="16"/>
        </w:rPr>
      </w:pPr>
      <w:r w:rsidRPr="00791C81">
        <w:rPr>
          <w:sz w:val="16"/>
          <w:lang w:val="en-US"/>
        </w:rPr>
        <w:t>Lehrnbecher T, Welte K. Haematopoietic</w:t>
      </w:r>
      <w:r w:rsidRPr="00791C81">
        <w:rPr>
          <w:sz w:val="16"/>
          <w:lang w:val="en-US"/>
        </w:rPr>
        <w:t xml:space="preserve"> growth factors in children with neutropenia. </w:t>
      </w:r>
      <w:proofErr w:type="gramStart"/>
      <w:r>
        <w:rPr>
          <w:sz w:val="16"/>
        </w:rPr>
        <w:t>Br</w:t>
      </w:r>
      <w:proofErr w:type="gramEnd"/>
      <w:r>
        <w:rPr>
          <w:sz w:val="16"/>
        </w:rPr>
        <w:t xml:space="preserve"> J Haematol.</w:t>
      </w:r>
      <w:r>
        <w:rPr>
          <w:spacing w:val="-5"/>
          <w:sz w:val="16"/>
        </w:rPr>
        <w:t xml:space="preserve"> </w:t>
      </w:r>
      <w:proofErr w:type="gramStart"/>
      <w:r>
        <w:rPr>
          <w:sz w:val="16"/>
        </w:rPr>
        <w:t>2002;</w:t>
      </w:r>
      <w:proofErr w:type="gramEnd"/>
      <w:r>
        <w:rPr>
          <w:sz w:val="16"/>
        </w:rPr>
        <w:t>116(1):28-56.</w:t>
      </w:r>
    </w:p>
    <w:p w:rsidR="00AB6593" w:rsidRPr="00791C81" w:rsidRDefault="00791C81">
      <w:pPr>
        <w:pStyle w:val="PargrafodaLista"/>
        <w:numPr>
          <w:ilvl w:val="0"/>
          <w:numId w:val="1"/>
        </w:numPr>
        <w:tabs>
          <w:tab w:val="left" w:pos="953"/>
        </w:tabs>
        <w:ind w:right="120" w:firstLine="566"/>
        <w:jc w:val="both"/>
        <w:rPr>
          <w:sz w:val="16"/>
          <w:lang w:val="en-US"/>
        </w:rPr>
      </w:pPr>
      <w:r w:rsidRPr="00791C81">
        <w:rPr>
          <w:sz w:val="16"/>
          <w:lang w:val="en-US"/>
        </w:rPr>
        <w:t xml:space="preserve">Freedman MH, Bonilla MA, Fier C, Bolyard AA, Scarlata D, Boxer </w:t>
      </w:r>
      <w:r w:rsidRPr="00791C81">
        <w:rPr>
          <w:spacing w:val="-3"/>
          <w:sz w:val="16"/>
          <w:lang w:val="en-US"/>
        </w:rPr>
        <w:t xml:space="preserve">LA, </w:t>
      </w:r>
      <w:r w:rsidRPr="00791C81">
        <w:rPr>
          <w:spacing w:val="3"/>
          <w:sz w:val="16"/>
          <w:lang w:val="en-US"/>
        </w:rPr>
        <w:t xml:space="preserve">et </w:t>
      </w:r>
      <w:r w:rsidRPr="00791C81">
        <w:rPr>
          <w:sz w:val="16"/>
          <w:lang w:val="en-US"/>
        </w:rPr>
        <w:t>al. Myelodysplasia syndrome and acute myeloid leukemia in patients with congenital neutropenia receiving G</w:t>
      </w:r>
      <w:r w:rsidRPr="00791C81">
        <w:rPr>
          <w:sz w:val="16"/>
          <w:lang w:val="en-US"/>
        </w:rPr>
        <w:t>-CSF therapy.Blood.</w:t>
      </w:r>
      <w:r w:rsidRPr="00791C81">
        <w:rPr>
          <w:spacing w:val="-5"/>
          <w:sz w:val="16"/>
          <w:lang w:val="en-US"/>
        </w:rPr>
        <w:t xml:space="preserve"> </w:t>
      </w:r>
      <w:r w:rsidRPr="00791C81">
        <w:rPr>
          <w:sz w:val="16"/>
          <w:lang w:val="en-US"/>
        </w:rPr>
        <w:t>2000</w:t>
      </w:r>
      <w:proofErr w:type="gramStart"/>
      <w:r w:rsidRPr="00791C81">
        <w:rPr>
          <w:sz w:val="16"/>
          <w:lang w:val="en-US"/>
        </w:rPr>
        <w:t>;96</w:t>
      </w:r>
      <w:proofErr w:type="gramEnd"/>
      <w:r w:rsidRPr="00791C81">
        <w:rPr>
          <w:sz w:val="16"/>
          <w:lang w:val="en-US"/>
        </w:rPr>
        <w:t>(2):429-36.</w:t>
      </w:r>
    </w:p>
    <w:p w:rsidR="00AB6593" w:rsidRPr="00791C81" w:rsidRDefault="00791C81">
      <w:pPr>
        <w:pStyle w:val="PargrafodaLista"/>
        <w:numPr>
          <w:ilvl w:val="0"/>
          <w:numId w:val="1"/>
        </w:numPr>
        <w:tabs>
          <w:tab w:val="left" w:pos="953"/>
        </w:tabs>
        <w:spacing w:line="183" w:lineRule="exact"/>
        <w:ind w:firstLine="566"/>
        <w:rPr>
          <w:sz w:val="16"/>
          <w:lang w:val="en-US"/>
        </w:rPr>
      </w:pPr>
      <w:r w:rsidRPr="00791C81">
        <w:rPr>
          <w:sz w:val="16"/>
          <w:lang w:val="en-US"/>
        </w:rPr>
        <w:t>Greenberg</w:t>
      </w:r>
      <w:r w:rsidRPr="00791C81">
        <w:rPr>
          <w:spacing w:val="9"/>
          <w:sz w:val="16"/>
          <w:lang w:val="en-US"/>
        </w:rPr>
        <w:t xml:space="preserve"> </w:t>
      </w:r>
      <w:r w:rsidRPr="00791C81">
        <w:rPr>
          <w:sz w:val="16"/>
          <w:lang w:val="en-US"/>
        </w:rPr>
        <w:t>PL,</w:t>
      </w:r>
      <w:r w:rsidRPr="00791C81">
        <w:rPr>
          <w:spacing w:val="10"/>
          <w:sz w:val="16"/>
          <w:lang w:val="en-US"/>
        </w:rPr>
        <w:t xml:space="preserve"> </w:t>
      </w:r>
      <w:r w:rsidRPr="00791C81">
        <w:rPr>
          <w:sz w:val="16"/>
          <w:lang w:val="en-US"/>
        </w:rPr>
        <w:t>Negrin</w:t>
      </w:r>
      <w:r w:rsidRPr="00791C81">
        <w:rPr>
          <w:spacing w:val="8"/>
          <w:sz w:val="16"/>
          <w:lang w:val="en-US"/>
        </w:rPr>
        <w:t xml:space="preserve"> </w:t>
      </w:r>
      <w:r w:rsidRPr="00791C81">
        <w:rPr>
          <w:sz w:val="16"/>
          <w:lang w:val="en-US"/>
        </w:rPr>
        <w:t>R,</w:t>
      </w:r>
      <w:r w:rsidRPr="00791C81">
        <w:rPr>
          <w:spacing w:val="8"/>
          <w:sz w:val="16"/>
          <w:lang w:val="en-US"/>
        </w:rPr>
        <w:t xml:space="preserve"> </w:t>
      </w:r>
      <w:r w:rsidRPr="00791C81">
        <w:rPr>
          <w:sz w:val="16"/>
          <w:lang w:val="en-US"/>
        </w:rPr>
        <w:t>Nagler</w:t>
      </w:r>
      <w:r w:rsidRPr="00791C81">
        <w:rPr>
          <w:spacing w:val="9"/>
          <w:sz w:val="16"/>
          <w:lang w:val="en-US"/>
        </w:rPr>
        <w:t xml:space="preserve"> </w:t>
      </w:r>
      <w:r w:rsidRPr="00791C81">
        <w:rPr>
          <w:sz w:val="16"/>
          <w:lang w:val="en-US"/>
        </w:rPr>
        <w:t>A.The</w:t>
      </w:r>
      <w:r w:rsidRPr="00791C81">
        <w:rPr>
          <w:spacing w:val="8"/>
          <w:sz w:val="16"/>
          <w:lang w:val="en-US"/>
        </w:rPr>
        <w:t xml:space="preserve"> </w:t>
      </w:r>
      <w:r w:rsidRPr="00791C81">
        <w:rPr>
          <w:sz w:val="16"/>
          <w:lang w:val="en-US"/>
        </w:rPr>
        <w:t>use</w:t>
      </w:r>
      <w:r w:rsidRPr="00791C81">
        <w:rPr>
          <w:spacing w:val="9"/>
          <w:sz w:val="16"/>
          <w:lang w:val="en-US"/>
        </w:rPr>
        <w:t xml:space="preserve"> </w:t>
      </w:r>
      <w:r w:rsidRPr="00791C81">
        <w:rPr>
          <w:sz w:val="16"/>
          <w:lang w:val="en-US"/>
        </w:rPr>
        <w:t>of</w:t>
      </w:r>
      <w:r w:rsidRPr="00791C81">
        <w:rPr>
          <w:spacing w:val="7"/>
          <w:sz w:val="16"/>
          <w:lang w:val="en-US"/>
        </w:rPr>
        <w:t xml:space="preserve"> </w:t>
      </w:r>
      <w:r w:rsidRPr="00791C81">
        <w:rPr>
          <w:sz w:val="16"/>
          <w:lang w:val="en-US"/>
        </w:rPr>
        <w:t>haemopoietic</w:t>
      </w:r>
      <w:r w:rsidRPr="00791C81">
        <w:rPr>
          <w:spacing w:val="8"/>
          <w:sz w:val="16"/>
          <w:lang w:val="en-US"/>
        </w:rPr>
        <w:t xml:space="preserve"> </w:t>
      </w:r>
      <w:r w:rsidRPr="00791C81">
        <w:rPr>
          <w:sz w:val="16"/>
          <w:lang w:val="en-US"/>
        </w:rPr>
        <w:t>growth</w:t>
      </w:r>
      <w:r w:rsidRPr="00791C81">
        <w:rPr>
          <w:spacing w:val="11"/>
          <w:sz w:val="16"/>
          <w:lang w:val="en-US"/>
        </w:rPr>
        <w:t xml:space="preserve"> </w:t>
      </w:r>
      <w:r w:rsidRPr="00791C81">
        <w:rPr>
          <w:sz w:val="16"/>
          <w:lang w:val="en-US"/>
        </w:rPr>
        <w:t>factors</w:t>
      </w:r>
      <w:r w:rsidRPr="00791C81">
        <w:rPr>
          <w:spacing w:val="7"/>
          <w:sz w:val="16"/>
          <w:lang w:val="en-US"/>
        </w:rPr>
        <w:t xml:space="preserve"> </w:t>
      </w:r>
      <w:r w:rsidRPr="00791C81">
        <w:rPr>
          <w:sz w:val="16"/>
          <w:lang w:val="en-US"/>
        </w:rPr>
        <w:t>in</w:t>
      </w:r>
      <w:r w:rsidRPr="00791C81">
        <w:rPr>
          <w:spacing w:val="9"/>
          <w:sz w:val="16"/>
          <w:lang w:val="en-US"/>
        </w:rPr>
        <w:t xml:space="preserve"> </w:t>
      </w:r>
      <w:r w:rsidRPr="00791C81">
        <w:rPr>
          <w:sz w:val="16"/>
          <w:lang w:val="en-US"/>
        </w:rPr>
        <w:t>the</w:t>
      </w:r>
      <w:r w:rsidRPr="00791C81">
        <w:rPr>
          <w:spacing w:val="7"/>
          <w:sz w:val="16"/>
          <w:lang w:val="en-US"/>
        </w:rPr>
        <w:t xml:space="preserve"> </w:t>
      </w:r>
      <w:r w:rsidRPr="00791C81">
        <w:rPr>
          <w:sz w:val="16"/>
          <w:lang w:val="en-US"/>
        </w:rPr>
        <w:t>treatment</w:t>
      </w:r>
      <w:r w:rsidRPr="00791C81">
        <w:rPr>
          <w:spacing w:val="11"/>
          <w:sz w:val="16"/>
          <w:lang w:val="en-US"/>
        </w:rPr>
        <w:t xml:space="preserve"> </w:t>
      </w:r>
      <w:r w:rsidRPr="00791C81">
        <w:rPr>
          <w:sz w:val="16"/>
          <w:lang w:val="en-US"/>
        </w:rPr>
        <w:t>of</w:t>
      </w:r>
      <w:r w:rsidRPr="00791C81">
        <w:rPr>
          <w:spacing w:val="7"/>
          <w:sz w:val="16"/>
          <w:lang w:val="en-US"/>
        </w:rPr>
        <w:t xml:space="preserve"> </w:t>
      </w:r>
      <w:r w:rsidRPr="00791C81">
        <w:rPr>
          <w:sz w:val="16"/>
          <w:lang w:val="en-US"/>
        </w:rPr>
        <w:t>myelodysplastic</w:t>
      </w:r>
      <w:r w:rsidRPr="00791C81">
        <w:rPr>
          <w:spacing w:val="8"/>
          <w:sz w:val="16"/>
          <w:lang w:val="en-US"/>
        </w:rPr>
        <w:t xml:space="preserve"> </w:t>
      </w:r>
      <w:r w:rsidRPr="00791C81">
        <w:rPr>
          <w:sz w:val="16"/>
          <w:lang w:val="en-US"/>
        </w:rPr>
        <w:t>syndromes.Cancer</w:t>
      </w:r>
      <w:r w:rsidRPr="00791C81">
        <w:rPr>
          <w:spacing w:val="9"/>
          <w:sz w:val="16"/>
          <w:lang w:val="en-US"/>
        </w:rPr>
        <w:t xml:space="preserve"> </w:t>
      </w:r>
      <w:r w:rsidRPr="00791C81">
        <w:rPr>
          <w:sz w:val="16"/>
          <w:lang w:val="en-US"/>
        </w:rPr>
        <w:t>Surv.</w:t>
      </w:r>
    </w:p>
    <w:p w:rsidR="00AB6593" w:rsidRDefault="00791C81">
      <w:pPr>
        <w:pStyle w:val="Corpodetexto"/>
        <w:spacing w:before="1"/>
        <w:ind w:firstLine="0"/>
      </w:pPr>
      <w:proofErr w:type="gramStart"/>
      <w:r>
        <w:t>1990;</w:t>
      </w:r>
      <w:proofErr w:type="gramEnd"/>
      <w:r>
        <w:t>9(1):199-212.</w:t>
      </w:r>
    </w:p>
    <w:p w:rsidR="00AB6593" w:rsidRDefault="00791C81">
      <w:pPr>
        <w:pStyle w:val="PargrafodaLista"/>
        <w:numPr>
          <w:ilvl w:val="0"/>
          <w:numId w:val="1"/>
        </w:numPr>
        <w:tabs>
          <w:tab w:val="left" w:pos="953"/>
        </w:tabs>
        <w:spacing w:before="1"/>
        <w:ind w:right="113" w:firstLine="566"/>
        <w:jc w:val="both"/>
        <w:rPr>
          <w:sz w:val="16"/>
        </w:rPr>
      </w:pPr>
      <w:r w:rsidRPr="00791C81">
        <w:rPr>
          <w:sz w:val="16"/>
          <w:lang w:val="en-US"/>
        </w:rPr>
        <w:t>Ammann RA, Leibundgut K, Hirt A, Ridolfi Lüthy A. Individual timing</w:t>
      </w:r>
      <w:r w:rsidRPr="00791C81">
        <w:rPr>
          <w:sz w:val="16"/>
          <w:lang w:val="en-US"/>
        </w:rPr>
        <w:t xml:space="preserve"> of blood counts in G-CSF prophylaxis after myelosuppressive chemotherapy reduces</w:t>
      </w:r>
      <w:r w:rsidRPr="00791C81">
        <w:rPr>
          <w:spacing w:val="-2"/>
          <w:sz w:val="16"/>
          <w:lang w:val="en-US"/>
        </w:rPr>
        <w:t xml:space="preserve"> </w:t>
      </w:r>
      <w:r w:rsidRPr="00791C81">
        <w:rPr>
          <w:sz w:val="16"/>
          <w:lang w:val="en-US"/>
        </w:rPr>
        <w:t>G-CSF</w:t>
      </w:r>
      <w:r w:rsidRPr="00791C81">
        <w:rPr>
          <w:spacing w:val="-4"/>
          <w:sz w:val="16"/>
          <w:lang w:val="en-US"/>
        </w:rPr>
        <w:t xml:space="preserve"> </w:t>
      </w:r>
      <w:r w:rsidRPr="00791C81">
        <w:rPr>
          <w:sz w:val="16"/>
          <w:lang w:val="en-US"/>
        </w:rPr>
        <w:t>injections,</w:t>
      </w:r>
      <w:r w:rsidRPr="00791C81">
        <w:rPr>
          <w:spacing w:val="-4"/>
          <w:sz w:val="16"/>
          <w:lang w:val="en-US"/>
        </w:rPr>
        <w:t xml:space="preserve"> </w:t>
      </w:r>
      <w:r w:rsidRPr="00791C81">
        <w:rPr>
          <w:sz w:val="16"/>
          <w:lang w:val="en-US"/>
        </w:rPr>
        <w:t>blood counts,</w:t>
      </w:r>
      <w:r w:rsidRPr="00791C81">
        <w:rPr>
          <w:spacing w:val="-4"/>
          <w:sz w:val="16"/>
          <w:lang w:val="en-US"/>
        </w:rPr>
        <w:t xml:space="preserve"> </w:t>
      </w:r>
      <w:r w:rsidRPr="00791C81">
        <w:rPr>
          <w:sz w:val="16"/>
          <w:lang w:val="en-US"/>
        </w:rPr>
        <w:t>and</w:t>
      </w:r>
      <w:r w:rsidRPr="00791C81">
        <w:rPr>
          <w:spacing w:val="-2"/>
          <w:sz w:val="16"/>
          <w:lang w:val="en-US"/>
        </w:rPr>
        <w:t xml:space="preserve"> </w:t>
      </w:r>
      <w:r w:rsidRPr="00791C81">
        <w:rPr>
          <w:sz w:val="16"/>
          <w:lang w:val="en-US"/>
        </w:rPr>
        <w:t>costs:</w:t>
      </w:r>
      <w:r w:rsidRPr="00791C81">
        <w:rPr>
          <w:spacing w:val="-3"/>
          <w:sz w:val="16"/>
          <w:lang w:val="en-US"/>
        </w:rPr>
        <w:t xml:space="preserve"> </w:t>
      </w:r>
      <w:r w:rsidRPr="00791C81">
        <w:rPr>
          <w:sz w:val="16"/>
          <w:lang w:val="en-US"/>
        </w:rPr>
        <w:t>a</w:t>
      </w:r>
      <w:r w:rsidRPr="00791C81">
        <w:rPr>
          <w:spacing w:val="-3"/>
          <w:sz w:val="16"/>
          <w:lang w:val="en-US"/>
        </w:rPr>
        <w:t xml:space="preserve"> </w:t>
      </w:r>
      <w:r w:rsidRPr="00791C81">
        <w:rPr>
          <w:sz w:val="16"/>
          <w:lang w:val="en-US"/>
        </w:rPr>
        <w:t>prospective randomized study</w:t>
      </w:r>
      <w:r w:rsidRPr="00791C81">
        <w:rPr>
          <w:spacing w:val="-5"/>
          <w:sz w:val="16"/>
          <w:lang w:val="en-US"/>
        </w:rPr>
        <w:t xml:space="preserve"> </w:t>
      </w:r>
      <w:r w:rsidRPr="00791C81">
        <w:rPr>
          <w:sz w:val="16"/>
          <w:lang w:val="en-US"/>
        </w:rPr>
        <w:t>in</w:t>
      </w:r>
      <w:r w:rsidRPr="00791C81">
        <w:rPr>
          <w:spacing w:val="-2"/>
          <w:sz w:val="16"/>
          <w:lang w:val="en-US"/>
        </w:rPr>
        <w:t xml:space="preserve"> </w:t>
      </w:r>
      <w:r w:rsidRPr="00791C81">
        <w:rPr>
          <w:sz w:val="16"/>
          <w:lang w:val="en-US"/>
        </w:rPr>
        <w:t>children</w:t>
      </w:r>
      <w:r w:rsidRPr="00791C81">
        <w:rPr>
          <w:spacing w:val="-2"/>
          <w:sz w:val="16"/>
          <w:lang w:val="en-US"/>
        </w:rPr>
        <w:t xml:space="preserve"> </w:t>
      </w:r>
      <w:r w:rsidRPr="00791C81">
        <w:rPr>
          <w:sz w:val="16"/>
          <w:lang w:val="en-US"/>
        </w:rPr>
        <w:t>and</w:t>
      </w:r>
      <w:r w:rsidRPr="00791C81">
        <w:rPr>
          <w:spacing w:val="-3"/>
          <w:sz w:val="16"/>
          <w:lang w:val="en-US"/>
        </w:rPr>
        <w:t xml:space="preserve"> </w:t>
      </w:r>
      <w:r w:rsidRPr="00791C81">
        <w:rPr>
          <w:sz w:val="16"/>
          <w:lang w:val="en-US"/>
        </w:rPr>
        <w:t>adolescents.</w:t>
      </w:r>
      <w:r w:rsidRPr="00791C81">
        <w:rPr>
          <w:spacing w:val="-3"/>
          <w:sz w:val="16"/>
          <w:lang w:val="en-US"/>
        </w:rPr>
        <w:t xml:space="preserve"> </w:t>
      </w:r>
      <w:r>
        <w:rPr>
          <w:sz w:val="16"/>
        </w:rPr>
        <w:t>Support</w:t>
      </w:r>
      <w:r>
        <w:rPr>
          <w:spacing w:val="-3"/>
          <w:sz w:val="16"/>
        </w:rPr>
        <w:t xml:space="preserve"> </w:t>
      </w:r>
      <w:r>
        <w:rPr>
          <w:sz w:val="16"/>
        </w:rPr>
        <w:t>Care</w:t>
      </w:r>
      <w:r>
        <w:rPr>
          <w:spacing w:val="-3"/>
          <w:sz w:val="16"/>
        </w:rPr>
        <w:t xml:space="preserve"> </w:t>
      </w:r>
      <w:r>
        <w:rPr>
          <w:sz w:val="16"/>
        </w:rPr>
        <w:t>Cancer.</w:t>
      </w:r>
      <w:r>
        <w:rPr>
          <w:spacing w:val="-1"/>
          <w:sz w:val="16"/>
        </w:rPr>
        <w:t xml:space="preserve"> </w:t>
      </w:r>
      <w:proofErr w:type="gramStart"/>
      <w:r>
        <w:rPr>
          <w:sz w:val="16"/>
        </w:rPr>
        <w:t>2002;</w:t>
      </w:r>
      <w:proofErr w:type="gramEnd"/>
      <w:r>
        <w:rPr>
          <w:sz w:val="16"/>
        </w:rPr>
        <w:t>10(8):613-8.</w:t>
      </w:r>
    </w:p>
    <w:p w:rsidR="00AB6593" w:rsidRPr="00791C81" w:rsidRDefault="00791C81">
      <w:pPr>
        <w:pStyle w:val="PargrafodaLista"/>
        <w:numPr>
          <w:ilvl w:val="0"/>
          <w:numId w:val="1"/>
        </w:numPr>
        <w:tabs>
          <w:tab w:val="left" w:pos="953"/>
        </w:tabs>
        <w:spacing w:line="183" w:lineRule="exact"/>
        <w:ind w:firstLine="566"/>
        <w:rPr>
          <w:sz w:val="16"/>
          <w:lang w:val="en-US"/>
        </w:rPr>
      </w:pPr>
      <w:r w:rsidRPr="00791C81">
        <w:rPr>
          <w:sz w:val="16"/>
          <w:lang w:val="en-US"/>
        </w:rPr>
        <w:t>Freedman</w:t>
      </w:r>
      <w:r w:rsidRPr="00791C81">
        <w:rPr>
          <w:spacing w:val="26"/>
          <w:sz w:val="16"/>
          <w:lang w:val="en-US"/>
        </w:rPr>
        <w:t xml:space="preserve"> </w:t>
      </w:r>
      <w:r w:rsidRPr="00791C81">
        <w:rPr>
          <w:sz w:val="16"/>
          <w:lang w:val="en-US"/>
        </w:rPr>
        <w:t>MH.</w:t>
      </w:r>
      <w:r w:rsidRPr="00791C81">
        <w:rPr>
          <w:spacing w:val="25"/>
          <w:sz w:val="16"/>
          <w:lang w:val="en-US"/>
        </w:rPr>
        <w:t xml:space="preserve"> </w:t>
      </w:r>
      <w:r w:rsidRPr="00791C81">
        <w:rPr>
          <w:sz w:val="16"/>
          <w:lang w:val="en-US"/>
        </w:rPr>
        <w:t>Safety</w:t>
      </w:r>
      <w:r w:rsidRPr="00791C81">
        <w:rPr>
          <w:spacing w:val="22"/>
          <w:sz w:val="16"/>
          <w:lang w:val="en-US"/>
        </w:rPr>
        <w:t xml:space="preserve"> </w:t>
      </w:r>
      <w:r w:rsidRPr="00791C81">
        <w:rPr>
          <w:sz w:val="16"/>
          <w:lang w:val="en-US"/>
        </w:rPr>
        <w:t>of</w:t>
      </w:r>
      <w:r w:rsidRPr="00791C81">
        <w:rPr>
          <w:spacing w:val="24"/>
          <w:sz w:val="16"/>
          <w:lang w:val="en-US"/>
        </w:rPr>
        <w:t xml:space="preserve"> </w:t>
      </w:r>
      <w:r w:rsidRPr="00791C81">
        <w:rPr>
          <w:sz w:val="16"/>
          <w:lang w:val="en-US"/>
        </w:rPr>
        <w:t>long-term</w:t>
      </w:r>
      <w:r w:rsidRPr="00791C81">
        <w:rPr>
          <w:spacing w:val="26"/>
          <w:sz w:val="16"/>
          <w:lang w:val="en-US"/>
        </w:rPr>
        <w:t xml:space="preserve"> </w:t>
      </w:r>
      <w:r w:rsidRPr="00791C81">
        <w:rPr>
          <w:sz w:val="16"/>
          <w:lang w:val="en-US"/>
        </w:rPr>
        <w:t>administration</w:t>
      </w:r>
      <w:r w:rsidRPr="00791C81">
        <w:rPr>
          <w:spacing w:val="26"/>
          <w:sz w:val="16"/>
          <w:lang w:val="en-US"/>
        </w:rPr>
        <w:t xml:space="preserve"> </w:t>
      </w:r>
      <w:r w:rsidRPr="00791C81">
        <w:rPr>
          <w:sz w:val="16"/>
          <w:lang w:val="en-US"/>
        </w:rPr>
        <w:t>of</w:t>
      </w:r>
      <w:r w:rsidRPr="00791C81">
        <w:rPr>
          <w:spacing w:val="25"/>
          <w:sz w:val="16"/>
          <w:lang w:val="en-US"/>
        </w:rPr>
        <w:t xml:space="preserve"> </w:t>
      </w:r>
      <w:r w:rsidRPr="00791C81">
        <w:rPr>
          <w:sz w:val="16"/>
          <w:lang w:val="en-US"/>
        </w:rPr>
        <w:t>granulocyte</w:t>
      </w:r>
      <w:r w:rsidRPr="00791C81">
        <w:rPr>
          <w:spacing w:val="23"/>
          <w:sz w:val="16"/>
          <w:lang w:val="en-US"/>
        </w:rPr>
        <w:t xml:space="preserve"> </w:t>
      </w:r>
      <w:r w:rsidRPr="00791C81">
        <w:rPr>
          <w:sz w:val="16"/>
          <w:lang w:val="en-US"/>
        </w:rPr>
        <w:t>colony-stimulating</w:t>
      </w:r>
      <w:r w:rsidRPr="00791C81">
        <w:rPr>
          <w:spacing w:val="25"/>
          <w:sz w:val="16"/>
          <w:lang w:val="en-US"/>
        </w:rPr>
        <w:t xml:space="preserve"> </w:t>
      </w:r>
      <w:r w:rsidRPr="00791C81">
        <w:rPr>
          <w:sz w:val="16"/>
          <w:lang w:val="en-US"/>
        </w:rPr>
        <w:t>factor</w:t>
      </w:r>
      <w:r w:rsidRPr="00791C81">
        <w:rPr>
          <w:spacing w:val="24"/>
          <w:sz w:val="16"/>
          <w:lang w:val="en-US"/>
        </w:rPr>
        <w:t xml:space="preserve"> </w:t>
      </w:r>
      <w:r w:rsidRPr="00791C81">
        <w:rPr>
          <w:sz w:val="16"/>
          <w:lang w:val="en-US"/>
        </w:rPr>
        <w:t>for</w:t>
      </w:r>
      <w:r w:rsidRPr="00791C81">
        <w:rPr>
          <w:spacing w:val="25"/>
          <w:sz w:val="16"/>
          <w:lang w:val="en-US"/>
        </w:rPr>
        <w:t xml:space="preserve"> </w:t>
      </w:r>
      <w:r w:rsidRPr="00791C81">
        <w:rPr>
          <w:sz w:val="16"/>
          <w:lang w:val="en-US"/>
        </w:rPr>
        <w:t>severe</w:t>
      </w:r>
      <w:r w:rsidRPr="00791C81">
        <w:rPr>
          <w:spacing w:val="23"/>
          <w:sz w:val="16"/>
          <w:lang w:val="en-US"/>
        </w:rPr>
        <w:t xml:space="preserve"> </w:t>
      </w:r>
      <w:r w:rsidRPr="00791C81">
        <w:rPr>
          <w:sz w:val="16"/>
          <w:lang w:val="en-US"/>
        </w:rPr>
        <w:t>chronic</w:t>
      </w:r>
      <w:r w:rsidRPr="00791C81">
        <w:rPr>
          <w:spacing w:val="26"/>
          <w:sz w:val="16"/>
          <w:lang w:val="en-US"/>
        </w:rPr>
        <w:t xml:space="preserve"> </w:t>
      </w:r>
      <w:r w:rsidRPr="00791C81">
        <w:rPr>
          <w:sz w:val="16"/>
          <w:lang w:val="en-US"/>
        </w:rPr>
        <w:t>neutropenia.Curr</w:t>
      </w:r>
      <w:r w:rsidRPr="00791C81">
        <w:rPr>
          <w:spacing w:val="24"/>
          <w:sz w:val="16"/>
          <w:lang w:val="en-US"/>
        </w:rPr>
        <w:t xml:space="preserve"> </w:t>
      </w:r>
      <w:r w:rsidRPr="00791C81">
        <w:rPr>
          <w:sz w:val="16"/>
          <w:lang w:val="en-US"/>
        </w:rPr>
        <w:t>Opin</w:t>
      </w:r>
      <w:r w:rsidRPr="00791C81">
        <w:rPr>
          <w:spacing w:val="26"/>
          <w:sz w:val="16"/>
          <w:lang w:val="en-US"/>
        </w:rPr>
        <w:t xml:space="preserve"> </w:t>
      </w:r>
      <w:r w:rsidRPr="00791C81">
        <w:rPr>
          <w:sz w:val="16"/>
          <w:lang w:val="en-US"/>
        </w:rPr>
        <w:t>Hematol.</w:t>
      </w:r>
    </w:p>
    <w:p w:rsidR="00AB6593" w:rsidRDefault="00791C81">
      <w:pPr>
        <w:pStyle w:val="Corpodetexto"/>
        <w:spacing w:line="183" w:lineRule="exact"/>
        <w:ind w:firstLine="0"/>
      </w:pPr>
      <w:proofErr w:type="gramStart"/>
      <w:r>
        <w:t>1997;</w:t>
      </w:r>
      <w:proofErr w:type="gramEnd"/>
      <w:r>
        <w:t>4(3):217-24.</w:t>
      </w:r>
    </w:p>
    <w:p w:rsidR="00AB6593" w:rsidRPr="00791C81" w:rsidRDefault="00791C81">
      <w:pPr>
        <w:pStyle w:val="PargrafodaLista"/>
        <w:numPr>
          <w:ilvl w:val="0"/>
          <w:numId w:val="1"/>
        </w:numPr>
        <w:tabs>
          <w:tab w:val="left" w:pos="953"/>
        </w:tabs>
        <w:ind w:right="115" w:firstLine="566"/>
        <w:jc w:val="both"/>
        <w:rPr>
          <w:sz w:val="16"/>
          <w:lang w:val="en-US"/>
        </w:rPr>
      </w:pPr>
      <w:r w:rsidRPr="00791C81">
        <w:rPr>
          <w:sz w:val="16"/>
          <w:lang w:val="en-US"/>
        </w:rPr>
        <w:t xml:space="preserve">Tigue CC, McKoy JM, Evens </w:t>
      </w:r>
      <w:r w:rsidRPr="00791C81">
        <w:rPr>
          <w:spacing w:val="-2"/>
          <w:sz w:val="16"/>
          <w:lang w:val="en-US"/>
        </w:rPr>
        <w:t xml:space="preserve">AM, </w:t>
      </w:r>
      <w:r w:rsidRPr="00791C81">
        <w:rPr>
          <w:sz w:val="16"/>
          <w:lang w:val="en-US"/>
        </w:rPr>
        <w:t xml:space="preserve">Trifilio SM, Tallman MS, Bennett CL. Granulocyte-colony stimulating factor administration to healthy </w:t>
      </w:r>
      <w:r w:rsidRPr="00791C81">
        <w:rPr>
          <w:sz w:val="16"/>
          <w:lang w:val="en-US"/>
        </w:rPr>
        <w:t>individuals and persons with chronic neutropenia or cancer: an overview of safety considerations from the Research on Adverse Drug Events and Reports project. Bone Marrow Transplant.</w:t>
      </w:r>
      <w:r w:rsidRPr="00791C81">
        <w:rPr>
          <w:spacing w:val="-6"/>
          <w:sz w:val="16"/>
          <w:lang w:val="en-US"/>
        </w:rPr>
        <w:t xml:space="preserve"> </w:t>
      </w:r>
      <w:r w:rsidRPr="00791C81">
        <w:rPr>
          <w:sz w:val="16"/>
          <w:lang w:val="en-US"/>
        </w:rPr>
        <w:t>2007</w:t>
      </w:r>
      <w:proofErr w:type="gramStart"/>
      <w:r w:rsidRPr="00791C81">
        <w:rPr>
          <w:sz w:val="16"/>
          <w:lang w:val="en-US"/>
        </w:rPr>
        <w:t>;40</w:t>
      </w:r>
      <w:proofErr w:type="gramEnd"/>
      <w:r w:rsidRPr="00791C81">
        <w:rPr>
          <w:sz w:val="16"/>
          <w:lang w:val="en-US"/>
        </w:rPr>
        <w:t>(3):185-92.</w:t>
      </w:r>
    </w:p>
    <w:p w:rsidR="00AB6593" w:rsidRPr="00791C81" w:rsidRDefault="00791C81">
      <w:pPr>
        <w:pStyle w:val="PargrafodaLista"/>
        <w:numPr>
          <w:ilvl w:val="0"/>
          <w:numId w:val="1"/>
        </w:numPr>
        <w:tabs>
          <w:tab w:val="left" w:pos="953"/>
        </w:tabs>
        <w:ind w:firstLine="566"/>
        <w:rPr>
          <w:sz w:val="16"/>
          <w:lang w:val="en-US"/>
        </w:rPr>
      </w:pPr>
      <w:r w:rsidRPr="00791C81">
        <w:rPr>
          <w:sz w:val="16"/>
          <w:lang w:val="en-US"/>
        </w:rPr>
        <w:t>D'Souza</w:t>
      </w:r>
      <w:r w:rsidRPr="00791C81">
        <w:rPr>
          <w:spacing w:val="31"/>
          <w:sz w:val="16"/>
          <w:lang w:val="en-US"/>
        </w:rPr>
        <w:t xml:space="preserve"> </w:t>
      </w:r>
      <w:r w:rsidRPr="00791C81">
        <w:rPr>
          <w:sz w:val="16"/>
          <w:lang w:val="en-US"/>
        </w:rPr>
        <w:t>A,</w:t>
      </w:r>
      <w:r w:rsidRPr="00791C81">
        <w:rPr>
          <w:spacing w:val="31"/>
          <w:sz w:val="16"/>
          <w:lang w:val="en-US"/>
        </w:rPr>
        <w:t xml:space="preserve"> </w:t>
      </w:r>
      <w:r w:rsidRPr="00791C81">
        <w:rPr>
          <w:sz w:val="16"/>
          <w:lang w:val="en-US"/>
        </w:rPr>
        <w:t>Jaiyesimi</w:t>
      </w:r>
      <w:r w:rsidRPr="00791C81">
        <w:rPr>
          <w:spacing w:val="34"/>
          <w:sz w:val="16"/>
          <w:lang w:val="en-US"/>
        </w:rPr>
        <w:t xml:space="preserve"> </w:t>
      </w:r>
      <w:r w:rsidRPr="00791C81">
        <w:rPr>
          <w:spacing w:val="-3"/>
          <w:sz w:val="16"/>
          <w:lang w:val="en-US"/>
        </w:rPr>
        <w:t>I,</w:t>
      </w:r>
      <w:r w:rsidRPr="00791C81">
        <w:rPr>
          <w:spacing w:val="31"/>
          <w:sz w:val="16"/>
          <w:lang w:val="en-US"/>
        </w:rPr>
        <w:t xml:space="preserve"> </w:t>
      </w:r>
      <w:r w:rsidRPr="00791C81">
        <w:rPr>
          <w:sz w:val="16"/>
          <w:lang w:val="en-US"/>
        </w:rPr>
        <w:t>Trainor</w:t>
      </w:r>
      <w:r w:rsidRPr="00791C81">
        <w:rPr>
          <w:spacing w:val="33"/>
          <w:sz w:val="16"/>
          <w:lang w:val="en-US"/>
        </w:rPr>
        <w:t xml:space="preserve"> </w:t>
      </w:r>
      <w:r w:rsidRPr="00791C81">
        <w:rPr>
          <w:spacing w:val="-3"/>
          <w:sz w:val="16"/>
          <w:lang w:val="en-US"/>
        </w:rPr>
        <w:t xml:space="preserve">L, </w:t>
      </w:r>
      <w:r w:rsidRPr="00791C81">
        <w:rPr>
          <w:sz w:val="16"/>
          <w:lang w:val="en-US"/>
        </w:rPr>
        <w:t>Venuturumili</w:t>
      </w:r>
      <w:r w:rsidRPr="00791C81">
        <w:rPr>
          <w:spacing w:val="32"/>
          <w:sz w:val="16"/>
          <w:lang w:val="en-US"/>
        </w:rPr>
        <w:t xml:space="preserve"> </w:t>
      </w:r>
      <w:r w:rsidRPr="00791C81">
        <w:rPr>
          <w:sz w:val="16"/>
          <w:lang w:val="en-US"/>
        </w:rPr>
        <w:t>P.</w:t>
      </w:r>
      <w:r w:rsidRPr="00791C81">
        <w:rPr>
          <w:spacing w:val="31"/>
          <w:sz w:val="16"/>
          <w:lang w:val="en-US"/>
        </w:rPr>
        <w:t xml:space="preserve"> </w:t>
      </w:r>
      <w:r w:rsidRPr="00791C81">
        <w:rPr>
          <w:sz w:val="16"/>
          <w:lang w:val="en-US"/>
        </w:rPr>
        <w:t>Granulocyte</w:t>
      </w:r>
      <w:r w:rsidRPr="00791C81">
        <w:rPr>
          <w:spacing w:val="29"/>
          <w:sz w:val="16"/>
          <w:lang w:val="en-US"/>
        </w:rPr>
        <w:t xml:space="preserve"> </w:t>
      </w:r>
      <w:r w:rsidRPr="00791C81">
        <w:rPr>
          <w:sz w:val="16"/>
          <w:lang w:val="en-US"/>
        </w:rPr>
        <w:t>colony-stimulating</w:t>
      </w:r>
      <w:r w:rsidRPr="00791C81">
        <w:rPr>
          <w:spacing w:val="31"/>
          <w:sz w:val="16"/>
          <w:lang w:val="en-US"/>
        </w:rPr>
        <w:t xml:space="preserve"> </w:t>
      </w:r>
      <w:r w:rsidRPr="00791C81">
        <w:rPr>
          <w:sz w:val="16"/>
          <w:lang w:val="en-US"/>
        </w:rPr>
        <w:t>factor</w:t>
      </w:r>
      <w:r w:rsidRPr="00791C81">
        <w:rPr>
          <w:spacing w:val="30"/>
          <w:sz w:val="16"/>
          <w:lang w:val="en-US"/>
        </w:rPr>
        <w:t xml:space="preserve"> </w:t>
      </w:r>
      <w:r w:rsidRPr="00791C81">
        <w:rPr>
          <w:sz w:val="16"/>
          <w:lang w:val="en-US"/>
        </w:rPr>
        <w:t>administration:</w:t>
      </w:r>
      <w:r w:rsidRPr="00791C81">
        <w:rPr>
          <w:spacing w:val="29"/>
          <w:sz w:val="16"/>
          <w:lang w:val="en-US"/>
        </w:rPr>
        <w:t xml:space="preserve"> </w:t>
      </w:r>
      <w:r w:rsidRPr="00791C81">
        <w:rPr>
          <w:sz w:val="16"/>
          <w:lang w:val="en-US"/>
        </w:rPr>
        <w:t>adverse</w:t>
      </w:r>
      <w:r w:rsidRPr="00791C81">
        <w:rPr>
          <w:spacing w:val="32"/>
          <w:sz w:val="16"/>
          <w:lang w:val="en-US"/>
        </w:rPr>
        <w:t xml:space="preserve"> </w:t>
      </w:r>
      <w:r w:rsidRPr="00791C81">
        <w:rPr>
          <w:sz w:val="16"/>
          <w:lang w:val="en-US"/>
        </w:rPr>
        <w:t>events.</w:t>
      </w:r>
      <w:r w:rsidRPr="00791C81">
        <w:rPr>
          <w:spacing w:val="31"/>
          <w:sz w:val="16"/>
          <w:lang w:val="en-US"/>
        </w:rPr>
        <w:t xml:space="preserve"> </w:t>
      </w:r>
      <w:r w:rsidRPr="00791C81">
        <w:rPr>
          <w:sz w:val="16"/>
          <w:lang w:val="en-US"/>
        </w:rPr>
        <w:t>Transfus</w:t>
      </w:r>
      <w:r w:rsidRPr="00791C81">
        <w:rPr>
          <w:spacing w:val="28"/>
          <w:sz w:val="16"/>
          <w:lang w:val="en-US"/>
        </w:rPr>
        <w:t xml:space="preserve"> </w:t>
      </w:r>
      <w:r w:rsidRPr="00791C81">
        <w:rPr>
          <w:sz w:val="16"/>
          <w:lang w:val="en-US"/>
        </w:rPr>
        <w:t>Med</w:t>
      </w:r>
      <w:r w:rsidRPr="00791C81">
        <w:rPr>
          <w:spacing w:val="32"/>
          <w:sz w:val="16"/>
          <w:lang w:val="en-US"/>
        </w:rPr>
        <w:t xml:space="preserve"> </w:t>
      </w:r>
      <w:r w:rsidRPr="00791C81">
        <w:rPr>
          <w:sz w:val="16"/>
          <w:lang w:val="en-US"/>
        </w:rPr>
        <w:t>Rev.</w:t>
      </w:r>
    </w:p>
    <w:p w:rsidR="00AB6593" w:rsidRDefault="00791C81">
      <w:pPr>
        <w:pStyle w:val="Corpodetexto"/>
        <w:spacing w:before="1" w:line="183" w:lineRule="exact"/>
        <w:ind w:firstLine="0"/>
      </w:pPr>
      <w:proofErr w:type="gramStart"/>
      <w:r>
        <w:t>2008;</w:t>
      </w:r>
      <w:proofErr w:type="gramEnd"/>
      <w:r>
        <w:t>22(4):280-90.</w:t>
      </w:r>
    </w:p>
    <w:p w:rsidR="00AB6593" w:rsidRPr="00791C81" w:rsidRDefault="00791C81">
      <w:pPr>
        <w:pStyle w:val="PargrafodaLista"/>
        <w:numPr>
          <w:ilvl w:val="0"/>
          <w:numId w:val="1"/>
        </w:numPr>
        <w:tabs>
          <w:tab w:val="left" w:pos="953"/>
        </w:tabs>
        <w:ind w:right="115" w:firstLine="566"/>
        <w:jc w:val="both"/>
        <w:rPr>
          <w:sz w:val="16"/>
          <w:lang w:val="en-US"/>
        </w:rPr>
      </w:pPr>
      <w:r w:rsidRPr="00791C81">
        <w:rPr>
          <w:sz w:val="16"/>
          <w:lang w:val="en-US"/>
        </w:rPr>
        <w:t>Nuamah NM, Goker H, Kilic YA, Dagmoura H, Cakmak A. Spontaneous splenic rupture in a healthy allogeneic donor of peripheral-blood stem cell following</w:t>
      </w:r>
      <w:r w:rsidRPr="00791C81">
        <w:rPr>
          <w:spacing w:val="-5"/>
          <w:sz w:val="16"/>
          <w:lang w:val="en-US"/>
        </w:rPr>
        <w:t xml:space="preserve"> </w:t>
      </w:r>
      <w:r w:rsidRPr="00791C81">
        <w:rPr>
          <w:sz w:val="16"/>
          <w:lang w:val="en-US"/>
        </w:rPr>
        <w:t>the</w:t>
      </w:r>
      <w:r w:rsidRPr="00791C81">
        <w:rPr>
          <w:spacing w:val="-5"/>
          <w:sz w:val="16"/>
          <w:lang w:val="en-US"/>
        </w:rPr>
        <w:t xml:space="preserve"> </w:t>
      </w:r>
      <w:r w:rsidRPr="00791C81">
        <w:rPr>
          <w:sz w:val="16"/>
          <w:lang w:val="en-US"/>
        </w:rPr>
        <w:t>administration</w:t>
      </w:r>
      <w:r w:rsidRPr="00791C81">
        <w:rPr>
          <w:spacing w:val="-2"/>
          <w:sz w:val="16"/>
          <w:lang w:val="en-US"/>
        </w:rPr>
        <w:t xml:space="preserve"> </w:t>
      </w:r>
      <w:r w:rsidRPr="00791C81">
        <w:rPr>
          <w:sz w:val="16"/>
          <w:lang w:val="en-US"/>
        </w:rPr>
        <w:t>of</w:t>
      </w:r>
      <w:r w:rsidRPr="00791C81">
        <w:rPr>
          <w:spacing w:val="-4"/>
          <w:sz w:val="16"/>
          <w:lang w:val="en-US"/>
        </w:rPr>
        <w:t xml:space="preserve"> </w:t>
      </w:r>
      <w:r w:rsidRPr="00791C81">
        <w:rPr>
          <w:sz w:val="16"/>
          <w:lang w:val="en-US"/>
        </w:rPr>
        <w:t>granulocyte</w:t>
      </w:r>
      <w:r w:rsidRPr="00791C81">
        <w:rPr>
          <w:spacing w:val="-5"/>
          <w:sz w:val="16"/>
          <w:lang w:val="en-US"/>
        </w:rPr>
        <w:t xml:space="preserve"> </w:t>
      </w:r>
      <w:r w:rsidRPr="00791C81">
        <w:rPr>
          <w:sz w:val="16"/>
          <w:lang w:val="en-US"/>
        </w:rPr>
        <w:t>colony-stimulating</w:t>
      </w:r>
      <w:r w:rsidRPr="00791C81">
        <w:rPr>
          <w:spacing w:val="-5"/>
          <w:sz w:val="16"/>
          <w:lang w:val="en-US"/>
        </w:rPr>
        <w:t xml:space="preserve"> </w:t>
      </w:r>
      <w:r w:rsidRPr="00791C81">
        <w:rPr>
          <w:sz w:val="16"/>
          <w:lang w:val="en-US"/>
        </w:rPr>
        <w:t>factor</w:t>
      </w:r>
      <w:r w:rsidRPr="00791C81">
        <w:rPr>
          <w:spacing w:val="-4"/>
          <w:sz w:val="16"/>
          <w:lang w:val="en-US"/>
        </w:rPr>
        <w:t xml:space="preserve"> </w:t>
      </w:r>
      <w:r w:rsidRPr="00791C81">
        <w:rPr>
          <w:sz w:val="16"/>
          <w:lang w:val="en-US"/>
        </w:rPr>
        <w:t>(g-csf).</w:t>
      </w:r>
      <w:r w:rsidRPr="00791C81">
        <w:rPr>
          <w:spacing w:val="-2"/>
          <w:sz w:val="16"/>
          <w:lang w:val="en-US"/>
        </w:rPr>
        <w:t xml:space="preserve"> </w:t>
      </w:r>
      <w:r w:rsidRPr="00791C81">
        <w:rPr>
          <w:sz w:val="16"/>
          <w:lang w:val="en-US"/>
        </w:rPr>
        <w:t>A</w:t>
      </w:r>
      <w:r w:rsidRPr="00791C81">
        <w:rPr>
          <w:spacing w:val="-6"/>
          <w:sz w:val="16"/>
          <w:lang w:val="en-US"/>
        </w:rPr>
        <w:t xml:space="preserve"> </w:t>
      </w:r>
      <w:r w:rsidRPr="00791C81">
        <w:rPr>
          <w:sz w:val="16"/>
          <w:lang w:val="en-US"/>
        </w:rPr>
        <w:t>case</w:t>
      </w:r>
      <w:r w:rsidRPr="00791C81">
        <w:rPr>
          <w:spacing w:val="-5"/>
          <w:sz w:val="16"/>
          <w:lang w:val="en-US"/>
        </w:rPr>
        <w:t xml:space="preserve"> </w:t>
      </w:r>
      <w:r w:rsidRPr="00791C81">
        <w:rPr>
          <w:sz w:val="16"/>
          <w:lang w:val="en-US"/>
        </w:rPr>
        <w:t>report</w:t>
      </w:r>
      <w:r w:rsidRPr="00791C81">
        <w:rPr>
          <w:spacing w:val="-3"/>
          <w:sz w:val="16"/>
          <w:lang w:val="en-US"/>
        </w:rPr>
        <w:t xml:space="preserve"> </w:t>
      </w:r>
      <w:r w:rsidRPr="00791C81">
        <w:rPr>
          <w:sz w:val="16"/>
          <w:lang w:val="en-US"/>
        </w:rPr>
        <w:t>and</w:t>
      </w:r>
      <w:r w:rsidRPr="00791C81">
        <w:rPr>
          <w:spacing w:val="-2"/>
          <w:sz w:val="16"/>
          <w:lang w:val="en-US"/>
        </w:rPr>
        <w:t xml:space="preserve"> </w:t>
      </w:r>
      <w:r w:rsidRPr="00791C81">
        <w:rPr>
          <w:sz w:val="16"/>
          <w:lang w:val="en-US"/>
        </w:rPr>
        <w:t>review</w:t>
      </w:r>
      <w:r w:rsidRPr="00791C81">
        <w:rPr>
          <w:spacing w:val="-6"/>
          <w:sz w:val="16"/>
          <w:lang w:val="en-US"/>
        </w:rPr>
        <w:t xml:space="preserve"> </w:t>
      </w:r>
      <w:r w:rsidRPr="00791C81">
        <w:rPr>
          <w:sz w:val="16"/>
          <w:lang w:val="en-US"/>
        </w:rPr>
        <w:t>of</w:t>
      </w:r>
      <w:r w:rsidRPr="00791C81">
        <w:rPr>
          <w:spacing w:val="-4"/>
          <w:sz w:val="16"/>
          <w:lang w:val="en-US"/>
        </w:rPr>
        <w:t xml:space="preserve"> </w:t>
      </w:r>
      <w:r w:rsidRPr="00791C81">
        <w:rPr>
          <w:sz w:val="16"/>
          <w:lang w:val="en-US"/>
        </w:rPr>
        <w:t>the</w:t>
      </w:r>
      <w:r w:rsidRPr="00791C81">
        <w:rPr>
          <w:spacing w:val="-5"/>
          <w:sz w:val="16"/>
          <w:lang w:val="en-US"/>
        </w:rPr>
        <w:t xml:space="preserve"> </w:t>
      </w:r>
      <w:r w:rsidRPr="00791C81">
        <w:rPr>
          <w:sz w:val="16"/>
          <w:lang w:val="en-US"/>
        </w:rPr>
        <w:t>literature.Haematologica.</w:t>
      </w:r>
      <w:r w:rsidRPr="00791C81">
        <w:rPr>
          <w:spacing w:val="-5"/>
          <w:sz w:val="16"/>
          <w:lang w:val="en-US"/>
        </w:rPr>
        <w:t xml:space="preserve"> </w:t>
      </w:r>
      <w:r w:rsidRPr="00791C81">
        <w:rPr>
          <w:sz w:val="16"/>
          <w:lang w:val="en-US"/>
        </w:rPr>
        <w:t>2006</w:t>
      </w:r>
      <w:proofErr w:type="gramStart"/>
      <w:r w:rsidRPr="00791C81">
        <w:rPr>
          <w:sz w:val="16"/>
          <w:lang w:val="en-US"/>
        </w:rPr>
        <w:t>;91</w:t>
      </w:r>
      <w:proofErr w:type="gramEnd"/>
      <w:r w:rsidRPr="00791C81">
        <w:rPr>
          <w:sz w:val="16"/>
          <w:lang w:val="en-US"/>
        </w:rPr>
        <w:t>(5</w:t>
      </w:r>
      <w:r w:rsidRPr="00791C81">
        <w:rPr>
          <w:spacing w:val="-3"/>
          <w:sz w:val="16"/>
          <w:lang w:val="en-US"/>
        </w:rPr>
        <w:t xml:space="preserve"> </w:t>
      </w:r>
      <w:r w:rsidRPr="00791C81">
        <w:rPr>
          <w:sz w:val="16"/>
          <w:lang w:val="en-US"/>
        </w:rPr>
        <w:t>Suppl):ECR08.</w:t>
      </w:r>
    </w:p>
    <w:p w:rsidR="00AB6593" w:rsidRPr="00791C81" w:rsidRDefault="00791C81">
      <w:pPr>
        <w:pStyle w:val="PargrafodaLista"/>
        <w:numPr>
          <w:ilvl w:val="0"/>
          <w:numId w:val="1"/>
        </w:numPr>
        <w:tabs>
          <w:tab w:val="left" w:pos="953"/>
        </w:tabs>
        <w:spacing w:before="1"/>
        <w:ind w:right="113" w:firstLine="566"/>
        <w:jc w:val="both"/>
        <w:rPr>
          <w:sz w:val="16"/>
          <w:lang w:val="en-US"/>
        </w:rPr>
      </w:pPr>
      <w:r w:rsidRPr="00791C81">
        <w:rPr>
          <w:sz w:val="16"/>
          <w:lang w:val="en-US"/>
        </w:rPr>
        <w:t>Harousseau JL, Witz B, Lioure B, Hunault-Berger M, Desablens B, Delain M, et al. Granulocyte colony-stim</w:t>
      </w:r>
      <w:r w:rsidRPr="00791C81">
        <w:rPr>
          <w:sz w:val="16"/>
          <w:lang w:val="en-US"/>
        </w:rPr>
        <w:t xml:space="preserve">ulating factor after intensive consolidation chemotherapy in acute myeloid leukemia: results of a randomized trial </w:t>
      </w:r>
      <w:r w:rsidRPr="00791C81">
        <w:rPr>
          <w:spacing w:val="3"/>
          <w:sz w:val="16"/>
          <w:lang w:val="en-US"/>
        </w:rPr>
        <w:t xml:space="preserve">of </w:t>
      </w:r>
      <w:r w:rsidRPr="00791C81">
        <w:rPr>
          <w:sz w:val="16"/>
          <w:lang w:val="en-US"/>
        </w:rPr>
        <w:t>the Groupe Ouest-Est Leucémies Aigues Myeloblastiques. J Clin Oncol. 2000</w:t>
      </w:r>
      <w:proofErr w:type="gramStart"/>
      <w:r w:rsidRPr="00791C81">
        <w:rPr>
          <w:sz w:val="16"/>
          <w:lang w:val="en-US"/>
        </w:rPr>
        <w:t>;18</w:t>
      </w:r>
      <w:proofErr w:type="gramEnd"/>
      <w:r w:rsidRPr="00791C81">
        <w:rPr>
          <w:sz w:val="16"/>
          <w:lang w:val="en-US"/>
        </w:rPr>
        <w:t>(4):780-7.</w:t>
      </w:r>
    </w:p>
    <w:p w:rsidR="00AB6593" w:rsidRPr="00791C81" w:rsidRDefault="00AB6593">
      <w:pPr>
        <w:jc w:val="both"/>
        <w:rPr>
          <w:sz w:val="16"/>
          <w:lang w:val="en-US"/>
        </w:rPr>
        <w:sectPr w:rsidR="00AB6593" w:rsidRPr="00791C81">
          <w:pgSz w:w="11910" w:h="16840"/>
          <w:pgMar w:top="620" w:right="600" w:bottom="280" w:left="620" w:header="720" w:footer="720" w:gutter="0"/>
          <w:cols w:space="720"/>
        </w:sectPr>
      </w:pPr>
    </w:p>
    <w:p w:rsidR="00AB6593" w:rsidRPr="00791C81" w:rsidRDefault="00791C81">
      <w:pPr>
        <w:pStyle w:val="PargrafodaLista"/>
        <w:numPr>
          <w:ilvl w:val="0"/>
          <w:numId w:val="1"/>
        </w:numPr>
        <w:tabs>
          <w:tab w:val="left" w:pos="1114"/>
        </w:tabs>
        <w:spacing w:before="76"/>
        <w:ind w:right="115" w:firstLine="566"/>
        <w:rPr>
          <w:sz w:val="16"/>
          <w:lang w:val="en-US"/>
        </w:rPr>
      </w:pPr>
      <w:r w:rsidRPr="00791C81">
        <w:rPr>
          <w:sz w:val="16"/>
          <w:lang w:val="en-US"/>
        </w:rPr>
        <w:lastRenderedPageBreak/>
        <w:t>Rosenberg PS, Alter BP, Bolyard AA, B</w:t>
      </w:r>
      <w:r w:rsidRPr="00791C81">
        <w:rPr>
          <w:sz w:val="16"/>
          <w:lang w:val="en-US"/>
        </w:rPr>
        <w:t xml:space="preserve">onilla MA, Boxer </w:t>
      </w:r>
      <w:r w:rsidRPr="00791C81">
        <w:rPr>
          <w:spacing w:val="-3"/>
          <w:sz w:val="16"/>
          <w:lang w:val="en-US"/>
        </w:rPr>
        <w:t xml:space="preserve">LA, </w:t>
      </w:r>
      <w:r w:rsidRPr="00791C81">
        <w:rPr>
          <w:sz w:val="16"/>
          <w:lang w:val="en-US"/>
        </w:rPr>
        <w:t>Cham B, et al. The incidence of leukemia and mortality from sepsis in patients with severe congenital neutropenia receiving long-term G-CSF therapy.Blood.</w:t>
      </w:r>
      <w:r w:rsidRPr="00791C81">
        <w:rPr>
          <w:spacing w:val="-8"/>
          <w:sz w:val="16"/>
          <w:lang w:val="en-US"/>
        </w:rPr>
        <w:t xml:space="preserve"> </w:t>
      </w:r>
      <w:r w:rsidRPr="00791C81">
        <w:rPr>
          <w:sz w:val="16"/>
          <w:lang w:val="en-US"/>
        </w:rPr>
        <w:t>2006</w:t>
      </w:r>
      <w:proofErr w:type="gramStart"/>
      <w:r w:rsidRPr="00791C81">
        <w:rPr>
          <w:sz w:val="16"/>
          <w:lang w:val="en-US"/>
        </w:rPr>
        <w:t>;107</w:t>
      </w:r>
      <w:proofErr w:type="gramEnd"/>
      <w:r w:rsidRPr="00791C81">
        <w:rPr>
          <w:sz w:val="16"/>
          <w:lang w:val="en-US"/>
        </w:rPr>
        <w:t>(12):4628-35.</w:t>
      </w:r>
    </w:p>
    <w:p w:rsidR="00AB6593" w:rsidRDefault="00791C81">
      <w:pPr>
        <w:pStyle w:val="PargrafodaLista"/>
        <w:numPr>
          <w:ilvl w:val="0"/>
          <w:numId w:val="1"/>
        </w:numPr>
        <w:tabs>
          <w:tab w:val="left" w:pos="953"/>
        </w:tabs>
        <w:ind w:right="121" w:firstLine="566"/>
        <w:rPr>
          <w:sz w:val="16"/>
        </w:rPr>
      </w:pPr>
      <w:r w:rsidRPr="00791C81">
        <w:rPr>
          <w:sz w:val="16"/>
          <w:lang w:val="en-US"/>
        </w:rPr>
        <w:t>Touw IP, Bontenbal M. Granulocyte colony-stimulating facto</w:t>
      </w:r>
      <w:r w:rsidRPr="00791C81">
        <w:rPr>
          <w:sz w:val="16"/>
          <w:lang w:val="en-US"/>
        </w:rPr>
        <w:t>r: key (f</w:t>
      </w:r>
      <w:proofErr w:type="gramStart"/>
      <w:r w:rsidRPr="00791C81">
        <w:rPr>
          <w:sz w:val="16"/>
          <w:lang w:val="en-US"/>
        </w:rPr>
        <w:t>)actor</w:t>
      </w:r>
      <w:proofErr w:type="gramEnd"/>
      <w:r w:rsidRPr="00791C81">
        <w:rPr>
          <w:sz w:val="16"/>
          <w:lang w:val="en-US"/>
        </w:rPr>
        <w:t xml:space="preserve"> or innocent bystander in the development of secondary myeloid malignancy? </w:t>
      </w:r>
      <w:r>
        <w:rPr>
          <w:sz w:val="16"/>
        </w:rPr>
        <w:t>J Natl Cancer Inst.</w:t>
      </w:r>
      <w:r>
        <w:rPr>
          <w:spacing w:val="-4"/>
          <w:sz w:val="16"/>
        </w:rPr>
        <w:t xml:space="preserve"> </w:t>
      </w:r>
      <w:proofErr w:type="gramStart"/>
      <w:r>
        <w:rPr>
          <w:sz w:val="16"/>
        </w:rPr>
        <w:t>2007;</w:t>
      </w:r>
      <w:proofErr w:type="gramEnd"/>
      <w:r>
        <w:rPr>
          <w:sz w:val="16"/>
        </w:rPr>
        <w:t>99(3):183-6.</w:t>
      </w:r>
    </w:p>
    <w:p w:rsidR="00AB6593" w:rsidRPr="00791C81" w:rsidRDefault="00791C81">
      <w:pPr>
        <w:pStyle w:val="PargrafodaLista"/>
        <w:numPr>
          <w:ilvl w:val="0"/>
          <w:numId w:val="1"/>
        </w:numPr>
        <w:tabs>
          <w:tab w:val="left" w:pos="953"/>
        </w:tabs>
        <w:spacing w:before="1"/>
        <w:ind w:right="114" w:firstLine="566"/>
        <w:rPr>
          <w:sz w:val="16"/>
          <w:lang w:val="en-US"/>
        </w:rPr>
      </w:pPr>
      <w:r>
        <w:rPr>
          <w:sz w:val="16"/>
        </w:rPr>
        <w:t xml:space="preserve">Kaito K, Kobayashi M, Katayama T, Masuoka H, Shimada T, Nishiwaki K, </w:t>
      </w:r>
      <w:proofErr w:type="gramStart"/>
      <w:r>
        <w:rPr>
          <w:sz w:val="16"/>
        </w:rPr>
        <w:t>et</w:t>
      </w:r>
      <w:proofErr w:type="gramEnd"/>
      <w:r>
        <w:rPr>
          <w:sz w:val="16"/>
        </w:rPr>
        <w:t xml:space="preserve"> al. </w:t>
      </w:r>
      <w:r w:rsidRPr="00791C81">
        <w:rPr>
          <w:sz w:val="16"/>
          <w:lang w:val="en-US"/>
        </w:rPr>
        <w:t>Long-term administration of G-CSF for aplastic anaemia is closely related to the early evolution of monosomy 7 MDS in adults. Br J Haematol.</w:t>
      </w:r>
      <w:r w:rsidRPr="00791C81">
        <w:rPr>
          <w:spacing w:val="-13"/>
          <w:sz w:val="16"/>
          <w:lang w:val="en-US"/>
        </w:rPr>
        <w:t xml:space="preserve"> </w:t>
      </w:r>
      <w:r w:rsidRPr="00791C81">
        <w:rPr>
          <w:sz w:val="16"/>
          <w:lang w:val="en-US"/>
        </w:rPr>
        <w:t>1998</w:t>
      </w:r>
      <w:proofErr w:type="gramStart"/>
      <w:r w:rsidRPr="00791C81">
        <w:rPr>
          <w:sz w:val="16"/>
          <w:lang w:val="en-US"/>
        </w:rPr>
        <w:t>;103</w:t>
      </w:r>
      <w:proofErr w:type="gramEnd"/>
      <w:r w:rsidRPr="00791C81">
        <w:rPr>
          <w:sz w:val="16"/>
          <w:lang w:val="en-US"/>
        </w:rPr>
        <w:t>(2):297-303.</w:t>
      </w:r>
    </w:p>
    <w:p w:rsidR="00AB6593" w:rsidRPr="00791C81" w:rsidRDefault="00791C81">
      <w:pPr>
        <w:pStyle w:val="PargrafodaLista"/>
        <w:numPr>
          <w:ilvl w:val="0"/>
          <w:numId w:val="1"/>
        </w:numPr>
        <w:tabs>
          <w:tab w:val="left" w:pos="953"/>
        </w:tabs>
        <w:ind w:right="119" w:firstLine="566"/>
        <w:rPr>
          <w:sz w:val="16"/>
          <w:lang w:val="en-US"/>
        </w:rPr>
      </w:pPr>
      <w:r>
        <w:rPr>
          <w:sz w:val="16"/>
        </w:rPr>
        <w:t>Kojima S, Ohara A,</w:t>
      </w:r>
      <w:r>
        <w:rPr>
          <w:sz w:val="16"/>
        </w:rPr>
        <w:t xml:space="preserve"> Tsuchida M, Kudoh T, Hanada R, Okimoto Y, </w:t>
      </w:r>
      <w:proofErr w:type="gramStart"/>
      <w:r>
        <w:rPr>
          <w:sz w:val="16"/>
        </w:rPr>
        <w:t>et</w:t>
      </w:r>
      <w:proofErr w:type="gramEnd"/>
      <w:r>
        <w:rPr>
          <w:sz w:val="16"/>
        </w:rPr>
        <w:t xml:space="preserve"> al. </w:t>
      </w:r>
      <w:r w:rsidRPr="00791C81">
        <w:rPr>
          <w:sz w:val="16"/>
          <w:lang w:val="en-US"/>
        </w:rPr>
        <w:t>Risk factors for evolution of acquired aplastic anemia into myelodysplastic syndrome and acute myeloid leukemia after immunosuppressive therapy in children. Blood.</w:t>
      </w:r>
      <w:r w:rsidRPr="00791C81">
        <w:rPr>
          <w:spacing w:val="-19"/>
          <w:sz w:val="16"/>
          <w:lang w:val="en-US"/>
        </w:rPr>
        <w:t xml:space="preserve"> </w:t>
      </w:r>
      <w:r w:rsidRPr="00791C81">
        <w:rPr>
          <w:sz w:val="16"/>
          <w:lang w:val="en-US"/>
        </w:rPr>
        <w:t>2002</w:t>
      </w:r>
      <w:proofErr w:type="gramStart"/>
      <w:r w:rsidRPr="00791C81">
        <w:rPr>
          <w:sz w:val="16"/>
          <w:lang w:val="en-US"/>
        </w:rPr>
        <w:t>;100</w:t>
      </w:r>
      <w:proofErr w:type="gramEnd"/>
      <w:r w:rsidRPr="00791C81">
        <w:rPr>
          <w:sz w:val="16"/>
          <w:lang w:val="en-US"/>
        </w:rPr>
        <w:t>(3):786-90.</w:t>
      </w:r>
    </w:p>
    <w:p w:rsidR="00AB6593" w:rsidRPr="00791C81" w:rsidRDefault="00791C81">
      <w:pPr>
        <w:pStyle w:val="PargrafodaLista"/>
        <w:numPr>
          <w:ilvl w:val="0"/>
          <w:numId w:val="1"/>
        </w:numPr>
        <w:tabs>
          <w:tab w:val="left" w:pos="953"/>
        </w:tabs>
        <w:ind w:right="113" w:firstLine="566"/>
        <w:rPr>
          <w:sz w:val="16"/>
          <w:lang w:val="en-US"/>
        </w:rPr>
      </w:pPr>
      <w:r w:rsidRPr="00791C81">
        <w:rPr>
          <w:sz w:val="16"/>
          <w:lang w:val="en-US"/>
        </w:rPr>
        <w:t>Imashuku S, Hibi S, Be</w:t>
      </w:r>
      <w:r w:rsidRPr="00791C81">
        <w:rPr>
          <w:sz w:val="16"/>
          <w:lang w:val="en-US"/>
        </w:rPr>
        <w:t>ssho F, Tsuchida M, Nakahata T, Miyazaki S, et al. Detection of myelodysplastic syndrome/ acute myeloid leukemia evolving from aplastic anemia in children, treated with recombinant human G-CSF. Haematologica.</w:t>
      </w:r>
      <w:r w:rsidRPr="00791C81">
        <w:rPr>
          <w:spacing w:val="-9"/>
          <w:sz w:val="16"/>
          <w:lang w:val="en-US"/>
        </w:rPr>
        <w:t xml:space="preserve"> </w:t>
      </w:r>
      <w:r w:rsidRPr="00791C81">
        <w:rPr>
          <w:sz w:val="16"/>
          <w:lang w:val="en-US"/>
        </w:rPr>
        <w:t>2003</w:t>
      </w:r>
      <w:proofErr w:type="gramStart"/>
      <w:r w:rsidRPr="00791C81">
        <w:rPr>
          <w:sz w:val="16"/>
          <w:lang w:val="en-US"/>
        </w:rPr>
        <w:t>;88</w:t>
      </w:r>
      <w:proofErr w:type="gramEnd"/>
      <w:r w:rsidRPr="00791C81">
        <w:rPr>
          <w:sz w:val="16"/>
          <w:lang w:val="en-US"/>
        </w:rPr>
        <w:t>(11):ECR31.</w:t>
      </w:r>
    </w:p>
    <w:p w:rsidR="00AB6593" w:rsidRDefault="00791C81">
      <w:pPr>
        <w:pStyle w:val="PargrafodaLista"/>
        <w:numPr>
          <w:ilvl w:val="0"/>
          <w:numId w:val="1"/>
        </w:numPr>
        <w:tabs>
          <w:tab w:val="left" w:pos="953"/>
        </w:tabs>
        <w:ind w:firstLine="566"/>
        <w:rPr>
          <w:sz w:val="16"/>
        </w:rPr>
      </w:pPr>
      <w:r w:rsidRPr="00791C81">
        <w:rPr>
          <w:sz w:val="16"/>
          <w:lang w:val="en-US"/>
        </w:rPr>
        <w:t>Lyman GH, Dale DC. Long-term</w:t>
      </w:r>
      <w:r w:rsidRPr="00791C81">
        <w:rPr>
          <w:sz w:val="16"/>
          <w:lang w:val="en-US"/>
        </w:rPr>
        <w:t xml:space="preserve"> outcomes of myeloid growth factor treatment. </w:t>
      </w:r>
      <w:r>
        <w:rPr>
          <w:sz w:val="16"/>
        </w:rPr>
        <w:t>J Natl Compr Canc Netw.</w:t>
      </w:r>
      <w:r>
        <w:rPr>
          <w:spacing w:val="-16"/>
          <w:sz w:val="16"/>
        </w:rPr>
        <w:t xml:space="preserve"> </w:t>
      </w:r>
      <w:proofErr w:type="gramStart"/>
      <w:r>
        <w:rPr>
          <w:sz w:val="16"/>
        </w:rPr>
        <w:t>2011;</w:t>
      </w:r>
      <w:proofErr w:type="gramEnd"/>
      <w:r>
        <w:rPr>
          <w:sz w:val="16"/>
        </w:rPr>
        <w:t>9(8):945-52.</w:t>
      </w:r>
    </w:p>
    <w:p w:rsidR="00AB6593" w:rsidRDefault="00AB6593">
      <w:pPr>
        <w:pStyle w:val="Corpodetexto"/>
        <w:ind w:left="0" w:firstLine="0"/>
        <w:rPr>
          <w:sz w:val="18"/>
        </w:rPr>
      </w:pPr>
    </w:p>
    <w:p w:rsidR="00791C81" w:rsidRDefault="00791C81">
      <w:pPr>
        <w:pStyle w:val="Corpodetexto"/>
        <w:spacing w:before="161" w:line="183" w:lineRule="exact"/>
        <w:ind w:left="3086" w:firstLine="0"/>
      </w:pPr>
    </w:p>
    <w:p w:rsidR="00791C81" w:rsidRDefault="00791C81">
      <w:pPr>
        <w:pStyle w:val="Corpodetexto"/>
        <w:spacing w:before="161" w:line="183" w:lineRule="exact"/>
        <w:ind w:left="3086" w:firstLine="0"/>
      </w:pPr>
    </w:p>
    <w:p w:rsidR="00791C81" w:rsidRDefault="00791C81">
      <w:pPr>
        <w:pStyle w:val="Corpodetexto"/>
        <w:spacing w:before="161" w:line="183" w:lineRule="exact"/>
        <w:ind w:left="3086" w:firstLine="0"/>
      </w:pPr>
    </w:p>
    <w:p w:rsidR="00791C81" w:rsidRDefault="00791C81">
      <w:pPr>
        <w:pStyle w:val="Corpodetexto"/>
        <w:spacing w:before="161" w:line="183" w:lineRule="exact"/>
        <w:ind w:left="3086" w:firstLine="0"/>
      </w:pPr>
    </w:p>
    <w:p w:rsidR="00791C81" w:rsidRDefault="00791C81">
      <w:pPr>
        <w:pStyle w:val="Corpodetexto"/>
        <w:spacing w:before="161" w:line="183" w:lineRule="exact"/>
        <w:ind w:left="3086" w:firstLine="0"/>
      </w:pPr>
    </w:p>
    <w:p w:rsidR="00791C81" w:rsidRDefault="00791C81">
      <w:pPr>
        <w:pStyle w:val="Corpodetexto"/>
        <w:spacing w:before="161" w:line="183" w:lineRule="exact"/>
        <w:ind w:left="3086" w:firstLine="0"/>
      </w:pPr>
    </w:p>
    <w:p w:rsidR="00791C81" w:rsidRDefault="00791C81">
      <w:pPr>
        <w:pStyle w:val="Corpodetexto"/>
        <w:spacing w:before="161" w:line="183" w:lineRule="exact"/>
        <w:ind w:left="3086" w:firstLine="0"/>
      </w:pPr>
    </w:p>
    <w:p w:rsidR="00791C81" w:rsidRDefault="00791C81">
      <w:pPr>
        <w:pStyle w:val="Corpodetexto"/>
        <w:spacing w:before="161" w:line="183" w:lineRule="exact"/>
        <w:ind w:left="3086" w:firstLine="0"/>
      </w:pPr>
    </w:p>
    <w:p w:rsidR="00791C81" w:rsidRDefault="00791C81">
      <w:pPr>
        <w:pStyle w:val="Corpodetexto"/>
        <w:spacing w:before="161" w:line="183" w:lineRule="exact"/>
        <w:ind w:left="3086" w:firstLine="0"/>
      </w:pPr>
    </w:p>
    <w:p w:rsidR="00791C81" w:rsidRDefault="00791C81">
      <w:pPr>
        <w:pStyle w:val="Corpodetexto"/>
        <w:spacing w:before="161" w:line="183" w:lineRule="exact"/>
        <w:ind w:left="3086" w:firstLine="0"/>
      </w:pPr>
    </w:p>
    <w:p w:rsidR="00791C81" w:rsidRDefault="00791C81">
      <w:pPr>
        <w:pStyle w:val="Corpodetexto"/>
        <w:spacing w:before="161" w:line="183" w:lineRule="exact"/>
        <w:ind w:left="3086" w:firstLine="0"/>
      </w:pPr>
    </w:p>
    <w:p w:rsidR="00791C81" w:rsidRDefault="00791C81">
      <w:pPr>
        <w:pStyle w:val="Corpodetexto"/>
        <w:spacing w:before="161" w:line="183" w:lineRule="exact"/>
        <w:ind w:left="3086" w:firstLine="0"/>
      </w:pPr>
    </w:p>
    <w:p w:rsidR="00791C81" w:rsidRDefault="00791C81">
      <w:pPr>
        <w:pStyle w:val="Corpodetexto"/>
        <w:spacing w:before="161" w:line="183" w:lineRule="exact"/>
        <w:ind w:left="3086" w:firstLine="0"/>
      </w:pPr>
    </w:p>
    <w:p w:rsidR="00791C81" w:rsidRDefault="00791C81">
      <w:pPr>
        <w:pStyle w:val="Corpodetexto"/>
        <w:spacing w:before="161" w:line="183" w:lineRule="exact"/>
        <w:ind w:left="3086" w:firstLine="0"/>
      </w:pPr>
    </w:p>
    <w:p w:rsidR="00791C81" w:rsidRDefault="00791C81">
      <w:pPr>
        <w:pStyle w:val="Corpodetexto"/>
        <w:spacing w:before="161" w:line="183" w:lineRule="exact"/>
        <w:ind w:left="3086" w:firstLine="0"/>
      </w:pPr>
    </w:p>
    <w:p w:rsidR="00791C81" w:rsidRDefault="00791C81">
      <w:pPr>
        <w:pStyle w:val="Corpodetexto"/>
        <w:spacing w:before="161" w:line="183" w:lineRule="exact"/>
        <w:ind w:left="3086" w:firstLine="0"/>
      </w:pPr>
    </w:p>
    <w:p w:rsidR="00791C81" w:rsidRDefault="00791C81">
      <w:pPr>
        <w:pStyle w:val="Corpodetexto"/>
        <w:spacing w:before="161" w:line="183" w:lineRule="exact"/>
        <w:ind w:left="3086" w:firstLine="0"/>
      </w:pPr>
    </w:p>
    <w:p w:rsidR="00791C81" w:rsidRDefault="00791C81">
      <w:pPr>
        <w:pStyle w:val="Corpodetexto"/>
        <w:spacing w:before="161" w:line="183" w:lineRule="exact"/>
        <w:ind w:left="3086" w:firstLine="0"/>
      </w:pPr>
    </w:p>
    <w:p w:rsidR="00791C81" w:rsidRDefault="00791C81">
      <w:pPr>
        <w:pStyle w:val="Corpodetexto"/>
        <w:spacing w:before="161" w:line="183" w:lineRule="exact"/>
        <w:ind w:left="3086" w:firstLine="0"/>
      </w:pPr>
    </w:p>
    <w:p w:rsidR="00791C81" w:rsidRDefault="00791C81">
      <w:pPr>
        <w:pStyle w:val="Corpodetexto"/>
        <w:spacing w:before="161" w:line="183" w:lineRule="exact"/>
        <w:ind w:left="3086" w:firstLine="0"/>
      </w:pPr>
    </w:p>
    <w:p w:rsidR="00791C81" w:rsidRDefault="00791C81">
      <w:pPr>
        <w:pStyle w:val="Corpodetexto"/>
        <w:spacing w:before="161" w:line="183" w:lineRule="exact"/>
        <w:ind w:left="3086" w:firstLine="0"/>
      </w:pPr>
    </w:p>
    <w:p w:rsidR="00791C81" w:rsidRDefault="00791C81">
      <w:pPr>
        <w:pStyle w:val="Corpodetexto"/>
        <w:spacing w:before="161" w:line="183" w:lineRule="exact"/>
        <w:ind w:left="3086" w:firstLine="0"/>
      </w:pPr>
    </w:p>
    <w:p w:rsidR="00791C81" w:rsidRDefault="00791C81">
      <w:pPr>
        <w:pStyle w:val="Corpodetexto"/>
        <w:spacing w:before="161" w:line="183" w:lineRule="exact"/>
        <w:ind w:left="3086" w:firstLine="0"/>
      </w:pPr>
    </w:p>
    <w:p w:rsidR="00791C81" w:rsidRDefault="00791C81">
      <w:pPr>
        <w:pStyle w:val="Corpodetexto"/>
        <w:spacing w:before="161" w:line="183" w:lineRule="exact"/>
        <w:ind w:left="3086" w:firstLine="0"/>
      </w:pPr>
    </w:p>
    <w:p w:rsidR="00791C81" w:rsidRDefault="00791C81">
      <w:pPr>
        <w:pStyle w:val="Corpodetexto"/>
        <w:spacing w:before="161" w:line="183" w:lineRule="exact"/>
        <w:ind w:left="3086" w:firstLine="0"/>
      </w:pPr>
    </w:p>
    <w:p w:rsidR="00791C81" w:rsidRDefault="00791C81">
      <w:pPr>
        <w:pStyle w:val="Corpodetexto"/>
        <w:spacing w:before="161" w:line="183" w:lineRule="exact"/>
        <w:ind w:left="3086" w:firstLine="0"/>
      </w:pPr>
    </w:p>
    <w:p w:rsidR="00791C81" w:rsidRDefault="00791C81">
      <w:pPr>
        <w:pStyle w:val="Corpodetexto"/>
        <w:spacing w:before="161" w:line="183" w:lineRule="exact"/>
        <w:ind w:left="3086" w:firstLine="0"/>
      </w:pPr>
    </w:p>
    <w:p w:rsidR="00791C81" w:rsidRDefault="00791C81">
      <w:pPr>
        <w:pStyle w:val="Corpodetexto"/>
        <w:spacing w:before="161" w:line="183" w:lineRule="exact"/>
        <w:ind w:left="3086" w:firstLine="0"/>
      </w:pPr>
    </w:p>
    <w:p w:rsidR="00791C81" w:rsidRDefault="00791C81">
      <w:pPr>
        <w:pStyle w:val="Corpodetexto"/>
        <w:spacing w:before="161" w:line="183" w:lineRule="exact"/>
        <w:ind w:left="3086" w:firstLine="0"/>
      </w:pPr>
    </w:p>
    <w:p w:rsidR="00791C81" w:rsidRDefault="00791C81">
      <w:pPr>
        <w:pStyle w:val="Corpodetexto"/>
        <w:spacing w:before="161" w:line="183" w:lineRule="exact"/>
        <w:ind w:left="3086" w:firstLine="0"/>
      </w:pPr>
    </w:p>
    <w:p w:rsidR="00791C81" w:rsidRDefault="00791C81">
      <w:pPr>
        <w:pStyle w:val="Corpodetexto"/>
        <w:spacing w:before="161" w:line="183" w:lineRule="exact"/>
        <w:ind w:left="3086" w:firstLine="0"/>
      </w:pPr>
    </w:p>
    <w:p w:rsidR="00791C81" w:rsidRDefault="00791C81">
      <w:pPr>
        <w:pStyle w:val="Corpodetexto"/>
        <w:spacing w:before="161" w:line="183" w:lineRule="exact"/>
        <w:ind w:left="3086" w:firstLine="0"/>
      </w:pPr>
    </w:p>
    <w:p w:rsidR="00791C81" w:rsidRDefault="00791C81">
      <w:pPr>
        <w:pStyle w:val="Corpodetexto"/>
        <w:spacing w:before="161" w:line="183" w:lineRule="exact"/>
        <w:ind w:left="3086" w:firstLine="0"/>
      </w:pPr>
    </w:p>
    <w:p w:rsidR="00791C81" w:rsidRDefault="00791C81">
      <w:pPr>
        <w:pStyle w:val="Corpodetexto"/>
        <w:spacing w:before="161" w:line="183" w:lineRule="exact"/>
        <w:ind w:left="3086" w:firstLine="0"/>
      </w:pPr>
    </w:p>
    <w:p w:rsidR="00791C81" w:rsidRDefault="00791C81">
      <w:pPr>
        <w:pStyle w:val="Corpodetexto"/>
        <w:spacing w:before="161" w:line="183" w:lineRule="exact"/>
        <w:ind w:left="3086" w:firstLine="0"/>
      </w:pPr>
    </w:p>
    <w:p w:rsidR="00791C81" w:rsidRDefault="00791C81">
      <w:pPr>
        <w:pStyle w:val="Corpodetexto"/>
        <w:spacing w:before="161" w:line="183" w:lineRule="exact"/>
        <w:ind w:left="3086" w:firstLine="0"/>
      </w:pPr>
    </w:p>
    <w:p w:rsidR="00791C81" w:rsidRDefault="00791C81">
      <w:pPr>
        <w:pStyle w:val="Corpodetexto"/>
        <w:spacing w:before="161" w:line="183" w:lineRule="exact"/>
        <w:ind w:left="3086" w:firstLine="0"/>
      </w:pPr>
    </w:p>
    <w:p w:rsidR="00791C81" w:rsidRDefault="00791C81">
      <w:pPr>
        <w:pStyle w:val="Corpodetexto"/>
        <w:spacing w:before="161" w:line="183" w:lineRule="exact"/>
        <w:ind w:left="3086" w:firstLine="0"/>
      </w:pPr>
    </w:p>
    <w:p w:rsidR="00791C81" w:rsidRDefault="00791C81">
      <w:pPr>
        <w:pStyle w:val="Corpodetexto"/>
        <w:spacing w:before="161" w:line="183" w:lineRule="exact"/>
        <w:ind w:left="3086" w:firstLine="0"/>
      </w:pPr>
    </w:p>
    <w:p w:rsidR="00AB6593" w:rsidRDefault="00791C81">
      <w:pPr>
        <w:pStyle w:val="Corpodetexto"/>
        <w:spacing w:before="161" w:line="183" w:lineRule="exact"/>
        <w:ind w:left="3086" w:firstLine="0"/>
      </w:pPr>
      <w:bookmarkStart w:id="0" w:name="_GoBack"/>
      <w:bookmarkEnd w:id="0"/>
      <w:r>
        <w:lastRenderedPageBreak/>
        <w:t>TERMO DE ESCLARECIMENTO E RESPONSABILIDADE (TER)</w:t>
      </w:r>
    </w:p>
    <w:p w:rsidR="00AB6593" w:rsidRDefault="00791C81">
      <w:pPr>
        <w:pStyle w:val="Corpodetexto"/>
        <w:spacing w:line="183" w:lineRule="exact"/>
        <w:ind w:left="3920" w:right="3373" w:firstLine="0"/>
        <w:jc w:val="center"/>
      </w:pPr>
      <w:r>
        <w:t>Filgrastima</w:t>
      </w:r>
    </w:p>
    <w:p w:rsidR="00AB6593" w:rsidRDefault="00AB6593">
      <w:pPr>
        <w:pStyle w:val="Corpodetexto"/>
        <w:spacing w:before="2"/>
        <w:ind w:left="0" w:firstLine="0"/>
      </w:pPr>
    </w:p>
    <w:p w:rsidR="00AB6593" w:rsidRDefault="00791C81">
      <w:pPr>
        <w:pStyle w:val="Corpodetexto"/>
        <w:tabs>
          <w:tab w:val="left" w:pos="5239"/>
        </w:tabs>
        <w:ind w:right="149"/>
      </w:pPr>
      <w:r>
        <w:t>Eu,</w:t>
      </w:r>
      <w:r>
        <w:rPr>
          <w:u w:val="single"/>
        </w:rPr>
        <w:t xml:space="preserve"> </w:t>
      </w:r>
      <w:r>
        <w:rPr>
          <w:u w:val="single"/>
        </w:rPr>
        <w:tab/>
      </w:r>
      <w:proofErr w:type="gramStart"/>
      <w:r>
        <w:t>(</w:t>
      </w:r>
      <w:proofErr w:type="gramEnd"/>
      <w:r>
        <w:t>nome do(a) paciente), declaro ter sido informado(a) claramente sobre os benefícios,</w:t>
      </w:r>
      <w:r>
        <w:rPr>
          <w:spacing w:val="-4"/>
        </w:rPr>
        <w:t xml:space="preserve"> </w:t>
      </w:r>
      <w:r>
        <w:t>riscos,</w:t>
      </w:r>
      <w:r>
        <w:rPr>
          <w:spacing w:val="-4"/>
        </w:rPr>
        <w:t xml:space="preserve"> </w:t>
      </w:r>
      <w:r>
        <w:t>contraindicações</w:t>
      </w:r>
      <w:r>
        <w:rPr>
          <w:spacing w:val="-2"/>
        </w:rPr>
        <w:t xml:space="preserve"> </w:t>
      </w:r>
      <w:r>
        <w:t>e</w:t>
      </w:r>
      <w:r>
        <w:rPr>
          <w:spacing w:val="-3"/>
        </w:rPr>
        <w:t xml:space="preserve"> </w:t>
      </w:r>
      <w:r>
        <w:t>principais</w:t>
      </w:r>
      <w:r>
        <w:rPr>
          <w:spacing w:val="-1"/>
        </w:rPr>
        <w:t xml:space="preserve"> </w:t>
      </w:r>
      <w:r>
        <w:t>efeitos</w:t>
      </w:r>
      <w:r>
        <w:rPr>
          <w:spacing w:val="-2"/>
        </w:rPr>
        <w:t xml:space="preserve"> </w:t>
      </w:r>
      <w:r>
        <w:t>adversos</w:t>
      </w:r>
      <w:r>
        <w:rPr>
          <w:spacing w:val="-2"/>
        </w:rPr>
        <w:t xml:space="preserve"> </w:t>
      </w:r>
      <w:r>
        <w:t>relacionados</w:t>
      </w:r>
      <w:r>
        <w:rPr>
          <w:spacing w:val="-2"/>
        </w:rPr>
        <w:t xml:space="preserve"> </w:t>
      </w:r>
      <w:r>
        <w:t>ao</w:t>
      </w:r>
      <w:r>
        <w:rPr>
          <w:spacing w:val="-3"/>
        </w:rPr>
        <w:t xml:space="preserve"> </w:t>
      </w:r>
      <w:r>
        <w:t>uso</w:t>
      </w:r>
      <w:r>
        <w:rPr>
          <w:spacing w:val="-4"/>
        </w:rPr>
        <w:t xml:space="preserve"> </w:t>
      </w:r>
      <w:r>
        <w:t>do</w:t>
      </w:r>
      <w:r>
        <w:rPr>
          <w:spacing w:val="-3"/>
        </w:rPr>
        <w:t xml:space="preserve"> </w:t>
      </w:r>
      <w:r>
        <w:t>medicamento</w:t>
      </w:r>
      <w:r>
        <w:rPr>
          <w:spacing w:val="-3"/>
        </w:rPr>
        <w:t xml:space="preserve"> </w:t>
      </w:r>
      <w:r>
        <w:t>filgrastima,</w:t>
      </w:r>
      <w:r>
        <w:rPr>
          <w:spacing w:val="-1"/>
        </w:rPr>
        <w:t xml:space="preserve"> </w:t>
      </w:r>
      <w:r>
        <w:t>indicado</w:t>
      </w:r>
      <w:r>
        <w:rPr>
          <w:spacing w:val="-4"/>
        </w:rPr>
        <w:t xml:space="preserve"> </w:t>
      </w:r>
      <w:r>
        <w:t>para</w:t>
      </w:r>
      <w:r>
        <w:rPr>
          <w:spacing w:val="-1"/>
        </w:rPr>
        <w:t xml:space="preserve"> </w:t>
      </w:r>
      <w:r>
        <w:t>o</w:t>
      </w:r>
      <w:r>
        <w:rPr>
          <w:spacing w:val="-5"/>
        </w:rPr>
        <w:t xml:space="preserve"> </w:t>
      </w:r>
      <w:r>
        <w:t>tratamento</w:t>
      </w:r>
      <w:r>
        <w:rPr>
          <w:spacing w:val="-5"/>
        </w:rPr>
        <w:t xml:space="preserve"> </w:t>
      </w:r>
      <w:r>
        <w:t>de</w:t>
      </w:r>
      <w:r>
        <w:rPr>
          <w:spacing w:val="-3"/>
        </w:rPr>
        <w:t xml:space="preserve"> </w:t>
      </w:r>
      <w:r>
        <w:t>neutropenia.</w:t>
      </w:r>
    </w:p>
    <w:p w:rsidR="00AB6593" w:rsidRDefault="00791C81">
      <w:pPr>
        <w:pStyle w:val="Corpodetexto"/>
        <w:tabs>
          <w:tab w:val="left" w:pos="1146"/>
          <w:tab w:val="left" w:pos="1883"/>
          <w:tab w:val="left" w:pos="2718"/>
          <w:tab w:val="left" w:pos="3212"/>
          <w:tab w:val="left" w:pos="3896"/>
          <w:tab w:val="left" w:pos="4881"/>
          <w:tab w:val="left" w:pos="5253"/>
          <w:tab w:val="left" w:pos="5891"/>
          <w:tab w:val="left" w:pos="6325"/>
          <w:tab w:val="left" w:pos="7088"/>
          <w:tab w:val="left" w:pos="7887"/>
          <w:tab w:val="left" w:pos="8570"/>
          <w:tab w:val="left" w:pos="9518"/>
          <w:tab w:val="left" w:pos="10094"/>
        </w:tabs>
        <w:spacing w:line="183" w:lineRule="exact"/>
        <w:ind w:left="666" w:firstLine="0"/>
      </w:pPr>
      <w:r>
        <w:t>Os</w:t>
      </w:r>
      <w:r>
        <w:tab/>
        <w:t>termos</w:t>
      </w:r>
      <w:r>
        <w:tab/>
        <w:t>médicos</w:t>
      </w:r>
      <w:r>
        <w:tab/>
        <w:t>me</w:t>
      </w:r>
      <w:r>
        <w:tab/>
        <w:t>foram</w:t>
      </w:r>
      <w:r>
        <w:tab/>
        <w:t>explicados</w:t>
      </w:r>
      <w:r>
        <w:tab/>
        <w:t>e</w:t>
      </w:r>
      <w:r>
        <w:tab/>
        <w:t>todas</w:t>
      </w:r>
      <w:r>
        <w:tab/>
        <w:t>as</w:t>
      </w:r>
      <w:r>
        <w:tab/>
        <w:t>minhas</w:t>
      </w:r>
      <w:r>
        <w:tab/>
        <w:t>dúvidas</w:t>
      </w:r>
      <w:r>
        <w:tab/>
        <w:t>foram</w:t>
      </w:r>
      <w:r>
        <w:tab/>
        <w:t>resolvidas</w:t>
      </w:r>
      <w:r>
        <w:tab/>
        <w:t>pelo</w:t>
      </w:r>
      <w:r>
        <w:tab/>
        <w:t>médico</w:t>
      </w:r>
    </w:p>
    <w:p w:rsidR="00AB6593" w:rsidRDefault="00791C81">
      <w:pPr>
        <w:pStyle w:val="Corpodetexto"/>
        <w:tabs>
          <w:tab w:val="left" w:pos="3714"/>
        </w:tabs>
        <w:spacing w:before="1" w:line="183" w:lineRule="exact"/>
        <w:ind w:left="0" w:right="4628" w:firstLine="0"/>
        <w:jc w:val="center"/>
      </w:pPr>
      <w:r>
        <w:rPr>
          <w:u w:val="single"/>
        </w:rPr>
        <w:t xml:space="preserve"> </w:t>
      </w:r>
      <w:r>
        <w:rPr>
          <w:u w:val="single"/>
        </w:rPr>
        <w:tab/>
      </w:r>
      <w:r>
        <w:t>(nome do médico que</w:t>
      </w:r>
      <w:r>
        <w:rPr>
          <w:spacing w:val="-13"/>
        </w:rPr>
        <w:t xml:space="preserve"> </w:t>
      </w:r>
      <w:r>
        <w:t>pre</w:t>
      </w:r>
      <w:r>
        <w:t>screve).</w:t>
      </w:r>
    </w:p>
    <w:p w:rsidR="00AB6593" w:rsidRDefault="00791C81">
      <w:pPr>
        <w:pStyle w:val="Corpodetexto"/>
        <w:spacing w:line="183" w:lineRule="exact"/>
        <w:ind w:left="666" w:firstLine="0"/>
      </w:pPr>
      <w:r>
        <w:t xml:space="preserve">Assim declaro que fui claramente </w:t>
      </w:r>
      <w:proofErr w:type="gramStart"/>
      <w:r>
        <w:t>informado(</w:t>
      </w:r>
      <w:proofErr w:type="gramEnd"/>
      <w:r>
        <w:t>a) de que o medicamento que passo a receber pode trazer os seguintes benefícios:</w:t>
      </w:r>
    </w:p>
    <w:p w:rsidR="00AB6593" w:rsidRDefault="00791C81">
      <w:pPr>
        <w:pStyle w:val="PargrafodaLista"/>
        <w:numPr>
          <w:ilvl w:val="1"/>
          <w:numId w:val="3"/>
        </w:numPr>
        <w:tabs>
          <w:tab w:val="left" w:pos="761"/>
        </w:tabs>
        <w:spacing w:before="1"/>
        <w:ind w:firstLine="566"/>
        <w:rPr>
          <w:sz w:val="16"/>
        </w:rPr>
      </w:pPr>
      <w:proofErr w:type="gramStart"/>
      <w:r>
        <w:rPr>
          <w:sz w:val="16"/>
        </w:rPr>
        <w:t>aumento</w:t>
      </w:r>
      <w:proofErr w:type="gramEnd"/>
      <w:r>
        <w:rPr>
          <w:sz w:val="16"/>
        </w:rPr>
        <w:t xml:space="preserve"> do número de células brancas do sangue</w:t>
      </w:r>
      <w:r>
        <w:rPr>
          <w:spacing w:val="-15"/>
          <w:sz w:val="16"/>
        </w:rPr>
        <w:t xml:space="preserve"> </w:t>
      </w:r>
      <w:r>
        <w:rPr>
          <w:sz w:val="16"/>
        </w:rPr>
        <w:t>(neutrófilos);</w:t>
      </w:r>
    </w:p>
    <w:p w:rsidR="00AB6593" w:rsidRDefault="00791C81">
      <w:pPr>
        <w:pStyle w:val="PargrafodaLista"/>
        <w:numPr>
          <w:ilvl w:val="1"/>
          <w:numId w:val="3"/>
        </w:numPr>
        <w:tabs>
          <w:tab w:val="left" w:pos="761"/>
        </w:tabs>
        <w:spacing w:before="1" w:line="183" w:lineRule="exact"/>
        <w:ind w:firstLine="566"/>
        <w:rPr>
          <w:sz w:val="16"/>
        </w:rPr>
      </w:pPr>
      <w:proofErr w:type="gramStart"/>
      <w:r>
        <w:rPr>
          <w:sz w:val="16"/>
        </w:rPr>
        <w:t>redução</w:t>
      </w:r>
      <w:proofErr w:type="gramEnd"/>
      <w:r>
        <w:rPr>
          <w:sz w:val="16"/>
        </w:rPr>
        <w:t xml:space="preserve"> no tempo de neutropenia (células brancas reduzidas no</w:t>
      </w:r>
      <w:r>
        <w:rPr>
          <w:spacing w:val="-17"/>
          <w:sz w:val="16"/>
        </w:rPr>
        <w:t xml:space="preserve"> </w:t>
      </w:r>
      <w:r>
        <w:rPr>
          <w:sz w:val="16"/>
        </w:rPr>
        <w:t>sangue);</w:t>
      </w:r>
    </w:p>
    <w:p w:rsidR="00AB6593" w:rsidRDefault="00791C81">
      <w:pPr>
        <w:pStyle w:val="PargrafodaLista"/>
        <w:numPr>
          <w:ilvl w:val="1"/>
          <w:numId w:val="3"/>
        </w:numPr>
        <w:tabs>
          <w:tab w:val="left" w:pos="761"/>
        </w:tabs>
        <w:spacing w:line="183" w:lineRule="exact"/>
        <w:ind w:firstLine="566"/>
        <w:rPr>
          <w:sz w:val="16"/>
        </w:rPr>
      </w:pPr>
      <w:proofErr w:type="gramStart"/>
      <w:r>
        <w:rPr>
          <w:sz w:val="16"/>
        </w:rPr>
        <w:t>redução</w:t>
      </w:r>
      <w:proofErr w:type="gramEnd"/>
      <w:r>
        <w:rPr>
          <w:sz w:val="16"/>
        </w:rPr>
        <w:t xml:space="preserve"> na incidência de neutropenia</w:t>
      </w:r>
      <w:r>
        <w:rPr>
          <w:spacing w:val="-6"/>
          <w:sz w:val="16"/>
        </w:rPr>
        <w:t xml:space="preserve"> </w:t>
      </w:r>
      <w:r>
        <w:rPr>
          <w:sz w:val="16"/>
        </w:rPr>
        <w:t>grave;</w:t>
      </w:r>
    </w:p>
    <w:p w:rsidR="00AB6593" w:rsidRDefault="00791C81">
      <w:pPr>
        <w:pStyle w:val="PargrafodaLista"/>
        <w:numPr>
          <w:ilvl w:val="1"/>
          <w:numId w:val="3"/>
        </w:numPr>
        <w:tabs>
          <w:tab w:val="left" w:pos="761"/>
        </w:tabs>
        <w:spacing w:before="1"/>
        <w:ind w:firstLine="566"/>
        <w:rPr>
          <w:sz w:val="16"/>
        </w:rPr>
      </w:pPr>
      <w:proofErr w:type="gramStart"/>
      <w:r>
        <w:rPr>
          <w:sz w:val="16"/>
        </w:rPr>
        <w:t>redução</w:t>
      </w:r>
      <w:proofErr w:type="gramEnd"/>
      <w:r>
        <w:rPr>
          <w:sz w:val="16"/>
        </w:rPr>
        <w:t xml:space="preserve"> no tempo de neutropenia</w:t>
      </w:r>
      <w:r>
        <w:rPr>
          <w:spacing w:val="-11"/>
          <w:sz w:val="16"/>
        </w:rPr>
        <w:t xml:space="preserve"> </w:t>
      </w:r>
      <w:r>
        <w:rPr>
          <w:sz w:val="16"/>
        </w:rPr>
        <w:t>febril.</w:t>
      </w:r>
    </w:p>
    <w:p w:rsidR="00AB6593" w:rsidRDefault="00791C81">
      <w:pPr>
        <w:pStyle w:val="Corpodetexto"/>
        <w:spacing w:before="1" w:line="183" w:lineRule="exact"/>
        <w:ind w:left="666" w:firstLine="0"/>
      </w:pPr>
      <w:r>
        <w:t xml:space="preserve">Fui também claramente </w:t>
      </w:r>
      <w:proofErr w:type="gramStart"/>
      <w:r>
        <w:t>informado(</w:t>
      </w:r>
      <w:proofErr w:type="gramEnd"/>
      <w:r>
        <w:t>a) a respeito das seguintes contraindicações, potenciais efeitos adversos e riscos:</w:t>
      </w:r>
    </w:p>
    <w:p w:rsidR="00AB6593" w:rsidRDefault="00791C81">
      <w:pPr>
        <w:pStyle w:val="PargrafodaLista"/>
        <w:numPr>
          <w:ilvl w:val="1"/>
          <w:numId w:val="3"/>
        </w:numPr>
        <w:tabs>
          <w:tab w:val="left" w:pos="761"/>
        </w:tabs>
        <w:spacing w:line="183" w:lineRule="exact"/>
        <w:ind w:firstLine="566"/>
        <w:rPr>
          <w:sz w:val="16"/>
        </w:rPr>
      </w:pPr>
      <w:proofErr w:type="gramStart"/>
      <w:r>
        <w:rPr>
          <w:sz w:val="16"/>
        </w:rPr>
        <w:t>não</w:t>
      </w:r>
      <w:proofErr w:type="gramEnd"/>
      <w:r>
        <w:rPr>
          <w:spacing w:val="-2"/>
          <w:sz w:val="16"/>
        </w:rPr>
        <w:t xml:space="preserve"> </w:t>
      </w:r>
      <w:r>
        <w:rPr>
          <w:sz w:val="16"/>
        </w:rPr>
        <w:t>se</w:t>
      </w:r>
      <w:r>
        <w:rPr>
          <w:spacing w:val="-3"/>
          <w:sz w:val="16"/>
        </w:rPr>
        <w:t xml:space="preserve"> </w:t>
      </w:r>
      <w:r>
        <w:rPr>
          <w:sz w:val="16"/>
        </w:rPr>
        <w:t>sabe</w:t>
      </w:r>
      <w:r>
        <w:rPr>
          <w:spacing w:val="-2"/>
          <w:sz w:val="16"/>
        </w:rPr>
        <w:t xml:space="preserve"> </w:t>
      </w:r>
      <w:r>
        <w:rPr>
          <w:sz w:val="16"/>
        </w:rPr>
        <w:t>ao</w:t>
      </w:r>
      <w:r>
        <w:rPr>
          <w:spacing w:val="-4"/>
          <w:sz w:val="16"/>
        </w:rPr>
        <w:t xml:space="preserve"> </w:t>
      </w:r>
      <w:r>
        <w:rPr>
          <w:sz w:val="16"/>
        </w:rPr>
        <w:t>certo</w:t>
      </w:r>
      <w:r>
        <w:rPr>
          <w:spacing w:val="-1"/>
          <w:sz w:val="16"/>
        </w:rPr>
        <w:t xml:space="preserve"> </w:t>
      </w:r>
      <w:r>
        <w:rPr>
          <w:sz w:val="16"/>
        </w:rPr>
        <w:t>os</w:t>
      </w:r>
      <w:r>
        <w:rPr>
          <w:spacing w:val="-1"/>
          <w:sz w:val="16"/>
        </w:rPr>
        <w:t xml:space="preserve"> </w:t>
      </w:r>
      <w:r>
        <w:rPr>
          <w:sz w:val="16"/>
        </w:rPr>
        <w:t>riscos</w:t>
      </w:r>
      <w:r>
        <w:rPr>
          <w:spacing w:val="-2"/>
          <w:sz w:val="16"/>
        </w:rPr>
        <w:t xml:space="preserve"> </w:t>
      </w:r>
      <w:r>
        <w:rPr>
          <w:sz w:val="16"/>
        </w:rPr>
        <w:t>do</w:t>
      </w:r>
      <w:r>
        <w:rPr>
          <w:spacing w:val="-4"/>
          <w:sz w:val="16"/>
        </w:rPr>
        <w:t xml:space="preserve"> </w:t>
      </w:r>
      <w:r>
        <w:rPr>
          <w:sz w:val="16"/>
        </w:rPr>
        <w:t>uso</w:t>
      </w:r>
      <w:r>
        <w:rPr>
          <w:spacing w:val="-2"/>
          <w:sz w:val="16"/>
        </w:rPr>
        <w:t xml:space="preserve"> </w:t>
      </w:r>
      <w:r>
        <w:rPr>
          <w:sz w:val="16"/>
        </w:rPr>
        <w:t>deste</w:t>
      </w:r>
      <w:r>
        <w:rPr>
          <w:spacing w:val="-2"/>
          <w:sz w:val="16"/>
        </w:rPr>
        <w:t xml:space="preserve"> </w:t>
      </w:r>
      <w:r>
        <w:rPr>
          <w:sz w:val="16"/>
        </w:rPr>
        <w:t>medicamento</w:t>
      </w:r>
      <w:r>
        <w:rPr>
          <w:spacing w:val="-4"/>
          <w:sz w:val="16"/>
        </w:rPr>
        <w:t xml:space="preserve"> </w:t>
      </w:r>
      <w:r>
        <w:rPr>
          <w:sz w:val="16"/>
        </w:rPr>
        <w:t>na</w:t>
      </w:r>
      <w:r>
        <w:rPr>
          <w:spacing w:val="1"/>
          <w:sz w:val="16"/>
        </w:rPr>
        <w:t xml:space="preserve"> </w:t>
      </w:r>
      <w:r>
        <w:rPr>
          <w:sz w:val="16"/>
        </w:rPr>
        <w:t>gravidez; portanto,</w:t>
      </w:r>
      <w:r>
        <w:rPr>
          <w:spacing w:val="1"/>
          <w:sz w:val="16"/>
        </w:rPr>
        <w:t xml:space="preserve"> </w:t>
      </w:r>
      <w:r>
        <w:rPr>
          <w:sz w:val="16"/>
        </w:rPr>
        <w:t>caso</w:t>
      </w:r>
      <w:r>
        <w:rPr>
          <w:spacing w:val="-2"/>
          <w:sz w:val="16"/>
        </w:rPr>
        <w:t xml:space="preserve"> </w:t>
      </w:r>
      <w:r>
        <w:rPr>
          <w:sz w:val="16"/>
        </w:rPr>
        <w:t>engravide,</w:t>
      </w:r>
      <w:r>
        <w:rPr>
          <w:spacing w:val="-3"/>
          <w:sz w:val="16"/>
        </w:rPr>
        <w:t xml:space="preserve"> </w:t>
      </w:r>
      <w:r>
        <w:rPr>
          <w:sz w:val="16"/>
        </w:rPr>
        <w:t>devo</w:t>
      </w:r>
      <w:r>
        <w:rPr>
          <w:spacing w:val="-1"/>
          <w:sz w:val="16"/>
        </w:rPr>
        <w:t xml:space="preserve"> </w:t>
      </w:r>
      <w:r>
        <w:rPr>
          <w:sz w:val="16"/>
        </w:rPr>
        <w:t>avisar</w:t>
      </w:r>
      <w:r>
        <w:rPr>
          <w:spacing w:val="-3"/>
          <w:sz w:val="16"/>
        </w:rPr>
        <w:t xml:space="preserve"> </w:t>
      </w:r>
      <w:r>
        <w:rPr>
          <w:sz w:val="16"/>
        </w:rPr>
        <w:t>imediatamente</w:t>
      </w:r>
      <w:r>
        <w:rPr>
          <w:spacing w:val="-2"/>
          <w:sz w:val="16"/>
        </w:rPr>
        <w:t xml:space="preserve"> </w:t>
      </w:r>
      <w:r>
        <w:rPr>
          <w:sz w:val="16"/>
        </w:rPr>
        <w:t>ao</w:t>
      </w:r>
      <w:r>
        <w:rPr>
          <w:spacing w:val="-2"/>
          <w:sz w:val="16"/>
        </w:rPr>
        <w:t xml:space="preserve"> </w:t>
      </w:r>
      <w:r>
        <w:rPr>
          <w:sz w:val="16"/>
        </w:rPr>
        <w:t>meu</w:t>
      </w:r>
      <w:r>
        <w:rPr>
          <w:spacing w:val="-1"/>
          <w:sz w:val="16"/>
        </w:rPr>
        <w:t xml:space="preserve"> </w:t>
      </w:r>
      <w:r>
        <w:rPr>
          <w:sz w:val="16"/>
        </w:rPr>
        <w:t>médico;</w:t>
      </w:r>
    </w:p>
    <w:p w:rsidR="00AB6593" w:rsidRDefault="00791C81">
      <w:pPr>
        <w:pStyle w:val="PargrafodaLista"/>
        <w:numPr>
          <w:ilvl w:val="1"/>
          <w:numId w:val="3"/>
        </w:numPr>
        <w:tabs>
          <w:tab w:val="left" w:pos="775"/>
        </w:tabs>
        <w:ind w:right="115" w:firstLine="566"/>
        <w:rPr>
          <w:sz w:val="16"/>
        </w:rPr>
      </w:pPr>
      <w:proofErr w:type="gramStart"/>
      <w:r>
        <w:rPr>
          <w:sz w:val="16"/>
        </w:rPr>
        <w:t>não</w:t>
      </w:r>
      <w:proofErr w:type="gramEnd"/>
      <w:r>
        <w:rPr>
          <w:sz w:val="16"/>
        </w:rPr>
        <w:t xml:space="preserve"> foi estabelecido se os medicamentos são eliminados pelo leite materno e não há relatos de problemas relacionados à amamentação em humanos; entretanto, é fundame</w:t>
      </w:r>
      <w:r>
        <w:rPr>
          <w:sz w:val="16"/>
        </w:rPr>
        <w:t>ntal discutir com o médico antes de</w:t>
      </w:r>
      <w:r>
        <w:rPr>
          <w:spacing w:val="-13"/>
          <w:sz w:val="16"/>
        </w:rPr>
        <w:t xml:space="preserve"> </w:t>
      </w:r>
      <w:r>
        <w:rPr>
          <w:sz w:val="16"/>
        </w:rPr>
        <w:t>amamentar;</w:t>
      </w:r>
    </w:p>
    <w:p w:rsidR="00AB6593" w:rsidRDefault="00791C81">
      <w:pPr>
        <w:pStyle w:val="PargrafodaLista"/>
        <w:numPr>
          <w:ilvl w:val="1"/>
          <w:numId w:val="3"/>
        </w:numPr>
        <w:tabs>
          <w:tab w:val="left" w:pos="761"/>
        </w:tabs>
        <w:spacing w:line="183" w:lineRule="exact"/>
        <w:ind w:firstLine="566"/>
        <w:rPr>
          <w:sz w:val="16"/>
        </w:rPr>
      </w:pPr>
      <w:proofErr w:type="gramStart"/>
      <w:r>
        <w:rPr>
          <w:sz w:val="16"/>
        </w:rPr>
        <w:t>câncer</w:t>
      </w:r>
      <w:proofErr w:type="gramEnd"/>
      <w:r>
        <w:rPr>
          <w:sz w:val="16"/>
        </w:rPr>
        <w:t>:</w:t>
      </w:r>
      <w:r>
        <w:rPr>
          <w:spacing w:val="-3"/>
          <w:sz w:val="16"/>
        </w:rPr>
        <w:t xml:space="preserve"> </w:t>
      </w:r>
      <w:r>
        <w:rPr>
          <w:sz w:val="16"/>
        </w:rPr>
        <w:t>existem</w:t>
      </w:r>
      <w:r>
        <w:rPr>
          <w:spacing w:val="-2"/>
          <w:sz w:val="16"/>
        </w:rPr>
        <w:t xml:space="preserve"> </w:t>
      </w:r>
      <w:r>
        <w:rPr>
          <w:sz w:val="16"/>
        </w:rPr>
        <w:t>indícios</w:t>
      </w:r>
      <w:r>
        <w:rPr>
          <w:spacing w:val="-4"/>
          <w:sz w:val="16"/>
        </w:rPr>
        <w:t xml:space="preserve"> </w:t>
      </w:r>
      <w:r>
        <w:rPr>
          <w:sz w:val="16"/>
        </w:rPr>
        <w:t>de</w:t>
      </w:r>
      <w:r>
        <w:rPr>
          <w:spacing w:val="-3"/>
          <w:sz w:val="16"/>
        </w:rPr>
        <w:t xml:space="preserve"> </w:t>
      </w:r>
      <w:r>
        <w:rPr>
          <w:sz w:val="16"/>
        </w:rPr>
        <w:t>que</w:t>
      </w:r>
      <w:r>
        <w:rPr>
          <w:spacing w:val="-4"/>
          <w:sz w:val="16"/>
        </w:rPr>
        <w:t xml:space="preserve"> </w:t>
      </w:r>
      <w:r>
        <w:rPr>
          <w:sz w:val="16"/>
        </w:rPr>
        <w:t>pacientes</w:t>
      </w:r>
      <w:r>
        <w:rPr>
          <w:spacing w:val="-2"/>
          <w:sz w:val="16"/>
        </w:rPr>
        <w:t xml:space="preserve"> </w:t>
      </w:r>
      <w:r>
        <w:rPr>
          <w:sz w:val="16"/>
        </w:rPr>
        <w:t>em</w:t>
      </w:r>
      <w:r>
        <w:rPr>
          <w:spacing w:val="-2"/>
          <w:sz w:val="16"/>
        </w:rPr>
        <w:t xml:space="preserve"> </w:t>
      </w:r>
      <w:r>
        <w:rPr>
          <w:sz w:val="16"/>
        </w:rPr>
        <w:t>uso</w:t>
      </w:r>
      <w:r>
        <w:rPr>
          <w:spacing w:val="-4"/>
          <w:sz w:val="16"/>
        </w:rPr>
        <w:t xml:space="preserve"> </w:t>
      </w:r>
      <w:r>
        <w:rPr>
          <w:sz w:val="16"/>
        </w:rPr>
        <w:t>desses</w:t>
      </w:r>
      <w:r>
        <w:rPr>
          <w:spacing w:val="-2"/>
          <w:sz w:val="16"/>
        </w:rPr>
        <w:t xml:space="preserve"> </w:t>
      </w:r>
      <w:r>
        <w:rPr>
          <w:sz w:val="16"/>
        </w:rPr>
        <w:t>medicamentos</w:t>
      </w:r>
      <w:r>
        <w:rPr>
          <w:spacing w:val="-4"/>
          <w:sz w:val="16"/>
        </w:rPr>
        <w:t xml:space="preserve"> </w:t>
      </w:r>
      <w:r>
        <w:rPr>
          <w:sz w:val="16"/>
        </w:rPr>
        <w:t>podem</w:t>
      </w:r>
      <w:r>
        <w:rPr>
          <w:spacing w:val="-2"/>
          <w:sz w:val="16"/>
        </w:rPr>
        <w:t xml:space="preserve"> </w:t>
      </w:r>
      <w:r>
        <w:rPr>
          <w:sz w:val="16"/>
        </w:rPr>
        <w:t>desenvolver</w:t>
      </w:r>
      <w:r>
        <w:rPr>
          <w:spacing w:val="-2"/>
          <w:sz w:val="16"/>
        </w:rPr>
        <w:t xml:space="preserve"> </w:t>
      </w:r>
      <w:r>
        <w:rPr>
          <w:sz w:val="16"/>
        </w:rPr>
        <w:t>câncer;</w:t>
      </w:r>
      <w:r>
        <w:rPr>
          <w:spacing w:val="-1"/>
          <w:sz w:val="16"/>
        </w:rPr>
        <w:t xml:space="preserve"> </w:t>
      </w:r>
      <w:r>
        <w:rPr>
          <w:sz w:val="16"/>
        </w:rPr>
        <w:t>porém,</w:t>
      </w:r>
      <w:r>
        <w:rPr>
          <w:spacing w:val="-1"/>
          <w:sz w:val="16"/>
        </w:rPr>
        <w:t xml:space="preserve"> </w:t>
      </w:r>
      <w:r>
        <w:rPr>
          <w:sz w:val="16"/>
        </w:rPr>
        <w:t>estudos</w:t>
      </w:r>
      <w:r>
        <w:rPr>
          <w:spacing w:val="-2"/>
          <w:sz w:val="16"/>
        </w:rPr>
        <w:t xml:space="preserve"> </w:t>
      </w:r>
      <w:r>
        <w:rPr>
          <w:sz w:val="16"/>
        </w:rPr>
        <w:t>mais</w:t>
      </w:r>
      <w:r>
        <w:rPr>
          <w:spacing w:val="-3"/>
          <w:sz w:val="16"/>
        </w:rPr>
        <w:t xml:space="preserve"> </w:t>
      </w:r>
      <w:r>
        <w:rPr>
          <w:sz w:val="16"/>
        </w:rPr>
        <w:t>aprofundados</w:t>
      </w:r>
      <w:r>
        <w:rPr>
          <w:spacing w:val="-2"/>
          <w:sz w:val="16"/>
        </w:rPr>
        <w:t xml:space="preserve"> </w:t>
      </w:r>
      <w:r>
        <w:rPr>
          <w:sz w:val="16"/>
        </w:rPr>
        <w:t>são</w:t>
      </w:r>
      <w:r>
        <w:rPr>
          <w:spacing w:val="-5"/>
          <w:sz w:val="16"/>
        </w:rPr>
        <w:t xml:space="preserve"> </w:t>
      </w:r>
      <w:r>
        <w:rPr>
          <w:sz w:val="16"/>
        </w:rPr>
        <w:t>necessários;</w:t>
      </w:r>
    </w:p>
    <w:p w:rsidR="00AB6593" w:rsidRDefault="00791C81">
      <w:pPr>
        <w:pStyle w:val="PargrafodaLista"/>
        <w:numPr>
          <w:ilvl w:val="1"/>
          <w:numId w:val="3"/>
        </w:numPr>
        <w:tabs>
          <w:tab w:val="left" w:pos="787"/>
        </w:tabs>
        <w:spacing w:before="1"/>
        <w:ind w:right="113" w:firstLine="566"/>
        <w:jc w:val="both"/>
        <w:rPr>
          <w:sz w:val="16"/>
        </w:rPr>
      </w:pPr>
      <w:proofErr w:type="gramStart"/>
      <w:r>
        <w:rPr>
          <w:sz w:val="16"/>
        </w:rPr>
        <w:t>podem</w:t>
      </w:r>
      <w:proofErr w:type="gramEnd"/>
      <w:r>
        <w:rPr>
          <w:sz w:val="16"/>
        </w:rPr>
        <w:t xml:space="preserve"> ocorrer os seguintes eventos adversos: redução do número de glóbulos vermelhos (anemia), redução do número de plaquetas (o que pode acarretar sangramentos), aumento dos glóbulos brancos para valores acima dos níveis normais, risco de ocorrência de “s</w:t>
      </w:r>
      <w:r>
        <w:rPr>
          <w:sz w:val="16"/>
        </w:rPr>
        <w:t>índrome mielodisplástica” e leucemia mieloide aguda, dor de cabeça, infarto do miocárdio, arritmias cardíacas, hipotensão, diminuição da função da tireoide (hipotireoidismo), aumento de ácido úrico no sangue (hiperuricemia), perda de apetite (anorexia), ná</w:t>
      </w:r>
      <w:r>
        <w:rPr>
          <w:sz w:val="16"/>
        </w:rPr>
        <w:t>usea, alterações no paladar, possibilidade de toxicidade pulmonar, possibilidade de toxicidade sobre o fígado e os rins, reações alérgicas de pele, dores nos ossos, músculos e articulações, sensibilidade à luz (fotofobia) e outros problemas oculares, reaçõ</w:t>
      </w:r>
      <w:r>
        <w:rPr>
          <w:sz w:val="16"/>
        </w:rPr>
        <w:t>es anafiláticas, febre, aumento do tamanho do baço (esplenomegalia) e ruptura de baço</w:t>
      </w:r>
      <w:r>
        <w:rPr>
          <w:spacing w:val="-18"/>
          <w:sz w:val="16"/>
        </w:rPr>
        <w:t xml:space="preserve"> </w:t>
      </w:r>
      <w:r>
        <w:rPr>
          <w:sz w:val="16"/>
        </w:rPr>
        <w:t>(raro).</w:t>
      </w:r>
    </w:p>
    <w:p w:rsidR="00AB6593" w:rsidRDefault="00791C81">
      <w:pPr>
        <w:pStyle w:val="Corpodetexto"/>
        <w:ind w:right="149"/>
      </w:pPr>
      <w:r>
        <w:t xml:space="preserve">Fui também </w:t>
      </w:r>
      <w:proofErr w:type="gramStart"/>
      <w:r>
        <w:t>informado(</w:t>
      </w:r>
      <w:proofErr w:type="gramEnd"/>
      <w:r>
        <w:t>a) de que estes medicamentos são utilizados para ajudar o organismo a produzir células brancas do sangue, prevenindo infecções em pacientes q</w:t>
      </w:r>
      <w:r>
        <w:t>ue estão com baixa resistência devido ao uso de outros medicamentos, transplantes ou portadores de doenças do sangue.</w:t>
      </w:r>
    </w:p>
    <w:p w:rsidR="00AB6593" w:rsidRDefault="00791C81">
      <w:pPr>
        <w:pStyle w:val="Corpodetexto"/>
        <w:ind w:right="91"/>
      </w:pPr>
      <w:r>
        <w:t>Estou ciente de que este medicamento somente pode ser utilizado por mim, comprometendo-me a devolvê-lo caso não queira ou não possa utiliz</w:t>
      </w:r>
      <w:r>
        <w:t>á-lo ou se o tratamento for interrompido. Sei também que continuarei a ser atendido, inclusive se desistir de usar o medicamento.</w:t>
      </w:r>
    </w:p>
    <w:p w:rsidR="00AB6593" w:rsidRDefault="00791C81">
      <w:pPr>
        <w:pStyle w:val="Corpodetexto"/>
        <w:ind w:right="149"/>
      </w:pPr>
      <w:r>
        <w:t>Autorizo o Ministério da Saúde e as Secretarias de Saúde a fazer uso de informações relativas ao meu tratamento, desde que ass</w:t>
      </w:r>
      <w:r>
        <w:t xml:space="preserve">egurado o anonimato. </w:t>
      </w:r>
      <w:proofErr w:type="gramStart"/>
      <w:r>
        <w:t xml:space="preserve">( </w:t>
      </w:r>
      <w:proofErr w:type="gramEnd"/>
      <w:r>
        <w:t>) Sim ( ) Não</w:t>
      </w:r>
    </w:p>
    <w:p w:rsidR="00AB6593" w:rsidRDefault="00AB6593">
      <w:pPr>
        <w:pStyle w:val="Corpodetexto"/>
        <w:spacing w:before="4" w:after="1"/>
        <w:ind w:left="0" w:firstLine="0"/>
      </w:pPr>
    </w:p>
    <w:tbl>
      <w:tblPr>
        <w:tblStyle w:val="TableNormal"/>
        <w:tblW w:w="0" w:type="auto"/>
        <w:tblInd w:w="3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7"/>
        <w:gridCol w:w="715"/>
        <w:gridCol w:w="785"/>
      </w:tblGrid>
      <w:tr w:rsidR="00AB6593">
        <w:trPr>
          <w:trHeight w:val="530"/>
        </w:trPr>
        <w:tc>
          <w:tcPr>
            <w:tcW w:w="4537" w:type="dxa"/>
            <w:gridSpan w:val="3"/>
          </w:tcPr>
          <w:p w:rsidR="00AB6593" w:rsidRDefault="00791C81">
            <w:pPr>
              <w:pStyle w:val="TableParagraph"/>
              <w:spacing w:before="76"/>
              <w:ind w:left="82" w:right="4016"/>
              <w:rPr>
                <w:sz w:val="16"/>
              </w:rPr>
            </w:pPr>
            <w:r>
              <w:rPr>
                <w:sz w:val="16"/>
              </w:rPr>
              <w:t>Local: Data:</w:t>
            </w:r>
          </w:p>
        </w:tc>
      </w:tr>
      <w:tr w:rsidR="00AB6593">
        <w:trPr>
          <w:trHeight w:val="410"/>
        </w:trPr>
        <w:tc>
          <w:tcPr>
            <w:tcW w:w="4537" w:type="dxa"/>
            <w:gridSpan w:val="3"/>
          </w:tcPr>
          <w:p w:rsidR="00AB6593" w:rsidRDefault="00791C81">
            <w:pPr>
              <w:pStyle w:val="TableParagraph"/>
              <w:spacing w:before="73"/>
              <w:ind w:left="82"/>
              <w:rPr>
                <w:sz w:val="16"/>
              </w:rPr>
            </w:pPr>
            <w:r>
              <w:rPr>
                <w:sz w:val="16"/>
              </w:rPr>
              <w:t>Nome do paciente:</w:t>
            </w:r>
          </w:p>
        </w:tc>
      </w:tr>
      <w:tr w:rsidR="00AB6593">
        <w:trPr>
          <w:trHeight w:val="410"/>
        </w:trPr>
        <w:tc>
          <w:tcPr>
            <w:tcW w:w="4537" w:type="dxa"/>
            <w:gridSpan w:val="3"/>
          </w:tcPr>
          <w:p w:rsidR="00AB6593" w:rsidRDefault="00791C81">
            <w:pPr>
              <w:pStyle w:val="TableParagraph"/>
              <w:spacing w:before="73"/>
              <w:ind w:left="82"/>
              <w:rPr>
                <w:sz w:val="16"/>
              </w:rPr>
            </w:pPr>
            <w:r>
              <w:rPr>
                <w:sz w:val="16"/>
              </w:rPr>
              <w:t>Cartão Nacional de Saúde:</w:t>
            </w:r>
          </w:p>
        </w:tc>
      </w:tr>
      <w:tr w:rsidR="00AB6593">
        <w:trPr>
          <w:trHeight w:val="412"/>
        </w:trPr>
        <w:tc>
          <w:tcPr>
            <w:tcW w:w="4537" w:type="dxa"/>
            <w:gridSpan w:val="3"/>
          </w:tcPr>
          <w:p w:rsidR="00AB6593" w:rsidRDefault="00791C81">
            <w:pPr>
              <w:pStyle w:val="TableParagraph"/>
              <w:spacing w:before="76"/>
              <w:ind w:left="82"/>
              <w:rPr>
                <w:sz w:val="16"/>
              </w:rPr>
            </w:pPr>
            <w:r>
              <w:rPr>
                <w:sz w:val="16"/>
              </w:rPr>
              <w:t>Nome do responsável legal:</w:t>
            </w:r>
          </w:p>
        </w:tc>
      </w:tr>
      <w:tr w:rsidR="00AB6593">
        <w:trPr>
          <w:trHeight w:val="410"/>
        </w:trPr>
        <w:tc>
          <w:tcPr>
            <w:tcW w:w="4537" w:type="dxa"/>
            <w:gridSpan w:val="3"/>
          </w:tcPr>
          <w:p w:rsidR="00AB6593" w:rsidRDefault="00791C81">
            <w:pPr>
              <w:pStyle w:val="TableParagraph"/>
              <w:spacing w:before="73"/>
              <w:ind w:left="82"/>
              <w:rPr>
                <w:sz w:val="16"/>
              </w:rPr>
            </w:pPr>
            <w:r>
              <w:rPr>
                <w:sz w:val="16"/>
              </w:rPr>
              <w:t>Documento de identificação do responsável legal:</w:t>
            </w:r>
          </w:p>
        </w:tc>
      </w:tr>
      <w:tr w:rsidR="00AB6593">
        <w:trPr>
          <w:trHeight w:val="893"/>
        </w:trPr>
        <w:tc>
          <w:tcPr>
            <w:tcW w:w="4537" w:type="dxa"/>
            <w:gridSpan w:val="3"/>
          </w:tcPr>
          <w:p w:rsidR="00AB6593" w:rsidRDefault="00AB6593">
            <w:pPr>
              <w:pStyle w:val="TableParagraph"/>
              <w:rPr>
                <w:sz w:val="20"/>
              </w:rPr>
            </w:pPr>
          </w:p>
          <w:p w:rsidR="00AB6593" w:rsidRDefault="00AB6593">
            <w:pPr>
              <w:pStyle w:val="TableParagraph"/>
              <w:rPr>
                <w:sz w:val="20"/>
              </w:rPr>
            </w:pPr>
          </w:p>
          <w:p w:rsidR="00AB6593" w:rsidRDefault="00AB6593">
            <w:pPr>
              <w:pStyle w:val="TableParagraph"/>
              <w:spacing w:before="6"/>
              <w:rPr>
                <w:sz w:val="13"/>
              </w:rPr>
            </w:pPr>
          </w:p>
          <w:p w:rsidR="00AB6593" w:rsidRDefault="00791C81">
            <w:pPr>
              <w:pStyle w:val="TableParagraph"/>
              <w:spacing w:line="20" w:lineRule="exact"/>
              <w:ind w:left="786"/>
              <w:rPr>
                <w:sz w:val="2"/>
              </w:rPr>
            </w:pPr>
            <w:r>
              <w:rPr>
                <w:sz w:val="2"/>
              </w:rPr>
            </w:r>
            <w:r>
              <w:rPr>
                <w:sz w:val="2"/>
              </w:rPr>
              <w:pict>
                <v:group id="_x0000_s1028" style="width:148pt;height:.35pt;mso-position-horizontal-relative:char;mso-position-vertical-relative:line" coordsize="2960,7">
                  <v:line id="_x0000_s1029" style="position:absolute" from="0,3" to="2959,3" strokeweight=".1134mm"/>
                  <w10:wrap type="none"/>
                  <w10:anchorlock/>
                </v:group>
              </w:pict>
            </w:r>
          </w:p>
          <w:p w:rsidR="00AB6593" w:rsidRDefault="00791C81">
            <w:pPr>
              <w:pStyle w:val="TableParagraph"/>
              <w:ind w:left="768"/>
              <w:rPr>
                <w:sz w:val="16"/>
              </w:rPr>
            </w:pPr>
            <w:r>
              <w:rPr>
                <w:sz w:val="16"/>
              </w:rPr>
              <w:t>Assinatura do paciente ou do responsável legal</w:t>
            </w:r>
          </w:p>
        </w:tc>
      </w:tr>
      <w:tr w:rsidR="00AB6593">
        <w:trPr>
          <w:trHeight w:val="410"/>
        </w:trPr>
        <w:tc>
          <w:tcPr>
            <w:tcW w:w="3037" w:type="dxa"/>
          </w:tcPr>
          <w:p w:rsidR="00AB6593" w:rsidRDefault="00791C81">
            <w:pPr>
              <w:pStyle w:val="TableParagraph"/>
              <w:spacing w:before="73"/>
              <w:ind w:left="82"/>
              <w:rPr>
                <w:sz w:val="16"/>
              </w:rPr>
            </w:pPr>
            <w:r>
              <w:rPr>
                <w:sz w:val="16"/>
              </w:rPr>
              <w:t>Médico Responsável:</w:t>
            </w:r>
          </w:p>
        </w:tc>
        <w:tc>
          <w:tcPr>
            <w:tcW w:w="715" w:type="dxa"/>
          </w:tcPr>
          <w:p w:rsidR="00AB6593" w:rsidRDefault="00791C81">
            <w:pPr>
              <w:pStyle w:val="TableParagraph"/>
              <w:spacing w:before="73"/>
              <w:ind w:left="79"/>
              <w:rPr>
                <w:sz w:val="16"/>
              </w:rPr>
            </w:pPr>
            <w:r>
              <w:rPr>
                <w:sz w:val="16"/>
              </w:rPr>
              <w:t>CRM:</w:t>
            </w:r>
          </w:p>
        </w:tc>
        <w:tc>
          <w:tcPr>
            <w:tcW w:w="785" w:type="dxa"/>
          </w:tcPr>
          <w:p w:rsidR="00AB6593" w:rsidRDefault="00791C81">
            <w:pPr>
              <w:pStyle w:val="TableParagraph"/>
              <w:spacing w:before="73"/>
              <w:ind w:left="81"/>
              <w:rPr>
                <w:sz w:val="16"/>
              </w:rPr>
            </w:pPr>
            <w:r>
              <w:rPr>
                <w:sz w:val="16"/>
              </w:rPr>
              <w:t>UF:</w:t>
            </w:r>
          </w:p>
        </w:tc>
      </w:tr>
      <w:tr w:rsidR="00AB6593">
        <w:trPr>
          <w:trHeight w:val="1132"/>
        </w:trPr>
        <w:tc>
          <w:tcPr>
            <w:tcW w:w="4537" w:type="dxa"/>
            <w:gridSpan w:val="3"/>
          </w:tcPr>
          <w:p w:rsidR="00AB6593" w:rsidRDefault="00AB6593">
            <w:pPr>
              <w:pStyle w:val="TableParagraph"/>
              <w:rPr>
                <w:sz w:val="20"/>
              </w:rPr>
            </w:pPr>
          </w:p>
          <w:p w:rsidR="00AB6593" w:rsidRDefault="00AB6593">
            <w:pPr>
              <w:pStyle w:val="TableParagraph"/>
              <w:spacing w:before="9" w:after="1"/>
              <w:rPr>
                <w:sz w:val="17"/>
              </w:rPr>
            </w:pPr>
          </w:p>
          <w:p w:rsidR="00AB6593" w:rsidRDefault="00791C81">
            <w:pPr>
              <w:pStyle w:val="TableParagraph"/>
              <w:spacing w:line="20" w:lineRule="exact"/>
              <w:ind w:left="1184"/>
              <w:rPr>
                <w:sz w:val="2"/>
              </w:rPr>
            </w:pPr>
            <w:r>
              <w:rPr>
                <w:sz w:val="2"/>
              </w:rPr>
            </w:r>
            <w:r>
              <w:rPr>
                <w:sz w:val="2"/>
              </w:rPr>
              <w:pict>
                <v:group id="_x0000_s1026" style="width:108.05pt;height:.35pt;mso-position-horizontal-relative:char;mso-position-vertical-relative:line" coordsize="2161,7">
                  <v:line id="_x0000_s1027" style="position:absolute" from="0,3" to="2160,3" strokeweight=".1134mm"/>
                  <w10:wrap type="none"/>
                  <w10:anchorlock/>
                </v:group>
              </w:pict>
            </w:r>
          </w:p>
          <w:p w:rsidR="00AB6593" w:rsidRDefault="00791C81">
            <w:pPr>
              <w:pStyle w:val="TableParagraph"/>
              <w:tabs>
                <w:tab w:val="left" w:pos="3278"/>
              </w:tabs>
              <w:ind w:left="1296" w:right="1218" w:hanging="63"/>
              <w:rPr>
                <w:sz w:val="16"/>
              </w:rPr>
            </w:pPr>
            <w:r>
              <w:rPr>
                <w:sz w:val="16"/>
              </w:rPr>
              <w:t>Assinatura e carimbo do médico Data:</w:t>
            </w:r>
            <w:r>
              <w:rPr>
                <w:sz w:val="16"/>
                <w:u w:val="single"/>
              </w:rPr>
              <w:t xml:space="preserve"> </w:t>
            </w:r>
            <w:r>
              <w:rPr>
                <w:sz w:val="16"/>
                <w:u w:val="single"/>
              </w:rPr>
              <w:tab/>
            </w:r>
          </w:p>
        </w:tc>
      </w:tr>
    </w:tbl>
    <w:p w:rsidR="00AB6593" w:rsidRDefault="00AB6593">
      <w:pPr>
        <w:pStyle w:val="Corpodetexto"/>
        <w:ind w:left="0" w:firstLine="0"/>
        <w:rPr>
          <w:sz w:val="18"/>
        </w:rPr>
      </w:pPr>
    </w:p>
    <w:p w:rsidR="00AB6593" w:rsidRDefault="00791C81">
      <w:pPr>
        <w:pStyle w:val="Corpodetexto"/>
        <w:spacing w:before="155"/>
        <w:ind w:left="3920" w:right="3378" w:firstLine="0"/>
        <w:jc w:val="center"/>
      </w:pPr>
      <w:r>
        <w:t>APÊNDICE</w:t>
      </w:r>
    </w:p>
    <w:p w:rsidR="00AB6593" w:rsidRDefault="00AB6593">
      <w:pPr>
        <w:pStyle w:val="Corpodetexto"/>
        <w:ind w:left="0" w:firstLine="0"/>
        <w:rPr>
          <w:sz w:val="18"/>
        </w:rPr>
      </w:pPr>
    </w:p>
    <w:p w:rsidR="00AB6593" w:rsidRDefault="00791C81">
      <w:pPr>
        <w:pStyle w:val="Corpodetexto"/>
        <w:spacing w:before="161"/>
        <w:ind w:left="1528" w:right="984" w:firstLine="0"/>
        <w:jc w:val="center"/>
      </w:pPr>
      <w:r>
        <w:t>CRITÉRIOS DE PONTUAÇÃO DO</w:t>
      </w:r>
      <w:r>
        <w:rPr>
          <w:spacing w:val="-14"/>
        </w:rPr>
        <w:t xml:space="preserve"> </w:t>
      </w:r>
      <w:r>
        <w:t>IPSS</w:t>
      </w:r>
    </w:p>
    <w:p w:rsidR="00AB6593" w:rsidRDefault="00791C81">
      <w:pPr>
        <w:ind w:left="1535" w:right="984"/>
        <w:jc w:val="center"/>
        <w:rPr>
          <w:sz w:val="16"/>
        </w:rPr>
      </w:pPr>
      <w:r>
        <w:rPr>
          <w:sz w:val="16"/>
        </w:rPr>
        <w:t>(</w:t>
      </w:r>
      <w:r>
        <w:rPr>
          <w:i/>
          <w:sz w:val="16"/>
        </w:rPr>
        <w:t>International Prognostic Scoring</w:t>
      </w:r>
      <w:r>
        <w:rPr>
          <w:i/>
          <w:spacing w:val="-21"/>
          <w:sz w:val="16"/>
        </w:rPr>
        <w:t xml:space="preserve"> </w:t>
      </w:r>
      <w:r>
        <w:rPr>
          <w:i/>
          <w:sz w:val="16"/>
        </w:rPr>
        <w:t>System</w:t>
      </w:r>
      <w:r>
        <w:rPr>
          <w:sz w:val="16"/>
        </w:rPr>
        <w:t>)</w:t>
      </w:r>
    </w:p>
    <w:p w:rsidR="00AB6593" w:rsidRDefault="00AB6593">
      <w:pPr>
        <w:jc w:val="center"/>
        <w:rPr>
          <w:sz w:val="16"/>
        </w:rPr>
        <w:sectPr w:rsidR="00AB6593">
          <w:pgSz w:w="11910" w:h="16840"/>
          <w:pgMar w:top="620" w:right="600" w:bottom="280" w:left="620" w:header="720" w:footer="720" w:gutter="0"/>
          <w:cols w:space="720"/>
        </w:sectPr>
      </w:pPr>
    </w:p>
    <w:tbl>
      <w:tblPr>
        <w:tblStyle w:val="TableNormal"/>
        <w:tblW w:w="0" w:type="auto"/>
        <w:tblInd w:w="3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8"/>
        <w:gridCol w:w="636"/>
        <w:gridCol w:w="900"/>
        <w:gridCol w:w="492"/>
        <w:gridCol w:w="480"/>
        <w:gridCol w:w="701"/>
      </w:tblGrid>
      <w:tr w:rsidR="00AB6593">
        <w:trPr>
          <w:trHeight w:val="1401"/>
        </w:trPr>
        <w:tc>
          <w:tcPr>
            <w:tcW w:w="1328" w:type="dxa"/>
          </w:tcPr>
          <w:p w:rsidR="00AB6593" w:rsidRDefault="00AB6593">
            <w:pPr>
              <w:pStyle w:val="TableParagraph"/>
              <w:rPr>
                <w:sz w:val="14"/>
              </w:rPr>
            </w:pPr>
          </w:p>
          <w:p w:rsidR="00AB6593" w:rsidRDefault="00AB6593">
            <w:pPr>
              <w:pStyle w:val="TableParagraph"/>
              <w:rPr>
                <w:sz w:val="14"/>
              </w:rPr>
            </w:pPr>
          </w:p>
          <w:p w:rsidR="00AB6593" w:rsidRDefault="00AB6593">
            <w:pPr>
              <w:pStyle w:val="TableParagraph"/>
              <w:rPr>
                <w:sz w:val="14"/>
              </w:rPr>
            </w:pPr>
          </w:p>
          <w:p w:rsidR="00AB6593" w:rsidRDefault="00AB6593">
            <w:pPr>
              <w:pStyle w:val="TableParagraph"/>
              <w:spacing w:before="6"/>
              <w:rPr>
                <w:sz w:val="11"/>
              </w:rPr>
            </w:pPr>
          </w:p>
          <w:p w:rsidR="00AB6593" w:rsidRDefault="00791C81">
            <w:pPr>
              <w:pStyle w:val="TableParagraph"/>
              <w:ind w:left="151" w:right="257"/>
              <w:jc w:val="center"/>
              <w:rPr>
                <w:sz w:val="14"/>
              </w:rPr>
            </w:pPr>
            <w:r>
              <w:rPr>
                <w:sz w:val="14"/>
              </w:rPr>
              <w:t>Pontuação</w:t>
            </w:r>
          </w:p>
        </w:tc>
        <w:tc>
          <w:tcPr>
            <w:tcW w:w="636" w:type="dxa"/>
          </w:tcPr>
          <w:p w:rsidR="00AB6593" w:rsidRDefault="00AB6593">
            <w:pPr>
              <w:pStyle w:val="TableParagraph"/>
              <w:rPr>
                <w:sz w:val="14"/>
              </w:rPr>
            </w:pPr>
          </w:p>
          <w:p w:rsidR="00AB6593" w:rsidRDefault="00AB6593">
            <w:pPr>
              <w:pStyle w:val="TableParagraph"/>
              <w:rPr>
                <w:sz w:val="14"/>
              </w:rPr>
            </w:pPr>
          </w:p>
          <w:p w:rsidR="00AB6593" w:rsidRDefault="00AB6593">
            <w:pPr>
              <w:pStyle w:val="TableParagraph"/>
              <w:rPr>
                <w:sz w:val="14"/>
              </w:rPr>
            </w:pPr>
          </w:p>
          <w:p w:rsidR="00AB6593" w:rsidRDefault="00AB6593">
            <w:pPr>
              <w:pStyle w:val="TableParagraph"/>
              <w:spacing w:before="6"/>
              <w:rPr>
                <w:sz w:val="11"/>
              </w:rPr>
            </w:pPr>
          </w:p>
          <w:p w:rsidR="00AB6593" w:rsidRDefault="00791C81">
            <w:pPr>
              <w:pStyle w:val="TableParagraph"/>
              <w:ind w:right="105"/>
              <w:jc w:val="center"/>
              <w:rPr>
                <w:sz w:val="14"/>
              </w:rPr>
            </w:pPr>
            <w:proofErr w:type="gramStart"/>
            <w:r>
              <w:rPr>
                <w:w w:val="99"/>
                <w:sz w:val="14"/>
              </w:rPr>
              <w:t>0</w:t>
            </w:r>
            <w:proofErr w:type="gramEnd"/>
          </w:p>
        </w:tc>
        <w:tc>
          <w:tcPr>
            <w:tcW w:w="900" w:type="dxa"/>
          </w:tcPr>
          <w:p w:rsidR="00AB6593" w:rsidRDefault="00AB6593">
            <w:pPr>
              <w:pStyle w:val="TableParagraph"/>
              <w:rPr>
                <w:sz w:val="14"/>
              </w:rPr>
            </w:pPr>
          </w:p>
          <w:p w:rsidR="00AB6593" w:rsidRDefault="00AB6593">
            <w:pPr>
              <w:pStyle w:val="TableParagraph"/>
              <w:rPr>
                <w:sz w:val="14"/>
              </w:rPr>
            </w:pPr>
          </w:p>
          <w:p w:rsidR="00AB6593" w:rsidRDefault="00AB6593">
            <w:pPr>
              <w:pStyle w:val="TableParagraph"/>
              <w:rPr>
                <w:sz w:val="14"/>
              </w:rPr>
            </w:pPr>
          </w:p>
          <w:p w:rsidR="00AB6593" w:rsidRDefault="00AB6593">
            <w:pPr>
              <w:pStyle w:val="TableParagraph"/>
              <w:spacing w:before="6"/>
              <w:rPr>
                <w:sz w:val="11"/>
              </w:rPr>
            </w:pPr>
          </w:p>
          <w:p w:rsidR="00AB6593" w:rsidRDefault="00791C81">
            <w:pPr>
              <w:pStyle w:val="TableParagraph"/>
              <w:ind w:right="104"/>
              <w:jc w:val="center"/>
              <w:rPr>
                <w:sz w:val="14"/>
              </w:rPr>
            </w:pPr>
            <w:r>
              <w:rPr>
                <w:sz w:val="14"/>
              </w:rPr>
              <w:t>0,5</w:t>
            </w:r>
          </w:p>
        </w:tc>
        <w:tc>
          <w:tcPr>
            <w:tcW w:w="492" w:type="dxa"/>
          </w:tcPr>
          <w:p w:rsidR="00AB6593" w:rsidRDefault="00AB6593">
            <w:pPr>
              <w:pStyle w:val="TableParagraph"/>
              <w:rPr>
                <w:sz w:val="14"/>
              </w:rPr>
            </w:pPr>
          </w:p>
          <w:p w:rsidR="00AB6593" w:rsidRDefault="00AB6593">
            <w:pPr>
              <w:pStyle w:val="TableParagraph"/>
              <w:rPr>
                <w:sz w:val="14"/>
              </w:rPr>
            </w:pPr>
          </w:p>
          <w:p w:rsidR="00AB6593" w:rsidRDefault="00AB6593">
            <w:pPr>
              <w:pStyle w:val="TableParagraph"/>
              <w:rPr>
                <w:sz w:val="14"/>
              </w:rPr>
            </w:pPr>
          </w:p>
          <w:p w:rsidR="00AB6593" w:rsidRDefault="00AB6593">
            <w:pPr>
              <w:pStyle w:val="TableParagraph"/>
              <w:spacing w:before="6"/>
              <w:rPr>
                <w:sz w:val="11"/>
              </w:rPr>
            </w:pPr>
          </w:p>
          <w:p w:rsidR="00AB6593" w:rsidRDefault="00791C81">
            <w:pPr>
              <w:pStyle w:val="TableParagraph"/>
              <w:ind w:right="103"/>
              <w:jc w:val="center"/>
              <w:rPr>
                <w:sz w:val="14"/>
              </w:rPr>
            </w:pPr>
            <w:proofErr w:type="gramStart"/>
            <w:r>
              <w:rPr>
                <w:w w:val="99"/>
                <w:sz w:val="14"/>
              </w:rPr>
              <w:t>1</w:t>
            </w:r>
            <w:proofErr w:type="gramEnd"/>
          </w:p>
        </w:tc>
        <w:tc>
          <w:tcPr>
            <w:tcW w:w="480" w:type="dxa"/>
          </w:tcPr>
          <w:p w:rsidR="00AB6593" w:rsidRDefault="00AB6593">
            <w:pPr>
              <w:pStyle w:val="TableParagraph"/>
              <w:rPr>
                <w:sz w:val="14"/>
              </w:rPr>
            </w:pPr>
          </w:p>
          <w:p w:rsidR="00AB6593" w:rsidRDefault="00AB6593">
            <w:pPr>
              <w:pStyle w:val="TableParagraph"/>
              <w:rPr>
                <w:sz w:val="14"/>
              </w:rPr>
            </w:pPr>
          </w:p>
          <w:p w:rsidR="00AB6593" w:rsidRDefault="00AB6593">
            <w:pPr>
              <w:pStyle w:val="TableParagraph"/>
              <w:rPr>
                <w:sz w:val="14"/>
              </w:rPr>
            </w:pPr>
          </w:p>
          <w:p w:rsidR="00AB6593" w:rsidRDefault="00AB6593">
            <w:pPr>
              <w:pStyle w:val="TableParagraph"/>
              <w:spacing w:before="6"/>
              <w:rPr>
                <w:sz w:val="11"/>
              </w:rPr>
            </w:pPr>
          </w:p>
          <w:p w:rsidR="00AB6593" w:rsidRDefault="00791C81">
            <w:pPr>
              <w:pStyle w:val="TableParagraph"/>
              <w:ind w:left="96"/>
              <w:rPr>
                <w:sz w:val="14"/>
              </w:rPr>
            </w:pPr>
            <w:r>
              <w:rPr>
                <w:sz w:val="14"/>
              </w:rPr>
              <w:t>1,5</w:t>
            </w:r>
          </w:p>
        </w:tc>
        <w:tc>
          <w:tcPr>
            <w:tcW w:w="701" w:type="dxa"/>
          </w:tcPr>
          <w:p w:rsidR="00AB6593" w:rsidRDefault="00AB6593">
            <w:pPr>
              <w:pStyle w:val="TableParagraph"/>
              <w:rPr>
                <w:sz w:val="14"/>
              </w:rPr>
            </w:pPr>
          </w:p>
          <w:p w:rsidR="00AB6593" w:rsidRDefault="00AB6593">
            <w:pPr>
              <w:pStyle w:val="TableParagraph"/>
              <w:rPr>
                <w:sz w:val="14"/>
              </w:rPr>
            </w:pPr>
          </w:p>
          <w:p w:rsidR="00AB6593" w:rsidRDefault="00AB6593">
            <w:pPr>
              <w:pStyle w:val="TableParagraph"/>
              <w:rPr>
                <w:sz w:val="14"/>
              </w:rPr>
            </w:pPr>
          </w:p>
          <w:p w:rsidR="00AB6593" w:rsidRDefault="00AB6593">
            <w:pPr>
              <w:pStyle w:val="TableParagraph"/>
              <w:spacing w:before="6"/>
              <w:rPr>
                <w:sz w:val="11"/>
              </w:rPr>
            </w:pPr>
          </w:p>
          <w:p w:rsidR="00AB6593" w:rsidRDefault="00791C81">
            <w:pPr>
              <w:pStyle w:val="TableParagraph"/>
              <w:ind w:right="105"/>
              <w:jc w:val="center"/>
              <w:rPr>
                <w:sz w:val="14"/>
              </w:rPr>
            </w:pPr>
            <w:proofErr w:type="gramStart"/>
            <w:r>
              <w:rPr>
                <w:w w:val="99"/>
                <w:sz w:val="14"/>
              </w:rPr>
              <w:t>2</w:t>
            </w:r>
            <w:proofErr w:type="gramEnd"/>
          </w:p>
        </w:tc>
      </w:tr>
      <w:tr w:rsidR="00AB6593">
        <w:trPr>
          <w:trHeight w:val="1562"/>
        </w:trPr>
        <w:tc>
          <w:tcPr>
            <w:tcW w:w="1328" w:type="dxa"/>
          </w:tcPr>
          <w:p w:rsidR="00AB6593" w:rsidRDefault="00AB6593">
            <w:pPr>
              <w:pStyle w:val="TableParagraph"/>
              <w:rPr>
                <w:sz w:val="14"/>
              </w:rPr>
            </w:pPr>
          </w:p>
          <w:p w:rsidR="00AB6593" w:rsidRDefault="00AB6593">
            <w:pPr>
              <w:pStyle w:val="TableParagraph"/>
              <w:rPr>
                <w:sz w:val="14"/>
              </w:rPr>
            </w:pPr>
          </w:p>
          <w:p w:rsidR="00AB6593" w:rsidRDefault="00AB6593">
            <w:pPr>
              <w:pStyle w:val="TableParagraph"/>
              <w:rPr>
                <w:sz w:val="14"/>
              </w:rPr>
            </w:pPr>
          </w:p>
          <w:p w:rsidR="00AB6593" w:rsidRDefault="00AB6593">
            <w:pPr>
              <w:pStyle w:val="TableParagraph"/>
              <w:spacing w:before="6"/>
              <w:rPr>
                <w:sz w:val="11"/>
              </w:rPr>
            </w:pPr>
          </w:p>
          <w:p w:rsidR="00AB6593" w:rsidRDefault="00791C81">
            <w:pPr>
              <w:pStyle w:val="TableParagraph"/>
              <w:ind w:left="442" w:hanging="411"/>
              <w:rPr>
                <w:sz w:val="14"/>
              </w:rPr>
            </w:pPr>
            <w:r>
              <w:rPr>
                <w:sz w:val="14"/>
              </w:rPr>
              <w:t>% blastos na medula óssea</w:t>
            </w:r>
          </w:p>
        </w:tc>
        <w:tc>
          <w:tcPr>
            <w:tcW w:w="636" w:type="dxa"/>
          </w:tcPr>
          <w:p w:rsidR="00AB6593" w:rsidRDefault="00AB6593">
            <w:pPr>
              <w:pStyle w:val="TableParagraph"/>
              <w:rPr>
                <w:sz w:val="14"/>
              </w:rPr>
            </w:pPr>
          </w:p>
          <w:p w:rsidR="00AB6593" w:rsidRDefault="00AB6593">
            <w:pPr>
              <w:pStyle w:val="TableParagraph"/>
              <w:rPr>
                <w:sz w:val="14"/>
              </w:rPr>
            </w:pPr>
          </w:p>
          <w:p w:rsidR="00AB6593" w:rsidRDefault="00AB6593">
            <w:pPr>
              <w:pStyle w:val="TableParagraph"/>
              <w:rPr>
                <w:sz w:val="14"/>
              </w:rPr>
            </w:pPr>
          </w:p>
          <w:p w:rsidR="00AB6593" w:rsidRDefault="00AB6593">
            <w:pPr>
              <w:pStyle w:val="TableParagraph"/>
              <w:spacing w:before="6"/>
              <w:rPr>
                <w:sz w:val="11"/>
              </w:rPr>
            </w:pPr>
          </w:p>
          <w:p w:rsidR="00AB6593" w:rsidRDefault="00791C81">
            <w:pPr>
              <w:pStyle w:val="TableParagraph"/>
              <w:ind w:left="110" w:right="172" w:hanging="39"/>
              <w:rPr>
                <w:sz w:val="14"/>
              </w:rPr>
            </w:pPr>
            <w:r>
              <w:rPr>
                <w:w w:val="95"/>
                <w:sz w:val="14"/>
              </w:rPr>
              <w:t xml:space="preserve">Menos </w:t>
            </w:r>
            <w:r>
              <w:rPr>
                <w:sz w:val="14"/>
              </w:rPr>
              <w:t xml:space="preserve">de </w:t>
            </w:r>
            <w:proofErr w:type="gramStart"/>
            <w:r>
              <w:rPr>
                <w:sz w:val="14"/>
              </w:rPr>
              <w:t>5</w:t>
            </w:r>
            <w:proofErr w:type="gramEnd"/>
            <w:r>
              <w:rPr>
                <w:sz w:val="14"/>
              </w:rPr>
              <w:t>.</w:t>
            </w:r>
          </w:p>
        </w:tc>
        <w:tc>
          <w:tcPr>
            <w:tcW w:w="900" w:type="dxa"/>
          </w:tcPr>
          <w:p w:rsidR="00AB6593" w:rsidRDefault="00AB6593">
            <w:pPr>
              <w:pStyle w:val="TableParagraph"/>
              <w:rPr>
                <w:sz w:val="14"/>
              </w:rPr>
            </w:pPr>
          </w:p>
          <w:p w:rsidR="00AB6593" w:rsidRDefault="00AB6593">
            <w:pPr>
              <w:pStyle w:val="TableParagraph"/>
              <w:rPr>
                <w:sz w:val="14"/>
              </w:rPr>
            </w:pPr>
          </w:p>
          <w:p w:rsidR="00AB6593" w:rsidRDefault="00AB6593">
            <w:pPr>
              <w:pStyle w:val="TableParagraph"/>
              <w:rPr>
                <w:sz w:val="14"/>
              </w:rPr>
            </w:pPr>
          </w:p>
          <w:p w:rsidR="00AB6593" w:rsidRDefault="00AB6593">
            <w:pPr>
              <w:pStyle w:val="TableParagraph"/>
              <w:spacing w:before="6"/>
              <w:rPr>
                <w:sz w:val="11"/>
              </w:rPr>
            </w:pPr>
          </w:p>
          <w:p w:rsidR="00AB6593" w:rsidRDefault="00791C81">
            <w:pPr>
              <w:pStyle w:val="TableParagraph"/>
              <w:ind w:right="101"/>
              <w:jc w:val="center"/>
              <w:rPr>
                <w:sz w:val="14"/>
              </w:rPr>
            </w:pPr>
            <w:r>
              <w:rPr>
                <w:sz w:val="14"/>
              </w:rPr>
              <w:t>5 – 10</w:t>
            </w:r>
          </w:p>
        </w:tc>
        <w:tc>
          <w:tcPr>
            <w:tcW w:w="492" w:type="dxa"/>
          </w:tcPr>
          <w:p w:rsidR="00AB6593" w:rsidRDefault="00AB6593">
            <w:pPr>
              <w:pStyle w:val="TableParagraph"/>
              <w:rPr>
                <w:sz w:val="14"/>
              </w:rPr>
            </w:pPr>
          </w:p>
        </w:tc>
        <w:tc>
          <w:tcPr>
            <w:tcW w:w="480" w:type="dxa"/>
          </w:tcPr>
          <w:p w:rsidR="00AB6593" w:rsidRDefault="00AB6593">
            <w:pPr>
              <w:pStyle w:val="TableParagraph"/>
              <w:rPr>
                <w:sz w:val="14"/>
              </w:rPr>
            </w:pPr>
          </w:p>
          <w:p w:rsidR="00AB6593" w:rsidRDefault="00AB6593">
            <w:pPr>
              <w:pStyle w:val="TableParagraph"/>
              <w:rPr>
                <w:sz w:val="14"/>
              </w:rPr>
            </w:pPr>
          </w:p>
          <w:p w:rsidR="00AB6593" w:rsidRDefault="00AB6593">
            <w:pPr>
              <w:pStyle w:val="TableParagraph"/>
              <w:rPr>
                <w:sz w:val="14"/>
              </w:rPr>
            </w:pPr>
          </w:p>
          <w:p w:rsidR="00AB6593" w:rsidRDefault="00AB6593">
            <w:pPr>
              <w:pStyle w:val="TableParagraph"/>
              <w:spacing w:before="6"/>
              <w:rPr>
                <w:sz w:val="11"/>
              </w:rPr>
            </w:pPr>
          </w:p>
          <w:p w:rsidR="00AB6593" w:rsidRDefault="00791C81">
            <w:pPr>
              <w:pStyle w:val="TableParagraph"/>
              <w:ind w:left="60"/>
              <w:rPr>
                <w:sz w:val="14"/>
              </w:rPr>
            </w:pPr>
            <w:r>
              <w:rPr>
                <w:sz w:val="14"/>
              </w:rPr>
              <w:t>11 –</w:t>
            </w:r>
          </w:p>
          <w:p w:rsidR="00AB6593" w:rsidRDefault="00791C81">
            <w:pPr>
              <w:pStyle w:val="TableParagraph"/>
              <w:ind w:left="98"/>
              <w:rPr>
                <w:sz w:val="14"/>
              </w:rPr>
            </w:pPr>
            <w:r>
              <w:rPr>
                <w:sz w:val="14"/>
              </w:rPr>
              <w:t>20</w:t>
            </w:r>
          </w:p>
        </w:tc>
        <w:tc>
          <w:tcPr>
            <w:tcW w:w="701" w:type="dxa"/>
          </w:tcPr>
          <w:p w:rsidR="00AB6593" w:rsidRDefault="00AB6593">
            <w:pPr>
              <w:pStyle w:val="TableParagraph"/>
              <w:rPr>
                <w:sz w:val="14"/>
              </w:rPr>
            </w:pPr>
          </w:p>
          <w:p w:rsidR="00AB6593" w:rsidRDefault="00AB6593">
            <w:pPr>
              <w:pStyle w:val="TableParagraph"/>
              <w:rPr>
                <w:sz w:val="14"/>
              </w:rPr>
            </w:pPr>
          </w:p>
          <w:p w:rsidR="00AB6593" w:rsidRDefault="00AB6593">
            <w:pPr>
              <w:pStyle w:val="TableParagraph"/>
              <w:rPr>
                <w:sz w:val="14"/>
              </w:rPr>
            </w:pPr>
          </w:p>
          <w:p w:rsidR="00AB6593" w:rsidRDefault="00AB6593">
            <w:pPr>
              <w:pStyle w:val="TableParagraph"/>
              <w:spacing w:before="6"/>
              <w:rPr>
                <w:sz w:val="11"/>
              </w:rPr>
            </w:pPr>
          </w:p>
          <w:p w:rsidR="00AB6593" w:rsidRDefault="00791C81">
            <w:pPr>
              <w:pStyle w:val="TableParagraph"/>
              <w:ind w:left="76" w:firstLine="52"/>
              <w:rPr>
                <w:sz w:val="14"/>
              </w:rPr>
            </w:pPr>
            <w:r>
              <w:rPr>
                <w:sz w:val="14"/>
              </w:rPr>
              <w:t xml:space="preserve">21-30 </w:t>
            </w:r>
            <w:r>
              <w:rPr>
                <w:w w:val="95"/>
                <w:sz w:val="14"/>
              </w:rPr>
              <w:t>(LMA)</w:t>
            </w:r>
          </w:p>
        </w:tc>
      </w:tr>
      <w:tr w:rsidR="00AB6593">
        <w:trPr>
          <w:trHeight w:val="1401"/>
        </w:trPr>
        <w:tc>
          <w:tcPr>
            <w:tcW w:w="1328" w:type="dxa"/>
          </w:tcPr>
          <w:p w:rsidR="00AB6593" w:rsidRDefault="00AB6593">
            <w:pPr>
              <w:pStyle w:val="TableParagraph"/>
              <w:rPr>
                <w:sz w:val="14"/>
              </w:rPr>
            </w:pPr>
          </w:p>
          <w:p w:rsidR="00AB6593" w:rsidRDefault="00AB6593">
            <w:pPr>
              <w:pStyle w:val="TableParagraph"/>
              <w:rPr>
                <w:sz w:val="14"/>
              </w:rPr>
            </w:pPr>
          </w:p>
          <w:p w:rsidR="00AB6593" w:rsidRDefault="00AB6593">
            <w:pPr>
              <w:pStyle w:val="TableParagraph"/>
              <w:rPr>
                <w:sz w:val="14"/>
              </w:rPr>
            </w:pPr>
          </w:p>
          <w:p w:rsidR="00AB6593" w:rsidRDefault="00AB6593">
            <w:pPr>
              <w:pStyle w:val="TableParagraph"/>
              <w:spacing w:before="6"/>
              <w:rPr>
                <w:sz w:val="11"/>
              </w:rPr>
            </w:pPr>
          </w:p>
          <w:p w:rsidR="00AB6593" w:rsidRDefault="00791C81">
            <w:pPr>
              <w:pStyle w:val="TableParagraph"/>
              <w:ind w:left="152" w:right="257"/>
              <w:jc w:val="center"/>
              <w:rPr>
                <w:sz w:val="14"/>
              </w:rPr>
            </w:pPr>
            <w:r>
              <w:rPr>
                <w:sz w:val="14"/>
              </w:rPr>
              <w:t>Cariótipo (*)</w:t>
            </w:r>
          </w:p>
        </w:tc>
        <w:tc>
          <w:tcPr>
            <w:tcW w:w="636" w:type="dxa"/>
          </w:tcPr>
          <w:p w:rsidR="00AB6593" w:rsidRDefault="00AB6593">
            <w:pPr>
              <w:pStyle w:val="TableParagraph"/>
              <w:rPr>
                <w:sz w:val="14"/>
              </w:rPr>
            </w:pPr>
          </w:p>
          <w:p w:rsidR="00AB6593" w:rsidRDefault="00AB6593">
            <w:pPr>
              <w:pStyle w:val="TableParagraph"/>
              <w:rPr>
                <w:sz w:val="14"/>
              </w:rPr>
            </w:pPr>
          </w:p>
          <w:p w:rsidR="00AB6593" w:rsidRDefault="00AB6593">
            <w:pPr>
              <w:pStyle w:val="TableParagraph"/>
              <w:rPr>
                <w:sz w:val="14"/>
              </w:rPr>
            </w:pPr>
          </w:p>
          <w:p w:rsidR="00AB6593" w:rsidRDefault="00AB6593">
            <w:pPr>
              <w:pStyle w:val="TableParagraph"/>
              <w:spacing w:before="6"/>
              <w:rPr>
                <w:sz w:val="11"/>
              </w:rPr>
            </w:pPr>
          </w:p>
          <w:p w:rsidR="00AB6593" w:rsidRDefault="00791C81">
            <w:pPr>
              <w:pStyle w:val="TableParagraph"/>
              <w:ind w:left="104" w:right="207"/>
              <w:jc w:val="center"/>
              <w:rPr>
                <w:sz w:val="14"/>
              </w:rPr>
            </w:pPr>
            <w:r>
              <w:rPr>
                <w:sz w:val="14"/>
              </w:rPr>
              <w:t>Bom</w:t>
            </w:r>
          </w:p>
        </w:tc>
        <w:tc>
          <w:tcPr>
            <w:tcW w:w="900" w:type="dxa"/>
          </w:tcPr>
          <w:p w:rsidR="00AB6593" w:rsidRDefault="00AB6593">
            <w:pPr>
              <w:pStyle w:val="TableParagraph"/>
              <w:rPr>
                <w:sz w:val="14"/>
              </w:rPr>
            </w:pPr>
          </w:p>
          <w:p w:rsidR="00AB6593" w:rsidRDefault="00AB6593">
            <w:pPr>
              <w:pStyle w:val="TableParagraph"/>
              <w:rPr>
                <w:sz w:val="14"/>
              </w:rPr>
            </w:pPr>
          </w:p>
          <w:p w:rsidR="00AB6593" w:rsidRDefault="00AB6593">
            <w:pPr>
              <w:pStyle w:val="TableParagraph"/>
              <w:rPr>
                <w:sz w:val="14"/>
              </w:rPr>
            </w:pPr>
          </w:p>
          <w:p w:rsidR="00AB6593" w:rsidRDefault="00AB6593">
            <w:pPr>
              <w:pStyle w:val="TableParagraph"/>
              <w:spacing w:before="6"/>
              <w:rPr>
                <w:sz w:val="11"/>
              </w:rPr>
            </w:pPr>
          </w:p>
          <w:p w:rsidR="00AB6593" w:rsidRDefault="00791C81">
            <w:pPr>
              <w:pStyle w:val="TableParagraph"/>
              <w:ind w:right="107"/>
              <w:jc w:val="center"/>
              <w:rPr>
                <w:sz w:val="14"/>
              </w:rPr>
            </w:pPr>
            <w:r>
              <w:rPr>
                <w:sz w:val="14"/>
              </w:rPr>
              <w:t>Intermediário</w:t>
            </w:r>
          </w:p>
        </w:tc>
        <w:tc>
          <w:tcPr>
            <w:tcW w:w="492" w:type="dxa"/>
          </w:tcPr>
          <w:p w:rsidR="00AB6593" w:rsidRDefault="00AB6593">
            <w:pPr>
              <w:pStyle w:val="TableParagraph"/>
              <w:rPr>
                <w:sz w:val="14"/>
              </w:rPr>
            </w:pPr>
          </w:p>
          <w:p w:rsidR="00AB6593" w:rsidRDefault="00AB6593">
            <w:pPr>
              <w:pStyle w:val="TableParagraph"/>
              <w:rPr>
                <w:sz w:val="14"/>
              </w:rPr>
            </w:pPr>
          </w:p>
          <w:p w:rsidR="00AB6593" w:rsidRDefault="00AB6593">
            <w:pPr>
              <w:pStyle w:val="TableParagraph"/>
              <w:rPr>
                <w:sz w:val="14"/>
              </w:rPr>
            </w:pPr>
          </w:p>
          <w:p w:rsidR="00AB6593" w:rsidRDefault="00AB6593">
            <w:pPr>
              <w:pStyle w:val="TableParagraph"/>
              <w:spacing w:before="6"/>
              <w:rPr>
                <w:sz w:val="11"/>
              </w:rPr>
            </w:pPr>
          </w:p>
          <w:p w:rsidR="00AB6593" w:rsidRDefault="00791C81">
            <w:pPr>
              <w:pStyle w:val="TableParagraph"/>
              <w:ind w:left="15" w:right="115"/>
              <w:jc w:val="center"/>
              <w:rPr>
                <w:sz w:val="14"/>
              </w:rPr>
            </w:pPr>
            <w:r>
              <w:rPr>
                <w:sz w:val="14"/>
              </w:rPr>
              <w:t>Ruim</w:t>
            </w:r>
          </w:p>
        </w:tc>
        <w:tc>
          <w:tcPr>
            <w:tcW w:w="480" w:type="dxa"/>
          </w:tcPr>
          <w:p w:rsidR="00AB6593" w:rsidRDefault="00AB6593">
            <w:pPr>
              <w:pStyle w:val="TableParagraph"/>
              <w:rPr>
                <w:sz w:val="14"/>
              </w:rPr>
            </w:pPr>
          </w:p>
        </w:tc>
        <w:tc>
          <w:tcPr>
            <w:tcW w:w="701" w:type="dxa"/>
          </w:tcPr>
          <w:p w:rsidR="00AB6593" w:rsidRDefault="00AB6593">
            <w:pPr>
              <w:pStyle w:val="TableParagraph"/>
              <w:rPr>
                <w:sz w:val="14"/>
              </w:rPr>
            </w:pPr>
          </w:p>
        </w:tc>
      </w:tr>
      <w:tr w:rsidR="00AB6593">
        <w:trPr>
          <w:trHeight w:val="1401"/>
        </w:trPr>
        <w:tc>
          <w:tcPr>
            <w:tcW w:w="1328" w:type="dxa"/>
          </w:tcPr>
          <w:p w:rsidR="00AB6593" w:rsidRDefault="00AB6593">
            <w:pPr>
              <w:pStyle w:val="TableParagraph"/>
              <w:rPr>
                <w:sz w:val="14"/>
              </w:rPr>
            </w:pPr>
          </w:p>
          <w:p w:rsidR="00AB6593" w:rsidRDefault="00AB6593">
            <w:pPr>
              <w:pStyle w:val="TableParagraph"/>
              <w:rPr>
                <w:sz w:val="14"/>
              </w:rPr>
            </w:pPr>
          </w:p>
          <w:p w:rsidR="00AB6593" w:rsidRDefault="00AB6593">
            <w:pPr>
              <w:pStyle w:val="TableParagraph"/>
              <w:rPr>
                <w:sz w:val="14"/>
              </w:rPr>
            </w:pPr>
          </w:p>
          <w:p w:rsidR="00AB6593" w:rsidRDefault="00AB6593">
            <w:pPr>
              <w:pStyle w:val="TableParagraph"/>
              <w:spacing w:before="6"/>
              <w:rPr>
                <w:sz w:val="11"/>
              </w:rPr>
            </w:pPr>
          </w:p>
          <w:p w:rsidR="00AB6593" w:rsidRDefault="00791C81">
            <w:pPr>
              <w:pStyle w:val="TableParagraph"/>
              <w:ind w:left="152" w:right="257"/>
              <w:jc w:val="center"/>
              <w:rPr>
                <w:sz w:val="14"/>
              </w:rPr>
            </w:pPr>
            <w:r>
              <w:rPr>
                <w:sz w:val="14"/>
              </w:rPr>
              <w:t>Citopenias (**)</w:t>
            </w:r>
          </w:p>
        </w:tc>
        <w:tc>
          <w:tcPr>
            <w:tcW w:w="636" w:type="dxa"/>
          </w:tcPr>
          <w:p w:rsidR="00AB6593" w:rsidRDefault="00AB6593">
            <w:pPr>
              <w:pStyle w:val="TableParagraph"/>
              <w:rPr>
                <w:sz w:val="14"/>
              </w:rPr>
            </w:pPr>
          </w:p>
          <w:p w:rsidR="00AB6593" w:rsidRDefault="00AB6593">
            <w:pPr>
              <w:pStyle w:val="TableParagraph"/>
              <w:rPr>
                <w:sz w:val="14"/>
              </w:rPr>
            </w:pPr>
          </w:p>
          <w:p w:rsidR="00AB6593" w:rsidRDefault="00AB6593">
            <w:pPr>
              <w:pStyle w:val="TableParagraph"/>
              <w:rPr>
                <w:sz w:val="14"/>
              </w:rPr>
            </w:pPr>
          </w:p>
          <w:p w:rsidR="00AB6593" w:rsidRDefault="00AB6593">
            <w:pPr>
              <w:pStyle w:val="TableParagraph"/>
              <w:spacing w:before="6"/>
              <w:rPr>
                <w:sz w:val="11"/>
              </w:rPr>
            </w:pPr>
          </w:p>
          <w:p w:rsidR="00AB6593" w:rsidRDefault="00791C81">
            <w:pPr>
              <w:pStyle w:val="TableParagraph"/>
              <w:ind w:left="105" w:right="206"/>
              <w:jc w:val="center"/>
              <w:rPr>
                <w:sz w:val="14"/>
              </w:rPr>
            </w:pPr>
            <w:r>
              <w:rPr>
                <w:sz w:val="14"/>
              </w:rPr>
              <w:t>0 a 1</w:t>
            </w:r>
          </w:p>
        </w:tc>
        <w:tc>
          <w:tcPr>
            <w:tcW w:w="900" w:type="dxa"/>
          </w:tcPr>
          <w:p w:rsidR="00AB6593" w:rsidRDefault="00AB6593">
            <w:pPr>
              <w:pStyle w:val="TableParagraph"/>
              <w:rPr>
                <w:sz w:val="14"/>
              </w:rPr>
            </w:pPr>
          </w:p>
          <w:p w:rsidR="00AB6593" w:rsidRDefault="00AB6593">
            <w:pPr>
              <w:pStyle w:val="TableParagraph"/>
              <w:rPr>
                <w:sz w:val="14"/>
              </w:rPr>
            </w:pPr>
          </w:p>
          <w:p w:rsidR="00AB6593" w:rsidRDefault="00AB6593">
            <w:pPr>
              <w:pStyle w:val="TableParagraph"/>
              <w:rPr>
                <w:sz w:val="14"/>
              </w:rPr>
            </w:pPr>
          </w:p>
          <w:p w:rsidR="00AB6593" w:rsidRDefault="00AB6593">
            <w:pPr>
              <w:pStyle w:val="TableParagraph"/>
              <w:spacing w:before="6"/>
              <w:rPr>
                <w:sz w:val="11"/>
              </w:rPr>
            </w:pPr>
          </w:p>
          <w:p w:rsidR="00AB6593" w:rsidRDefault="00791C81">
            <w:pPr>
              <w:pStyle w:val="TableParagraph"/>
              <w:ind w:right="101"/>
              <w:jc w:val="center"/>
              <w:rPr>
                <w:sz w:val="14"/>
              </w:rPr>
            </w:pPr>
            <w:r>
              <w:rPr>
                <w:sz w:val="14"/>
              </w:rPr>
              <w:t>2 a 3</w:t>
            </w:r>
          </w:p>
        </w:tc>
        <w:tc>
          <w:tcPr>
            <w:tcW w:w="492" w:type="dxa"/>
          </w:tcPr>
          <w:p w:rsidR="00AB6593" w:rsidRDefault="00AB6593">
            <w:pPr>
              <w:pStyle w:val="TableParagraph"/>
              <w:rPr>
                <w:sz w:val="14"/>
              </w:rPr>
            </w:pPr>
          </w:p>
        </w:tc>
        <w:tc>
          <w:tcPr>
            <w:tcW w:w="480" w:type="dxa"/>
          </w:tcPr>
          <w:p w:rsidR="00AB6593" w:rsidRDefault="00AB6593">
            <w:pPr>
              <w:pStyle w:val="TableParagraph"/>
              <w:rPr>
                <w:sz w:val="14"/>
              </w:rPr>
            </w:pPr>
          </w:p>
        </w:tc>
        <w:tc>
          <w:tcPr>
            <w:tcW w:w="701" w:type="dxa"/>
          </w:tcPr>
          <w:p w:rsidR="00AB6593" w:rsidRDefault="00AB6593">
            <w:pPr>
              <w:pStyle w:val="TableParagraph"/>
              <w:rPr>
                <w:sz w:val="14"/>
              </w:rPr>
            </w:pPr>
          </w:p>
        </w:tc>
      </w:tr>
    </w:tbl>
    <w:p w:rsidR="00AB6593" w:rsidRDefault="00AB6593">
      <w:pPr>
        <w:pStyle w:val="Corpodetexto"/>
        <w:ind w:left="0" w:firstLine="0"/>
        <w:rPr>
          <w:sz w:val="20"/>
        </w:rPr>
      </w:pPr>
    </w:p>
    <w:p w:rsidR="00AB6593" w:rsidRDefault="00AB6593">
      <w:pPr>
        <w:pStyle w:val="Corpodetexto"/>
        <w:spacing w:before="2"/>
        <w:ind w:left="0" w:firstLine="0"/>
        <w:rPr>
          <w:sz w:val="25"/>
        </w:rPr>
      </w:pPr>
    </w:p>
    <w:p w:rsidR="00AB6593" w:rsidRDefault="00791C81">
      <w:pPr>
        <w:pStyle w:val="Corpodetexto"/>
        <w:spacing w:before="94"/>
        <w:ind w:left="666" w:firstLine="0"/>
      </w:pPr>
      <w:r>
        <w:t>LMA – Leucemia Mieloide Aguda</w:t>
      </w:r>
    </w:p>
    <w:p w:rsidR="00AB6593" w:rsidRDefault="00791C81">
      <w:pPr>
        <w:pStyle w:val="Corpodetexto"/>
        <w:spacing w:before="4" w:line="235" w:lineRule="auto"/>
        <w:ind w:left="666" w:right="401" w:firstLine="0"/>
      </w:pPr>
      <w:r>
        <w:t xml:space="preserve">(*) Cariótipo bom: normal, -Y, </w:t>
      </w:r>
      <w:proofErr w:type="gramStart"/>
      <w:r>
        <w:t>del</w:t>
      </w:r>
      <w:proofErr w:type="gramEnd"/>
      <w:r>
        <w:t>(5q), del(20q) / Ruim: complexo (mais de 3 anormalidades) ou alterações do cromossoma 7 / Intermediário: outros. (**) Neutrófilos &lt; 1.500</w:t>
      </w:r>
      <w:r>
        <w:rPr>
          <w:rFonts w:ascii="Verdana" w:hAnsi="Verdana"/>
        </w:rPr>
        <w:t>/</w:t>
      </w:r>
      <w:r>
        <w:t>mm</w:t>
      </w:r>
      <w:r>
        <w:rPr>
          <w:vertAlign w:val="superscript"/>
        </w:rPr>
        <w:t>3</w:t>
      </w:r>
      <w:r>
        <w:rPr>
          <w:rFonts w:ascii="Verdana" w:hAnsi="Verdana"/>
        </w:rPr>
        <w:t>/</w:t>
      </w:r>
      <w:r>
        <w:t>Plaquetas &lt; 100.000</w:t>
      </w:r>
      <w:r>
        <w:rPr>
          <w:rFonts w:ascii="Verdana" w:hAnsi="Verdana"/>
        </w:rPr>
        <w:t>/</w:t>
      </w:r>
      <w:r>
        <w:t xml:space="preserve">mm3 </w:t>
      </w:r>
      <w:r>
        <w:rPr>
          <w:rFonts w:ascii="Verdana" w:hAnsi="Verdana"/>
        </w:rPr>
        <w:t xml:space="preserve">/ </w:t>
      </w:r>
      <w:r>
        <w:t>Hemoglobina &lt; 10 g</w:t>
      </w:r>
      <w:r>
        <w:rPr>
          <w:rFonts w:ascii="Verdana" w:hAnsi="Verdana"/>
        </w:rPr>
        <w:t>/</w:t>
      </w:r>
      <w:r>
        <w:t>dl</w:t>
      </w:r>
    </w:p>
    <w:p w:rsidR="00AB6593" w:rsidRDefault="00AB6593">
      <w:pPr>
        <w:pStyle w:val="Corpodetexto"/>
        <w:spacing w:before="9"/>
        <w:ind w:left="0" w:firstLine="0"/>
      </w:pPr>
    </w:p>
    <w:p w:rsidR="00AB6593" w:rsidRDefault="00791C81">
      <w:pPr>
        <w:pStyle w:val="Corpodetexto"/>
        <w:spacing w:line="232" w:lineRule="auto"/>
      </w:pPr>
      <w:r>
        <w:t xml:space="preserve">Fonte Secundária: </w:t>
      </w:r>
      <w:proofErr w:type="gramStart"/>
      <w:r>
        <w:t>PROTOCOLO CLÍ</w:t>
      </w:r>
      <w:r>
        <w:t>NICO E DIRETRIZES TERAPÊUTICAS</w:t>
      </w:r>
      <w:proofErr w:type="gramEnd"/>
      <w:r>
        <w:t xml:space="preserve"> - O Uso da Talidomida na Síndrome Mielodisplásica. Portaria Nº 493</w:t>
      </w:r>
      <w:r>
        <w:rPr>
          <w:rFonts w:ascii="Verdana" w:hAnsi="Verdana"/>
        </w:rPr>
        <w:t>/</w:t>
      </w:r>
      <w:r>
        <w:t>SAS</w:t>
      </w:r>
      <w:r>
        <w:rPr>
          <w:rFonts w:ascii="Verdana" w:hAnsi="Verdana"/>
        </w:rPr>
        <w:t>/</w:t>
      </w:r>
      <w:r>
        <w:t>MS, de 11 de junho de 2015.</w:t>
      </w:r>
    </w:p>
    <w:p w:rsidR="00AB6593" w:rsidRDefault="00AB6593">
      <w:pPr>
        <w:pStyle w:val="Corpodetexto"/>
        <w:ind w:left="0" w:firstLine="0"/>
        <w:rPr>
          <w:sz w:val="18"/>
        </w:rPr>
      </w:pPr>
    </w:p>
    <w:p w:rsidR="00AB6593" w:rsidRDefault="00AB6593">
      <w:pPr>
        <w:pStyle w:val="Corpodetexto"/>
        <w:spacing w:before="7"/>
        <w:ind w:left="0" w:firstLine="0"/>
        <w:rPr>
          <w:sz w:val="14"/>
        </w:rPr>
      </w:pPr>
    </w:p>
    <w:p w:rsidR="00AB6593" w:rsidRDefault="00791C81">
      <w:pPr>
        <w:pStyle w:val="Corpodetexto"/>
        <w:ind w:left="3129" w:firstLine="0"/>
      </w:pPr>
      <w:r>
        <w:t>GRUPOS DE RISCO DE ACORDO COM A SOMA DE PONTOS DO IPPS</w:t>
      </w:r>
    </w:p>
    <w:p w:rsidR="00AB6593" w:rsidRDefault="00AB6593">
      <w:pPr>
        <w:pStyle w:val="Corpodetexto"/>
        <w:ind w:left="0" w:firstLine="0"/>
        <w:rPr>
          <w:sz w:val="20"/>
        </w:rPr>
      </w:pPr>
    </w:p>
    <w:p w:rsidR="00AB6593" w:rsidRDefault="00AB6593">
      <w:pPr>
        <w:pStyle w:val="Corpodetexto"/>
        <w:ind w:left="0" w:firstLine="0"/>
        <w:rPr>
          <w:sz w:val="20"/>
        </w:rPr>
      </w:pPr>
    </w:p>
    <w:p w:rsidR="00AB6593" w:rsidRDefault="00AB6593">
      <w:pPr>
        <w:pStyle w:val="Corpodetexto"/>
        <w:spacing w:before="4"/>
        <w:ind w:left="0" w:firstLine="0"/>
        <w:rPr>
          <w:sz w:val="14"/>
        </w:rPr>
      </w:pPr>
    </w:p>
    <w:tbl>
      <w:tblPr>
        <w:tblStyle w:val="TableNormal"/>
        <w:tblW w:w="0" w:type="auto"/>
        <w:tblInd w:w="3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4"/>
        <w:gridCol w:w="1973"/>
      </w:tblGrid>
      <w:tr w:rsidR="00AB6593">
        <w:trPr>
          <w:trHeight w:val="184"/>
        </w:trPr>
        <w:tc>
          <w:tcPr>
            <w:tcW w:w="2564" w:type="dxa"/>
          </w:tcPr>
          <w:p w:rsidR="00AB6593" w:rsidRDefault="00791C81">
            <w:pPr>
              <w:pStyle w:val="TableParagraph"/>
              <w:spacing w:line="164" w:lineRule="exact"/>
              <w:ind w:left="144"/>
              <w:rPr>
                <w:sz w:val="16"/>
              </w:rPr>
            </w:pPr>
            <w:r>
              <w:rPr>
                <w:sz w:val="16"/>
              </w:rPr>
              <w:t>GRUPO DE RISCO</w:t>
            </w:r>
          </w:p>
        </w:tc>
        <w:tc>
          <w:tcPr>
            <w:tcW w:w="1973" w:type="dxa"/>
          </w:tcPr>
          <w:p w:rsidR="00AB6593" w:rsidRDefault="00791C81">
            <w:pPr>
              <w:pStyle w:val="TableParagraph"/>
              <w:spacing w:line="164" w:lineRule="exact"/>
              <w:ind w:left="674"/>
              <w:rPr>
                <w:sz w:val="16"/>
              </w:rPr>
            </w:pPr>
            <w:r>
              <w:rPr>
                <w:sz w:val="16"/>
              </w:rPr>
              <w:t>PONTUAÇÃO</w:t>
            </w:r>
          </w:p>
        </w:tc>
      </w:tr>
      <w:tr w:rsidR="00AB6593">
        <w:trPr>
          <w:trHeight w:val="184"/>
        </w:trPr>
        <w:tc>
          <w:tcPr>
            <w:tcW w:w="2564" w:type="dxa"/>
          </w:tcPr>
          <w:p w:rsidR="00AB6593" w:rsidRDefault="00791C81">
            <w:pPr>
              <w:pStyle w:val="TableParagraph"/>
              <w:spacing w:line="164" w:lineRule="exact"/>
              <w:ind w:left="144"/>
              <w:rPr>
                <w:sz w:val="16"/>
              </w:rPr>
            </w:pPr>
            <w:r>
              <w:rPr>
                <w:sz w:val="16"/>
              </w:rPr>
              <w:t>Baixo</w:t>
            </w:r>
          </w:p>
        </w:tc>
        <w:tc>
          <w:tcPr>
            <w:tcW w:w="1973" w:type="dxa"/>
          </w:tcPr>
          <w:p w:rsidR="00AB6593" w:rsidRDefault="00791C81">
            <w:pPr>
              <w:pStyle w:val="TableParagraph"/>
              <w:spacing w:line="164" w:lineRule="exact"/>
              <w:ind w:left="144"/>
              <w:rPr>
                <w:sz w:val="16"/>
              </w:rPr>
            </w:pPr>
            <w:proofErr w:type="gramStart"/>
            <w:r>
              <w:rPr>
                <w:sz w:val="16"/>
              </w:rPr>
              <w:t>0</w:t>
            </w:r>
            <w:proofErr w:type="gramEnd"/>
          </w:p>
        </w:tc>
      </w:tr>
      <w:tr w:rsidR="00AB6593">
        <w:trPr>
          <w:trHeight w:val="181"/>
        </w:trPr>
        <w:tc>
          <w:tcPr>
            <w:tcW w:w="2564" w:type="dxa"/>
          </w:tcPr>
          <w:p w:rsidR="00AB6593" w:rsidRDefault="00791C81">
            <w:pPr>
              <w:pStyle w:val="TableParagraph"/>
              <w:spacing w:line="162" w:lineRule="exact"/>
              <w:ind w:left="144"/>
              <w:rPr>
                <w:sz w:val="16"/>
              </w:rPr>
            </w:pPr>
            <w:r>
              <w:rPr>
                <w:sz w:val="16"/>
              </w:rPr>
              <w:t>Intermediário I</w:t>
            </w:r>
          </w:p>
        </w:tc>
        <w:tc>
          <w:tcPr>
            <w:tcW w:w="1973" w:type="dxa"/>
          </w:tcPr>
          <w:p w:rsidR="00AB6593" w:rsidRDefault="00791C81">
            <w:pPr>
              <w:pStyle w:val="TableParagraph"/>
              <w:spacing w:line="162" w:lineRule="exact"/>
              <w:ind w:left="144"/>
              <w:rPr>
                <w:sz w:val="16"/>
              </w:rPr>
            </w:pPr>
            <w:r>
              <w:rPr>
                <w:sz w:val="16"/>
              </w:rPr>
              <w:t>0,5 a 1</w:t>
            </w:r>
          </w:p>
        </w:tc>
      </w:tr>
      <w:tr w:rsidR="00AB6593">
        <w:trPr>
          <w:trHeight w:val="184"/>
        </w:trPr>
        <w:tc>
          <w:tcPr>
            <w:tcW w:w="2564" w:type="dxa"/>
          </w:tcPr>
          <w:p w:rsidR="00AB6593" w:rsidRDefault="00791C81">
            <w:pPr>
              <w:pStyle w:val="TableParagraph"/>
              <w:spacing w:line="164" w:lineRule="exact"/>
              <w:ind w:left="144"/>
              <w:rPr>
                <w:sz w:val="16"/>
              </w:rPr>
            </w:pPr>
            <w:r>
              <w:rPr>
                <w:sz w:val="16"/>
              </w:rPr>
              <w:t>Intermediário II</w:t>
            </w:r>
          </w:p>
        </w:tc>
        <w:tc>
          <w:tcPr>
            <w:tcW w:w="1973" w:type="dxa"/>
          </w:tcPr>
          <w:p w:rsidR="00AB6593" w:rsidRDefault="00791C81">
            <w:pPr>
              <w:pStyle w:val="TableParagraph"/>
              <w:spacing w:line="164" w:lineRule="exact"/>
              <w:ind w:left="144"/>
              <w:rPr>
                <w:sz w:val="16"/>
              </w:rPr>
            </w:pPr>
            <w:r>
              <w:rPr>
                <w:sz w:val="16"/>
              </w:rPr>
              <w:t>1,5a 2</w:t>
            </w:r>
          </w:p>
        </w:tc>
      </w:tr>
      <w:tr w:rsidR="00AB6593">
        <w:trPr>
          <w:trHeight w:val="184"/>
        </w:trPr>
        <w:tc>
          <w:tcPr>
            <w:tcW w:w="2564" w:type="dxa"/>
          </w:tcPr>
          <w:p w:rsidR="00AB6593" w:rsidRDefault="00791C81">
            <w:pPr>
              <w:pStyle w:val="TableParagraph"/>
              <w:spacing w:line="164" w:lineRule="exact"/>
              <w:ind w:left="144"/>
              <w:rPr>
                <w:sz w:val="16"/>
              </w:rPr>
            </w:pPr>
            <w:r>
              <w:rPr>
                <w:sz w:val="16"/>
              </w:rPr>
              <w:t>Alto</w:t>
            </w:r>
          </w:p>
        </w:tc>
        <w:tc>
          <w:tcPr>
            <w:tcW w:w="1973" w:type="dxa"/>
          </w:tcPr>
          <w:p w:rsidR="00AB6593" w:rsidRDefault="00791C81">
            <w:pPr>
              <w:pStyle w:val="TableParagraph"/>
              <w:spacing w:line="164" w:lineRule="exact"/>
              <w:ind w:left="144"/>
              <w:rPr>
                <w:sz w:val="16"/>
              </w:rPr>
            </w:pPr>
            <w:r>
              <w:rPr>
                <w:sz w:val="16"/>
              </w:rPr>
              <w:t>&gt; 2,5</w:t>
            </w:r>
          </w:p>
        </w:tc>
      </w:tr>
    </w:tbl>
    <w:p w:rsidR="00000000" w:rsidRDefault="00791C81"/>
    <w:sectPr w:rsidR="00000000">
      <w:pgSz w:w="11910" w:h="16840"/>
      <w:pgMar w:top="70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D68"/>
    <w:multiLevelType w:val="hybridMultilevel"/>
    <w:tmpl w:val="435A38E2"/>
    <w:lvl w:ilvl="0" w:tplc="C486EC44">
      <w:numFmt w:val="bullet"/>
      <w:lvlText w:val="–"/>
      <w:lvlJc w:val="left"/>
      <w:pPr>
        <w:ind w:left="100" w:hanging="130"/>
      </w:pPr>
      <w:rPr>
        <w:rFonts w:ascii="Times New Roman" w:eastAsia="Times New Roman" w:hAnsi="Times New Roman" w:cs="Times New Roman" w:hint="default"/>
        <w:w w:val="100"/>
        <w:sz w:val="16"/>
        <w:szCs w:val="16"/>
        <w:lang w:val="pt-BR" w:eastAsia="pt-BR" w:bidi="pt-BR"/>
      </w:rPr>
    </w:lvl>
    <w:lvl w:ilvl="1" w:tplc="8472AE36">
      <w:numFmt w:val="bullet"/>
      <w:lvlText w:val="-"/>
      <w:lvlJc w:val="left"/>
      <w:pPr>
        <w:ind w:left="100" w:hanging="94"/>
      </w:pPr>
      <w:rPr>
        <w:rFonts w:ascii="Times New Roman" w:eastAsia="Times New Roman" w:hAnsi="Times New Roman" w:cs="Times New Roman" w:hint="default"/>
        <w:w w:val="100"/>
        <w:sz w:val="16"/>
        <w:szCs w:val="16"/>
        <w:lang w:val="pt-BR" w:eastAsia="pt-BR" w:bidi="pt-BR"/>
      </w:rPr>
    </w:lvl>
    <w:lvl w:ilvl="2" w:tplc="C77EBFBE">
      <w:numFmt w:val="bullet"/>
      <w:lvlText w:val="•"/>
      <w:lvlJc w:val="left"/>
      <w:pPr>
        <w:ind w:left="2217" w:hanging="94"/>
      </w:pPr>
      <w:rPr>
        <w:rFonts w:hint="default"/>
        <w:lang w:val="pt-BR" w:eastAsia="pt-BR" w:bidi="pt-BR"/>
      </w:rPr>
    </w:lvl>
    <w:lvl w:ilvl="3" w:tplc="565A2454">
      <w:numFmt w:val="bullet"/>
      <w:lvlText w:val="•"/>
      <w:lvlJc w:val="left"/>
      <w:pPr>
        <w:ind w:left="3275" w:hanging="94"/>
      </w:pPr>
      <w:rPr>
        <w:rFonts w:hint="default"/>
        <w:lang w:val="pt-BR" w:eastAsia="pt-BR" w:bidi="pt-BR"/>
      </w:rPr>
    </w:lvl>
    <w:lvl w:ilvl="4" w:tplc="0406AF0E">
      <w:numFmt w:val="bullet"/>
      <w:lvlText w:val="•"/>
      <w:lvlJc w:val="left"/>
      <w:pPr>
        <w:ind w:left="4334" w:hanging="94"/>
      </w:pPr>
      <w:rPr>
        <w:rFonts w:hint="default"/>
        <w:lang w:val="pt-BR" w:eastAsia="pt-BR" w:bidi="pt-BR"/>
      </w:rPr>
    </w:lvl>
    <w:lvl w:ilvl="5" w:tplc="5BC2B24A">
      <w:numFmt w:val="bullet"/>
      <w:lvlText w:val="•"/>
      <w:lvlJc w:val="left"/>
      <w:pPr>
        <w:ind w:left="5393" w:hanging="94"/>
      </w:pPr>
      <w:rPr>
        <w:rFonts w:hint="default"/>
        <w:lang w:val="pt-BR" w:eastAsia="pt-BR" w:bidi="pt-BR"/>
      </w:rPr>
    </w:lvl>
    <w:lvl w:ilvl="6" w:tplc="49604C38">
      <w:numFmt w:val="bullet"/>
      <w:lvlText w:val="•"/>
      <w:lvlJc w:val="left"/>
      <w:pPr>
        <w:ind w:left="6451" w:hanging="94"/>
      </w:pPr>
      <w:rPr>
        <w:rFonts w:hint="default"/>
        <w:lang w:val="pt-BR" w:eastAsia="pt-BR" w:bidi="pt-BR"/>
      </w:rPr>
    </w:lvl>
    <w:lvl w:ilvl="7" w:tplc="6E22A9A0">
      <w:numFmt w:val="bullet"/>
      <w:lvlText w:val="•"/>
      <w:lvlJc w:val="left"/>
      <w:pPr>
        <w:ind w:left="7510" w:hanging="94"/>
      </w:pPr>
      <w:rPr>
        <w:rFonts w:hint="default"/>
        <w:lang w:val="pt-BR" w:eastAsia="pt-BR" w:bidi="pt-BR"/>
      </w:rPr>
    </w:lvl>
    <w:lvl w:ilvl="8" w:tplc="CA54AD7E">
      <w:numFmt w:val="bullet"/>
      <w:lvlText w:val="•"/>
      <w:lvlJc w:val="left"/>
      <w:pPr>
        <w:ind w:left="8569" w:hanging="94"/>
      </w:pPr>
      <w:rPr>
        <w:rFonts w:hint="default"/>
        <w:lang w:val="pt-BR" w:eastAsia="pt-BR" w:bidi="pt-BR"/>
      </w:rPr>
    </w:lvl>
  </w:abstractNum>
  <w:abstractNum w:abstractNumId="1">
    <w:nsid w:val="0F642392"/>
    <w:multiLevelType w:val="hybridMultilevel"/>
    <w:tmpl w:val="A314A014"/>
    <w:lvl w:ilvl="0" w:tplc="93F81158">
      <w:start w:val="1"/>
      <w:numFmt w:val="lowerLetter"/>
      <w:lvlText w:val="%1)"/>
      <w:lvlJc w:val="left"/>
      <w:pPr>
        <w:ind w:left="100" w:hanging="178"/>
        <w:jc w:val="left"/>
      </w:pPr>
      <w:rPr>
        <w:rFonts w:ascii="Times New Roman" w:eastAsia="Times New Roman" w:hAnsi="Times New Roman" w:cs="Times New Roman" w:hint="default"/>
        <w:w w:val="100"/>
        <w:sz w:val="16"/>
        <w:szCs w:val="16"/>
        <w:lang w:val="pt-BR" w:eastAsia="pt-BR" w:bidi="pt-BR"/>
      </w:rPr>
    </w:lvl>
    <w:lvl w:ilvl="1" w:tplc="D000482E">
      <w:start w:val="1"/>
      <w:numFmt w:val="decimal"/>
      <w:lvlText w:val="%2)"/>
      <w:lvlJc w:val="left"/>
      <w:pPr>
        <w:ind w:left="100" w:hanging="175"/>
        <w:jc w:val="left"/>
      </w:pPr>
      <w:rPr>
        <w:rFonts w:ascii="Times New Roman" w:eastAsia="Times New Roman" w:hAnsi="Times New Roman" w:cs="Times New Roman" w:hint="default"/>
        <w:w w:val="100"/>
        <w:sz w:val="16"/>
        <w:szCs w:val="16"/>
        <w:lang w:val="pt-BR" w:eastAsia="pt-BR" w:bidi="pt-BR"/>
      </w:rPr>
    </w:lvl>
    <w:lvl w:ilvl="2" w:tplc="749C1E2A">
      <w:numFmt w:val="bullet"/>
      <w:lvlText w:val="•"/>
      <w:lvlJc w:val="left"/>
      <w:pPr>
        <w:ind w:left="2217" w:hanging="175"/>
      </w:pPr>
      <w:rPr>
        <w:rFonts w:hint="default"/>
        <w:lang w:val="pt-BR" w:eastAsia="pt-BR" w:bidi="pt-BR"/>
      </w:rPr>
    </w:lvl>
    <w:lvl w:ilvl="3" w:tplc="97E8117A">
      <w:numFmt w:val="bullet"/>
      <w:lvlText w:val="•"/>
      <w:lvlJc w:val="left"/>
      <w:pPr>
        <w:ind w:left="3275" w:hanging="175"/>
      </w:pPr>
      <w:rPr>
        <w:rFonts w:hint="default"/>
        <w:lang w:val="pt-BR" w:eastAsia="pt-BR" w:bidi="pt-BR"/>
      </w:rPr>
    </w:lvl>
    <w:lvl w:ilvl="4" w:tplc="CC1AB5DE">
      <w:numFmt w:val="bullet"/>
      <w:lvlText w:val="•"/>
      <w:lvlJc w:val="left"/>
      <w:pPr>
        <w:ind w:left="4334" w:hanging="175"/>
      </w:pPr>
      <w:rPr>
        <w:rFonts w:hint="default"/>
        <w:lang w:val="pt-BR" w:eastAsia="pt-BR" w:bidi="pt-BR"/>
      </w:rPr>
    </w:lvl>
    <w:lvl w:ilvl="5" w:tplc="967C88B2">
      <w:numFmt w:val="bullet"/>
      <w:lvlText w:val="•"/>
      <w:lvlJc w:val="left"/>
      <w:pPr>
        <w:ind w:left="5393" w:hanging="175"/>
      </w:pPr>
      <w:rPr>
        <w:rFonts w:hint="default"/>
        <w:lang w:val="pt-BR" w:eastAsia="pt-BR" w:bidi="pt-BR"/>
      </w:rPr>
    </w:lvl>
    <w:lvl w:ilvl="6" w:tplc="BBD0BFCE">
      <w:numFmt w:val="bullet"/>
      <w:lvlText w:val="•"/>
      <w:lvlJc w:val="left"/>
      <w:pPr>
        <w:ind w:left="6451" w:hanging="175"/>
      </w:pPr>
      <w:rPr>
        <w:rFonts w:hint="default"/>
        <w:lang w:val="pt-BR" w:eastAsia="pt-BR" w:bidi="pt-BR"/>
      </w:rPr>
    </w:lvl>
    <w:lvl w:ilvl="7" w:tplc="FB2665AC">
      <w:numFmt w:val="bullet"/>
      <w:lvlText w:val="•"/>
      <w:lvlJc w:val="left"/>
      <w:pPr>
        <w:ind w:left="7510" w:hanging="175"/>
      </w:pPr>
      <w:rPr>
        <w:rFonts w:hint="default"/>
        <w:lang w:val="pt-BR" w:eastAsia="pt-BR" w:bidi="pt-BR"/>
      </w:rPr>
    </w:lvl>
    <w:lvl w:ilvl="8" w:tplc="0D7458A4">
      <w:numFmt w:val="bullet"/>
      <w:lvlText w:val="•"/>
      <w:lvlJc w:val="left"/>
      <w:pPr>
        <w:ind w:left="8569" w:hanging="175"/>
      </w:pPr>
      <w:rPr>
        <w:rFonts w:hint="default"/>
        <w:lang w:val="pt-BR" w:eastAsia="pt-BR" w:bidi="pt-BR"/>
      </w:rPr>
    </w:lvl>
  </w:abstractNum>
  <w:abstractNum w:abstractNumId="2">
    <w:nsid w:val="25421896"/>
    <w:multiLevelType w:val="multilevel"/>
    <w:tmpl w:val="E9C27D82"/>
    <w:lvl w:ilvl="0">
      <w:start w:val="1"/>
      <w:numFmt w:val="decimal"/>
      <w:lvlText w:val="%1."/>
      <w:lvlJc w:val="left"/>
      <w:pPr>
        <w:ind w:left="827" w:hanging="161"/>
        <w:jc w:val="left"/>
      </w:pPr>
      <w:rPr>
        <w:rFonts w:ascii="Times New Roman" w:eastAsia="Times New Roman" w:hAnsi="Times New Roman" w:cs="Times New Roman" w:hint="default"/>
        <w:w w:val="100"/>
        <w:sz w:val="16"/>
        <w:szCs w:val="16"/>
        <w:lang w:val="pt-BR" w:eastAsia="pt-BR" w:bidi="pt-BR"/>
      </w:rPr>
    </w:lvl>
    <w:lvl w:ilvl="1">
      <w:start w:val="1"/>
      <w:numFmt w:val="decimal"/>
      <w:lvlText w:val="%1.%2"/>
      <w:lvlJc w:val="left"/>
      <w:pPr>
        <w:ind w:left="909" w:hanging="243"/>
        <w:jc w:val="left"/>
      </w:pPr>
      <w:rPr>
        <w:rFonts w:ascii="Times New Roman" w:eastAsia="Times New Roman" w:hAnsi="Times New Roman" w:cs="Times New Roman" w:hint="default"/>
        <w:spacing w:val="-2"/>
        <w:w w:val="100"/>
        <w:sz w:val="16"/>
        <w:szCs w:val="16"/>
        <w:lang w:val="pt-BR" w:eastAsia="pt-BR" w:bidi="pt-BR"/>
      </w:rPr>
    </w:lvl>
    <w:lvl w:ilvl="2">
      <w:numFmt w:val="bullet"/>
      <w:lvlText w:val="•"/>
      <w:lvlJc w:val="left"/>
      <w:pPr>
        <w:ind w:left="1987" w:hanging="243"/>
      </w:pPr>
      <w:rPr>
        <w:rFonts w:hint="default"/>
        <w:lang w:val="pt-BR" w:eastAsia="pt-BR" w:bidi="pt-BR"/>
      </w:rPr>
    </w:lvl>
    <w:lvl w:ilvl="3">
      <w:numFmt w:val="bullet"/>
      <w:lvlText w:val="•"/>
      <w:lvlJc w:val="left"/>
      <w:pPr>
        <w:ind w:left="3074" w:hanging="243"/>
      </w:pPr>
      <w:rPr>
        <w:rFonts w:hint="default"/>
        <w:lang w:val="pt-BR" w:eastAsia="pt-BR" w:bidi="pt-BR"/>
      </w:rPr>
    </w:lvl>
    <w:lvl w:ilvl="4">
      <w:numFmt w:val="bullet"/>
      <w:lvlText w:val="•"/>
      <w:lvlJc w:val="left"/>
      <w:pPr>
        <w:ind w:left="4162" w:hanging="243"/>
      </w:pPr>
      <w:rPr>
        <w:rFonts w:hint="default"/>
        <w:lang w:val="pt-BR" w:eastAsia="pt-BR" w:bidi="pt-BR"/>
      </w:rPr>
    </w:lvl>
    <w:lvl w:ilvl="5">
      <w:numFmt w:val="bullet"/>
      <w:lvlText w:val="•"/>
      <w:lvlJc w:val="left"/>
      <w:pPr>
        <w:ind w:left="5249" w:hanging="243"/>
      </w:pPr>
      <w:rPr>
        <w:rFonts w:hint="default"/>
        <w:lang w:val="pt-BR" w:eastAsia="pt-BR" w:bidi="pt-BR"/>
      </w:rPr>
    </w:lvl>
    <w:lvl w:ilvl="6">
      <w:numFmt w:val="bullet"/>
      <w:lvlText w:val="•"/>
      <w:lvlJc w:val="left"/>
      <w:pPr>
        <w:ind w:left="6336" w:hanging="243"/>
      </w:pPr>
      <w:rPr>
        <w:rFonts w:hint="default"/>
        <w:lang w:val="pt-BR" w:eastAsia="pt-BR" w:bidi="pt-BR"/>
      </w:rPr>
    </w:lvl>
    <w:lvl w:ilvl="7">
      <w:numFmt w:val="bullet"/>
      <w:lvlText w:val="•"/>
      <w:lvlJc w:val="left"/>
      <w:pPr>
        <w:ind w:left="7424" w:hanging="243"/>
      </w:pPr>
      <w:rPr>
        <w:rFonts w:hint="default"/>
        <w:lang w:val="pt-BR" w:eastAsia="pt-BR" w:bidi="pt-BR"/>
      </w:rPr>
    </w:lvl>
    <w:lvl w:ilvl="8">
      <w:numFmt w:val="bullet"/>
      <w:lvlText w:val="•"/>
      <w:lvlJc w:val="left"/>
      <w:pPr>
        <w:ind w:left="8511" w:hanging="243"/>
      </w:pPr>
      <w:rPr>
        <w:rFonts w:hint="default"/>
        <w:lang w:val="pt-BR" w:eastAsia="pt-BR" w:bidi="pt-BR"/>
      </w:rPr>
    </w:lvl>
  </w:abstractNum>
  <w:abstractNum w:abstractNumId="3">
    <w:nsid w:val="393A2A54"/>
    <w:multiLevelType w:val="hybridMultilevel"/>
    <w:tmpl w:val="171CF3E6"/>
    <w:lvl w:ilvl="0" w:tplc="88D84DD8">
      <w:start w:val="1"/>
      <w:numFmt w:val="decimal"/>
      <w:lvlText w:val="%1."/>
      <w:lvlJc w:val="left"/>
      <w:pPr>
        <w:ind w:left="100" w:hanging="142"/>
        <w:jc w:val="left"/>
      </w:pPr>
      <w:rPr>
        <w:rFonts w:ascii="Times New Roman" w:eastAsia="Times New Roman" w:hAnsi="Times New Roman" w:cs="Times New Roman" w:hint="default"/>
        <w:spacing w:val="0"/>
        <w:w w:val="100"/>
        <w:sz w:val="16"/>
        <w:szCs w:val="16"/>
        <w:lang w:val="pt-BR" w:eastAsia="pt-BR" w:bidi="pt-BR"/>
      </w:rPr>
    </w:lvl>
    <w:lvl w:ilvl="1" w:tplc="BC0804AA">
      <w:numFmt w:val="bullet"/>
      <w:lvlText w:val="•"/>
      <w:lvlJc w:val="left"/>
      <w:pPr>
        <w:ind w:left="1158" w:hanging="142"/>
      </w:pPr>
      <w:rPr>
        <w:rFonts w:hint="default"/>
        <w:lang w:val="pt-BR" w:eastAsia="pt-BR" w:bidi="pt-BR"/>
      </w:rPr>
    </w:lvl>
    <w:lvl w:ilvl="2" w:tplc="6CE027B0">
      <w:numFmt w:val="bullet"/>
      <w:lvlText w:val="•"/>
      <w:lvlJc w:val="left"/>
      <w:pPr>
        <w:ind w:left="2217" w:hanging="142"/>
      </w:pPr>
      <w:rPr>
        <w:rFonts w:hint="default"/>
        <w:lang w:val="pt-BR" w:eastAsia="pt-BR" w:bidi="pt-BR"/>
      </w:rPr>
    </w:lvl>
    <w:lvl w:ilvl="3" w:tplc="0F5EE1F2">
      <w:numFmt w:val="bullet"/>
      <w:lvlText w:val="•"/>
      <w:lvlJc w:val="left"/>
      <w:pPr>
        <w:ind w:left="3275" w:hanging="142"/>
      </w:pPr>
      <w:rPr>
        <w:rFonts w:hint="default"/>
        <w:lang w:val="pt-BR" w:eastAsia="pt-BR" w:bidi="pt-BR"/>
      </w:rPr>
    </w:lvl>
    <w:lvl w:ilvl="4" w:tplc="BD84E5BA">
      <w:numFmt w:val="bullet"/>
      <w:lvlText w:val="•"/>
      <w:lvlJc w:val="left"/>
      <w:pPr>
        <w:ind w:left="4334" w:hanging="142"/>
      </w:pPr>
      <w:rPr>
        <w:rFonts w:hint="default"/>
        <w:lang w:val="pt-BR" w:eastAsia="pt-BR" w:bidi="pt-BR"/>
      </w:rPr>
    </w:lvl>
    <w:lvl w:ilvl="5" w:tplc="90EC312C">
      <w:numFmt w:val="bullet"/>
      <w:lvlText w:val="•"/>
      <w:lvlJc w:val="left"/>
      <w:pPr>
        <w:ind w:left="5393" w:hanging="142"/>
      </w:pPr>
      <w:rPr>
        <w:rFonts w:hint="default"/>
        <w:lang w:val="pt-BR" w:eastAsia="pt-BR" w:bidi="pt-BR"/>
      </w:rPr>
    </w:lvl>
    <w:lvl w:ilvl="6" w:tplc="CC1281EE">
      <w:numFmt w:val="bullet"/>
      <w:lvlText w:val="•"/>
      <w:lvlJc w:val="left"/>
      <w:pPr>
        <w:ind w:left="6451" w:hanging="142"/>
      </w:pPr>
      <w:rPr>
        <w:rFonts w:hint="default"/>
        <w:lang w:val="pt-BR" w:eastAsia="pt-BR" w:bidi="pt-BR"/>
      </w:rPr>
    </w:lvl>
    <w:lvl w:ilvl="7" w:tplc="17FEB7C0">
      <w:numFmt w:val="bullet"/>
      <w:lvlText w:val="•"/>
      <w:lvlJc w:val="left"/>
      <w:pPr>
        <w:ind w:left="7510" w:hanging="142"/>
      </w:pPr>
      <w:rPr>
        <w:rFonts w:hint="default"/>
        <w:lang w:val="pt-BR" w:eastAsia="pt-BR" w:bidi="pt-BR"/>
      </w:rPr>
    </w:lvl>
    <w:lvl w:ilvl="8" w:tplc="B7303BE8">
      <w:numFmt w:val="bullet"/>
      <w:lvlText w:val="•"/>
      <w:lvlJc w:val="left"/>
      <w:pPr>
        <w:ind w:left="8569" w:hanging="142"/>
      </w:pPr>
      <w:rPr>
        <w:rFonts w:hint="default"/>
        <w:lang w:val="pt-BR" w:eastAsia="pt-BR" w:bidi="pt-BR"/>
      </w:rPr>
    </w:lvl>
  </w:abstractNum>
  <w:abstractNum w:abstractNumId="4">
    <w:nsid w:val="57715A60"/>
    <w:multiLevelType w:val="hybridMultilevel"/>
    <w:tmpl w:val="CA3A8A0C"/>
    <w:lvl w:ilvl="0" w:tplc="8E085150">
      <w:start w:val="11"/>
      <w:numFmt w:val="decimal"/>
      <w:lvlText w:val="%1."/>
      <w:lvlJc w:val="left"/>
      <w:pPr>
        <w:ind w:left="339" w:hanging="240"/>
        <w:jc w:val="left"/>
      </w:pPr>
      <w:rPr>
        <w:rFonts w:ascii="Times New Roman" w:eastAsia="Times New Roman" w:hAnsi="Times New Roman" w:cs="Times New Roman" w:hint="default"/>
        <w:spacing w:val="-2"/>
        <w:w w:val="100"/>
        <w:sz w:val="16"/>
        <w:szCs w:val="16"/>
        <w:lang w:val="pt-BR" w:eastAsia="pt-BR" w:bidi="pt-BR"/>
      </w:rPr>
    </w:lvl>
    <w:lvl w:ilvl="1" w:tplc="C768931C">
      <w:numFmt w:val="bullet"/>
      <w:lvlText w:val="-"/>
      <w:lvlJc w:val="left"/>
      <w:pPr>
        <w:ind w:left="100" w:hanging="94"/>
      </w:pPr>
      <w:rPr>
        <w:rFonts w:ascii="Times New Roman" w:eastAsia="Times New Roman" w:hAnsi="Times New Roman" w:cs="Times New Roman" w:hint="default"/>
        <w:w w:val="100"/>
        <w:sz w:val="16"/>
        <w:szCs w:val="16"/>
        <w:lang w:val="pt-BR" w:eastAsia="pt-BR" w:bidi="pt-BR"/>
      </w:rPr>
    </w:lvl>
    <w:lvl w:ilvl="2" w:tplc="1D6E78AC">
      <w:numFmt w:val="bullet"/>
      <w:lvlText w:val="•"/>
      <w:lvlJc w:val="left"/>
      <w:pPr>
        <w:ind w:left="1489" w:hanging="94"/>
      </w:pPr>
      <w:rPr>
        <w:rFonts w:hint="default"/>
        <w:lang w:val="pt-BR" w:eastAsia="pt-BR" w:bidi="pt-BR"/>
      </w:rPr>
    </w:lvl>
    <w:lvl w:ilvl="3" w:tplc="E0E42FF4">
      <w:numFmt w:val="bullet"/>
      <w:lvlText w:val="•"/>
      <w:lvlJc w:val="left"/>
      <w:pPr>
        <w:ind w:left="2639" w:hanging="94"/>
      </w:pPr>
      <w:rPr>
        <w:rFonts w:hint="default"/>
        <w:lang w:val="pt-BR" w:eastAsia="pt-BR" w:bidi="pt-BR"/>
      </w:rPr>
    </w:lvl>
    <w:lvl w:ilvl="4" w:tplc="0EFC4CB6">
      <w:numFmt w:val="bullet"/>
      <w:lvlText w:val="•"/>
      <w:lvlJc w:val="left"/>
      <w:pPr>
        <w:ind w:left="3788" w:hanging="94"/>
      </w:pPr>
      <w:rPr>
        <w:rFonts w:hint="default"/>
        <w:lang w:val="pt-BR" w:eastAsia="pt-BR" w:bidi="pt-BR"/>
      </w:rPr>
    </w:lvl>
    <w:lvl w:ilvl="5" w:tplc="44CCBDD8">
      <w:numFmt w:val="bullet"/>
      <w:lvlText w:val="•"/>
      <w:lvlJc w:val="left"/>
      <w:pPr>
        <w:ind w:left="4938" w:hanging="94"/>
      </w:pPr>
      <w:rPr>
        <w:rFonts w:hint="default"/>
        <w:lang w:val="pt-BR" w:eastAsia="pt-BR" w:bidi="pt-BR"/>
      </w:rPr>
    </w:lvl>
    <w:lvl w:ilvl="6" w:tplc="A5AC6536">
      <w:numFmt w:val="bullet"/>
      <w:lvlText w:val="•"/>
      <w:lvlJc w:val="left"/>
      <w:pPr>
        <w:ind w:left="6088" w:hanging="94"/>
      </w:pPr>
      <w:rPr>
        <w:rFonts w:hint="default"/>
        <w:lang w:val="pt-BR" w:eastAsia="pt-BR" w:bidi="pt-BR"/>
      </w:rPr>
    </w:lvl>
    <w:lvl w:ilvl="7" w:tplc="27B4774E">
      <w:numFmt w:val="bullet"/>
      <w:lvlText w:val="•"/>
      <w:lvlJc w:val="left"/>
      <w:pPr>
        <w:ind w:left="7237" w:hanging="94"/>
      </w:pPr>
      <w:rPr>
        <w:rFonts w:hint="default"/>
        <w:lang w:val="pt-BR" w:eastAsia="pt-BR" w:bidi="pt-BR"/>
      </w:rPr>
    </w:lvl>
    <w:lvl w:ilvl="8" w:tplc="52C83E58">
      <w:numFmt w:val="bullet"/>
      <w:lvlText w:val="•"/>
      <w:lvlJc w:val="left"/>
      <w:pPr>
        <w:ind w:left="8387" w:hanging="94"/>
      </w:pPr>
      <w:rPr>
        <w:rFonts w:hint="default"/>
        <w:lang w:val="pt-BR" w:eastAsia="pt-BR" w:bidi="pt-BR"/>
      </w:rPr>
    </w:lvl>
  </w:abstractNum>
  <w:abstractNum w:abstractNumId="5">
    <w:nsid w:val="7CC61943"/>
    <w:multiLevelType w:val="hybridMultilevel"/>
    <w:tmpl w:val="AF0E2AA4"/>
    <w:lvl w:ilvl="0" w:tplc="5AFE3784">
      <w:start w:val="106"/>
      <w:numFmt w:val="decimal"/>
      <w:lvlText w:val="%1."/>
      <w:lvlJc w:val="left"/>
      <w:pPr>
        <w:ind w:left="100" w:hanging="286"/>
        <w:jc w:val="left"/>
      </w:pPr>
      <w:rPr>
        <w:rFonts w:ascii="Times New Roman" w:eastAsia="Times New Roman" w:hAnsi="Times New Roman" w:cs="Times New Roman" w:hint="default"/>
        <w:spacing w:val="-2"/>
        <w:w w:val="100"/>
        <w:sz w:val="14"/>
        <w:szCs w:val="14"/>
        <w:lang w:val="pt-BR" w:eastAsia="pt-BR" w:bidi="pt-BR"/>
      </w:rPr>
    </w:lvl>
    <w:lvl w:ilvl="1" w:tplc="3D2C5402">
      <w:numFmt w:val="bullet"/>
      <w:lvlText w:val="•"/>
      <w:lvlJc w:val="left"/>
      <w:pPr>
        <w:ind w:left="1158" w:hanging="286"/>
      </w:pPr>
      <w:rPr>
        <w:rFonts w:hint="default"/>
        <w:lang w:val="pt-BR" w:eastAsia="pt-BR" w:bidi="pt-BR"/>
      </w:rPr>
    </w:lvl>
    <w:lvl w:ilvl="2" w:tplc="6C0A292E">
      <w:numFmt w:val="bullet"/>
      <w:lvlText w:val="•"/>
      <w:lvlJc w:val="left"/>
      <w:pPr>
        <w:ind w:left="2217" w:hanging="286"/>
      </w:pPr>
      <w:rPr>
        <w:rFonts w:hint="default"/>
        <w:lang w:val="pt-BR" w:eastAsia="pt-BR" w:bidi="pt-BR"/>
      </w:rPr>
    </w:lvl>
    <w:lvl w:ilvl="3" w:tplc="2D8EEF3C">
      <w:numFmt w:val="bullet"/>
      <w:lvlText w:val="•"/>
      <w:lvlJc w:val="left"/>
      <w:pPr>
        <w:ind w:left="3275" w:hanging="286"/>
      </w:pPr>
      <w:rPr>
        <w:rFonts w:hint="default"/>
        <w:lang w:val="pt-BR" w:eastAsia="pt-BR" w:bidi="pt-BR"/>
      </w:rPr>
    </w:lvl>
    <w:lvl w:ilvl="4" w:tplc="824284D4">
      <w:numFmt w:val="bullet"/>
      <w:lvlText w:val="•"/>
      <w:lvlJc w:val="left"/>
      <w:pPr>
        <w:ind w:left="4334" w:hanging="286"/>
      </w:pPr>
      <w:rPr>
        <w:rFonts w:hint="default"/>
        <w:lang w:val="pt-BR" w:eastAsia="pt-BR" w:bidi="pt-BR"/>
      </w:rPr>
    </w:lvl>
    <w:lvl w:ilvl="5" w:tplc="3FB21956">
      <w:numFmt w:val="bullet"/>
      <w:lvlText w:val="•"/>
      <w:lvlJc w:val="left"/>
      <w:pPr>
        <w:ind w:left="5393" w:hanging="286"/>
      </w:pPr>
      <w:rPr>
        <w:rFonts w:hint="default"/>
        <w:lang w:val="pt-BR" w:eastAsia="pt-BR" w:bidi="pt-BR"/>
      </w:rPr>
    </w:lvl>
    <w:lvl w:ilvl="6" w:tplc="769E228C">
      <w:numFmt w:val="bullet"/>
      <w:lvlText w:val="•"/>
      <w:lvlJc w:val="left"/>
      <w:pPr>
        <w:ind w:left="6451" w:hanging="286"/>
      </w:pPr>
      <w:rPr>
        <w:rFonts w:hint="default"/>
        <w:lang w:val="pt-BR" w:eastAsia="pt-BR" w:bidi="pt-BR"/>
      </w:rPr>
    </w:lvl>
    <w:lvl w:ilvl="7" w:tplc="E1088E8E">
      <w:numFmt w:val="bullet"/>
      <w:lvlText w:val="•"/>
      <w:lvlJc w:val="left"/>
      <w:pPr>
        <w:ind w:left="7510" w:hanging="286"/>
      </w:pPr>
      <w:rPr>
        <w:rFonts w:hint="default"/>
        <w:lang w:val="pt-BR" w:eastAsia="pt-BR" w:bidi="pt-BR"/>
      </w:rPr>
    </w:lvl>
    <w:lvl w:ilvl="8" w:tplc="416087C0">
      <w:numFmt w:val="bullet"/>
      <w:lvlText w:val="•"/>
      <w:lvlJc w:val="left"/>
      <w:pPr>
        <w:ind w:left="8569" w:hanging="286"/>
      </w:pPr>
      <w:rPr>
        <w:rFonts w:hint="default"/>
        <w:lang w:val="pt-BR" w:eastAsia="pt-BR" w:bidi="pt-BR"/>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AB6593"/>
    <w:rsid w:val="00791C81"/>
    <w:rsid w:val="00AB65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0" w:firstLine="566"/>
    </w:pPr>
    <w:rPr>
      <w:sz w:val="16"/>
      <w:szCs w:val="16"/>
    </w:rPr>
  </w:style>
  <w:style w:type="paragraph" w:styleId="PargrafodaLista">
    <w:name w:val="List Paragraph"/>
    <w:basedOn w:val="Normal"/>
    <w:uiPriority w:val="1"/>
    <w:qFormat/>
    <w:pPr>
      <w:ind w:left="100" w:firstLine="566"/>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791C81"/>
    <w:rPr>
      <w:rFonts w:ascii="Tahoma" w:hAnsi="Tahoma" w:cs="Tahoma"/>
      <w:sz w:val="16"/>
      <w:szCs w:val="16"/>
    </w:rPr>
  </w:style>
  <w:style w:type="character" w:customStyle="1" w:styleId="TextodebaloChar">
    <w:name w:val="Texto de balão Char"/>
    <w:basedOn w:val="Fontepargpadro"/>
    <w:link w:val="Textodebalo"/>
    <w:uiPriority w:val="99"/>
    <w:semiHidden/>
    <w:rsid w:val="00791C81"/>
    <w:rPr>
      <w:rFonts w:ascii="Tahoma" w:eastAsia="Times New Roman"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ptodate.com/contents/management-of-the-complications-of-the-myelodysplastic-syndromes?source=related_link" TargetMode="External"/><Relationship Id="rId3" Type="http://schemas.microsoft.com/office/2007/relationships/stylesWithEffects" Target="stylesWithEffects.xml"/><Relationship Id="rId7" Type="http://schemas.openxmlformats.org/officeDocument/2006/relationships/hyperlink" Target="http://sia.datasus.gov.br/documentos/listar_ftp_apac.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cn.org/professionals/physicians_gls/f_guidelin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9874</Words>
  <Characters>53325</Characters>
  <Application>Microsoft Office Word</Application>
  <DocSecurity>0</DocSecurity>
  <Lines>444</Lines>
  <Paragraphs>126</Paragraphs>
  <ScaleCrop>false</ScaleCrop>
  <Company/>
  <LinksUpToDate>false</LinksUpToDate>
  <CharactersWithSpaces>63073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CLÍNICO E DIRETRIZES TERAPÊUTICAS</dc:title>
  <dc:creator>Gra�a Adam</dc:creator>
  <cp:lastModifiedBy>VANESSA ALVES DE OLIVEIRA</cp:lastModifiedBy>
  <cp:revision>2</cp:revision>
  <dcterms:created xsi:type="dcterms:W3CDTF">2019-07-16T11:20:00Z</dcterms:created>
  <dcterms:modified xsi:type="dcterms:W3CDTF">2019-07-16T11:51:00Z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2016-03-04T00:00:00Z</vt:filetime>
  </property>
  <property fmtid="{D5CDD505-2E9C-101B-9397-08002B2CF9AE}" pid="3" name="Creator">
    <vt:lpwstr>Microsoft® Word 2010</vt:lpwstr>
  </property>
  <property fmtid="{D5CDD505-2E9C-101B-9397-08002B2CF9AE}" pid="4" name="LastSaved">
    <vt:filetime>2019-07-16T00:00:00Z</vt:filetime>
  </property>
</Properties>
</file>