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9"/>
        </w:rPr>
      </w:pPr>
    </w:p>
    <w:p>
      <w:pPr>
        <w:pStyle w:val="BodyText"/>
        <w:ind w:left="4802"/>
        <w:rPr>
          <w:sz w:val="20"/>
        </w:rPr>
      </w:pPr>
      <w:r>
        <w:rPr>
          <w:sz w:val="20"/>
        </w:rPr>
        <w:drawing>
          <wp:inline distT="0" distB="0" distL="0" distR="0">
            <wp:extent cx="533848" cy="60445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3848" cy="604456"/>
                    </a:xfrm>
                    <a:prstGeom prst="rect">
                      <a:avLst/>
                    </a:prstGeom>
                  </pic:spPr>
                </pic:pic>
              </a:graphicData>
            </a:graphic>
          </wp:inline>
        </w:drawing>
      </w:r>
      <w:r>
        <w:rPr>
          <w:sz w:val="20"/>
        </w:rPr>
      </w:r>
    </w:p>
    <w:p>
      <w:pPr>
        <w:pStyle w:val="BodyText"/>
        <w:spacing w:before="37"/>
        <w:ind w:left="3137" w:right="3133" w:firstLine="818"/>
      </w:pPr>
      <w:r>
        <w:rPr/>
        <w:t>MINITÉRIO DA SAÚDE SECRETARIA DE ATENÇÃO À SAÚDE</w:t>
      </w:r>
    </w:p>
    <w:p>
      <w:pPr>
        <w:pStyle w:val="BodyText"/>
        <w:spacing w:line="480" w:lineRule="auto"/>
        <w:ind w:left="2191" w:right="1344" w:hanging="845"/>
      </w:pPr>
      <w:r>
        <w:rPr/>
        <w:t>SECRETARIA DE CIÊNCIA, TECNOLOGIA E INSUMOS ESTRATÉGICOS PORTARIA CONJUNTA Nº 15, DE 11 DE DEZEMBRO DE 2017.</w:t>
      </w:r>
    </w:p>
    <w:p>
      <w:pPr>
        <w:pStyle w:val="BodyText"/>
        <w:tabs>
          <w:tab w:pos="6247" w:val="left" w:leader="none"/>
          <w:tab w:pos="6681" w:val="left" w:leader="none"/>
          <w:tab w:pos="7931" w:val="left" w:leader="none"/>
          <w:tab w:pos="8953" w:val="left" w:leader="none"/>
          <w:tab w:pos="9372" w:val="left" w:leader="none"/>
        </w:tabs>
        <w:ind w:left="5216" w:right="126"/>
      </w:pPr>
      <w:r>
        <w:rPr/>
        <w:t>Aprova</w:t>
        <w:tab/>
        <w:t>o</w:t>
        <w:tab/>
        <w:t>Protocolo</w:t>
        <w:tab/>
        <w:t>Clínico</w:t>
        <w:tab/>
        <w:t>e</w:t>
        <w:tab/>
        <w:t>Diretrizes Terapêuticas da Artrite</w:t>
      </w:r>
      <w:r>
        <w:rPr>
          <w:spacing w:val="-3"/>
        </w:rPr>
        <w:t> </w:t>
      </w:r>
      <w:r>
        <w:rPr/>
        <w:t>Reumatoide.</w:t>
      </w:r>
    </w:p>
    <w:p>
      <w:pPr>
        <w:pStyle w:val="BodyText"/>
        <w:ind w:left="0"/>
      </w:pPr>
    </w:p>
    <w:p>
      <w:pPr>
        <w:pStyle w:val="BodyText"/>
        <w:ind w:left="1531"/>
      </w:pPr>
      <w:r>
        <w:rPr/>
        <w:t>O SECRETÁRIO DE ATENÇÃO À SAÚDE e o SECRETÁRIO DE CIÊNCIA,</w:t>
      </w:r>
    </w:p>
    <w:p>
      <w:pPr>
        <w:pStyle w:val="BodyText"/>
      </w:pPr>
      <w:r>
        <w:rPr/>
        <w:t>TECNOLOGIA E INSUMOS ESTRATÉGICOS, no uso de suas atribuições, e</w:t>
      </w:r>
    </w:p>
    <w:p>
      <w:pPr>
        <w:pStyle w:val="BodyText"/>
        <w:ind w:left="0"/>
      </w:pPr>
    </w:p>
    <w:p>
      <w:pPr>
        <w:pStyle w:val="BodyText"/>
        <w:ind w:right="125" w:firstLine="1418"/>
        <w:jc w:val="both"/>
      </w:pPr>
      <w:r>
        <w:rPr/>
        <w:t>Considerando a necessidade de se atualizarem parâmetros sobre a artrite reumatoide no Brasil e de se estabelecerem diretrizes nacionais para diagnóstico, tratamento e acompanhamento dos indivíduos com essa doença;</w:t>
      </w:r>
    </w:p>
    <w:p>
      <w:pPr>
        <w:pStyle w:val="BodyText"/>
        <w:ind w:right="131" w:firstLine="1418"/>
        <w:jc w:val="both"/>
      </w:pPr>
      <w:r>
        <w:rPr/>
        <w:t>Considerando que os Protocolos Clínicos e Diretrizes Terapêuticas (PCDT) são resultado de consenso técnico-científico e formulados dentro de rigorosos parâmetros de qualidade e precisão de indicação;</w:t>
      </w:r>
    </w:p>
    <w:p>
      <w:pPr>
        <w:pStyle w:val="BodyText"/>
        <w:spacing w:before="1"/>
        <w:ind w:right="120" w:firstLine="1418"/>
        <w:jc w:val="both"/>
      </w:pPr>
      <w:r>
        <w:rPr/>
        <w:t>Considerando a Portaria nº 34/SCTIE/MS, de 20 de setembro de 2016, e a Portaria nº 38/SCTIE/MS, de 30 de novembro de 2016, que, com base nas recomendações da Comissão Nacional de Incorporação de Tecnologias no SUS (CONITEC), tornaram pública a decisão de adequar o Protocolo Clínico e Diretrizes Terapêuticas (PCDT) da artrite reumatoide no sentido de alinhamento de todos os Medicamentos Modificadores do Curso da Doença (MMCD) biológicos em uma única etapa do tratamento (devendo-se optar pelo mais custo-efetivo em cada etapa terapêutica), após a falha da primeira etapa com agentes MMCD sintéticos; e</w:t>
      </w:r>
    </w:p>
    <w:p>
      <w:pPr>
        <w:pStyle w:val="BodyText"/>
        <w:ind w:right="124" w:firstLine="1418"/>
        <w:jc w:val="both"/>
      </w:pPr>
      <w:r>
        <w:rPr/>
        <w:t>Considerando o Registro de Deliberação nº 223/2016 e o Relatório de Recomendação nº 241 – Janeiro de 2017 da CONITEC aprovado pela Portaria nº 08/SCTIE/MS, de 1º de fevereiro de 2017, e avaliação da literatura;</w:t>
      </w:r>
    </w:p>
    <w:p>
      <w:pPr>
        <w:pStyle w:val="BodyText"/>
        <w:ind w:right="124" w:firstLine="1418"/>
        <w:jc w:val="both"/>
      </w:pPr>
      <w:r>
        <w:rPr/>
        <w:t>Considerando a avaliação técnica do Departamento de Gestão e Incorporação de Tecnologias em Saúde (DGITS/SCTIE/MS), do Departamento de Assistência Farmacêutica e Insumos Estratégicos (DAF/SCTIE/MS) e do Departamento de Atenção Especializada e Temática (DAET/SAS/MS), resolvem:</w:t>
      </w:r>
    </w:p>
    <w:p>
      <w:pPr>
        <w:pStyle w:val="BodyText"/>
        <w:spacing w:before="1"/>
        <w:ind w:left="0"/>
      </w:pPr>
    </w:p>
    <w:p>
      <w:pPr>
        <w:pStyle w:val="BodyText"/>
        <w:ind w:left="1531"/>
      </w:pPr>
      <w:r>
        <w:rPr/>
        <w:t>Art. 1º Fica aprovado o Protocolo Clínico e Diretrizes Terapêuticas – Artrite Reumatoide.</w:t>
      </w:r>
    </w:p>
    <w:p>
      <w:pPr>
        <w:pStyle w:val="BodyText"/>
        <w:ind w:right="122" w:firstLine="1418"/>
        <w:jc w:val="both"/>
      </w:pPr>
      <w:r>
        <w:rPr/>
        <w:t>Parágrafo único. O Protocolo objeto deste artigo, que contém o conceito geral da artirte reumatoide, critérios de diagnóstico, critérios de inclusão e de exclusão, tratamento e mecanismos de regulação, controle e avaliação, disponível no sitio: </w:t>
      </w:r>
      <w:hyperlink r:id="rId6">
        <w:r>
          <w:rPr>
            <w:color w:val="0000FF"/>
            <w:u w:val="single" w:color="0000FF"/>
          </w:rPr>
          <w:t>www.saude.gov.br/sas</w:t>
        </w:r>
      </w:hyperlink>
      <w:r>
        <w:rPr/>
        <w:t>, é de caráter nacional e deve ser utilizado pelas Secretarias de Saúde dos Estados e dos Municípios na regulação do acesso assistencial, autorização, registro e ressarcimento dos procedimentos</w:t>
      </w:r>
      <w:r>
        <w:rPr>
          <w:spacing w:val="-4"/>
        </w:rPr>
        <w:t> </w:t>
      </w:r>
      <w:r>
        <w:rPr/>
        <w:t>correspondentes.</w:t>
      </w:r>
    </w:p>
    <w:p>
      <w:pPr>
        <w:spacing w:after="0"/>
        <w:jc w:val="both"/>
        <w:sectPr>
          <w:type w:val="continuous"/>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2" w:firstLine="1418"/>
        <w:jc w:val="both"/>
      </w:pPr>
      <w:r>
        <w:rPr/>
        <w:t>Art. 2º É obrigatória a cientificação do paciente, ou do seu responsável legal, dos potenciais riscos e efeitos colaterais relacionados ao uso de medicamento preconizado para o tratamento da artrite</w:t>
      </w:r>
      <w:r>
        <w:rPr>
          <w:spacing w:val="-3"/>
        </w:rPr>
        <w:t> </w:t>
      </w:r>
      <w:r>
        <w:rPr/>
        <w:t>reumatoide.</w:t>
      </w:r>
    </w:p>
    <w:p>
      <w:pPr>
        <w:pStyle w:val="BodyText"/>
        <w:ind w:left="0"/>
      </w:pPr>
    </w:p>
    <w:p>
      <w:pPr>
        <w:pStyle w:val="BodyText"/>
        <w:ind w:right="121" w:firstLine="1418"/>
        <w:jc w:val="both"/>
      </w:pPr>
      <w:r>
        <w:rPr/>
        <w:t>Art. 3º Os gestores estaduais e municipais do SUS, conforme a sua competência e pactuações, deverão estruturar a rede assistencial, definir os serviços referenciais e estabelecer os fluxos para o atendimento dos indivíduos com a doença em todas as etapas descritas no Anexo desta Portaria.</w:t>
      </w:r>
    </w:p>
    <w:p>
      <w:pPr>
        <w:pStyle w:val="BodyText"/>
        <w:ind w:left="0"/>
      </w:pPr>
    </w:p>
    <w:p>
      <w:pPr>
        <w:pStyle w:val="BodyText"/>
        <w:ind w:left="1531"/>
      </w:pPr>
      <w:r>
        <w:rPr/>
        <w:t>Art. 4º Esta Portaria entra em vigor na data da sua publicação.</w:t>
      </w:r>
    </w:p>
    <w:p>
      <w:pPr>
        <w:pStyle w:val="BodyText"/>
        <w:ind w:left="0"/>
      </w:pPr>
    </w:p>
    <w:p>
      <w:pPr>
        <w:pStyle w:val="BodyText"/>
        <w:ind w:right="124" w:firstLine="1418"/>
        <w:jc w:val="both"/>
      </w:pPr>
      <w:r>
        <w:rPr/>
        <w:t>Art. 5º Fica revogada a Portaria nº 996/SAS/MS, de  30 de setembro de 2015, publicada  no Diário Oficial da União nº 188, de 1º de outubro de 2015, seção 1, página</w:t>
      </w:r>
      <w:r>
        <w:rPr>
          <w:spacing w:val="-7"/>
        </w:rPr>
        <w:t> </w:t>
      </w:r>
      <w:r>
        <w:rPr/>
        <w:t>99.</w:t>
      </w:r>
    </w:p>
    <w:p>
      <w:pPr>
        <w:pStyle w:val="BodyText"/>
        <w:ind w:left="0"/>
        <w:rPr>
          <w:sz w:val="26"/>
        </w:rPr>
      </w:pPr>
    </w:p>
    <w:p>
      <w:pPr>
        <w:pStyle w:val="BodyText"/>
        <w:ind w:left="0"/>
        <w:rPr>
          <w:sz w:val="26"/>
        </w:rPr>
      </w:pPr>
    </w:p>
    <w:p>
      <w:pPr>
        <w:pStyle w:val="BodyText"/>
        <w:spacing w:before="231"/>
        <w:ind w:left="2209" w:right="2249"/>
        <w:jc w:val="center"/>
      </w:pPr>
      <w:r>
        <w:rPr/>
        <w:t>FRANCISCO DE ASSIS FIGUEIREDO</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184"/>
        <w:ind w:left="2212" w:right="2249"/>
        <w:jc w:val="center"/>
      </w:pPr>
      <w:r>
        <w:rPr/>
        <w:t>MARCO ANTÔNIO DE ARAÚJO FIREMAN</w:t>
      </w:r>
    </w:p>
    <w:p>
      <w:pPr>
        <w:spacing w:after="0"/>
        <w:jc w:val="cente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left="2236" w:right="2249"/>
        <w:jc w:val="center"/>
      </w:pPr>
      <w:r>
        <w:rPr/>
        <w:t>ANEXO</w:t>
      </w:r>
    </w:p>
    <w:p>
      <w:pPr>
        <w:pStyle w:val="BodyText"/>
        <w:spacing w:before="11"/>
        <w:ind w:left="0"/>
        <w:rPr>
          <w:sz w:val="23"/>
        </w:rPr>
      </w:pPr>
    </w:p>
    <w:p>
      <w:pPr>
        <w:pStyle w:val="BodyText"/>
        <w:spacing w:line="480" w:lineRule="auto"/>
        <w:ind w:left="2236" w:right="2249"/>
        <w:jc w:val="center"/>
      </w:pPr>
      <w:r>
        <w:rPr/>
        <w:t>PROTOCOLO CLÍNICO E DIRETRIZES TERAPÊUTICAS ARTRITE REUMATOIDE</w:t>
      </w:r>
    </w:p>
    <w:p>
      <w:pPr>
        <w:pStyle w:val="BodyText"/>
        <w:spacing w:before="2"/>
        <w:ind w:left="0"/>
        <w:rPr>
          <w:sz w:val="16"/>
        </w:rPr>
      </w:pPr>
    </w:p>
    <w:p>
      <w:pPr>
        <w:spacing w:after="0"/>
        <w:rPr>
          <w:sz w:val="16"/>
        </w:rPr>
        <w:sectPr>
          <w:pgSz w:w="11910" w:h="16840"/>
          <w:pgMar w:top="1580" w:bottom="280" w:left="1020" w:right="440"/>
        </w:sectPr>
      </w:pPr>
    </w:p>
    <w:p>
      <w:pPr>
        <w:pStyle w:val="BodyText"/>
        <w:ind w:left="0"/>
        <w:rPr>
          <w:sz w:val="26"/>
        </w:rPr>
      </w:pPr>
    </w:p>
    <w:p>
      <w:pPr>
        <w:pStyle w:val="BodyText"/>
        <w:spacing w:before="10"/>
        <w:ind w:left="0"/>
        <w:rPr>
          <w:sz w:val="29"/>
        </w:rPr>
      </w:pPr>
    </w:p>
    <w:p>
      <w:pPr>
        <w:pStyle w:val="BodyText"/>
      </w:pPr>
      <w:r>
        <w:rPr/>
        <w:t>Cochrane.</w:t>
      </w:r>
    </w:p>
    <w:p>
      <w:pPr>
        <w:pStyle w:val="BodyText"/>
        <w:spacing w:before="90"/>
      </w:pPr>
      <w:r>
        <w:rPr/>
        <w:br w:type="column"/>
      </w:r>
      <w:r>
        <w:rPr/>
        <w:t>1 METODOLOGIA DE BUSCA E AVALIAÇÃO DA LITERATURA</w:t>
      </w:r>
    </w:p>
    <w:p>
      <w:pPr>
        <w:pStyle w:val="BodyText"/>
      </w:pPr>
      <w:r>
        <w:rPr/>
        <w:t>Em</w:t>
      </w:r>
      <w:r>
        <w:rPr>
          <w:spacing w:val="23"/>
        </w:rPr>
        <w:t> </w:t>
      </w:r>
      <w:r>
        <w:rPr/>
        <w:t>20/11/2012,</w:t>
      </w:r>
      <w:r>
        <w:rPr>
          <w:spacing w:val="22"/>
        </w:rPr>
        <w:t> </w:t>
      </w:r>
      <w:r>
        <w:rPr/>
        <w:t>foram</w:t>
      </w:r>
      <w:r>
        <w:rPr>
          <w:spacing w:val="24"/>
        </w:rPr>
        <w:t> </w:t>
      </w:r>
      <w:r>
        <w:rPr/>
        <w:t>realizadas</w:t>
      </w:r>
      <w:r>
        <w:rPr>
          <w:spacing w:val="23"/>
        </w:rPr>
        <w:t> </w:t>
      </w:r>
      <w:r>
        <w:rPr/>
        <w:t>buscas</w:t>
      </w:r>
      <w:r>
        <w:rPr>
          <w:spacing w:val="23"/>
        </w:rPr>
        <w:t> </w:t>
      </w:r>
      <w:r>
        <w:rPr/>
        <w:t>nas</w:t>
      </w:r>
      <w:r>
        <w:rPr>
          <w:spacing w:val="23"/>
        </w:rPr>
        <w:t> </w:t>
      </w:r>
      <w:r>
        <w:rPr/>
        <w:t>bases</w:t>
      </w:r>
      <w:r>
        <w:rPr>
          <w:spacing w:val="24"/>
        </w:rPr>
        <w:t> </w:t>
      </w:r>
      <w:r>
        <w:rPr/>
        <w:t>de</w:t>
      </w:r>
      <w:r>
        <w:rPr>
          <w:spacing w:val="21"/>
        </w:rPr>
        <w:t> </w:t>
      </w:r>
      <w:r>
        <w:rPr/>
        <w:t>dados</w:t>
      </w:r>
      <w:r>
        <w:rPr>
          <w:spacing w:val="23"/>
        </w:rPr>
        <w:t> </w:t>
      </w:r>
      <w:r>
        <w:rPr/>
        <w:t>Medline/Pubmed,</w:t>
      </w:r>
      <w:r>
        <w:rPr>
          <w:spacing w:val="23"/>
        </w:rPr>
        <w:t> </w:t>
      </w:r>
      <w:r>
        <w:rPr/>
        <w:t>Embase</w:t>
      </w:r>
      <w:r>
        <w:rPr>
          <w:spacing w:val="22"/>
        </w:rPr>
        <w:t> </w:t>
      </w:r>
      <w:r>
        <w:rPr/>
        <w:t>e</w:t>
      </w:r>
    </w:p>
    <w:p>
      <w:pPr>
        <w:pStyle w:val="BodyText"/>
        <w:spacing w:before="1"/>
        <w:ind w:left="0"/>
      </w:pPr>
    </w:p>
    <w:p>
      <w:pPr>
        <w:pStyle w:val="BodyText"/>
        <w:tabs>
          <w:tab w:pos="702" w:val="left" w:leader="none"/>
          <w:tab w:pos="1439" w:val="left" w:leader="none"/>
          <w:tab w:pos="1978" w:val="left" w:leader="none"/>
          <w:tab w:pos="2851" w:val="left" w:leader="none"/>
          <w:tab w:pos="4876" w:val="left" w:leader="none"/>
          <w:tab w:pos="6432" w:val="left" w:leader="none"/>
          <w:tab w:pos="6957" w:val="left" w:leader="none"/>
          <w:tab w:pos="7922" w:val="left" w:leader="none"/>
        </w:tabs>
      </w:pPr>
      <w:r>
        <w:rPr/>
        <w:t>Na</w:t>
        <w:tab/>
        <w:t>base</w:t>
        <w:tab/>
        <w:t>de</w:t>
        <w:tab/>
        <w:t>dados</w:t>
        <w:tab/>
        <w:t>Medline/Pubmed,</w:t>
        <w:tab/>
        <w:t>utilizando-se</w:t>
        <w:tab/>
        <w:t>os</w:t>
        <w:tab/>
        <w:t>termos</w:t>
        <w:tab/>
        <w:t>“Arthritis,</w:t>
      </w:r>
    </w:p>
    <w:p>
      <w:pPr>
        <w:spacing w:after="0"/>
        <w:sectPr>
          <w:type w:val="continuous"/>
          <w:pgSz w:w="11910" w:h="16840"/>
          <w:pgMar w:top="1580" w:bottom="280" w:left="1020" w:right="440"/>
          <w:cols w:num="2" w:equalWidth="0">
            <w:col w:w="1130" w:space="289"/>
            <w:col w:w="9031"/>
          </w:cols>
        </w:sectPr>
      </w:pPr>
    </w:p>
    <w:p>
      <w:pPr>
        <w:pStyle w:val="BodyText"/>
        <w:ind w:right="128"/>
        <w:jc w:val="both"/>
      </w:pPr>
      <w:r>
        <w:rPr/>
        <w:t>Rheumatoid/therapy”[Majr:noexp] AND (“2002/11/24”[PDat]: “2012/11/20”[PDat] AND “humans”[MeSH Terms] AND (Meta-Analysis[ptyp] OR systematic[sb])), foram encontrados 93 artigos. Com os termos “Arthritis, Juvenile Rheumatoid/therapy”[Mesh] AND systematic[sb], a busca resultou em 71</w:t>
      </w:r>
      <w:r>
        <w:rPr>
          <w:spacing w:val="-1"/>
        </w:rPr>
        <w:t> </w:t>
      </w:r>
      <w:r>
        <w:rPr/>
        <w:t>artigos.</w:t>
      </w:r>
    </w:p>
    <w:p>
      <w:pPr>
        <w:pStyle w:val="BodyText"/>
        <w:ind w:right="121" w:firstLine="1418"/>
        <w:jc w:val="both"/>
      </w:pPr>
      <w:r>
        <w:rPr/>
        <w:t>Na base de dados Embase, com os termos ‘rheumatoid arthritis’/exp/mj AND ‘therapy’/exp/mj AND ([cochrane review]/lim OR [meta analysis]/lim OR [systematic review]/lim) AND [humans]/lim AND [embase]/lim AND [24-11-2002]/sd NOT [20-11-2012]/sd, foram encontrados 58 artigos.</w:t>
      </w:r>
    </w:p>
    <w:p>
      <w:pPr>
        <w:pStyle w:val="BodyText"/>
        <w:ind w:right="127" w:firstLine="1418"/>
        <w:jc w:val="both"/>
      </w:pPr>
      <w:r>
        <w:rPr/>
        <w:t>Na base de dados Cochrane, utilizando-se os termos “rheumatoid and arthritis:ti” (com busca limitada ao título), a busca resultou em 67 artigos.</w:t>
      </w:r>
    </w:p>
    <w:p>
      <w:pPr>
        <w:pStyle w:val="BodyText"/>
        <w:ind w:right="126" w:firstLine="1418"/>
        <w:jc w:val="both"/>
      </w:pPr>
      <w:r>
        <w:rPr/>
        <w:t>Dos 289 resultados, foram selecionados revisões sistemáticas/meta-análises e ensaios clínicos randomizados mais recentes, sendo excluídos os trabalhos duplicados, os relatos e séries de casos, os estudos de validação, os estudos-piloto, aqueles sobre outras doenças, os com desfechos laboratoriais, os com animais, os com terapias sem base fisiopatológica ou indisponíveis no Brasil, restando 135</w:t>
      </w:r>
      <w:r>
        <w:rPr>
          <w:spacing w:val="-1"/>
        </w:rPr>
        <w:t> </w:t>
      </w:r>
      <w:r>
        <w:rPr/>
        <w:t>referências.</w:t>
      </w:r>
    </w:p>
    <w:p>
      <w:pPr>
        <w:pStyle w:val="BodyText"/>
        <w:spacing w:before="1"/>
        <w:ind w:right="124" w:firstLine="1418"/>
        <w:jc w:val="both"/>
      </w:pPr>
      <w:r>
        <w:rPr/>
        <w:t>Com o objetivo de incluir referências sobre classificação e tratamento, bem como sobre epidemiologia e custo-efetividade nacionais da doença, também foram realizadas, na mesma data, buscas na base de dados Medline/Pubmed, utilizando-se os termos ((Arthritis, Rheumatoid[MeSH Terms]) AND criteria[Title]) AND (diagnostic[Title] or classification[Title]). Dessa busca, resultaram 223 artigos. Com os termos ((Arthritis, Rheumatoid[MeSH Terms]) AND recommendations[Title]) AND (acr[Title] OR eular[Title]), foram encontrados 16 artigos, e com os termos Brazil[All Fields] AND (“Arthritis, Rheumatoid”[MeSH Terms] OR “Arthritis, Rheumatoid”[All Fields]), 324 artigos</w:t>
      </w:r>
    </w:p>
    <w:p>
      <w:pPr>
        <w:pStyle w:val="BodyText"/>
        <w:ind w:right="122" w:firstLine="1418"/>
        <w:jc w:val="both"/>
      </w:pPr>
      <w:r>
        <w:rPr/>
        <w:t>Dos 563 resultados, foram excluídos os duplicados, os relatos e séries de casos, os estudos de validação, os estudos-piloto, aqueles sobre outras doenças, os com desfechos laboratoriais, os com animais, os com terapias sem base fisiopatológica ou indisponíveis no Brasil, os com mais de 10 anos (exceto estudos epidemiológicos), aqueles em idiomas que não inglês, português e espanhol, restando 34 referências.</w:t>
      </w:r>
    </w:p>
    <w:p>
      <w:pPr>
        <w:pStyle w:val="BodyText"/>
        <w:spacing w:before="1"/>
        <w:ind w:right="132" w:firstLine="1418"/>
        <w:jc w:val="both"/>
      </w:pPr>
      <w:r>
        <w:rPr/>
        <w:t>Também foi utilizada como referência na elaboração deste Protocolo a compilação UpToDate, versão 20.8.</w:t>
      </w:r>
    </w:p>
    <w:p>
      <w:pPr>
        <w:pStyle w:val="BodyText"/>
        <w:ind w:right="124" w:firstLine="1418"/>
        <w:jc w:val="both"/>
      </w:pPr>
      <w:r>
        <w:rPr/>
        <w:t>Os critérios de busca adotados foram definidos com o objetivo de permitir acesso amplo e focado aos trabalhos de maior relevância, tendo em vista a expressiva quantidade de estudos publicados sobre o tema. Posteriormente à Consulta Pública, em 2015, a busca adicional de estudos relevantes para o tema também foi realizada, sendo acrescentadas 13 referências bibliográficas.</w:t>
      </w:r>
    </w:p>
    <w:p>
      <w:pPr>
        <w:pStyle w:val="BodyText"/>
        <w:ind w:right="124" w:firstLine="1418"/>
        <w:jc w:val="both"/>
      </w:pPr>
      <w:r>
        <w:rPr/>
        <w:t>O presente Protocolo considera o Relatório de Recomendação Nº 241 – Janeiro de 2017 da Comissão Nacional de Incorporação de Tecnologias do SUS (CONITEC), que versa sobre o uso do</w:t>
      </w:r>
    </w:p>
    <w:p>
      <w:pPr>
        <w:spacing w:after="0"/>
        <w:jc w:val="both"/>
        <w:sectPr>
          <w:type w:val="continuous"/>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5"/>
        <w:jc w:val="both"/>
      </w:pPr>
      <w:r>
        <w:rPr/>
        <w:t>tofacitinibe no tratamento da artrite reumatoide ativa moderada a grave com resposta inadequada a um ou mais medicamentos modificadores do curso da doença. Com isso, 15 referências foram adicionadas à versão do Protocolo de 2015.</w:t>
      </w:r>
    </w:p>
    <w:p>
      <w:pPr>
        <w:pStyle w:val="BodyText"/>
        <w:ind w:right="124" w:firstLine="1418"/>
        <w:jc w:val="both"/>
      </w:pPr>
      <w:r>
        <w:rPr/>
        <w:t>O presente Protocolo também considera as portarias nº 34, de 20 de setembro de 2016, e nº 38/ SCTIE/MS, de 30 de novembro de 2016, que, com base nas recomendações da CONITEC, tornaram pública a decisão de adequar o Protocolo Clínico e Diretrizes Terapêuticas (PCDT) da artrite reumatoide no sentido de alinhamento de todos os Medicamentos Modificadores do Curso da Doença (MMCD) biológicos em uma única etapa do tratamento (devendo-se optar pelo mais custo-efetivo em cada etapa terapêutica), após a falha da primeira etapa com agentes MMCD sintéticos, bem como fontes avulsas consideradas pelos autores.</w:t>
      </w:r>
    </w:p>
    <w:p>
      <w:pPr>
        <w:pStyle w:val="BodyText"/>
        <w:ind w:left="0"/>
      </w:pPr>
    </w:p>
    <w:p>
      <w:pPr>
        <w:pStyle w:val="ListParagraph"/>
        <w:numPr>
          <w:ilvl w:val="0"/>
          <w:numId w:val="1"/>
        </w:numPr>
        <w:tabs>
          <w:tab w:pos="1750" w:val="left" w:leader="none"/>
        </w:tabs>
        <w:spacing w:line="240" w:lineRule="auto" w:before="0" w:after="0"/>
        <w:ind w:left="112" w:right="0" w:firstLine="1419"/>
        <w:jc w:val="left"/>
        <w:rPr>
          <w:sz w:val="24"/>
        </w:rPr>
      </w:pPr>
      <w:r>
        <w:rPr>
          <w:sz w:val="24"/>
        </w:rPr>
        <w:t>INTRODUÇÃO</w:t>
      </w:r>
    </w:p>
    <w:p>
      <w:pPr>
        <w:pStyle w:val="BodyText"/>
        <w:spacing w:before="1"/>
        <w:ind w:right="123" w:firstLine="1418"/>
        <w:jc w:val="both"/>
      </w:pPr>
      <w:r>
        <w:rPr/>
        <w:t>A Artrite reumatoide (AR) é uma doença autoimune, inflamatória, sistêmica e crônica, caracterizada por sinovite periférica e por diversas manifestações extra-articulares. No Brasil, um estudo de 2004 mostrou prevalência de 0,46%, representando quase um milhão de pessoas com essa doença, o que confirma o achado do estudo multicêntrico, realizado em 1993, que verificou uma prevalência de AR em adultos variando de 0,2%-1%, nas macrorregiões brasileiras, ocorrendo predominantemente em mulheres entre a quarta e sexta décadas de vida (1-4).</w:t>
      </w:r>
    </w:p>
    <w:p>
      <w:pPr>
        <w:pStyle w:val="BodyText"/>
        <w:ind w:right="124" w:firstLine="1418"/>
        <w:jc w:val="both"/>
      </w:pPr>
      <w:r>
        <w:rPr/>
        <w:t>Apesar de a etiopatogenia de AR ainda não ser inteiramente conhecida, muito se avançou no tema nos últimos anos. No início, a observação do aumento da incidência de AR entre familiares, principalmente entre gêmeos monozigóticos, sugeria um componente genético em sua etiopatogênese. Com o avanço dos estudos, foi identificado o antígeno leucocitário humano (human leukocyte antigen - HLA), considerado o principal fator genético no desenvolvimento dessa doença. Diversos alelos de HLA- DRB1 vêm sendo associados a AR em populações variadas. Em estudo brasileiro com pacientes em sua maioria com herança mista, os principais fatores de risco para o desenvolvimento de AR foram a presença dos alelos HLA-DRB1 SE (</w:t>
      </w:r>
      <w:r>
        <w:rPr>
          <w:i/>
        </w:rPr>
        <w:t>shared epitope </w:t>
      </w:r>
      <w:r>
        <w:rPr/>
        <w:t>- epitopo compartilhado) e a detecção de anticorpos contra peptídios citrulinados cíclicos (anti-CCP) (5). No entanto, variações fenotípicas e de incidência apontam para fatores ambientais que, além da predisposição genética, contribuem para o surgimento da doença, tais como tabagismo e infecções periodontais (6).</w:t>
      </w:r>
    </w:p>
    <w:p>
      <w:pPr>
        <w:pStyle w:val="BodyText"/>
        <w:ind w:right="125" w:firstLine="1418"/>
        <w:jc w:val="both"/>
      </w:pPr>
      <w:r>
        <w:rPr/>
        <w:t>A AR é bastante variável quanto à apresentação clínica, à gravidade e ao prognóstico. Sua forma clínica mais comum é a poliartrite simétrica de pequenas e grandes articulações com caráter crônico e destrutivo, podendo levar a relevante limitação funcional, comprometendo a capacidade laboral e a qualidade de vida, resultando em significativo impacto pessoal e social, com elevados custos indiretos, segundo estimativas nacionais (7-10). A associação de AR a neutropenia e esplenomegalia, que ocorre mais nos casos de AR de longa evolução, é chamada de Síndrome de</w:t>
      </w:r>
      <w:r>
        <w:rPr>
          <w:spacing w:val="-1"/>
        </w:rPr>
        <w:t> </w:t>
      </w:r>
      <w:r>
        <w:rPr/>
        <w:t>Felty.</w:t>
      </w:r>
    </w:p>
    <w:p>
      <w:pPr>
        <w:pStyle w:val="BodyText"/>
        <w:ind w:right="124" w:firstLine="1418"/>
        <w:jc w:val="both"/>
      </w:pPr>
      <w:r>
        <w:rPr/>
        <w:t>Dados de um estudo brasileiro de pacientes com AR inicial sugerem que a apresentação clínica mais comum seja a poliartrite aguda (70%) com sinovite persistente nas mãos (91%) e rigidez matinal prolongada (mais de 2 horas) (11). A rigidez matinal pode ser o sintoma inicial e costuma ser um indício de doença ativa. As articulações interfalangianas proximais (IFP) e metacarpofalangianas (MCF) são acometidas em mais de 90% dos casos (12).</w:t>
      </w:r>
    </w:p>
    <w:p>
      <w:pPr>
        <w:pStyle w:val="BodyText"/>
        <w:spacing w:before="1"/>
        <w:ind w:right="124" w:firstLine="1418"/>
        <w:jc w:val="both"/>
      </w:pPr>
      <w:r>
        <w:rPr/>
        <w:t>A artrite reumatoide juvenil (ARJ) é o nome dado pelo Colégio Americano de Reumatologia à doença articular inflamatória que se inicia antes dos 16 anos de idade com duração de pelo menos 6 semanas. Há três tipos de ARJ: (a) de início sistêmico (doença de Still), (b) de início poliarticular e (c) de início pauciarticular. O tipo ARJ de início poliarticular apresenta dois subtipos: com fator reumatoide (FR) negativo e com fator reumatoide positivo. Apenas o subtipo poliarticular com FR positivo assemelha-se clinicamente a AR do adulto</w:t>
      </w:r>
      <w:r>
        <w:rPr>
          <w:spacing w:val="-1"/>
        </w:rPr>
        <w:t> </w:t>
      </w:r>
      <w:r>
        <w:rPr/>
        <w:t>(13).</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5" w:firstLine="1418"/>
        <w:jc w:val="both"/>
      </w:pPr>
      <w:r>
        <w:rPr/>
        <w:t>Mais recentemente, a expressão artrite idiopática juvenil (AIJ), criada pela Liga Internacional de Associações para Reumatologia, tem sido utilizada como nomenclatura global para todas as artrites de causa desconhecida que se iniciam antes dos 16 anos e que persistem por pelo menos 6 semanas. Há sete tipos de AIJ: (a) artrite sistêmica, (b) oligoartrite, (c) poliartrite com FR negativo, (d) poliartrite com FR positivo, (e) artrite psoriásica, (f) artrite relacionada a entesite e (g) outras artrites. Atualmente, a AIJ é a classificação internacional padrão para o diagnóstico das artrites crônicas da infância de causa desconhecida (13).</w:t>
      </w:r>
    </w:p>
    <w:p>
      <w:pPr>
        <w:pStyle w:val="BodyText"/>
        <w:ind w:right="132" w:firstLine="1418"/>
        <w:jc w:val="both"/>
      </w:pPr>
      <w:r>
        <w:rPr/>
        <w:t>O tratamento e o acompanhamento adequados de pacientes com AR devem seguir as práticas embasadas em evidências, descritas neste Protocolo (14,15).</w:t>
      </w:r>
    </w:p>
    <w:p>
      <w:pPr>
        <w:pStyle w:val="BodyText"/>
        <w:ind w:right="127" w:firstLine="1418"/>
        <w:jc w:val="both"/>
      </w:pPr>
      <w:r>
        <w:rPr/>
        <w:t>A identificação da doença em seu estágio inicial e o encaminhamento ágil e adequado para atendimento especializado conferem à Atenção Básica um caráter essencial para um melhor resultado terapêutico e prognóstico dos casos.</w:t>
      </w:r>
    </w:p>
    <w:p>
      <w:pPr>
        <w:pStyle w:val="BodyText"/>
        <w:ind w:left="0"/>
      </w:pPr>
    </w:p>
    <w:p>
      <w:pPr>
        <w:pStyle w:val="ListParagraph"/>
        <w:numPr>
          <w:ilvl w:val="0"/>
          <w:numId w:val="1"/>
        </w:numPr>
        <w:tabs>
          <w:tab w:pos="2142" w:val="left" w:leader="none"/>
        </w:tabs>
        <w:spacing w:line="240" w:lineRule="auto" w:before="1" w:after="0"/>
        <w:ind w:left="112" w:right="122" w:firstLine="1419"/>
        <w:jc w:val="both"/>
        <w:rPr>
          <w:sz w:val="24"/>
        </w:rPr>
      </w:pPr>
      <w:r>
        <w:rPr>
          <w:sz w:val="24"/>
        </w:rPr>
        <w:t>CLASSIFICAÇÃO ESTATÍSTICA INTERNACIONAL DE DOENÇAS E PROBLEMAS</w:t>
      </w:r>
      <w:r>
        <w:rPr>
          <w:spacing w:val="-12"/>
          <w:sz w:val="24"/>
        </w:rPr>
        <w:t> </w:t>
      </w:r>
      <w:r>
        <w:rPr>
          <w:sz w:val="24"/>
        </w:rPr>
        <w:t>RELACIONADOS</w:t>
      </w:r>
      <w:r>
        <w:rPr>
          <w:spacing w:val="-10"/>
          <w:sz w:val="24"/>
        </w:rPr>
        <w:t> </w:t>
      </w:r>
      <w:r>
        <w:rPr>
          <w:sz w:val="24"/>
        </w:rPr>
        <w:t>À</w:t>
      </w:r>
      <w:r>
        <w:rPr>
          <w:spacing w:val="-13"/>
          <w:sz w:val="24"/>
        </w:rPr>
        <w:t> </w:t>
      </w:r>
      <w:r>
        <w:rPr>
          <w:sz w:val="24"/>
        </w:rPr>
        <w:t>SAÚDE</w:t>
      </w:r>
      <w:r>
        <w:rPr>
          <w:spacing w:val="-13"/>
          <w:sz w:val="24"/>
        </w:rPr>
        <w:t> </w:t>
      </w:r>
      <w:r>
        <w:rPr>
          <w:sz w:val="24"/>
        </w:rPr>
        <w:t>(CID-10)</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M05.0 Síndrome de</w:t>
      </w:r>
      <w:r>
        <w:rPr>
          <w:spacing w:val="-1"/>
          <w:sz w:val="24"/>
        </w:rPr>
        <w:t> </w:t>
      </w:r>
      <w:r>
        <w:rPr>
          <w:sz w:val="24"/>
        </w:rPr>
        <w:t>Felty</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M05.1 Doença reumatoide do</w:t>
      </w:r>
      <w:r>
        <w:rPr>
          <w:spacing w:val="-3"/>
          <w:sz w:val="24"/>
        </w:rPr>
        <w:t> </w:t>
      </w:r>
      <w:r>
        <w:rPr>
          <w:sz w:val="24"/>
        </w:rPr>
        <w:t>pulmão</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M05.2 Vasculite</w:t>
      </w:r>
      <w:r>
        <w:rPr>
          <w:spacing w:val="-1"/>
          <w:sz w:val="24"/>
        </w:rPr>
        <w:t> </w:t>
      </w:r>
      <w:r>
        <w:rPr>
          <w:sz w:val="24"/>
        </w:rPr>
        <w:t>reumatoide</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M05.3 Artrite reumatoide com comprometimento de outros órgãos e</w:t>
      </w:r>
      <w:r>
        <w:rPr>
          <w:spacing w:val="-4"/>
          <w:sz w:val="24"/>
        </w:rPr>
        <w:t> </w:t>
      </w:r>
      <w:r>
        <w:rPr>
          <w:sz w:val="24"/>
        </w:rPr>
        <w:t>sistemas</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M05.8 Outras artrites reumatoides</w:t>
      </w:r>
      <w:r>
        <w:rPr>
          <w:spacing w:val="-1"/>
          <w:sz w:val="24"/>
        </w:rPr>
        <w:t> </w:t>
      </w:r>
      <w:r>
        <w:rPr>
          <w:sz w:val="24"/>
        </w:rPr>
        <w:t>soropositivas</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M06.0 Artrite reumatoide</w:t>
      </w:r>
      <w:r>
        <w:rPr>
          <w:spacing w:val="-1"/>
          <w:sz w:val="24"/>
        </w:rPr>
        <w:t> </w:t>
      </w:r>
      <w:r>
        <w:rPr>
          <w:sz w:val="24"/>
        </w:rPr>
        <w:t>soronegativa</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M06.8 Outras artrites reumatoides</w:t>
      </w:r>
      <w:r>
        <w:rPr>
          <w:spacing w:val="-1"/>
          <w:sz w:val="24"/>
        </w:rPr>
        <w:t> </w:t>
      </w:r>
      <w:r>
        <w:rPr>
          <w:sz w:val="24"/>
        </w:rPr>
        <w:t>especificadas</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M08.0 Artrite reumatoide</w:t>
      </w:r>
      <w:r>
        <w:rPr>
          <w:spacing w:val="-1"/>
          <w:sz w:val="24"/>
        </w:rPr>
        <w:t> </w:t>
      </w:r>
      <w:r>
        <w:rPr>
          <w:sz w:val="24"/>
        </w:rPr>
        <w:t>juvenil</w:t>
      </w:r>
    </w:p>
    <w:p>
      <w:pPr>
        <w:pStyle w:val="BodyText"/>
        <w:ind w:left="0"/>
      </w:pPr>
    </w:p>
    <w:p>
      <w:pPr>
        <w:pStyle w:val="ListParagraph"/>
        <w:numPr>
          <w:ilvl w:val="0"/>
          <w:numId w:val="1"/>
        </w:numPr>
        <w:tabs>
          <w:tab w:pos="1748" w:val="left" w:leader="none"/>
        </w:tabs>
        <w:spacing w:line="240" w:lineRule="auto" w:before="0" w:after="0"/>
        <w:ind w:left="1747" w:right="0" w:hanging="216"/>
        <w:jc w:val="left"/>
        <w:rPr>
          <w:sz w:val="24"/>
        </w:rPr>
      </w:pPr>
      <w:r>
        <w:rPr>
          <w:sz w:val="24"/>
        </w:rPr>
        <w:t>DIAGNÓSTICO</w:t>
      </w:r>
    </w:p>
    <w:p>
      <w:pPr>
        <w:pStyle w:val="BodyText"/>
        <w:ind w:right="128" w:firstLine="1418"/>
        <w:jc w:val="both"/>
      </w:pPr>
      <w:r>
        <w:rPr/>
        <w:t>O diagnóstico de AR é estabelecido com base em achados clínicos e exames complementares. Nenhum exame isoladamente, seja laboratorial, de imagem ou histopatológico, estabelece o diagnóstico (2,16).</w:t>
      </w:r>
    </w:p>
    <w:p>
      <w:pPr>
        <w:pStyle w:val="BodyText"/>
        <w:ind w:right="123" w:firstLine="1418"/>
        <w:jc w:val="both"/>
      </w:pPr>
      <w:r>
        <w:rPr/>
        <w:t>Sem tratamento adequado, o curso da doença é progressivo, determinando deformidades decorrentes da lassidão ou ruptura dos tendões e das erosões articulares. Entre os achados tardios, podem- se identificar desvio ulnar dos dedos ou “dedos em ventania”, deformidades em “pescoço de cisne” (hiperextensão das articulações IFP e flexão das interfalangianas distais - IFD), deformidades em “botoeira” (flexão das IFP e hiperextensão das IFD), “mãos em dorso de camelo” (aumento de volume do punho e das articulações MCF com atrofia interóssea dorsal), joelhos valgos (desvio medial), tornozelos valgos (eversão da articulação subtalar), hálux valgo (desvio lateral do hálux), “dedos em martelo” (hiperextensão das articulações metatarsofalangianas - MTF e extensão das IFD), “dedos em crista de galo” (deslocamento dorsal das falanges proximais com exposição da cabeça dos metatarsianos) e pés planos (arco longitudinal achatado) (12).</w:t>
      </w:r>
    </w:p>
    <w:p>
      <w:pPr>
        <w:pStyle w:val="BodyText"/>
        <w:spacing w:before="1"/>
        <w:ind w:right="124" w:firstLine="1418"/>
        <w:jc w:val="both"/>
      </w:pPr>
      <w:r>
        <w:rPr/>
        <w:t>O acometimento da coluna cervical (C1-C2) com subluxação atlantoaxial geralmente manifesta-se por dor irradiada para a região occipital, perda da lordose fisiológica cervical e resistência à movimentação passiva. Quando sintomas neurológicos, como parestesias periféricas ou perda do controle esfincteriano, surgem, a mortalidade é de 50% em 1 ano. A suspeita clínica pode ser comprovada por radiografia de coluna cervical funcional, em que a distância entre o processo odontoide e o arco anterior de C1 acima de 3 mm (ou entre o processo odontoide e o arco posterior de C1 abaixo de 14 mm) indica aumento de risco de compressão medular (17,18).</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7" w:firstLine="1418"/>
        <w:jc w:val="both"/>
      </w:pPr>
      <w:r>
        <w:rPr/>
        <w:t>As manifestações extra-articulares (nódulos reumatoides, vasculite, derrame pleural, episclerite e escleromalacia perfurante, entre outras) correlacionam-se com pior prognóstico. Além da perda de capacidade funcional, pode haver aumento também da mortalidade, o que demonstra a gravidade da doença (17).</w:t>
      </w:r>
    </w:p>
    <w:p>
      <w:pPr>
        <w:pStyle w:val="BodyText"/>
        <w:ind w:right="123" w:firstLine="1418"/>
        <w:jc w:val="both"/>
      </w:pPr>
      <w:r>
        <w:rPr/>
        <w:t>Na avaliação complementar dos pacientes com AR, a titulação de autoanticorpos, tais como FR (sensibilidade de 75% e especificidade de 85%) e anti-CCP (sensibilidade de 75% e especificidade de 95%) tem importância diagnóstica e prognóstica. Em estudo observacional brasileiro, não houve variação na prevalência de FR e anti-CCP ao longo de 3 anos de acompanhamento</w:t>
      </w:r>
      <w:r>
        <w:rPr>
          <w:spacing w:val="27"/>
        </w:rPr>
        <w:t> </w:t>
      </w:r>
      <w:r>
        <w:rPr/>
        <w:t>de pacientes com AR (19). Recomenda-se a solicitação de anti-CCP apenas para casos em que o FR seja negativo ou quando haja dúvida diagnóstica.</w:t>
      </w:r>
    </w:p>
    <w:p>
      <w:pPr>
        <w:pStyle w:val="BodyText"/>
        <w:ind w:right="124" w:firstLine="1418"/>
        <w:jc w:val="both"/>
      </w:pPr>
      <w:r>
        <w:rPr/>
        <w:t>Alguns aspectos clínicos e laboratoriais estão relacionados à progressão mais rápida da destruição articular e devem ser identificados desde o momento do diagnóstico. Os fatores de mau prognóstico são sexo feminino, tabagismo, baixo nível socioeconômico, início da doença em idade mais precoce, FR ou anti-CCP em títulos elevados, provas inflamatórias (velocidade de hemossedimentação ou proteína C reativa) persistentemente elevadas, grande número de articulações edemaciadas, manifestações extra-articulares, elevada atividade inflamatória da doença, presença precoce de erosões na evolução da doença e presença do epítopo compartilhado, este um exame não utilizado na rotina assistencial (16).</w:t>
      </w:r>
    </w:p>
    <w:p>
      <w:pPr>
        <w:pStyle w:val="BodyText"/>
        <w:spacing w:before="1"/>
        <w:ind w:right="122" w:firstLine="1418"/>
        <w:jc w:val="both"/>
      </w:pPr>
      <w:r>
        <w:rPr/>
        <w:t>Critérios de classificação são adotados por pesquisadores para a identificação científica de indivíduos com determinada doença, tal como ocorre em estudos clínicos. Por outro lado, critérios de diagnóstico têm como objetivo auxiliar o médico assistente a identificar esses indivíduos na prática clínica. Com frequência, os critérios de classificação são utilizados também para o diagnóstico.</w:t>
      </w:r>
    </w:p>
    <w:p>
      <w:pPr>
        <w:pStyle w:val="BodyText"/>
        <w:ind w:right="125" w:firstLine="1418"/>
        <w:jc w:val="both"/>
      </w:pPr>
      <w:r>
        <w:rPr/>
        <w:t>Com o objetivo de permitir a classificação de indivíduos com AR, foram estabelecidos critérios pelo American College of Rheumatology – ACR em 1987 e, mais recentemente, pelo American College of Rheumatology/European League Against Rheumatism - ACR/EULAR em 2010 (20-22). As acurácias diagnósticas desses critérios são comparáveis, sendo os últimos mais sensíveis para casos iniciais (23-26). Apesar disso, os critérios de 2010 não identificam alguns pacientes classificados pelos critérios de 1987, especialmente aqueles com artrite simétrica soronegativa e limitada a poucas articulações (24,27-32).</w:t>
      </w:r>
    </w:p>
    <w:p>
      <w:pPr>
        <w:pStyle w:val="BodyText"/>
        <w:ind w:left="1531"/>
      </w:pPr>
      <w:r>
        <w:rPr/>
        <w:t>Este Protocolo adota as seguintes recomendações gerais no que se refere ao diagnóstico de</w:t>
      </w:r>
    </w:p>
    <w:p>
      <w:pPr>
        <w:pStyle w:val="BodyText"/>
      </w:pPr>
      <w:r>
        <w:rPr/>
        <w:t>AR (2):</w:t>
      </w:r>
    </w:p>
    <w:p>
      <w:pPr>
        <w:pStyle w:val="ListParagraph"/>
        <w:numPr>
          <w:ilvl w:val="0"/>
          <w:numId w:val="2"/>
        </w:numPr>
        <w:tabs>
          <w:tab w:pos="1765" w:val="left" w:leader="none"/>
        </w:tabs>
        <w:spacing w:line="240" w:lineRule="auto" w:before="0" w:after="0"/>
        <w:ind w:left="1764" w:right="0" w:hanging="233"/>
        <w:jc w:val="left"/>
        <w:rPr>
          <w:sz w:val="24"/>
        </w:rPr>
      </w:pPr>
      <w:r>
        <w:rPr>
          <w:sz w:val="24"/>
        </w:rPr>
        <w:t>o</w:t>
      </w:r>
      <w:r>
        <w:rPr>
          <w:spacing w:val="33"/>
          <w:sz w:val="24"/>
        </w:rPr>
        <w:t> </w:t>
      </w:r>
      <w:r>
        <w:rPr>
          <w:sz w:val="24"/>
        </w:rPr>
        <w:t>diagnóstico</w:t>
      </w:r>
      <w:r>
        <w:rPr>
          <w:spacing w:val="32"/>
          <w:sz w:val="24"/>
        </w:rPr>
        <w:t> </w:t>
      </w:r>
      <w:r>
        <w:rPr>
          <w:sz w:val="24"/>
        </w:rPr>
        <w:t>de</w:t>
      </w:r>
      <w:r>
        <w:rPr>
          <w:spacing w:val="32"/>
          <w:sz w:val="24"/>
        </w:rPr>
        <w:t> </w:t>
      </w:r>
      <w:r>
        <w:rPr>
          <w:sz w:val="24"/>
        </w:rPr>
        <w:t>AR</w:t>
      </w:r>
      <w:r>
        <w:rPr>
          <w:spacing w:val="33"/>
          <w:sz w:val="24"/>
        </w:rPr>
        <w:t> </w:t>
      </w:r>
      <w:r>
        <w:rPr>
          <w:sz w:val="24"/>
        </w:rPr>
        <w:t>deve</w:t>
      </w:r>
      <w:r>
        <w:rPr>
          <w:spacing w:val="32"/>
          <w:sz w:val="24"/>
        </w:rPr>
        <w:t> </w:t>
      </w:r>
      <w:r>
        <w:rPr>
          <w:sz w:val="24"/>
        </w:rPr>
        <w:t>ser</w:t>
      </w:r>
      <w:r>
        <w:rPr>
          <w:spacing w:val="32"/>
          <w:sz w:val="24"/>
        </w:rPr>
        <w:t> </w:t>
      </w:r>
      <w:r>
        <w:rPr>
          <w:sz w:val="24"/>
        </w:rPr>
        <w:t>feito</w:t>
      </w:r>
      <w:r>
        <w:rPr>
          <w:spacing w:val="33"/>
          <w:sz w:val="24"/>
        </w:rPr>
        <w:t> </w:t>
      </w:r>
      <w:r>
        <w:rPr>
          <w:sz w:val="24"/>
        </w:rPr>
        <w:t>considerando-se</w:t>
      </w:r>
      <w:r>
        <w:rPr>
          <w:spacing w:val="32"/>
          <w:sz w:val="24"/>
        </w:rPr>
        <w:t> </w:t>
      </w:r>
      <w:r>
        <w:rPr>
          <w:sz w:val="24"/>
        </w:rPr>
        <w:t>achados</w:t>
      </w:r>
      <w:r>
        <w:rPr>
          <w:spacing w:val="33"/>
          <w:sz w:val="24"/>
        </w:rPr>
        <w:t> </w:t>
      </w:r>
      <w:r>
        <w:rPr>
          <w:sz w:val="24"/>
        </w:rPr>
        <w:t>clínicos</w:t>
      </w:r>
      <w:r>
        <w:rPr>
          <w:spacing w:val="33"/>
          <w:sz w:val="24"/>
        </w:rPr>
        <w:t> </w:t>
      </w:r>
      <w:r>
        <w:rPr>
          <w:sz w:val="24"/>
        </w:rPr>
        <w:t>e</w:t>
      </w:r>
      <w:r>
        <w:rPr>
          <w:spacing w:val="32"/>
          <w:sz w:val="24"/>
        </w:rPr>
        <w:t> </w:t>
      </w:r>
      <w:r>
        <w:rPr>
          <w:sz w:val="24"/>
        </w:rPr>
        <w:t>exames</w:t>
      </w:r>
    </w:p>
    <w:p>
      <w:pPr>
        <w:pStyle w:val="BodyText"/>
      </w:pPr>
      <w:r>
        <w:rPr/>
        <w:t>complementares;</w:t>
      </w:r>
    </w:p>
    <w:p>
      <w:pPr>
        <w:pStyle w:val="ListParagraph"/>
        <w:numPr>
          <w:ilvl w:val="0"/>
          <w:numId w:val="2"/>
        </w:numPr>
        <w:tabs>
          <w:tab w:pos="1676" w:val="left" w:leader="none"/>
        </w:tabs>
        <w:spacing w:line="240" w:lineRule="auto" w:before="0" w:after="0"/>
        <w:ind w:left="112" w:right="126" w:firstLine="1419"/>
        <w:jc w:val="both"/>
        <w:rPr>
          <w:sz w:val="24"/>
        </w:rPr>
      </w:pPr>
      <w:r>
        <w:rPr>
          <w:sz w:val="24"/>
        </w:rPr>
        <w:t>o diagnóstico diferencial de AR deve ser elaborado com atenção, considerando-se artrites secundárias a infecções, neoplasias e artrite psoríaca, dentre</w:t>
      </w:r>
      <w:r>
        <w:rPr>
          <w:spacing w:val="-5"/>
          <w:sz w:val="24"/>
        </w:rPr>
        <w:t> </w:t>
      </w:r>
      <w:r>
        <w:rPr>
          <w:sz w:val="24"/>
        </w:rPr>
        <w:t>outras;</w:t>
      </w:r>
    </w:p>
    <w:p>
      <w:pPr>
        <w:pStyle w:val="ListParagraph"/>
        <w:numPr>
          <w:ilvl w:val="0"/>
          <w:numId w:val="2"/>
        </w:numPr>
        <w:tabs>
          <w:tab w:pos="1765" w:val="left" w:leader="none"/>
        </w:tabs>
        <w:spacing w:line="240" w:lineRule="auto" w:before="0" w:after="0"/>
        <w:ind w:left="112" w:right="132" w:firstLine="1419"/>
        <w:jc w:val="both"/>
        <w:rPr>
          <w:sz w:val="24"/>
        </w:rPr>
      </w:pPr>
      <w:r>
        <w:rPr>
          <w:sz w:val="24"/>
        </w:rPr>
        <w:t>a titulação de FR é um exame diagnóstico relevante, mas com sensibilidade e especificidade limitadas na AR</w:t>
      </w:r>
      <w:r>
        <w:rPr>
          <w:spacing w:val="-1"/>
          <w:sz w:val="24"/>
        </w:rPr>
        <w:t> </w:t>
      </w:r>
      <w:r>
        <w:rPr>
          <w:sz w:val="24"/>
        </w:rPr>
        <w:t>inicial;</w:t>
      </w:r>
    </w:p>
    <w:p>
      <w:pPr>
        <w:pStyle w:val="ListParagraph"/>
        <w:numPr>
          <w:ilvl w:val="0"/>
          <w:numId w:val="2"/>
        </w:numPr>
        <w:tabs>
          <w:tab w:pos="1695" w:val="left" w:leader="none"/>
        </w:tabs>
        <w:spacing w:line="240" w:lineRule="auto" w:before="0" w:after="0"/>
        <w:ind w:left="112" w:right="124" w:firstLine="1419"/>
        <w:jc w:val="both"/>
        <w:rPr>
          <w:sz w:val="24"/>
        </w:rPr>
      </w:pPr>
      <w:r>
        <w:rPr>
          <w:sz w:val="24"/>
        </w:rPr>
        <w:t>a titulação de anticorpos contra peptídios citrulinados cíclicos (anti-CCP) é exame com sensibilidade semelhante à do FR, mas com especificidade superior, especialmente nos casos iniciais de AR, devendo ser utilizado apenas se o FR for negativo ou em caso de dúvida</w:t>
      </w:r>
      <w:r>
        <w:rPr>
          <w:spacing w:val="-7"/>
          <w:sz w:val="24"/>
        </w:rPr>
        <w:t> </w:t>
      </w:r>
      <w:r>
        <w:rPr>
          <w:sz w:val="24"/>
        </w:rPr>
        <w:t>diagnóstica;</w:t>
      </w:r>
    </w:p>
    <w:p>
      <w:pPr>
        <w:pStyle w:val="ListParagraph"/>
        <w:numPr>
          <w:ilvl w:val="0"/>
          <w:numId w:val="2"/>
        </w:numPr>
        <w:tabs>
          <w:tab w:pos="1786" w:val="left" w:leader="none"/>
        </w:tabs>
        <w:spacing w:line="240" w:lineRule="auto" w:before="1" w:after="0"/>
        <w:ind w:left="112" w:right="131" w:firstLine="1419"/>
        <w:jc w:val="both"/>
        <w:rPr>
          <w:sz w:val="24"/>
        </w:rPr>
      </w:pPr>
      <w:r>
        <w:rPr>
          <w:sz w:val="24"/>
        </w:rPr>
        <w:t>a avaliação por meio de marcadores de atividade inflamatória (velocidade de hemossedimentação e proteína C reativa) deve ser solicitada na suspeita clínica de</w:t>
      </w:r>
      <w:r>
        <w:rPr>
          <w:spacing w:val="-8"/>
          <w:sz w:val="24"/>
        </w:rPr>
        <w:t> </w:t>
      </w:r>
      <w:r>
        <w:rPr>
          <w:sz w:val="24"/>
        </w:rPr>
        <w:t>AR;</w:t>
      </w:r>
    </w:p>
    <w:p>
      <w:pPr>
        <w:pStyle w:val="ListParagraph"/>
        <w:numPr>
          <w:ilvl w:val="0"/>
          <w:numId w:val="2"/>
        </w:numPr>
        <w:tabs>
          <w:tab w:pos="1700" w:val="left" w:leader="none"/>
        </w:tabs>
        <w:spacing w:line="240" w:lineRule="auto" w:before="0" w:after="0"/>
        <w:ind w:left="112" w:right="134" w:firstLine="1419"/>
        <w:jc w:val="both"/>
        <w:rPr>
          <w:sz w:val="24"/>
        </w:rPr>
      </w:pPr>
      <w:r>
        <w:rPr>
          <w:sz w:val="24"/>
        </w:rPr>
        <w:t>radiografia simples deve ser realizada para avaliação diagnóstica e prognóstica de AR; ultrassonografia e ressonância magnética podem ser solicitadas na AR inicial sem erosões à</w:t>
      </w:r>
      <w:r>
        <w:rPr>
          <w:spacing w:val="-10"/>
          <w:sz w:val="24"/>
        </w:rPr>
        <w:t> </w:t>
      </w:r>
      <w:r>
        <w:rPr>
          <w:sz w:val="24"/>
        </w:rPr>
        <w:t>radiografia;</w:t>
      </w:r>
    </w:p>
    <w:p>
      <w:pPr>
        <w:pStyle w:val="ListParagraph"/>
        <w:numPr>
          <w:ilvl w:val="0"/>
          <w:numId w:val="2"/>
        </w:numPr>
        <w:tabs>
          <w:tab w:pos="1681" w:val="left" w:leader="none"/>
        </w:tabs>
        <w:spacing w:line="240" w:lineRule="auto" w:before="0" w:after="0"/>
        <w:ind w:left="112" w:right="127" w:firstLine="1419"/>
        <w:jc w:val="both"/>
        <w:rPr>
          <w:sz w:val="24"/>
        </w:rPr>
      </w:pPr>
      <w:r>
        <w:rPr>
          <w:sz w:val="24"/>
        </w:rPr>
        <w:t>algum índice combinado de atividade de doença (ICAD) e algum instrumento de medida da capacidade funcional, tal como o </w:t>
      </w:r>
      <w:r>
        <w:rPr>
          <w:i/>
          <w:sz w:val="24"/>
        </w:rPr>
        <w:t>Health Assessment Questionnaire </w:t>
      </w:r>
      <w:r>
        <w:rPr>
          <w:sz w:val="24"/>
        </w:rPr>
        <w:t>(HAQ), devem ser utilizados regularmente no momento do diagnóstico e no monitoramento de AR;</w:t>
      </w:r>
      <w:r>
        <w:rPr>
          <w:spacing w:val="-4"/>
          <w:sz w:val="24"/>
        </w:rPr>
        <w:t> </w:t>
      </w:r>
      <w:r>
        <w:rPr>
          <w:sz w:val="24"/>
        </w:rPr>
        <w:t>e</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2"/>
        </w:numPr>
        <w:tabs>
          <w:tab w:pos="1671" w:val="left" w:leader="none"/>
        </w:tabs>
        <w:spacing w:line="240" w:lineRule="auto" w:before="90" w:after="0"/>
        <w:ind w:left="112" w:right="0" w:firstLine="1419"/>
        <w:jc w:val="left"/>
        <w:rPr>
          <w:sz w:val="24"/>
        </w:rPr>
      </w:pPr>
      <w:r>
        <w:rPr>
          <w:sz w:val="24"/>
        </w:rPr>
        <w:t>na avaliação inicial de AR, fatores de mau prognóstico devem ser</w:t>
      </w:r>
      <w:r>
        <w:rPr>
          <w:spacing w:val="-5"/>
          <w:sz w:val="24"/>
        </w:rPr>
        <w:t> </w:t>
      </w:r>
      <w:r>
        <w:rPr>
          <w:sz w:val="24"/>
        </w:rPr>
        <w:t>pesquisados.</w:t>
      </w:r>
    </w:p>
    <w:p>
      <w:pPr>
        <w:pStyle w:val="BodyText"/>
        <w:ind w:right="125" w:firstLine="1418"/>
        <w:jc w:val="both"/>
      </w:pPr>
      <w:r>
        <w:rPr/>
        <w:t>Dessa forma, o diagnóstico de pacientes com AR deve ser feito considerando-se o tempo de evolução da artrite, a presença de autoanticorpos, a elevação de provas inflamatórias e as alterações compatíveis em exames de imagem, tal como descrito nos critérios de classificação ACR 1987 e ACR/EULAR 2010 (item 5. Critérios de inclusão).</w:t>
      </w:r>
    </w:p>
    <w:p>
      <w:pPr>
        <w:pStyle w:val="BodyText"/>
        <w:ind w:left="0"/>
      </w:pPr>
    </w:p>
    <w:p>
      <w:pPr>
        <w:pStyle w:val="ListParagraph"/>
        <w:numPr>
          <w:ilvl w:val="0"/>
          <w:numId w:val="1"/>
        </w:numPr>
        <w:tabs>
          <w:tab w:pos="1748" w:val="left" w:leader="none"/>
        </w:tabs>
        <w:spacing w:line="240" w:lineRule="auto" w:before="0" w:after="0"/>
        <w:ind w:left="1747" w:right="0" w:hanging="216"/>
        <w:jc w:val="left"/>
        <w:rPr>
          <w:sz w:val="24"/>
        </w:rPr>
      </w:pPr>
      <w:r>
        <w:rPr>
          <w:sz w:val="24"/>
        </w:rPr>
        <w:t>CRITÉRIOS DE</w:t>
      </w:r>
      <w:r>
        <w:rPr>
          <w:spacing w:val="-20"/>
          <w:sz w:val="24"/>
        </w:rPr>
        <w:t> </w:t>
      </w:r>
      <w:r>
        <w:rPr>
          <w:sz w:val="24"/>
        </w:rPr>
        <w:t>INCLUSÃO</w:t>
      </w:r>
    </w:p>
    <w:p>
      <w:pPr>
        <w:pStyle w:val="BodyText"/>
        <w:ind w:left="0"/>
      </w:pPr>
    </w:p>
    <w:p>
      <w:pPr>
        <w:pStyle w:val="BodyText"/>
        <w:ind w:right="126" w:firstLine="1418"/>
      </w:pPr>
      <w:r>
        <w:rPr/>
        <w:t>Serão incluídos neste Protocolo os pacientes que preencherem os critérios ACR de 1987 ou os critérios ACR/EULAR de 2010 para classificação de AR (20-22).</w:t>
      </w:r>
    </w:p>
    <w:p>
      <w:pPr>
        <w:pStyle w:val="BodyText"/>
        <w:ind w:right="123" w:firstLine="1418"/>
        <w:jc w:val="both"/>
      </w:pPr>
      <w:r>
        <w:rPr/>
        <w:t>Segundo os critérios ACR, são necessários quatro dos sete critérios abaixo para classificar um paciente como tendo artrite reumatoide, sendo que os critérios de 1 a 4 devem estar presentes em pacientes com história de pelo menos 6 semanas de evolução:</w:t>
      </w:r>
    </w:p>
    <w:p>
      <w:pPr>
        <w:pStyle w:val="ListParagraph"/>
        <w:numPr>
          <w:ilvl w:val="0"/>
          <w:numId w:val="3"/>
        </w:numPr>
        <w:tabs>
          <w:tab w:pos="1772" w:val="left" w:leader="none"/>
        </w:tabs>
        <w:spacing w:line="240" w:lineRule="auto" w:before="1" w:after="0"/>
        <w:ind w:left="112" w:right="0" w:firstLine="1419"/>
        <w:jc w:val="left"/>
        <w:rPr>
          <w:sz w:val="24"/>
        </w:rPr>
      </w:pPr>
      <w:r>
        <w:rPr>
          <w:sz w:val="24"/>
        </w:rPr>
        <w:t>rigidez matinal (nas articulações, com pelo menos 1 hora de</w:t>
      </w:r>
      <w:r>
        <w:rPr>
          <w:spacing w:val="-3"/>
          <w:sz w:val="24"/>
        </w:rPr>
        <w:t> </w:t>
      </w:r>
      <w:r>
        <w:rPr>
          <w:sz w:val="24"/>
        </w:rPr>
        <w:t>duração);</w:t>
      </w:r>
    </w:p>
    <w:p>
      <w:pPr>
        <w:pStyle w:val="ListParagraph"/>
        <w:numPr>
          <w:ilvl w:val="0"/>
          <w:numId w:val="3"/>
        </w:numPr>
        <w:tabs>
          <w:tab w:pos="1789" w:val="left" w:leader="none"/>
        </w:tabs>
        <w:spacing w:line="240" w:lineRule="auto" w:before="0" w:after="0"/>
        <w:ind w:left="112" w:right="132" w:firstLine="1419"/>
        <w:jc w:val="left"/>
        <w:rPr>
          <w:sz w:val="24"/>
        </w:rPr>
      </w:pPr>
      <w:r>
        <w:rPr>
          <w:sz w:val="24"/>
        </w:rPr>
        <w:t>artrite de 3 ou mais das seguintes áreas: articulações </w:t>
      </w:r>
      <w:r>
        <w:rPr>
          <w:spacing w:val="-2"/>
          <w:sz w:val="24"/>
        </w:rPr>
        <w:t>IFT </w:t>
      </w:r>
      <w:r>
        <w:rPr>
          <w:sz w:val="24"/>
        </w:rPr>
        <w:t>proximais, articulações MCF, punhos, cotovelos, joelhos, tornozelos e articulações MTF;</w:t>
      </w:r>
    </w:p>
    <w:p>
      <w:pPr>
        <w:pStyle w:val="ListParagraph"/>
        <w:numPr>
          <w:ilvl w:val="0"/>
          <w:numId w:val="3"/>
        </w:numPr>
        <w:tabs>
          <w:tab w:pos="1772" w:val="left" w:leader="none"/>
        </w:tabs>
        <w:spacing w:line="240" w:lineRule="auto" w:before="0" w:after="0"/>
        <w:ind w:left="112" w:right="0" w:firstLine="1419"/>
        <w:jc w:val="left"/>
        <w:rPr>
          <w:sz w:val="24"/>
        </w:rPr>
      </w:pPr>
      <w:r>
        <w:rPr>
          <w:sz w:val="24"/>
        </w:rPr>
        <w:t>artrite de mãos (punhos, articulações MCF ou IFT</w:t>
      </w:r>
      <w:r>
        <w:rPr>
          <w:spacing w:val="-3"/>
          <w:sz w:val="24"/>
        </w:rPr>
        <w:t> </w:t>
      </w:r>
      <w:r>
        <w:rPr>
          <w:sz w:val="24"/>
        </w:rPr>
        <w:t>proximais);</w:t>
      </w:r>
    </w:p>
    <w:p>
      <w:pPr>
        <w:pStyle w:val="ListParagraph"/>
        <w:numPr>
          <w:ilvl w:val="0"/>
          <w:numId w:val="3"/>
        </w:numPr>
        <w:tabs>
          <w:tab w:pos="1772" w:val="left" w:leader="none"/>
        </w:tabs>
        <w:spacing w:line="240" w:lineRule="auto" w:before="0" w:after="0"/>
        <w:ind w:left="112" w:right="0" w:firstLine="1419"/>
        <w:jc w:val="left"/>
        <w:rPr>
          <w:sz w:val="24"/>
        </w:rPr>
      </w:pPr>
      <w:r>
        <w:rPr>
          <w:sz w:val="24"/>
        </w:rPr>
        <w:t>artrite simétrica (mesma área em ambos os lados do</w:t>
      </w:r>
      <w:r>
        <w:rPr>
          <w:spacing w:val="-1"/>
          <w:sz w:val="24"/>
        </w:rPr>
        <w:t> </w:t>
      </w:r>
      <w:r>
        <w:rPr>
          <w:sz w:val="24"/>
        </w:rPr>
        <w:t>corpo);</w:t>
      </w:r>
    </w:p>
    <w:p>
      <w:pPr>
        <w:pStyle w:val="ListParagraph"/>
        <w:numPr>
          <w:ilvl w:val="0"/>
          <w:numId w:val="3"/>
        </w:numPr>
        <w:tabs>
          <w:tab w:pos="1808" w:val="left" w:leader="none"/>
        </w:tabs>
        <w:spacing w:line="240" w:lineRule="auto" w:before="0" w:after="0"/>
        <w:ind w:left="112" w:right="131" w:firstLine="1419"/>
        <w:jc w:val="left"/>
        <w:rPr>
          <w:sz w:val="24"/>
        </w:rPr>
      </w:pPr>
      <w:r>
        <w:rPr>
          <w:sz w:val="24"/>
        </w:rPr>
        <w:t>nódulo reumatoide (presença de 1 ou mais nódulos subcutâneos sobre proeminências ósseas ou superfícies extensoras ou regiões</w:t>
      </w:r>
      <w:r>
        <w:rPr>
          <w:spacing w:val="-1"/>
          <w:sz w:val="24"/>
        </w:rPr>
        <w:t> </w:t>
      </w:r>
      <w:r>
        <w:rPr>
          <w:sz w:val="24"/>
        </w:rPr>
        <w:t>periarticulares);</w:t>
      </w:r>
    </w:p>
    <w:p>
      <w:pPr>
        <w:pStyle w:val="ListParagraph"/>
        <w:numPr>
          <w:ilvl w:val="0"/>
          <w:numId w:val="3"/>
        </w:numPr>
        <w:tabs>
          <w:tab w:pos="1772" w:val="left" w:leader="none"/>
        </w:tabs>
        <w:spacing w:line="240" w:lineRule="auto" w:before="0" w:after="0"/>
        <w:ind w:left="112" w:right="0" w:firstLine="1419"/>
        <w:jc w:val="left"/>
        <w:rPr>
          <w:sz w:val="24"/>
        </w:rPr>
      </w:pPr>
      <w:r>
        <w:rPr>
          <w:sz w:val="24"/>
        </w:rPr>
        <w:t>FR (presente em qualquer</w:t>
      </w:r>
      <w:r>
        <w:rPr>
          <w:spacing w:val="-1"/>
          <w:sz w:val="24"/>
        </w:rPr>
        <w:t> </w:t>
      </w:r>
      <w:r>
        <w:rPr>
          <w:sz w:val="24"/>
        </w:rPr>
        <w:t>título);</w:t>
      </w:r>
    </w:p>
    <w:p>
      <w:pPr>
        <w:pStyle w:val="ListParagraph"/>
        <w:numPr>
          <w:ilvl w:val="0"/>
          <w:numId w:val="3"/>
        </w:numPr>
        <w:tabs>
          <w:tab w:pos="1873" w:val="left" w:leader="none"/>
        </w:tabs>
        <w:spacing w:line="240" w:lineRule="auto" w:before="0" w:after="0"/>
        <w:ind w:left="112" w:right="127" w:firstLine="1419"/>
        <w:jc w:val="left"/>
        <w:rPr>
          <w:sz w:val="24"/>
        </w:rPr>
      </w:pPr>
      <w:r>
        <w:rPr>
          <w:sz w:val="24"/>
        </w:rPr>
        <w:t>alterações radiográficas (erosões ou descalcificação periarticular em radiografias posteroanteriores de mãos e</w:t>
      </w:r>
      <w:r>
        <w:rPr>
          <w:spacing w:val="-3"/>
          <w:sz w:val="24"/>
        </w:rPr>
        <w:t> </w:t>
      </w:r>
      <w:r>
        <w:rPr>
          <w:sz w:val="24"/>
        </w:rPr>
        <w:t>punhos).</w:t>
      </w:r>
    </w:p>
    <w:p>
      <w:pPr>
        <w:pStyle w:val="BodyText"/>
        <w:ind w:right="126" w:firstLine="1418"/>
      </w:pPr>
      <w:r>
        <w:rPr/>
        <w:t>Os critérios ACR/EULAR (pontuação de pelo menos 6 em 10) devem estar presentes em pacientes com sinovite clínica em pelo menos uma articulação, que não seja justificada por outra causa):</w:t>
      </w:r>
    </w:p>
    <w:p>
      <w:pPr>
        <w:pStyle w:val="ListParagraph"/>
        <w:numPr>
          <w:ilvl w:val="0"/>
          <w:numId w:val="4"/>
        </w:numPr>
        <w:tabs>
          <w:tab w:pos="1801" w:val="left" w:leader="none"/>
        </w:tabs>
        <w:spacing w:line="240" w:lineRule="auto" w:before="0" w:after="0"/>
        <w:ind w:left="112" w:right="131" w:firstLine="1419"/>
        <w:jc w:val="left"/>
        <w:rPr>
          <w:sz w:val="24"/>
        </w:rPr>
      </w:pPr>
      <w:r>
        <w:rPr>
          <w:sz w:val="24"/>
        </w:rPr>
        <w:t>envolvimento articular, excluídas as articulações IFT distais de mãos e pés, primeiras MTF e primeiras carpometacárpicas</w:t>
      </w:r>
      <w:r>
        <w:rPr>
          <w:spacing w:val="-4"/>
          <w:sz w:val="24"/>
        </w:rPr>
        <w:t> </w:t>
      </w:r>
      <w:r>
        <w:rPr>
          <w:sz w:val="24"/>
        </w:rPr>
        <w:t>(0-5)</w:t>
      </w:r>
    </w:p>
    <w:p>
      <w:pPr>
        <w:pStyle w:val="ListParagraph"/>
        <w:numPr>
          <w:ilvl w:val="0"/>
          <w:numId w:val="2"/>
        </w:numPr>
        <w:tabs>
          <w:tab w:pos="1671" w:val="left" w:leader="none"/>
        </w:tabs>
        <w:spacing w:line="240" w:lineRule="auto" w:before="0" w:after="0"/>
        <w:ind w:left="112" w:right="0" w:firstLine="1419"/>
        <w:jc w:val="left"/>
        <w:rPr>
          <w:sz w:val="24"/>
        </w:rPr>
      </w:pPr>
      <w:r>
        <w:rPr>
          <w:sz w:val="24"/>
        </w:rPr>
        <w:t>1 articulação grande (ombros, cotovelos, quadris, joelhos e tornozelos):</w:t>
      </w:r>
      <w:r>
        <w:rPr>
          <w:spacing w:val="-1"/>
          <w:sz w:val="24"/>
        </w:rPr>
        <w:t> </w:t>
      </w:r>
      <w:r>
        <w:rPr>
          <w:sz w:val="24"/>
        </w:rPr>
        <w:t>0</w:t>
      </w:r>
    </w:p>
    <w:p>
      <w:pPr>
        <w:pStyle w:val="ListParagraph"/>
        <w:numPr>
          <w:ilvl w:val="0"/>
          <w:numId w:val="2"/>
        </w:numPr>
        <w:tabs>
          <w:tab w:pos="1671" w:val="left" w:leader="none"/>
        </w:tabs>
        <w:spacing w:line="268" w:lineRule="exact" w:before="0" w:after="0"/>
        <w:ind w:left="112" w:right="0" w:firstLine="1419"/>
        <w:jc w:val="left"/>
        <w:rPr>
          <w:sz w:val="24"/>
        </w:rPr>
      </w:pPr>
      <w:r>
        <w:rPr>
          <w:sz w:val="24"/>
        </w:rPr>
        <w:t>2 a 10 articulações grandes (ombros, cotovelos, quadris, joelhos e</w:t>
      </w:r>
      <w:r>
        <w:rPr>
          <w:spacing w:val="-1"/>
          <w:sz w:val="24"/>
        </w:rPr>
        <w:t> </w:t>
      </w:r>
      <w:r>
        <w:rPr>
          <w:sz w:val="24"/>
        </w:rPr>
        <w:t>tornozelos):1</w:t>
      </w:r>
    </w:p>
    <w:p>
      <w:pPr>
        <w:pStyle w:val="ListParagraph"/>
        <w:numPr>
          <w:ilvl w:val="0"/>
          <w:numId w:val="2"/>
        </w:numPr>
        <w:tabs>
          <w:tab w:pos="1702" w:val="left" w:leader="none"/>
        </w:tabs>
        <w:spacing w:line="284" w:lineRule="exact" w:before="0" w:after="0"/>
        <w:ind w:left="1702" w:right="0" w:hanging="171"/>
        <w:jc w:val="left"/>
        <w:rPr>
          <w:sz w:val="24"/>
        </w:rPr>
      </w:pPr>
      <w:r>
        <w:rPr>
          <w:sz w:val="24"/>
        </w:rPr>
        <w:t>1</w:t>
      </w:r>
      <w:r>
        <w:rPr>
          <w:spacing w:val="29"/>
          <w:sz w:val="24"/>
        </w:rPr>
        <w:t> </w:t>
      </w:r>
      <w:r>
        <w:rPr>
          <w:sz w:val="24"/>
        </w:rPr>
        <w:t>a</w:t>
      </w:r>
      <w:r>
        <w:rPr>
          <w:spacing w:val="29"/>
          <w:sz w:val="24"/>
        </w:rPr>
        <w:t> </w:t>
      </w:r>
      <w:r>
        <w:rPr>
          <w:sz w:val="24"/>
        </w:rPr>
        <w:t>3</w:t>
      </w:r>
      <w:r>
        <w:rPr>
          <w:spacing w:val="29"/>
          <w:sz w:val="24"/>
        </w:rPr>
        <w:t> </w:t>
      </w:r>
      <w:r>
        <w:rPr>
          <w:sz w:val="24"/>
        </w:rPr>
        <w:t>articulações</w:t>
      </w:r>
      <w:r>
        <w:rPr>
          <w:spacing w:val="30"/>
          <w:sz w:val="24"/>
        </w:rPr>
        <w:t> </w:t>
      </w:r>
      <w:r>
        <w:rPr>
          <w:sz w:val="24"/>
        </w:rPr>
        <w:t>pequenas</w:t>
      </w:r>
      <w:r>
        <w:rPr>
          <w:spacing w:val="30"/>
          <w:sz w:val="24"/>
        </w:rPr>
        <w:t> </w:t>
      </w:r>
      <w:r>
        <w:rPr>
          <w:sz w:val="24"/>
        </w:rPr>
        <w:t>(articulações</w:t>
      </w:r>
      <w:r>
        <w:rPr>
          <w:spacing w:val="30"/>
          <w:sz w:val="24"/>
        </w:rPr>
        <w:t> </w:t>
      </w:r>
      <w:r>
        <w:rPr>
          <w:sz w:val="24"/>
        </w:rPr>
        <w:t>MCF,</w:t>
      </w:r>
      <w:r>
        <w:rPr>
          <w:spacing w:val="29"/>
          <w:sz w:val="24"/>
        </w:rPr>
        <w:t> </w:t>
      </w:r>
      <w:r>
        <w:rPr>
          <w:sz w:val="24"/>
        </w:rPr>
        <w:t>1</w:t>
      </w:r>
      <w:r>
        <w:rPr>
          <w:position w:val="9"/>
          <w:sz w:val="16"/>
        </w:rPr>
        <w:t>a</w:t>
      </w:r>
      <w:r>
        <w:rPr>
          <w:spacing w:val="14"/>
          <w:position w:val="9"/>
          <w:sz w:val="16"/>
        </w:rPr>
        <w:t> </w:t>
      </w:r>
      <w:r>
        <w:rPr>
          <w:sz w:val="24"/>
        </w:rPr>
        <w:t>IFT,</w:t>
      </w:r>
      <w:r>
        <w:rPr>
          <w:spacing w:val="32"/>
          <w:sz w:val="24"/>
        </w:rPr>
        <w:t> </w:t>
      </w:r>
      <w:r>
        <w:rPr>
          <w:sz w:val="24"/>
        </w:rPr>
        <w:t>IFT</w:t>
      </w:r>
      <w:r>
        <w:rPr>
          <w:spacing w:val="29"/>
          <w:sz w:val="24"/>
        </w:rPr>
        <w:t> </w:t>
      </w:r>
      <w:r>
        <w:rPr>
          <w:sz w:val="24"/>
        </w:rPr>
        <w:t>proximais,</w:t>
      </w:r>
      <w:r>
        <w:rPr>
          <w:spacing w:val="30"/>
          <w:sz w:val="24"/>
        </w:rPr>
        <w:t> </w:t>
      </w:r>
      <w:r>
        <w:rPr>
          <w:sz w:val="24"/>
        </w:rPr>
        <w:t>2</w:t>
      </w:r>
      <w:r>
        <w:rPr>
          <w:position w:val="9"/>
          <w:sz w:val="16"/>
        </w:rPr>
        <w:t>a</w:t>
      </w:r>
      <w:r>
        <w:rPr>
          <w:spacing w:val="10"/>
          <w:position w:val="9"/>
          <w:sz w:val="16"/>
        </w:rPr>
        <w:t> </w:t>
      </w:r>
      <w:r>
        <w:rPr>
          <w:sz w:val="24"/>
        </w:rPr>
        <w:t>a</w:t>
      </w:r>
      <w:r>
        <w:rPr>
          <w:spacing w:val="29"/>
          <w:sz w:val="24"/>
        </w:rPr>
        <w:t> </w:t>
      </w:r>
      <w:r>
        <w:rPr>
          <w:sz w:val="24"/>
        </w:rPr>
        <w:t>5</w:t>
      </w:r>
      <w:r>
        <w:rPr>
          <w:position w:val="9"/>
          <w:sz w:val="16"/>
        </w:rPr>
        <w:t>a</w:t>
      </w:r>
      <w:r>
        <w:rPr>
          <w:spacing w:val="10"/>
          <w:position w:val="9"/>
          <w:sz w:val="16"/>
        </w:rPr>
        <w:t> </w:t>
      </w:r>
      <w:r>
        <w:rPr>
          <w:sz w:val="24"/>
        </w:rPr>
        <w:t>MTF</w:t>
      </w:r>
      <w:r>
        <w:rPr>
          <w:spacing w:val="29"/>
          <w:sz w:val="24"/>
        </w:rPr>
        <w:t> </w:t>
      </w:r>
      <w:r>
        <w:rPr>
          <w:sz w:val="24"/>
        </w:rPr>
        <w:t>e</w:t>
      </w:r>
    </w:p>
    <w:p>
      <w:pPr>
        <w:spacing w:after="0" w:line="284" w:lineRule="exact"/>
        <w:jc w:val="left"/>
        <w:rPr>
          <w:sz w:val="24"/>
        </w:rPr>
        <w:sectPr>
          <w:pgSz w:w="11910" w:h="16840"/>
          <w:pgMar w:top="1580" w:bottom="280" w:left="1020" w:right="440"/>
        </w:sectPr>
      </w:pPr>
    </w:p>
    <w:p>
      <w:pPr>
        <w:pStyle w:val="BodyText"/>
      </w:pPr>
      <w:r>
        <w:rPr/>
        <w:t>punhos):</w:t>
      </w:r>
      <w:r>
        <w:rPr>
          <w:spacing w:val="-1"/>
        </w:rPr>
        <w:t> </w:t>
      </w:r>
      <w:r>
        <w:rPr/>
        <w:t>2</w:t>
      </w:r>
    </w:p>
    <w:p>
      <w:pPr>
        <w:pStyle w:val="BodyText"/>
        <w:ind w:left="0"/>
      </w:pPr>
    </w:p>
    <w:p>
      <w:pPr>
        <w:pStyle w:val="BodyText"/>
      </w:pPr>
      <w:r>
        <w:rPr/>
        <w:t>punhos):</w:t>
      </w:r>
      <w:r>
        <w:rPr>
          <w:spacing w:val="-1"/>
        </w:rPr>
        <w:t> </w:t>
      </w:r>
      <w:r>
        <w:rPr/>
        <w:t>3</w:t>
      </w:r>
    </w:p>
    <w:p>
      <w:pPr>
        <w:pStyle w:val="BodyText"/>
        <w:ind w:left="0"/>
      </w:pPr>
      <w:r>
        <w:rPr/>
        <w:br w:type="column"/>
      </w:r>
      <w:r>
        <w:rPr/>
      </w:r>
    </w:p>
    <w:p>
      <w:pPr>
        <w:pStyle w:val="ListParagraph"/>
        <w:numPr>
          <w:ilvl w:val="0"/>
          <w:numId w:val="5"/>
        </w:numPr>
        <w:tabs>
          <w:tab w:pos="286" w:val="left" w:leader="none"/>
        </w:tabs>
        <w:spacing w:line="240" w:lineRule="auto" w:before="0" w:after="0"/>
        <w:ind w:left="112" w:right="0" w:firstLine="0"/>
        <w:jc w:val="left"/>
        <w:rPr>
          <w:sz w:val="24"/>
        </w:rPr>
      </w:pPr>
      <w:r>
        <w:rPr>
          <w:sz w:val="24"/>
        </w:rPr>
        <w:t>4</w:t>
      </w:r>
      <w:r>
        <w:rPr>
          <w:spacing w:val="32"/>
          <w:sz w:val="24"/>
        </w:rPr>
        <w:t> </w:t>
      </w:r>
      <w:r>
        <w:rPr>
          <w:sz w:val="24"/>
        </w:rPr>
        <w:t>a</w:t>
      </w:r>
      <w:r>
        <w:rPr>
          <w:spacing w:val="32"/>
          <w:sz w:val="24"/>
        </w:rPr>
        <w:t> </w:t>
      </w:r>
      <w:r>
        <w:rPr>
          <w:sz w:val="24"/>
        </w:rPr>
        <w:t>10</w:t>
      </w:r>
      <w:r>
        <w:rPr>
          <w:spacing w:val="35"/>
          <w:sz w:val="24"/>
        </w:rPr>
        <w:t> </w:t>
      </w:r>
      <w:r>
        <w:rPr>
          <w:sz w:val="24"/>
        </w:rPr>
        <w:t>articulações</w:t>
      </w:r>
      <w:r>
        <w:rPr>
          <w:spacing w:val="33"/>
          <w:sz w:val="24"/>
        </w:rPr>
        <w:t> </w:t>
      </w:r>
      <w:r>
        <w:rPr>
          <w:sz w:val="24"/>
        </w:rPr>
        <w:t>pequenas</w:t>
      </w:r>
      <w:r>
        <w:rPr>
          <w:spacing w:val="32"/>
          <w:sz w:val="24"/>
        </w:rPr>
        <w:t> </w:t>
      </w:r>
      <w:r>
        <w:rPr>
          <w:sz w:val="24"/>
        </w:rPr>
        <w:t>(articulações</w:t>
      </w:r>
      <w:r>
        <w:rPr>
          <w:spacing w:val="33"/>
          <w:sz w:val="24"/>
        </w:rPr>
        <w:t> </w:t>
      </w:r>
      <w:r>
        <w:rPr>
          <w:sz w:val="24"/>
        </w:rPr>
        <w:t>MCF,</w:t>
      </w:r>
      <w:r>
        <w:rPr>
          <w:spacing w:val="33"/>
          <w:sz w:val="24"/>
        </w:rPr>
        <w:t> </w:t>
      </w:r>
      <w:r>
        <w:rPr>
          <w:sz w:val="24"/>
        </w:rPr>
        <w:t>1ª</w:t>
      </w:r>
      <w:r>
        <w:rPr>
          <w:spacing w:val="34"/>
          <w:sz w:val="24"/>
        </w:rPr>
        <w:t> </w:t>
      </w:r>
      <w:r>
        <w:rPr>
          <w:sz w:val="24"/>
        </w:rPr>
        <w:t>TF,</w:t>
      </w:r>
      <w:r>
        <w:rPr>
          <w:spacing w:val="35"/>
          <w:sz w:val="24"/>
        </w:rPr>
        <w:t> </w:t>
      </w:r>
      <w:r>
        <w:rPr>
          <w:sz w:val="24"/>
        </w:rPr>
        <w:t>TF</w:t>
      </w:r>
      <w:r>
        <w:rPr>
          <w:spacing w:val="30"/>
          <w:sz w:val="24"/>
        </w:rPr>
        <w:t> </w:t>
      </w:r>
      <w:r>
        <w:rPr>
          <w:sz w:val="24"/>
        </w:rPr>
        <w:t>proximais,</w:t>
      </w:r>
      <w:r>
        <w:rPr>
          <w:spacing w:val="31"/>
          <w:sz w:val="24"/>
        </w:rPr>
        <w:t> </w:t>
      </w:r>
      <w:r>
        <w:rPr>
          <w:sz w:val="24"/>
        </w:rPr>
        <w:t>2ª</w:t>
      </w:r>
      <w:r>
        <w:rPr>
          <w:spacing w:val="34"/>
          <w:sz w:val="24"/>
        </w:rPr>
        <w:t> </w:t>
      </w:r>
      <w:r>
        <w:rPr>
          <w:sz w:val="24"/>
        </w:rPr>
        <w:t>a</w:t>
      </w:r>
      <w:r>
        <w:rPr>
          <w:spacing w:val="32"/>
          <w:sz w:val="24"/>
        </w:rPr>
        <w:t> </w:t>
      </w:r>
      <w:r>
        <w:rPr>
          <w:sz w:val="24"/>
        </w:rPr>
        <w:t>5ª</w:t>
      </w:r>
      <w:r>
        <w:rPr>
          <w:spacing w:val="34"/>
          <w:sz w:val="24"/>
        </w:rPr>
        <w:t> </w:t>
      </w:r>
      <w:r>
        <w:rPr>
          <w:sz w:val="24"/>
        </w:rPr>
        <w:t>MTF</w:t>
      </w:r>
      <w:r>
        <w:rPr>
          <w:spacing w:val="33"/>
          <w:sz w:val="24"/>
        </w:rPr>
        <w:t> </w:t>
      </w:r>
      <w:r>
        <w:rPr>
          <w:sz w:val="24"/>
        </w:rPr>
        <w:t>e</w:t>
      </w:r>
    </w:p>
    <w:p>
      <w:pPr>
        <w:pStyle w:val="BodyText"/>
        <w:ind w:left="0"/>
      </w:pPr>
    </w:p>
    <w:p>
      <w:pPr>
        <w:pStyle w:val="ListParagraph"/>
        <w:numPr>
          <w:ilvl w:val="0"/>
          <w:numId w:val="5"/>
        </w:numPr>
        <w:tabs>
          <w:tab w:pos="298" w:val="left" w:leader="none"/>
        </w:tabs>
        <w:spacing w:line="240" w:lineRule="auto" w:before="0" w:after="0"/>
        <w:ind w:left="297" w:right="0" w:hanging="185"/>
        <w:jc w:val="left"/>
        <w:rPr>
          <w:sz w:val="24"/>
        </w:rPr>
      </w:pPr>
      <w:r>
        <w:rPr>
          <w:sz w:val="24"/>
        </w:rPr>
        <w:t>mais de 10 articulações (pelo menos uma pequena articulação e grandes</w:t>
      </w:r>
      <w:r>
        <w:rPr>
          <w:spacing w:val="1"/>
          <w:sz w:val="24"/>
        </w:rPr>
        <w:t> </w:t>
      </w:r>
      <w:r>
        <w:rPr>
          <w:sz w:val="24"/>
        </w:rPr>
        <w:t>articulações</w:t>
      </w:r>
    </w:p>
    <w:p>
      <w:pPr>
        <w:spacing w:after="0" w:line="240" w:lineRule="auto"/>
        <w:jc w:val="left"/>
        <w:rPr>
          <w:sz w:val="24"/>
        </w:rPr>
        <w:sectPr>
          <w:type w:val="continuous"/>
          <w:pgSz w:w="11910" w:h="16840"/>
          <w:pgMar w:top="1580" w:bottom="280" w:left="1020" w:right="440"/>
          <w:cols w:num="2" w:equalWidth="0">
            <w:col w:w="1173" w:space="246"/>
            <w:col w:w="9031"/>
          </w:cols>
        </w:sectPr>
      </w:pPr>
    </w:p>
    <w:p>
      <w:pPr>
        <w:pStyle w:val="BodyText"/>
      </w:pPr>
      <w:r>
        <w:rPr/>
        <w:t>temporomandibulares, esternoclaviculares e acromioclaviculares): 5</w:t>
      </w:r>
    </w:p>
    <w:p>
      <w:pPr>
        <w:pStyle w:val="ListParagraph"/>
        <w:numPr>
          <w:ilvl w:val="0"/>
          <w:numId w:val="4"/>
        </w:numPr>
        <w:tabs>
          <w:tab w:pos="1772" w:val="left" w:leader="none"/>
        </w:tabs>
        <w:spacing w:line="240" w:lineRule="auto" w:before="0" w:after="0"/>
        <w:ind w:left="1771" w:right="0" w:hanging="240"/>
        <w:jc w:val="left"/>
        <w:rPr>
          <w:sz w:val="24"/>
        </w:rPr>
      </w:pPr>
      <w:r>
        <w:rPr>
          <w:sz w:val="24"/>
        </w:rPr>
        <w:t>sorologia (0-3)</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FR e anti-CCP negativos:</w:t>
      </w:r>
      <w:r>
        <w:rPr>
          <w:spacing w:val="-2"/>
          <w:sz w:val="24"/>
        </w:rPr>
        <w:t> </w:t>
      </w:r>
      <w:r>
        <w:rPr>
          <w:sz w:val="24"/>
        </w:rPr>
        <w:t>0</w:t>
      </w:r>
    </w:p>
    <w:p>
      <w:pPr>
        <w:pStyle w:val="ListParagraph"/>
        <w:numPr>
          <w:ilvl w:val="1"/>
          <w:numId w:val="5"/>
        </w:numPr>
        <w:tabs>
          <w:tab w:pos="1767" w:val="left" w:leader="none"/>
        </w:tabs>
        <w:spacing w:line="240" w:lineRule="auto" w:before="1" w:after="0"/>
        <w:ind w:left="112" w:right="130" w:firstLine="1419"/>
        <w:jc w:val="left"/>
        <w:rPr>
          <w:sz w:val="24"/>
        </w:rPr>
      </w:pPr>
      <w:r>
        <w:rPr>
          <w:sz w:val="24"/>
        </w:rPr>
        <w:t>FR ou anti-CCP positivos em baixos títulos (até 3 vezes o limite superior da normalidade):</w:t>
      </w:r>
      <w:r>
        <w:rPr>
          <w:spacing w:val="-1"/>
          <w:sz w:val="24"/>
        </w:rPr>
        <w:t> </w:t>
      </w:r>
      <w:r>
        <w:rPr>
          <w:sz w:val="24"/>
        </w:rPr>
        <w:t>2</w:t>
      </w:r>
    </w:p>
    <w:p>
      <w:pPr>
        <w:pStyle w:val="ListParagraph"/>
        <w:numPr>
          <w:ilvl w:val="1"/>
          <w:numId w:val="5"/>
        </w:numPr>
        <w:tabs>
          <w:tab w:pos="1750" w:val="left" w:leader="none"/>
        </w:tabs>
        <w:spacing w:line="240" w:lineRule="auto" w:before="0" w:after="0"/>
        <w:ind w:left="112" w:right="131" w:firstLine="1419"/>
        <w:jc w:val="left"/>
        <w:rPr>
          <w:sz w:val="24"/>
        </w:rPr>
      </w:pPr>
      <w:r>
        <w:rPr>
          <w:sz w:val="24"/>
        </w:rPr>
        <w:t>FR ou anti-CCP positivos em altos títulos (3 vezes acima do limite superior da normalidade):</w:t>
      </w:r>
      <w:r>
        <w:rPr>
          <w:spacing w:val="-1"/>
          <w:sz w:val="24"/>
        </w:rPr>
        <w:t> </w:t>
      </w:r>
      <w:r>
        <w:rPr>
          <w:sz w:val="24"/>
        </w:rPr>
        <w:t>3</w:t>
      </w:r>
    </w:p>
    <w:p>
      <w:pPr>
        <w:pStyle w:val="ListParagraph"/>
        <w:numPr>
          <w:ilvl w:val="0"/>
          <w:numId w:val="4"/>
        </w:numPr>
        <w:tabs>
          <w:tab w:pos="1772" w:val="left" w:leader="none"/>
        </w:tabs>
        <w:spacing w:line="240" w:lineRule="auto" w:before="0" w:after="0"/>
        <w:ind w:left="1771" w:right="0" w:hanging="240"/>
        <w:jc w:val="left"/>
        <w:rPr>
          <w:sz w:val="24"/>
        </w:rPr>
      </w:pPr>
      <w:r>
        <w:rPr>
          <w:sz w:val="24"/>
        </w:rPr>
        <w:t>duração dos sintomas</w:t>
      </w:r>
      <w:r>
        <w:rPr>
          <w:spacing w:val="-1"/>
          <w:sz w:val="24"/>
        </w:rPr>
        <w:t> </w:t>
      </w:r>
      <w:r>
        <w:rPr>
          <w:sz w:val="24"/>
        </w:rPr>
        <w:t>(0-1)</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menos de 6 semanas:</w:t>
      </w:r>
      <w:r>
        <w:rPr>
          <w:spacing w:val="-3"/>
          <w:sz w:val="24"/>
        </w:rPr>
        <w:t> </w:t>
      </w:r>
      <w:r>
        <w:rPr>
          <w:sz w:val="24"/>
        </w:rPr>
        <w:t>0</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igual ou superior a 6 semanas:</w:t>
      </w:r>
      <w:r>
        <w:rPr>
          <w:spacing w:val="-3"/>
          <w:sz w:val="24"/>
        </w:rPr>
        <w:t> </w:t>
      </w:r>
      <w:r>
        <w:rPr>
          <w:sz w:val="24"/>
        </w:rPr>
        <w:t>1</w:t>
      </w:r>
    </w:p>
    <w:p>
      <w:pPr>
        <w:pStyle w:val="ListParagraph"/>
        <w:numPr>
          <w:ilvl w:val="0"/>
          <w:numId w:val="4"/>
        </w:numPr>
        <w:tabs>
          <w:tab w:pos="1772" w:val="left" w:leader="none"/>
        </w:tabs>
        <w:spacing w:line="240" w:lineRule="auto" w:before="0" w:after="0"/>
        <w:ind w:left="1771" w:right="0" w:hanging="240"/>
        <w:jc w:val="left"/>
        <w:rPr>
          <w:sz w:val="24"/>
        </w:rPr>
      </w:pPr>
      <w:r>
        <w:rPr>
          <w:sz w:val="24"/>
        </w:rPr>
        <w:t>reagentes de fase aguda</w:t>
      </w:r>
      <w:r>
        <w:rPr>
          <w:spacing w:val="-4"/>
          <w:sz w:val="24"/>
        </w:rPr>
        <w:t> </w:t>
      </w:r>
      <w:r>
        <w:rPr>
          <w:sz w:val="24"/>
        </w:rPr>
        <w:t>(0-1)</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proteína C reativa e velocidade de sedimentação globular normais:</w:t>
      </w:r>
      <w:r>
        <w:rPr>
          <w:spacing w:val="-3"/>
          <w:sz w:val="24"/>
        </w:rPr>
        <w:t> </w:t>
      </w:r>
      <w:r>
        <w:rPr>
          <w:sz w:val="24"/>
        </w:rPr>
        <w:t>0</w:t>
      </w:r>
    </w:p>
    <w:p>
      <w:pPr>
        <w:spacing w:after="0" w:line="240" w:lineRule="auto"/>
        <w:jc w:val="left"/>
        <w:rPr>
          <w:sz w:val="24"/>
        </w:rPr>
        <w:sectPr>
          <w:type w:val="continuous"/>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1"/>
          <w:numId w:val="5"/>
        </w:numPr>
        <w:tabs>
          <w:tab w:pos="1671" w:val="left" w:leader="none"/>
        </w:tabs>
        <w:spacing w:line="240" w:lineRule="auto" w:before="90" w:after="0"/>
        <w:ind w:left="112" w:right="0" w:firstLine="1419"/>
        <w:jc w:val="left"/>
        <w:rPr>
          <w:sz w:val="24"/>
        </w:rPr>
      </w:pPr>
      <w:r>
        <w:rPr>
          <w:sz w:val="24"/>
        </w:rPr>
        <w:t>proteína C reativa ou velocidade de sedimentação globular alteradas:</w:t>
      </w:r>
      <w:r>
        <w:rPr>
          <w:spacing w:val="-5"/>
          <w:sz w:val="24"/>
        </w:rPr>
        <w:t> </w:t>
      </w:r>
      <w:r>
        <w:rPr>
          <w:sz w:val="24"/>
        </w:rPr>
        <w:t>1</w:t>
      </w:r>
    </w:p>
    <w:p>
      <w:pPr>
        <w:pStyle w:val="BodyText"/>
        <w:ind w:right="123" w:firstLine="1418"/>
        <w:jc w:val="both"/>
      </w:pPr>
      <w:r>
        <w:rPr/>
        <w:t>Os novos critérios de classificação de AR (2010) têm como pré-requisito a exclusão de outras causas de artrite, no entanto a maioria dos estudos clínicos utilizou os critérios anteriores, de 1987. Assim, com base na importância do reconhecimento precoce e do tratamento adequado dos casos iniciais de AR, optou-se por manter ambos neste Protocolo: os critérios mais estudados (1987) e os mais sensíveis para os casos iniciais (2010).</w:t>
      </w:r>
    </w:p>
    <w:p>
      <w:pPr>
        <w:pStyle w:val="BodyText"/>
        <w:ind w:right="128" w:firstLine="1418"/>
        <w:jc w:val="both"/>
      </w:pPr>
      <w:r>
        <w:rPr/>
        <w:t>Para ser classificado como doente de ARJ, o indivíduo deve apresentar artrite de causa desconhecida. Para tanto devem ser excluídas as artrites traumáticas, reacionais, infeciosas, transitórias, paraneoplásicas, vasculares, causadas por doenças de depósito (por exemplo, mucopolissacaridose, doença de Fabry) entre outras. A doença deve ter iniciado antes dos 16 anos de idade e a duração dos sintomas deve ser igual ou superior a 6 semanas</w:t>
      </w:r>
      <w:r>
        <w:rPr>
          <w:spacing w:val="-2"/>
        </w:rPr>
        <w:t> </w:t>
      </w:r>
      <w:r>
        <w:rPr/>
        <w:t>(13).</w:t>
      </w:r>
    </w:p>
    <w:p>
      <w:pPr>
        <w:pStyle w:val="BodyText"/>
        <w:ind w:left="0"/>
      </w:pPr>
    </w:p>
    <w:p>
      <w:pPr>
        <w:pStyle w:val="ListParagraph"/>
        <w:numPr>
          <w:ilvl w:val="0"/>
          <w:numId w:val="1"/>
        </w:numPr>
        <w:tabs>
          <w:tab w:pos="1748" w:val="left" w:leader="none"/>
        </w:tabs>
        <w:spacing w:line="240" w:lineRule="auto" w:before="1" w:after="0"/>
        <w:ind w:left="1747" w:right="0" w:hanging="216"/>
        <w:jc w:val="left"/>
        <w:rPr>
          <w:sz w:val="24"/>
        </w:rPr>
      </w:pPr>
      <w:r>
        <w:rPr>
          <w:sz w:val="24"/>
        </w:rPr>
        <w:t>CRITÉRIOS DE</w:t>
      </w:r>
      <w:r>
        <w:rPr>
          <w:spacing w:val="-25"/>
          <w:sz w:val="24"/>
        </w:rPr>
        <w:t> </w:t>
      </w:r>
      <w:r>
        <w:rPr>
          <w:sz w:val="24"/>
        </w:rPr>
        <w:t>EXCLUSÃO</w:t>
      </w:r>
    </w:p>
    <w:p>
      <w:pPr>
        <w:pStyle w:val="BodyText"/>
        <w:ind w:right="125" w:firstLine="1418"/>
        <w:jc w:val="both"/>
      </w:pPr>
      <w:r>
        <w:rPr/>
        <w:t>Serão excluídos do uso de medicamento preconizado neste Protocolo os pacientes que apresentarem contraindicação absoluta ao seu respectivo uso (Quadro 1).</w:t>
      </w:r>
    </w:p>
    <w:p>
      <w:pPr>
        <w:pStyle w:val="BodyText"/>
        <w:spacing w:before="11"/>
        <w:ind w:left="0"/>
        <w:rPr>
          <w:sz w:val="23"/>
        </w:rPr>
      </w:pPr>
    </w:p>
    <w:p>
      <w:pPr>
        <w:pStyle w:val="ListParagraph"/>
        <w:numPr>
          <w:ilvl w:val="0"/>
          <w:numId w:val="1"/>
        </w:numPr>
        <w:tabs>
          <w:tab w:pos="1748" w:val="left" w:leader="none"/>
        </w:tabs>
        <w:spacing w:line="240" w:lineRule="auto" w:before="0" w:after="0"/>
        <w:ind w:left="1747" w:right="0" w:hanging="216"/>
        <w:jc w:val="left"/>
        <w:rPr>
          <w:sz w:val="24"/>
        </w:rPr>
      </w:pPr>
      <w:r>
        <w:rPr>
          <w:sz w:val="24"/>
        </w:rPr>
        <w:t>CASOS</w:t>
      </w:r>
      <w:r>
        <w:rPr>
          <w:spacing w:val="-12"/>
          <w:sz w:val="24"/>
        </w:rPr>
        <w:t> </w:t>
      </w:r>
      <w:r>
        <w:rPr>
          <w:sz w:val="24"/>
        </w:rPr>
        <w:t>ESPECIAIS</w:t>
      </w:r>
    </w:p>
    <w:p>
      <w:pPr>
        <w:pStyle w:val="BodyText"/>
        <w:ind w:right="130" w:firstLine="1418"/>
        <w:jc w:val="both"/>
      </w:pPr>
      <w:r>
        <w:rPr/>
        <w:t>Serão considerados casos especiais os pacientes com os seguintes diagnósticos: doença reumatoide do pulmão, vasculite reumatoide (diagnosticadas em indivíduos com AR e manifestações compatíveis) e ARJ.</w:t>
      </w:r>
    </w:p>
    <w:p>
      <w:pPr>
        <w:pStyle w:val="BodyText"/>
        <w:ind w:right="124" w:firstLine="1418"/>
        <w:jc w:val="both"/>
      </w:pPr>
      <w:r>
        <w:rPr/>
        <w:t>A doença reumatoide do pulmão e a vasculite reumatoide são manifestações extra- articulares geralmente graves, devendo ser tratadas com imunossupressores. Pulsoterapia com succinato de metilprednisolona intravenosa, prednisona por via oral, azatioprina por via oral, ciclosporina por via oral e ciclofosfamida intravenosa são opções terapêuticas (33). Em geral, inicia-se com pulsoterapia de metilprednisolona (com ou sem ciclofosfamida, dependendo da gravidade das manifestações da doença). Caso não seja usada ciclofosfamida, pode ser iniciada azatioprina ou ciclosporina em associação à pulsoterapia. Posteriormente, realiza-se redução gradual do glicocorticoide, com o objetivo de manter a doença controlada apenas com azatioprina, ciclosporina ou ciclofosfamida de</w:t>
      </w:r>
      <w:r>
        <w:rPr>
          <w:spacing w:val="-4"/>
        </w:rPr>
        <w:t> </w:t>
      </w:r>
      <w:r>
        <w:rPr/>
        <w:t>manutenção.</w:t>
      </w:r>
    </w:p>
    <w:p>
      <w:pPr>
        <w:pStyle w:val="BodyText"/>
        <w:spacing w:before="1"/>
        <w:ind w:right="122" w:firstLine="1418"/>
        <w:jc w:val="both"/>
      </w:pPr>
      <w:r>
        <w:rPr/>
        <w:t>O tratamento da ARJ segue, em linhas gerais, os mesmos passos da doença no adulto, mas com especificidades: Inicia-se com anti-inflamatórios não esteroidais (AINE), sendo o naproxeno o preferencial. Raramente, os AINE conseguem, isoladamente, controlar a artrite. Havendo necessidade de uso de outro medicamento, deve-se optar pelo metotrexato. A sulfassalazina, cloroquina, hidroxicloroquina, leflunomida, azatioprina, ciclosporina, glicocorticoide sistêmico ou intra-articular podem ser indicados a critério clínico. A sulfassalazina não é recomendada para a forma sistêmica. A ciclosporina é preferencialmente recomendada na síndrome de ativação macrofágica, ou linfo-histiocitose hemofagocítica. Na persistência de artrite, após 3 a 6 meses de tratamento, deve-se iniciar medicamento modificador do curso da doença (MMCD) biológico, entre eles o adalimumabe, etanercepte, infliximabe, abatacepte e tocilizumabe, sendo este último apenas para a forma sistêmica (34-37). A associação de MMCD biológicos não deve ser utilizada (35,38-50). Nos casos de falha ao tratamento com MMCD biológico, deve-se seguir o recomendado no sub-item “Estratégia Terapêutica”. O tofacitinibe não é indicado para o tratamento da ARJ, pois seu uso foi aprovado apenas para pacientes adutos.</w:t>
      </w:r>
    </w:p>
    <w:p>
      <w:pPr>
        <w:pStyle w:val="BodyText"/>
        <w:spacing w:before="1"/>
        <w:ind w:left="0"/>
      </w:pPr>
    </w:p>
    <w:p>
      <w:pPr>
        <w:pStyle w:val="ListParagraph"/>
        <w:numPr>
          <w:ilvl w:val="0"/>
          <w:numId w:val="1"/>
        </w:numPr>
        <w:tabs>
          <w:tab w:pos="1748" w:val="left" w:leader="none"/>
        </w:tabs>
        <w:spacing w:line="240" w:lineRule="auto" w:before="0" w:after="0"/>
        <w:ind w:left="1747" w:right="0" w:hanging="216"/>
        <w:jc w:val="left"/>
        <w:rPr>
          <w:sz w:val="24"/>
        </w:rPr>
      </w:pPr>
      <w:r>
        <w:rPr>
          <w:sz w:val="24"/>
        </w:rPr>
        <w:t>TRATAMENTO</w:t>
      </w:r>
    </w:p>
    <w:p>
      <w:pPr>
        <w:pStyle w:val="BodyText"/>
        <w:ind w:right="125" w:firstLine="1418"/>
        <w:jc w:val="both"/>
      </w:pPr>
      <w:r>
        <w:rPr/>
        <w:t>O tratamento de AR deve ser iniciado o mais breve possível, uma vez que a terapia medicamentosa intensiva instituída precocemente previne danos estruturais (erosões), melhorando a capacidade funcional (1,10,51,52). O período inicial da doença, principalmente os doze primeiros meses</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4"/>
        <w:jc w:val="both"/>
      </w:pPr>
      <w:r>
        <w:rPr/>
        <w:t>(AR inicial), configura uma janela de oportunidade terapêutica, isto é, um momento em que a intervenção farmacológica efetiva pode mudar o curso da doença (53). Em alguns países, o acompanhamento por reumatologista é uma política assistencial custo-efetiva (54), devendo ser o preferencial. Intervenções educacionais podem ser úteis na implementação de protocolos clínicos para essa doença (55).</w:t>
      </w:r>
    </w:p>
    <w:p>
      <w:pPr>
        <w:pStyle w:val="BodyText"/>
        <w:ind w:left="0"/>
      </w:pPr>
    </w:p>
    <w:p>
      <w:pPr>
        <w:pStyle w:val="ListParagraph"/>
        <w:numPr>
          <w:ilvl w:val="1"/>
          <w:numId w:val="1"/>
        </w:numPr>
        <w:tabs>
          <w:tab w:pos="1880" w:val="left" w:leader="none"/>
        </w:tabs>
        <w:spacing w:line="240" w:lineRule="auto" w:before="0" w:after="0"/>
        <w:ind w:left="1531" w:right="0" w:firstLine="0"/>
        <w:jc w:val="left"/>
        <w:rPr>
          <w:sz w:val="24"/>
        </w:rPr>
      </w:pPr>
      <w:r>
        <w:rPr>
          <w:sz w:val="24"/>
        </w:rPr>
        <w:t>TRATAMENTO NÃO</w:t>
      </w:r>
      <w:r>
        <w:rPr>
          <w:spacing w:val="-26"/>
          <w:sz w:val="24"/>
        </w:rPr>
        <w:t> </w:t>
      </w:r>
      <w:r>
        <w:rPr>
          <w:sz w:val="24"/>
        </w:rPr>
        <w:t>MEDICAMENTOSO</w:t>
      </w:r>
    </w:p>
    <w:p>
      <w:pPr>
        <w:pStyle w:val="BodyText"/>
        <w:ind w:right="127" w:firstLine="1418"/>
        <w:jc w:val="both"/>
      </w:pPr>
      <w:r>
        <w:rPr/>
        <w:t>O tratamento não medicamentoso de AR inclui educação do paciente e de sua família, terapia ocupacional, exercícios, fisioterapia, apoio psicossocial e cirurgia. As evidências de tratamento não medicamentoso são escassas, mas acredita-se que tenha papel importante na melhora clínica e funcional dos pacientes</w:t>
      </w:r>
      <w:r>
        <w:rPr>
          <w:spacing w:val="-1"/>
        </w:rPr>
        <w:t> </w:t>
      </w:r>
      <w:r>
        <w:rPr/>
        <w:t>(56-65).</w:t>
      </w:r>
    </w:p>
    <w:p>
      <w:pPr>
        <w:pStyle w:val="BodyText"/>
        <w:ind w:right="124" w:firstLine="1418"/>
        <w:jc w:val="both"/>
      </w:pPr>
      <w:r>
        <w:rPr/>
        <w:t>Terapia ocupacional e órteses de punho e dedos têm pouca evidência de validade na AR de longa data (56,66-71).</w:t>
      </w:r>
    </w:p>
    <w:p>
      <w:pPr>
        <w:pStyle w:val="BodyText"/>
        <w:spacing w:before="1"/>
        <w:ind w:right="123" w:firstLine="1418"/>
        <w:jc w:val="both"/>
      </w:pPr>
      <w:r>
        <w:rPr/>
        <w:t>Exercícios contra resistência são seguros e eficazes na AR, melhorando a força muscular e o tempo de deslocamento (72,73). Exercícios aeróbicos parecem melhorar de forma discreta a qualidade de vida, a capacidade funcional e a dor em pacientes com AR estável, havendo estudos em andamento sobre o tema (74-78).</w:t>
      </w:r>
    </w:p>
    <w:p>
      <w:pPr>
        <w:pStyle w:val="BodyText"/>
        <w:ind w:right="131" w:firstLine="1418"/>
        <w:jc w:val="both"/>
      </w:pPr>
      <w:r>
        <w:rPr/>
        <w:t>Fisioterapia pode propiciar benefício, havendo ainda grande heterogeneidade de métodos entre os trabalhos disponíveis (79-84).</w:t>
      </w:r>
    </w:p>
    <w:p>
      <w:pPr>
        <w:pStyle w:val="BodyText"/>
        <w:ind w:right="127" w:firstLine="1418"/>
        <w:jc w:val="both"/>
      </w:pPr>
      <w:r>
        <w:rPr/>
        <w:t>Intervenções psicológicas são eficazes no tratamento a curto prazo de AR, especialmente aumentando a atividade física e reduzindo a ansiedade e a depressão (85, 86).</w:t>
      </w:r>
    </w:p>
    <w:p>
      <w:pPr>
        <w:pStyle w:val="BodyText"/>
        <w:ind w:right="126" w:firstLine="1418"/>
        <w:jc w:val="both"/>
      </w:pPr>
      <w:r>
        <w:rPr/>
        <w:t>Para a subluxação atlantoaxial, o tratamento cirúrgico parece ser melhor do que o conservador em estudos observacionais(87). Tratamentos cirúrgicos de outras articulações ainda carecem de evidências consistentes (88,89).</w:t>
      </w:r>
    </w:p>
    <w:p>
      <w:pPr>
        <w:pStyle w:val="BodyText"/>
        <w:ind w:right="126" w:firstLine="1418"/>
        <w:jc w:val="both"/>
      </w:pPr>
      <w:r>
        <w:rPr/>
        <w:t>O benefício da acupuntura ainda é controverso devido a limitações metodológicas significativas dos estudos realizados (90-92). Terapias alternativas e complementares não apresentam, até o momento, evidências que sustentem a recomendação de seu uso (93-104).</w:t>
      </w:r>
    </w:p>
    <w:p>
      <w:pPr>
        <w:pStyle w:val="BodyText"/>
        <w:ind w:right="128" w:firstLine="1418"/>
        <w:jc w:val="both"/>
      </w:pPr>
      <w:r>
        <w:rPr/>
        <w:t>Sinovectomia radioisotópica (radiossinoviórtese) parece apresentar eficácia quando comparada ao uso de glicocorticoide intra-articular, no entanto a heterogeneidade dos poucos estudos disponíveis restringe essa recomendação de tratamento (105,106).</w:t>
      </w:r>
    </w:p>
    <w:p>
      <w:pPr>
        <w:pStyle w:val="BodyText"/>
        <w:ind w:right="130" w:firstLine="1418"/>
        <w:jc w:val="both"/>
      </w:pPr>
      <w:r>
        <w:rPr/>
        <w:t>O benefício trazido por modificações nutricionais ainda é incerto, devendo ser considerados seus possíveis eventos adversos, tal como o emagrecimento, que contribuem para o grande número de perdas de acompanhamento nos</w:t>
      </w:r>
      <w:r>
        <w:rPr>
          <w:spacing w:val="-1"/>
        </w:rPr>
        <w:t> </w:t>
      </w:r>
      <w:r>
        <w:rPr/>
        <w:t>estudos(107).</w:t>
      </w:r>
    </w:p>
    <w:p>
      <w:pPr>
        <w:pStyle w:val="BodyText"/>
        <w:ind w:right="124" w:firstLine="1418"/>
        <w:jc w:val="both"/>
      </w:pPr>
      <w:r>
        <w:rPr/>
        <w:t>Em resumo, para pacientes com AR, inclusive os casos especiais, recomendam-se exercício físico regular, terapia ocupacional, órteses, fisioterapia e terapia psicológica de forma individualizada.</w:t>
      </w:r>
    </w:p>
    <w:p>
      <w:pPr>
        <w:pStyle w:val="BodyText"/>
        <w:ind w:left="0"/>
      </w:pPr>
    </w:p>
    <w:p>
      <w:pPr>
        <w:pStyle w:val="ListParagraph"/>
        <w:numPr>
          <w:ilvl w:val="1"/>
          <w:numId w:val="1"/>
        </w:numPr>
        <w:tabs>
          <w:tab w:pos="1880" w:val="left" w:leader="none"/>
        </w:tabs>
        <w:spacing w:line="240" w:lineRule="auto" w:before="0" w:after="0"/>
        <w:ind w:left="1531" w:right="0" w:firstLine="0"/>
        <w:jc w:val="left"/>
        <w:rPr>
          <w:sz w:val="24"/>
        </w:rPr>
      </w:pPr>
      <w:r>
        <w:rPr>
          <w:sz w:val="24"/>
        </w:rPr>
        <w:t>TRATAMENTO</w:t>
      </w:r>
      <w:r>
        <w:rPr>
          <w:spacing w:val="-13"/>
          <w:sz w:val="24"/>
        </w:rPr>
        <w:t> </w:t>
      </w:r>
      <w:r>
        <w:rPr>
          <w:sz w:val="24"/>
        </w:rPr>
        <w:t>MEDICAMENTOSO</w:t>
      </w:r>
    </w:p>
    <w:p>
      <w:pPr>
        <w:pStyle w:val="BodyText"/>
        <w:spacing w:before="1"/>
        <w:ind w:right="122" w:firstLine="1418"/>
        <w:jc w:val="both"/>
      </w:pPr>
      <w:r>
        <w:rPr/>
        <w:t>O tratamento medicamentoso de AR inclui o uso de anti-inflamatórios não esteroidais (AINE), glicocorticoides, medicamentos modificadores do curso da doença (MMCD) - sintéticos e biológicos - e imunossupressores (1,108). O uso seguro desses fármacos exige o conhecimento de suas contraindicações absolutas (Quadro 1).</w:t>
      </w:r>
    </w:p>
    <w:p>
      <w:pPr>
        <w:pStyle w:val="BodyText"/>
        <w:spacing w:before="2"/>
        <w:ind w:left="0"/>
        <w:rPr>
          <w:sz w:val="16"/>
        </w:rPr>
      </w:pPr>
    </w:p>
    <w:p>
      <w:pPr>
        <w:pStyle w:val="BodyText"/>
        <w:spacing w:before="90"/>
        <w:ind w:left="679"/>
      </w:pPr>
      <w:r>
        <w:rPr/>
        <w:t>Quadro 1 - Contraindicações absolutas dos fármacos utilizados no tratamento da Artrite Reumatoide</w:t>
      </w:r>
    </w:p>
    <w:p>
      <w:pPr>
        <w:pStyle w:val="BodyText"/>
        <w:spacing w:after="9"/>
      </w:pPr>
      <w:r>
        <w:rPr/>
        <w:t>(109)</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7"/>
        <w:gridCol w:w="5561"/>
      </w:tblGrid>
      <w:tr>
        <w:trPr>
          <w:trHeight w:val="275" w:hRule="atLeast"/>
        </w:trPr>
        <w:tc>
          <w:tcPr>
            <w:tcW w:w="4647" w:type="dxa"/>
          </w:tcPr>
          <w:p>
            <w:pPr>
              <w:pStyle w:val="TableParagraph"/>
              <w:spacing w:line="256" w:lineRule="exact"/>
              <w:ind w:left="575"/>
              <w:jc w:val="center"/>
              <w:rPr>
                <w:sz w:val="24"/>
              </w:rPr>
            </w:pPr>
            <w:r>
              <w:rPr>
                <w:sz w:val="24"/>
              </w:rPr>
              <w:t>FÁRMACOS</w:t>
            </w:r>
          </w:p>
        </w:tc>
        <w:tc>
          <w:tcPr>
            <w:tcW w:w="5561" w:type="dxa"/>
          </w:tcPr>
          <w:p>
            <w:pPr>
              <w:pStyle w:val="TableParagraph"/>
              <w:spacing w:line="256" w:lineRule="exact"/>
              <w:ind w:left="1843"/>
              <w:rPr>
                <w:sz w:val="24"/>
              </w:rPr>
            </w:pPr>
            <w:r>
              <w:rPr>
                <w:sz w:val="24"/>
              </w:rPr>
              <w:t>CONTRAINDICAÇÕES</w:t>
            </w:r>
          </w:p>
        </w:tc>
      </w:tr>
      <w:tr>
        <w:trPr>
          <w:trHeight w:val="275" w:hRule="atLeast"/>
        </w:trPr>
        <w:tc>
          <w:tcPr>
            <w:tcW w:w="4647" w:type="dxa"/>
          </w:tcPr>
          <w:p>
            <w:pPr>
              <w:pStyle w:val="TableParagraph"/>
              <w:tabs>
                <w:tab w:pos="2440" w:val="left" w:leader="none"/>
                <w:tab w:pos="4208" w:val="left" w:leader="none"/>
              </w:tabs>
              <w:spacing w:line="256" w:lineRule="exact"/>
              <w:ind w:left="573"/>
              <w:jc w:val="center"/>
              <w:rPr>
                <w:sz w:val="24"/>
              </w:rPr>
            </w:pPr>
            <w:r>
              <w:rPr>
                <w:sz w:val="24"/>
              </w:rPr>
              <w:t>Prednisona,</w:t>
              <w:tab/>
              <w:t>succninato</w:t>
              <w:tab/>
              <w:t>de</w:t>
            </w:r>
          </w:p>
        </w:tc>
        <w:tc>
          <w:tcPr>
            <w:tcW w:w="5561" w:type="dxa"/>
          </w:tcPr>
          <w:p>
            <w:pPr>
              <w:pStyle w:val="TableParagraph"/>
              <w:spacing w:line="256" w:lineRule="exact"/>
              <w:ind w:left="144"/>
              <w:rPr>
                <w:sz w:val="24"/>
              </w:rPr>
            </w:pPr>
            <w:r>
              <w:rPr>
                <w:sz w:val="24"/>
              </w:rPr>
              <w:t>- Hipersensibilidade conhecida a medicamento, classe</w:t>
            </w:r>
          </w:p>
        </w:tc>
      </w:tr>
    </w:tbl>
    <w:p>
      <w:pPr>
        <w:spacing w:after="0" w:line="256" w:lineRule="exac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7"/>
        <w:gridCol w:w="5561"/>
      </w:tblGrid>
      <w:tr>
        <w:trPr>
          <w:trHeight w:val="551" w:hRule="atLeast"/>
        </w:trPr>
        <w:tc>
          <w:tcPr>
            <w:tcW w:w="4647" w:type="dxa"/>
          </w:tcPr>
          <w:p>
            <w:pPr>
              <w:pStyle w:val="TableParagraph"/>
              <w:tabs>
                <w:tab w:pos="2766" w:val="left" w:leader="none"/>
                <w:tab w:pos="4311" w:val="left" w:leader="none"/>
              </w:tabs>
              <w:spacing w:line="268" w:lineRule="exact"/>
              <w:ind w:left="107"/>
              <w:rPr>
                <w:sz w:val="24"/>
              </w:rPr>
            </w:pPr>
            <w:r>
              <w:rPr>
                <w:sz w:val="24"/>
              </w:rPr>
              <w:t>metilprednisolona,</w:t>
              <w:tab/>
              <w:t>acetato</w:t>
              <w:tab/>
              <w:t>de</w:t>
            </w:r>
          </w:p>
          <w:p>
            <w:pPr>
              <w:pStyle w:val="TableParagraph"/>
              <w:spacing w:line="264" w:lineRule="exact"/>
              <w:ind w:left="107"/>
              <w:rPr>
                <w:sz w:val="24"/>
              </w:rPr>
            </w:pPr>
            <w:r>
              <w:rPr>
                <w:sz w:val="24"/>
              </w:rPr>
              <w:t>metilprednisolona, prednisolona.</w:t>
            </w:r>
          </w:p>
        </w:tc>
        <w:tc>
          <w:tcPr>
            <w:tcW w:w="5561" w:type="dxa"/>
          </w:tcPr>
          <w:p>
            <w:pPr>
              <w:pStyle w:val="TableParagraph"/>
              <w:spacing w:line="268" w:lineRule="exact"/>
              <w:ind w:left="110"/>
              <w:rPr>
                <w:sz w:val="24"/>
              </w:rPr>
            </w:pPr>
            <w:r>
              <w:rPr>
                <w:sz w:val="24"/>
              </w:rPr>
              <w:t>ou componentes.</w:t>
            </w:r>
          </w:p>
          <w:p>
            <w:pPr>
              <w:pStyle w:val="TableParagraph"/>
              <w:spacing w:line="264" w:lineRule="exact"/>
              <w:ind w:left="144"/>
              <w:rPr>
                <w:sz w:val="24"/>
              </w:rPr>
            </w:pPr>
            <w:r>
              <w:rPr>
                <w:sz w:val="24"/>
              </w:rPr>
              <w:t>- Tuberculose sem tratamento.</w:t>
            </w:r>
          </w:p>
        </w:tc>
      </w:tr>
      <w:tr>
        <w:trPr>
          <w:trHeight w:val="2208" w:hRule="atLeast"/>
        </w:trPr>
        <w:tc>
          <w:tcPr>
            <w:tcW w:w="4647" w:type="dxa"/>
          </w:tcPr>
          <w:p>
            <w:pPr>
              <w:pStyle w:val="TableParagraph"/>
              <w:spacing w:line="270" w:lineRule="exact"/>
              <w:ind w:left="674"/>
              <w:rPr>
                <w:sz w:val="24"/>
              </w:rPr>
            </w:pPr>
            <w:r>
              <w:rPr>
                <w:sz w:val="24"/>
              </w:rPr>
              <w:t>Naproxeno</w:t>
            </w:r>
          </w:p>
        </w:tc>
        <w:tc>
          <w:tcPr>
            <w:tcW w:w="5561" w:type="dxa"/>
          </w:tcPr>
          <w:p>
            <w:pPr>
              <w:pStyle w:val="TableParagraph"/>
              <w:numPr>
                <w:ilvl w:val="0"/>
                <w:numId w:val="6"/>
              </w:numPr>
              <w:tabs>
                <w:tab w:pos="284" w:val="left" w:leader="none"/>
              </w:tabs>
              <w:spacing w:line="240" w:lineRule="auto" w:before="0" w:after="0"/>
              <w:ind w:left="110" w:right="101"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6"/>
              </w:numPr>
              <w:tabs>
                <w:tab w:pos="284" w:val="left" w:leader="none"/>
              </w:tabs>
              <w:spacing w:line="240" w:lineRule="auto" w:before="0" w:after="0"/>
              <w:ind w:left="110" w:right="0" w:firstLine="34"/>
              <w:jc w:val="left"/>
              <w:rPr>
                <w:sz w:val="24"/>
              </w:rPr>
            </w:pPr>
            <w:r>
              <w:rPr>
                <w:sz w:val="24"/>
              </w:rPr>
              <w:t>Sangramento gastrointestinal não controlado.</w:t>
            </w:r>
          </w:p>
          <w:p>
            <w:pPr>
              <w:pStyle w:val="TableParagraph"/>
              <w:numPr>
                <w:ilvl w:val="0"/>
                <w:numId w:val="6"/>
              </w:numPr>
              <w:tabs>
                <w:tab w:pos="284" w:val="left" w:leader="none"/>
              </w:tabs>
              <w:spacing w:line="240" w:lineRule="auto" w:before="0" w:after="0"/>
              <w:ind w:left="110" w:right="355" w:firstLine="34"/>
              <w:jc w:val="left"/>
              <w:rPr>
                <w:sz w:val="24"/>
              </w:rPr>
            </w:pPr>
            <w:r>
              <w:rPr>
                <w:sz w:val="24"/>
              </w:rPr>
              <w:t>Elevação de transaminases/aminotransferases</w:t>
            </w:r>
            <w:r>
              <w:rPr>
                <w:spacing w:val="-8"/>
                <w:sz w:val="24"/>
              </w:rPr>
              <w:t> </w:t>
            </w:r>
            <w:r>
              <w:rPr>
                <w:sz w:val="24"/>
              </w:rPr>
              <w:t>igual ou 3 vezes acima do limite superior da</w:t>
            </w:r>
            <w:r>
              <w:rPr>
                <w:spacing w:val="-8"/>
                <w:sz w:val="24"/>
              </w:rPr>
              <w:t> </w:t>
            </w:r>
            <w:r>
              <w:rPr>
                <w:sz w:val="24"/>
              </w:rPr>
              <w:t>normalidade.</w:t>
            </w:r>
          </w:p>
          <w:p>
            <w:pPr>
              <w:pStyle w:val="TableParagraph"/>
              <w:numPr>
                <w:ilvl w:val="0"/>
                <w:numId w:val="6"/>
              </w:numPr>
              <w:tabs>
                <w:tab w:pos="284" w:val="left" w:leader="none"/>
              </w:tabs>
              <w:spacing w:line="240" w:lineRule="auto" w:before="0" w:after="0"/>
              <w:ind w:left="110" w:right="0" w:firstLine="34"/>
              <w:jc w:val="left"/>
              <w:rPr>
                <w:sz w:val="24"/>
              </w:rPr>
            </w:pPr>
            <w:r>
              <w:rPr>
                <w:sz w:val="24"/>
              </w:rPr>
              <w:t>Taxa de depuração de creatinina inferior a</w:t>
            </w:r>
            <w:r>
              <w:rPr>
                <w:spacing w:val="-6"/>
                <w:sz w:val="24"/>
              </w:rPr>
              <w:t> </w:t>
            </w:r>
            <w:r>
              <w:rPr>
                <w:sz w:val="24"/>
              </w:rPr>
              <w:t>30</w:t>
            </w:r>
          </w:p>
          <w:p>
            <w:pPr>
              <w:pStyle w:val="TableParagraph"/>
              <w:spacing w:line="274" w:lineRule="exact"/>
              <w:ind w:left="110" w:right="322"/>
              <w:rPr>
                <w:sz w:val="24"/>
              </w:rPr>
            </w:pPr>
            <w:r>
              <w:rPr>
                <w:sz w:val="24"/>
              </w:rPr>
              <w:t>ml/min/1,73m2 de superfície corporal na ausência de terapia dialítica crônica.</w:t>
            </w:r>
          </w:p>
        </w:tc>
      </w:tr>
      <w:tr>
        <w:trPr>
          <w:trHeight w:val="4142" w:hRule="atLeast"/>
        </w:trPr>
        <w:tc>
          <w:tcPr>
            <w:tcW w:w="4647" w:type="dxa"/>
          </w:tcPr>
          <w:p>
            <w:pPr>
              <w:pStyle w:val="TableParagraph"/>
              <w:spacing w:line="270" w:lineRule="exact"/>
              <w:ind w:left="674"/>
              <w:rPr>
                <w:sz w:val="24"/>
              </w:rPr>
            </w:pPr>
            <w:r>
              <w:rPr>
                <w:sz w:val="24"/>
              </w:rPr>
              <w:t>Metotrexato</w:t>
            </w:r>
          </w:p>
        </w:tc>
        <w:tc>
          <w:tcPr>
            <w:tcW w:w="5561" w:type="dxa"/>
          </w:tcPr>
          <w:p>
            <w:pPr>
              <w:pStyle w:val="TableParagraph"/>
              <w:numPr>
                <w:ilvl w:val="0"/>
                <w:numId w:val="7"/>
              </w:numPr>
              <w:tabs>
                <w:tab w:pos="284" w:val="left" w:leader="none"/>
              </w:tabs>
              <w:spacing w:line="240" w:lineRule="auto" w:before="0" w:after="0"/>
              <w:ind w:left="110" w:right="101"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7"/>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7"/>
              </w:numPr>
              <w:tabs>
                <w:tab w:pos="286" w:val="left" w:leader="none"/>
              </w:tabs>
              <w:spacing w:line="240" w:lineRule="auto" w:before="0" w:after="0"/>
              <w:ind w:left="110" w:right="975" w:firstLine="34"/>
              <w:jc w:val="left"/>
              <w:rPr>
                <w:sz w:val="24"/>
              </w:rPr>
            </w:pPr>
            <w:r>
              <w:rPr>
                <w:sz w:val="24"/>
              </w:rPr>
              <w:t>Infecção bacteriana com indicação de uso</w:t>
            </w:r>
            <w:r>
              <w:rPr>
                <w:spacing w:val="-9"/>
                <w:sz w:val="24"/>
              </w:rPr>
              <w:t> </w:t>
            </w:r>
            <w:r>
              <w:rPr>
                <w:sz w:val="24"/>
              </w:rPr>
              <w:t>de antibiótico.</w:t>
            </w:r>
          </w:p>
          <w:p>
            <w:pPr>
              <w:pStyle w:val="TableParagraph"/>
              <w:numPr>
                <w:ilvl w:val="0"/>
                <w:numId w:val="7"/>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7"/>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7"/>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7"/>
              </w:numPr>
              <w:tabs>
                <w:tab w:pos="284" w:val="left" w:leader="none"/>
              </w:tabs>
              <w:spacing w:line="240" w:lineRule="auto" w:before="0" w:after="0"/>
              <w:ind w:left="110" w:right="658" w:firstLine="34"/>
              <w:jc w:val="left"/>
              <w:rPr>
                <w:sz w:val="24"/>
              </w:rPr>
            </w:pPr>
            <w:r>
              <w:rPr>
                <w:sz w:val="24"/>
              </w:rPr>
              <w:t>Gestação, amamentação e concepção (homens</w:t>
            </w:r>
            <w:r>
              <w:rPr>
                <w:spacing w:val="-8"/>
                <w:sz w:val="24"/>
              </w:rPr>
              <w:t> </w:t>
            </w:r>
            <w:r>
              <w:rPr>
                <w:sz w:val="24"/>
              </w:rPr>
              <w:t>e mulheres).</w:t>
            </w:r>
          </w:p>
          <w:p>
            <w:pPr>
              <w:pStyle w:val="TableParagraph"/>
              <w:numPr>
                <w:ilvl w:val="0"/>
                <w:numId w:val="7"/>
              </w:numPr>
              <w:tabs>
                <w:tab w:pos="284" w:val="left" w:leader="none"/>
              </w:tabs>
              <w:spacing w:line="240" w:lineRule="auto" w:before="0" w:after="0"/>
              <w:ind w:left="110" w:right="356" w:firstLine="34"/>
              <w:jc w:val="left"/>
              <w:rPr>
                <w:sz w:val="24"/>
              </w:rPr>
            </w:pPr>
            <w:r>
              <w:rPr>
                <w:sz w:val="24"/>
              </w:rPr>
              <w:t>Elevação de aminotransferases/transaminases</w:t>
            </w:r>
            <w:r>
              <w:rPr>
                <w:spacing w:val="-10"/>
                <w:sz w:val="24"/>
              </w:rPr>
              <w:t> </w:t>
            </w:r>
            <w:r>
              <w:rPr>
                <w:sz w:val="24"/>
              </w:rPr>
              <w:t>igual ou 3 vezes acima do limite superior da</w:t>
            </w:r>
            <w:r>
              <w:rPr>
                <w:spacing w:val="-8"/>
                <w:sz w:val="24"/>
              </w:rPr>
              <w:t> </w:t>
            </w:r>
            <w:r>
              <w:rPr>
                <w:sz w:val="24"/>
              </w:rPr>
              <w:t>normalidade.</w:t>
            </w:r>
          </w:p>
          <w:p>
            <w:pPr>
              <w:pStyle w:val="TableParagraph"/>
              <w:numPr>
                <w:ilvl w:val="0"/>
                <w:numId w:val="7"/>
              </w:numPr>
              <w:tabs>
                <w:tab w:pos="284" w:val="left" w:leader="none"/>
              </w:tabs>
              <w:spacing w:line="240" w:lineRule="auto" w:before="0" w:after="0"/>
              <w:ind w:left="110" w:right="0" w:firstLine="34"/>
              <w:jc w:val="left"/>
              <w:rPr>
                <w:sz w:val="24"/>
              </w:rPr>
            </w:pPr>
            <w:r>
              <w:rPr>
                <w:sz w:val="24"/>
              </w:rPr>
              <w:t>Taxa de depuração de creatinina inferior a</w:t>
            </w:r>
            <w:r>
              <w:rPr>
                <w:spacing w:val="-6"/>
                <w:sz w:val="24"/>
              </w:rPr>
              <w:t> </w:t>
            </w:r>
            <w:r>
              <w:rPr>
                <w:sz w:val="24"/>
              </w:rPr>
              <w:t>30</w:t>
            </w:r>
          </w:p>
          <w:p>
            <w:pPr>
              <w:pStyle w:val="TableParagraph"/>
              <w:spacing w:line="270" w:lineRule="atLeast"/>
              <w:ind w:left="110" w:right="322"/>
              <w:rPr>
                <w:sz w:val="24"/>
              </w:rPr>
            </w:pPr>
            <w:r>
              <w:rPr>
                <w:sz w:val="24"/>
              </w:rPr>
              <w:t>ml/min/1,73m2 de superfície corporal na ausência de terapia dialítica crônica.</w:t>
            </w:r>
          </w:p>
        </w:tc>
      </w:tr>
      <w:tr>
        <w:trPr>
          <w:trHeight w:val="2207" w:hRule="atLeast"/>
        </w:trPr>
        <w:tc>
          <w:tcPr>
            <w:tcW w:w="4647" w:type="dxa"/>
          </w:tcPr>
          <w:p>
            <w:pPr>
              <w:pStyle w:val="TableParagraph"/>
              <w:spacing w:line="268" w:lineRule="exact"/>
              <w:ind w:left="674"/>
              <w:rPr>
                <w:sz w:val="24"/>
              </w:rPr>
            </w:pPr>
            <w:r>
              <w:rPr>
                <w:sz w:val="24"/>
              </w:rPr>
              <w:t>Sulfassalazina</w:t>
            </w:r>
          </w:p>
        </w:tc>
        <w:tc>
          <w:tcPr>
            <w:tcW w:w="5561" w:type="dxa"/>
          </w:tcPr>
          <w:p>
            <w:pPr>
              <w:pStyle w:val="TableParagraph"/>
              <w:numPr>
                <w:ilvl w:val="0"/>
                <w:numId w:val="8"/>
              </w:numPr>
              <w:tabs>
                <w:tab w:pos="284" w:val="left" w:leader="none"/>
              </w:tabs>
              <w:spacing w:line="240" w:lineRule="auto" w:before="0" w:after="0"/>
              <w:ind w:left="110" w:right="101"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8"/>
              </w:numPr>
              <w:tabs>
                <w:tab w:pos="284" w:val="left" w:leader="none"/>
              </w:tabs>
              <w:spacing w:line="240" w:lineRule="auto" w:before="0" w:after="0"/>
              <w:ind w:left="110" w:right="0" w:firstLine="34"/>
              <w:jc w:val="left"/>
              <w:rPr>
                <w:sz w:val="24"/>
              </w:rPr>
            </w:pPr>
            <w:r>
              <w:rPr>
                <w:sz w:val="24"/>
              </w:rPr>
              <w:t>Porfiria.</w:t>
            </w:r>
          </w:p>
          <w:p>
            <w:pPr>
              <w:pStyle w:val="TableParagraph"/>
              <w:numPr>
                <w:ilvl w:val="0"/>
                <w:numId w:val="8"/>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8"/>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8"/>
              </w:numPr>
              <w:tabs>
                <w:tab w:pos="284" w:val="left" w:leader="none"/>
              </w:tabs>
              <w:spacing w:line="240" w:lineRule="auto" w:before="0" w:after="0"/>
              <w:ind w:left="110" w:right="0" w:firstLine="34"/>
              <w:jc w:val="left"/>
              <w:rPr>
                <w:sz w:val="24"/>
              </w:rPr>
            </w:pPr>
            <w:r>
              <w:rPr>
                <w:sz w:val="24"/>
              </w:rPr>
              <w:t>Artrite reumatoide juvenil, forma</w:t>
            </w:r>
            <w:r>
              <w:rPr>
                <w:spacing w:val="-3"/>
                <w:sz w:val="24"/>
              </w:rPr>
              <w:t> </w:t>
            </w:r>
            <w:r>
              <w:rPr>
                <w:sz w:val="24"/>
              </w:rPr>
              <w:t>sistêmica.</w:t>
            </w:r>
          </w:p>
          <w:p>
            <w:pPr>
              <w:pStyle w:val="TableParagraph"/>
              <w:numPr>
                <w:ilvl w:val="0"/>
                <w:numId w:val="8"/>
              </w:numPr>
              <w:tabs>
                <w:tab w:pos="284" w:val="left" w:leader="none"/>
              </w:tabs>
              <w:spacing w:line="270" w:lineRule="atLeast" w:before="0" w:after="0"/>
              <w:ind w:left="110" w:right="356" w:firstLine="34"/>
              <w:jc w:val="left"/>
              <w:rPr>
                <w:sz w:val="24"/>
              </w:rPr>
            </w:pPr>
            <w:r>
              <w:rPr>
                <w:sz w:val="24"/>
              </w:rPr>
              <w:t>Elevação de aminotransferases/transaminases</w:t>
            </w:r>
            <w:r>
              <w:rPr>
                <w:spacing w:val="-10"/>
                <w:sz w:val="24"/>
              </w:rPr>
              <w:t> </w:t>
            </w:r>
            <w:r>
              <w:rPr>
                <w:sz w:val="24"/>
              </w:rPr>
              <w:t>igual ou 3 vezes acima do limite superior da</w:t>
            </w:r>
            <w:r>
              <w:rPr>
                <w:spacing w:val="-8"/>
                <w:sz w:val="24"/>
              </w:rPr>
              <w:t> </w:t>
            </w:r>
            <w:r>
              <w:rPr>
                <w:sz w:val="24"/>
              </w:rPr>
              <w:t>normalidade.</w:t>
            </w:r>
          </w:p>
        </w:tc>
      </w:tr>
      <w:tr>
        <w:trPr>
          <w:trHeight w:val="3588" w:hRule="atLeast"/>
        </w:trPr>
        <w:tc>
          <w:tcPr>
            <w:tcW w:w="4647" w:type="dxa"/>
          </w:tcPr>
          <w:p>
            <w:pPr>
              <w:pStyle w:val="TableParagraph"/>
              <w:spacing w:line="268" w:lineRule="exact"/>
              <w:ind w:left="674"/>
              <w:rPr>
                <w:sz w:val="24"/>
              </w:rPr>
            </w:pPr>
            <w:r>
              <w:rPr>
                <w:sz w:val="24"/>
              </w:rPr>
              <w:t>Leflunomida</w:t>
            </w:r>
          </w:p>
        </w:tc>
        <w:tc>
          <w:tcPr>
            <w:tcW w:w="5561" w:type="dxa"/>
          </w:tcPr>
          <w:p>
            <w:pPr>
              <w:pStyle w:val="TableParagraph"/>
              <w:numPr>
                <w:ilvl w:val="0"/>
                <w:numId w:val="9"/>
              </w:numPr>
              <w:tabs>
                <w:tab w:pos="284" w:val="left" w:leader="none"/>
              </w:tabs>
              <w:spacing w:line="240" w:lineRule="auto" w:before="0" w:after="0"/>
              <w:ind w:left="110" w:right="101"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9"/>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9"/>
              </w:numPr>
              <w:tabs>
                <w:tab w:pos="286" w:val="left" w:leader="none"/>
              </w:tabs>
              <w:spacing w:line="240" w:lineRule="auto" w:before="0" w:after="0"/>
              <w:ind w:left="110" w:right="975" w:firstLine="34"/>
              <w:jc w:val="left"/>
              <w:rPr>
                <w:sz w:val="24"/>
              </w:rPr>
            </w:pPr>
            <w:r>
              <w:rPr>
                <w:sz w:val="24"/>
              </w:rPr>
              <w:t>Infecção bacteriana com indicação de uso</w:t>
            </w:r>
            <w:r>
              <w:rPr>
                <w:spacing w:val="-9"/>
                <w:sz w:val="24"/>
              </w:rPr>
              <w:t> </w:t>
            </w:r>
            <w:r>
              <w:rPr>
                <w:sz w:val="24"/>
              </w:rPr>
              <w:t>de antibiótico.</w:t>
            </w:r>
          </w:p>
          <w:p>
            <w:pPr>
              <w:pStyle w:val="TableParagraph"/>
              <w:numPr>
                <w:ilvl w:val="0"/>
                <w:numId w:val="9"/>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9"/>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9"/>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9"/>
              </w:numPr>
              <w:tabs>
                <w:tab w:pos="284" w:val="left" w:leader="none"/>
              </w:tabs>
              <w:spacing w:line="240" w:lineRule="auto" w:before="0" w:after="0"/>
              <w:ind w:left="110" w:right="717" w:firstLine="34"/>
              <w:jc w:val="left"/>
              <w:rPr>
                <w:sz w:val="24"/>
              </w:rPr>
            </w:pPr>
            <w:r>
              <w:rPr>
                <w:sz w:val="24"/>
              </w:rPr>
              <w:t>Gestação,amamentação e concepção (homens</w:t>
            </w:r>
            <w:r>
              <w:rPr>
                <w:spacing w:val="-8"/>
                <w:sz w:val="24"/>
              </w:rPr>
              <w:t> </w:t>
            </w:r>
            <w:r>
              <w:rPr>
                <w:sz w:val="24"/>
              </w:rPr>
              <w:t>e mulheres).</w:t>
            </w:r>
          </w:p>
          <w:p>
            <w:pPr>
              <w:pStyle w:val="TableParagraph"/>
              <w:numPr>
                <w:ilvl w:val="0"/>
                <w:numId w:val="9"/>
              </w:numPr>
              <w:tabs>
                <w:tab w:pos="284" w:val="left" w:leader="none"/>
              </w:tabs>
              <w:spacing w:line="240" w:lineRule="auto" w:before="0" w:after="0"/>
              <w:ind w:left="110" w:right="352" w:firstLine="34"/>
              <w:jc w:val="left"/>
              <w:rPr>
                <w:sz w:val="24"/>
              </w:rPr>
            </w:pPr>
            <w:r>
              <w:rPr>
                <w:sz w:val="24"/>
              </w:rPr>
              <w:t>Elevação de aminotransferases/transaminases igual ou 3 vezes acima do limite superior da</w:t>
            </w:r>
            <w:r>
              <w:rPr>
                <w:spacing w:val="-8"/>
                <w:sz w:val="24"/>
              </w:rPr>
              <w:t> </w:t>
            </w:r>
            <w:r>
              <w:rPr>
                <w:sz w:val="24"/>
              </w:rPr>
              <w:t>normalidade.</w:t>
            </w:r>
          </w:p>
          <w:p>
            <w:pPr>
              <w:pStyle w:val="TableParagraph"/>
              <w:numPr>
                <w:ilvl w:val="0"/>
                <w:numId w:val="9"/>
              </w:numPr>
              <w:tabs>
                <w:tab w:pos="284" w:val="left" w:leader="none"/>
              </w:tabs>
              <w:spacing w:line="264" w:lineRule="exact" w:before="0" w:after="0"/>
              <w:ind w:left="110" w:right="0" w:firstLine="34"/>
              <w:jc w:val="left"/>
              <w:rPr>
                <w:sz w:val="24"/>
              </w:rPr>
            </w:pPr>
            <w:r>
              <w:rPr>
                <w:sz w:val="24"/>
              </w:rPr>
              <w:t>Taxa de depuração de creatinina inferior a</w:t>
            </w:r>
            <w:r>
              <w:rPr>
                <w:spacing w:val="-6"/>
                <w:sz w:val="24"/>
              </w:rPr>
              <w:t> </w:t>
            </w:r>
            <w:r>
              <w:rPr>
                <w:sz w:val="24"/>
              </w:rPr>
              <w:t>30</w:t>
            </w:r>
          </w:p>
        </w:tc>
      </w:tr>
    </w:tbl>
    <w:p>
      <w:pPr>
        <w:spacing w:after="0" w:line="264" w:lineRule="exact"/>
        <w:jc w:val="lef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7"/>
        <w:gridCol w:w="5561"/>
      </w:tblGrid>
      <w:tr>
        <w:trPr>
          <w:trHeight w:val="551" w:hRule="atLeast"/>
        </w:trPr>
        <w:tc>
          <w:tcPr>
            <w:tcW w:w="4647" w:type="dxa"/>
          </w:tcPr>
          <w:p>
            <w:pPr>
              <w:pStyle w:val="TableParagraph"/>
              <w:rPr>
                <w:sz w:val="24"/>
              </w:rPr>
            </w:pPr>
          </w:p>
        </w:tc>
        <w:tc>
          <w:tcPr>
            <w:tcW w:w="5561" w:type="dxa"/>
          </w:tcPr>
          <w:p>
            <w:pPr>
              <w:pStyle w:val="TableParagraph"/>
              <w:spacing w:line="268" w:lineRule="exact"/>
              <w:ind w:left="110"/>
              <w:rPr>
                <w:sz w:val="24"/>
              </w:rPr>
            </w:pPr>
            <w:r>
              <w:rPr>
                <w:sz w:val="24"/>
              </w:rPr>
              <w:t>ml/min/1,73m2 de superfície corporal na ausência de</w:t>
            </w:r>
          </w:p>
          <w:p>
            <w:pPr>
              <w:pStyle w:val="TableParagraph"/>
              <w:spacing w:line="264" w:lineRule="exact"/>
              <w:ind w:left="110"/>
              <w:rPr>
                <w:sz w:val="24"/>
              </w:rPr>
            </w:pPr>
            <w:r>
              <w:rPr>
                <w:sz w:val="24"/>
              </w:rPr>
              <w:t>terapia dialítica crônica.</w:t>
            </w:r>
          </w:p>
        </w:tc>
      </w:tr>
      <w:tr>
        <w:trPr>
          <w:trHeight w:val="830" w:hRule="atLeast"/>
        </w:trPr>
        <w:tc>
          <w:tcPr>
            <w:tcW w:w="4647" w:type="dxa"/>
          </w:tcPr>
          <w:p>
            <w:pPr>
              <w:pStyle w:val="TableParagraph"/>
              <w:spacing w:line="270" w:lineRule="exact"/>
              <w:ind w:left="674"/>
              <w:rPr>
                <w:sz w:val="24"/>
              </w:rPr>
            </w:pPr>
            <w:r>
              <w:rPr>
                <w:sz w:val="24"/>
              </w:rPr>
              <w:t>Hidroxicloroquina e cloroquina</w:t>
            </w:r>
          </w:p>
        </w:tc>
        <w:tc>
          <w:tcPr>
            <w:tcW w:w="5561" w:type="dxa"/>
          </w:tcPr>
          <w:p>
            <w:pPr>
              <w:pStyle w:val="TableParagraph"/>
              <w:numPr>
                <w:ilvl w:val="0"/>
                <w:numId w:val="10"/>
              </w:numPr>
              <w:tabs>
                <w:tab w:pos="284" w:val="left" w:leader="none"/>
              </w:tabs>
              <w:spacing w:line="240" w:lineRule="auto" w:before="0" w:after="0"/>
              <w:ind w:left="110" w:right="97"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0"/>
              </w:numPr>
              <w:tabs>
                <w:tab w:pos="284" w:val="left" w:leader="none"/>
              </w:tabs>
              <w:spacing w:line="264" w:lineRule="exact" w:before="0" w:after="0"/>
              <w:ind w:left="110" w:right="0" w:firstLine="34"/>
              <w:jc w:val="left"/>
              <w:rPr>
                <w:sz w:val="24"/>
              </w:rPr>
            </w:pPr>
            <w:r>
              <w:rPr>
                <w:sz w:val="24"/>
              </w:rPr>
              <w:t>Retinopatia.</w:t>
            </w:r>
          </w:p>
        </w:tc>
      </w:tr>
      <w:tr>
        <w:trPr>
          <w:trHeight w:val="3036" w:hRule="atLeast"/>
        </w:trPr>
        <w:tc>
          <w:tcPr>
            <w:tcW w:w="4647" w:type="dxa"/>
          </w:tcPr>
          <w:p>
            <w:pPr>
              <w:pStyle w:val="TableParagraph"/>
              <w:tabs>
                <w:tab w:pos="2336" w:val="left" w:leader="none"/>
                <w:tab w:pos="3941" w:val="left" w:leader="none"/>
              </w:tabs>
              <w:ind w:left="107" w:right="101" w:firstLine="566"/>
              <w:rPr>
                <w:sz w:val="24"/>
              </w:rPr>
            </w:pPr>
            <w:r>
              <w:rPr>
                <w:sz w:val="24"/>
              </w:rPr>
              <w:t>Adalimumabe,</w:t>
              <w:tab/>
              <w:t>certolizumabe</w:t>
              <w:tab/>
              <w:t>pegol, etanercepte, infliximabe,</w:t>
            </w:r>
            <w:r>
              <w:rPr>
                <w:spacing w:val="-2"/>
                <w:sz w:val="24"/>
              </w:rPr>
              <w:t> </w:t>
            </w:r>
            <w:r>
              <w:rPr>
                <w:sz w:val="24"/>
              </w:rPr>
              <w:t>golimumabe.</w:t>
            </w:r>
          </w:p>
        </w:tc>
        <w:tc>
          <w:tcPr>
            <w:tcW w:w="5561" w:type="dxa"/>
          </w:tcPr>
          <w:p>
            <w:pPr>
              <w:pStyle w:val="TableParagraph"/>
              <w:numPr>
                <w:ilvl w:val="0"/>
                <w:numId w:val="11"/>
              </w:numPr>
              <w:tabs>
                <w:tab w:pos="284" w:val="left" w:leader="none"/>
              </w:tabs>
              <w:spacing w:line="240" w:lineRule="auto" w:before="0" w:after="0"/>
              <w:ind w:left="110" w:right="99"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1"/>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1"/>
              </w:numPr>
              <w:tabs>
                <w:tab w:pos="411" w:val="left" w:leader="none"/>
              </w:tabs>
              <w:spacing w:line="240" w:lineRule="auto" w:before="0" w:after="0"/>
              <w:ind w:left="110" w:right="96" w:firstLine="34"/>
              <w:jc w:val="left"/>
              <w:rPr>
                <w:sz w:val="24"/>
              </w:rPr>
            </w:pPr>
            <w:r>
              <w:rPr>
                <w:sz w:val="24"/>
              </w:rPr>
              <w:t>Infecção bacteriana com indicação de uso de antibiótico.</w:t>
            </w:r>
          </w:p>
          <w:p>
            <w:pPr>
              <w:pStyle w:val="TableParagraph"/>
              <w:numPr>
                <w:ilvl w:val="0"/>
                <w:numId w:val="11"/>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11"/>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1"/>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11"/>
              </w:numPr>
              <w:tabs>
                <w:tab w:pos="284" w:val="left" w:leader="none"/>
              </w:tabs>
              <w:spacing w:line="240" w:lineRule="auto" w:before="0" w:after="0"/>
              <w:ind w:left="110" w:right="0" w:firstLine="34"/>
              <w:jc w:val="left"/>
              <w:rPr>
                <w:sz w:val="24"/>
              </w:rPr>
            </w:pPr>
            <w:r>
              <w:rPr>
                <w:sz w:val="24"/>
              </w:rPr>
              <w:t>Doença linfoproliferativa nos últimos 5</w:t>
            </w:r>
            <w:r>
              <w:rPr>
                <w:spacing w:val="-4"/>
                <w:sz w:val="24"/>
              </w:rPr>
              <w:t> </w:t>
            </w:r>
            <w:r>
              <w:rPr>
                <w:sz w:val="24"/>
              </w:rPr>
              <w:t>anos.</w:t>
            </w:r>
          </w:p>
          <w:p>
            <w:pPr>
              <w:pStyle w:val="TableParagraph"/>
              <w:numPr>
                <w:ilvl w:val="0"/>
                <w:numId w:val="11"/>
              </w:numPr>
              <w:tabs>
                <w:tab w:pos="286" w:val="left" w:leader="none"/>
              </w:tabs>
              <w:spacing w:line="240" w:lineRule="auto" w:before="0" w:after="0"/>
              <w:ind w:left="285" w:right="0" w:hanging="141"/>
              <w:jc w:val="left"/>
              <w:rPr>
                <w:sz w:val="24"/>
              </w:rPr>
            </w:pPr>
            <w:r>
              <w:rPr>
                <w:sz w:val="24"/>
              </w:rPr>
              <w:t>Insuficiência cardíaca congestiva classes III ou</w:t>
            </w:r>
            <w:r>
              <w:rPr>
                <w:spacing w:val="-5"/>
                <w:sz w:val="24"/>
              </w:rPr>
              <w:t> </w:t>
            </w:r>
            <w:r>
              <w:rPr>
                <w:sz w:val="24"/>
              </w:rPr>
              <w:t>IV.</w:t>
            </w:r>
          </w:p>
          <w:p>
            <w:pPr>
              <w:pStyle w:val="TableParagraph"/>
              <w:numPr>
                <w:ilvl w:val="0"/>
                <w:numId w:val="11"/>
              </w:numPr>
              <w:tabs>
                <w:tab w:pos="284" w:val="left" w:leader="none"/>
              </w:tabs>
              <w:spacing w:line="264" w:lineRule="exact" w:before="0" w:after="0"/>
              <w:ind w:left="110" w:right="0" w:firstLine="34"/>
              <w:jc w:val="left"/>
              <w:rPr>
                <w:sz w:val="24"/>
              </w:rPr>
            </w:pPr>
            <w:r>
              <w:rPr>
                <w:sz w:val="24"/>
              </w:rPr>
              <w:t>Doença neurológica</w:t>
            </w:r>
            <w:r>
              <w:rPr>
                <w:spacing w:val="-3"/>
                <w:sz w:val="24"/>
              </w:rPr>
              <w:t> </w:t>
            </w:r>
            <w:r>
              <w:rPr>
                <w:sz w:val="24"/>
              </w:rPr>
              <w:t>desmielinizante.</w:t>
            </w:r>
          </w:p>
        </w:tc>
      </w:tr>
      <w:tr>
        <w:trPr>
          <w:trHeight w:val="2208" w:hRule="atLeast"/>
        </w:trPr>
        <w:tc>
          <w:tcPr>
            <w:tcW w:w="4647" w:type="dxa"/>
          </w:tcPr>
          <w:p>
            <w:pPr>
              <w:pStyle w:val="TableParagraph"/>
              <w:spacing w:line="268" w:lineRule="exact"/>
              <w:ind w:left="674"/>
              <w:rPr>
                <w:sz w:val="24"/>
              </w:rPr>
            </w:pPr>
            <w:r>
              <w:rPr>
                <w:sz w:val="24"/>
              </w:rPr>
              <w:t>Abatacepte</w:t>
            </w:r>
          </w:p>
        </w:tc>
        <w:tc>
          <w:tcPr>
            <w:tcW w:w="5561" w:type="dxa"/>
          </w:tcPr>
          <w:p>
            <w:pPr>
              <w:pStyle w:val="TableParagraph"/>
              <w:numPr>
                <w:ilvl w:val="0"/>
                <w:numId w:val="12"/>
              </w:numPr>
              <w:tabs>
                <w:tab w:pos="284" w:val="left" w:leader="none"/>
              </w:tabs>
              <w:spacing w:line="240" w:lineRule="auto" w:before="0" w:after="0"/>
              <w:ind w:left="110" w:right="99"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2"/>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2"/>
              </w:numPr>
              <w:tabs>
                <w:tab w:pos="411" w:val="left" w:leader="none"/>
              </w:tabs>
              <w:spacing w:line="240" w:lineRule="auto" w:before="0" w:after="0"/>
              <w:ind w:left="110" w:right="98" w:firstLine="34"/>
              <w:jc w:val="left"/>
              <w:rPr>
                <w:sz w:val="24"/>
              </w:rPr>
            </w:pPr>
            <w:r>
              <w:rPr>
                <w:sz w:val="24"/>
              </w:rPr>
              <w:t>Infecção bacteriana com indicação de uso de antibiótico.</w:t>
            </w:r>
          </w:p>
          <w:p>
            <w:pPr>
              <w:pStyle w:val="TableParagraph"/>
              <w:numPr>
                <w:ilvl w:val="0"/>
                <w:numId w:val="12"/>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12"/>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2"/>
              </w:numPr>
              <w:tabs>
                <w:tab w:pos="284" w:val="left" w:leader="none"/>
              </w:tabs>
              <w:spacing w:line="264" w:lineRule="exact" w:before="0" w:after="0"/>
              <w:ind w:left="110" w:right="0" w:firstLine="34"/>
              <w:jc w:val="left"/>
              <w:rPr>
                <w:sz w:val="24"/>
              </w:rPr>
            </w:pPr>
            <w:r>
              <w:rPr>
                <w:sz w:val="24"/>
              </w:rPr>
              <w:t>Hepatites B ou C</w:t>
            </w:r>
            <w:r>
              <w:rPr>
                <w:spacing w:val="-2"/>
                <w:sz w:val="24"/>
              </w:rPr>
              <w:t> </w:t>
            </w:r>
            <w:r>
              <w:rPr>
                <w:sz w:val="24"/>
              </w:rPr>
              <w:t>agudas.</w:t>
            </w:r>
          </w:p>
        </w:tc>
      </w:tr>
      <w:tr>
        <w:trPr>
          <w:trHeight w:val="2483" w:hRule="atLeast"/>
        </w:trPr>
        <w:tc>
          <w:tcPr>
            <w:tcW w:w="4647" w:type="dxa"/>
          </w:tcPr>
          <w:p>
            <w:pPr>
              <w:pStyle w:val="TableParagraph"/>
              <w:spacing w:line="268" w:lineRule="exact"/>
              <w:ind w:left="674"/>
              <w:rPr>
                <w:sz w:val="24"/>
              </w:rPr>
            </w:pPr>
            <w:r>
              <w:rPr>
                <w:sz w:val="24"/>
              </w:rPr>
              <w:t>Rituximabe</w:t>
            </w:r>
          </w:p>
        </w:tc>
        <w:tc>
          <w:tcPr>
            <w:tcW w:w="5561" w:type="dxa"/>
          </w:tcPr>
          <w:p>
            <w:pPr>
              <w:pStyle w:val="TableParagraph"/>
              <w:numPr>
                <w:ilvl w:val="0"/>
                <w:numId w:val="13"/>
              </w:numPr>
              <w:tabs>
                <w:tab w:pos="284" w:val="left" w:leader="none"/>
              </w:tabs>
              <w:spacing w:line="240" w:lineRule="auto" w:before="0" w:after="0"/>
              <w:ind w:left="110" w:right="99"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3"/>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3"/>
              </w:numPr>
              <w:tabs>
                <w:tab w:pos="411" w:val="left" w:leader="none"/>
              </w:tabs>
              <w:spacing w:line="240" w:lineRule="auto" w:before="0" w:after="0"/>
              <w:ind w:left="110" w:right="98" w:firstLine="34"/>
              <w:jc w:val="left"/>
              <w:rPr>
                <w:sz w:val="24"/>
              </w:rPr>
            </w:pPr>
            <w:r>
              <w:rPr>
                <w:sz w:val="24"/>
              </w:rPr>
              <w:t>Infecção bacteriana com indicação de uso de antibiótico.</w:t>
            </w:r>
          </w:p>
          <w:p>
            <w:pPr>
              <w:pStyle w:val="TableParagraph"/>
              <w:numPr>
                <w:ilvl w:val="0"/>
                <w:numId w:val="13"/>
              </w:numPr>
              <w:tabs>
                <w:tab w:pos="286" w:val="left" w:leader="none"/>
              </w:tabs>
              <w:spacing w:line="240" w:lineRule="auto" w:before="0" w:after="0"/>
              <w:ind w:left="285" w:right="0" w:hanging="141"/>
              <w:jc w:val="left"/>
              <w:rPr>
                <w:sz w:val="24"/>
              </w:rPr>
            </w:pPr>
            <w:r>
              <w:rPr>
                <w:sz w:val="24"/>
              </w:rPr>
              <w:t>Infecção fúngica ameaçadora à</w:t>
            </w:r>
            <w:r>
              <w:rPr>
                <w:spacing w:val="-1"/>
                <w:sz w:val="24"/>
              </w:rPr>
              <w:t> </w:t>
            </w:r>
            <w:r>
              <w:rPr>
                <w:sz w:val="24"/>
              </w:rPr>
              <w:t>vida.</w:t>
            </w:r>
          </w:p>
          <w:p>
            <w:pPr>
              <w:pStyle w:val="TableParagraph"/>
              <w:numPr>
                <w:ilvl w:val="0"/>
                <w:numId w:val="13"/>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3"/>
              </w:numPr>
              <w:tabs>
                <w:tab w:pos="286" w:val="left" w:leader="none"/>
              </w:tabs>
              <w:spacing w:line="240" w:lineRule="auto" w:before="0" w:after="0"/>
              <w:ind w:left="285" w:right="0" w:hanging="141"/>
              <w:jc w:val="left"/>
              <w:rPr>
                <w:sz w:val="24"/>
              </w:rPr>
            </w:pPr>
            <w:r>
              <w:rPr>
                <w:sz w:val="24"/>
              </w:rPr>
              <w:t>Leucoencefalopatia multifocal</w:t>
            </w:r>
            <w:r>
              <w:rPr>
                <w:spacing w:val="-2"/>
                <w:sz w:val="24"/>
              </w:rPr>
              <w:t> </w:t>
            </w:r>
            <w:r>
              <w:rPr>
                <w:sz w:val="24"/>
              </w:rPr>
              <w:t>progressiva.</w:t>
            </w:r>
          </w:p>
          <w:p>
            <w:pPr>
              <w:pStyle w:val="TableParagraph"/>
              <w:numPr>
                <w:ilvl w:val="0"/>
                <w:numId w:val="13"/>
              </w:numPr>
              <w:tabs>
                <w:tab w:pos="284" w:val="left" w:leader="none"/>
              </w:tabs>
              <w:spacing w:line="264" w:lineRule="exact" w:before="0" w:after="0"/>
              <w:ind w:left="110" w:right="0" w:firstLine="34"/>
              <w:jc w:val="left"/>
              <w:rPr>
                <w:sz w:val="24"/>
              </w:rPr>
            </w:pPr>
            <w:r>
              <w:rPr>
                <w:sz w:val="24"/>
              </w:rPr>
              <w:t>Hepatites B ou C</w:t>
            </w:r>
            <w:r>
              <w:rPr>
                <w:spacing w:val="-2"/>
                <w:sz w:val="24"/>
              </w:rPr>
              <w:t> </w:t>
            </w:r>
            <w:r>
              <w:rPr>
                <w:sz w:val="24"/>
              </w:rPr>
              <w:t>agudas.</w:t>
            </w:r>
          </w:p>
        </w:tc>
      </w:tr>
      <w:tr>
        <w:trPr>
          <w:trHeight w:val="3588" w:hRule="atLeast"/>
        </w:trPr>
        <w:tc>
          <w:tcPr>
            <w:tcW w:w="4647" w:type="dxa"/>
          </w:tcPr>
          <w:p>
            <w:pPr>
              <w:pStyle w:val="TableParagraph"/>
              <w:spacing w:line="268" w:lineRule="exact"/>
              <w:ind w:left="674"/>
              <w:rPr>
                <w:sz w:val="24"/>
              </w:rPr>
            </w:pPr>
            <w:r>
              <w:rPr>
                <w:sz w:val="24"/>
              </w:rPr>
              <w:t>Tocilizumabe</w:t>
            </w:r>
          </w:p>
        </w:tc>
        <w:tc>
          <w:tcPr>
            <w:tcW w:w="5561" w:type="dxa"/>
          </w:tcPr>
          <w:p>
            <w:pPr>
              <w:pStyle w:val="TableParagraph"/>
              <w:numPr>
                <w:ilvl w:val="0"/>
                <w:numId w:val="14"/>
              </w:numPr>
              <w:tabs>
                <w:tab w:pos="284" w:val="left" w:leader="none"/>
              </w:tabs>
              <w:spacing w:line="240" w:lineRule="auto" w:before="0" w:after="0"/>
              <w:ind w:left="110" w:right="99"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4"/>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4"/>
              </w:numPr>
              <w:tabs>
                <w:tab w:pos="411" w:val="left" w:leader="none"/>
              </w:tabs>
              <w:spacing w:line="240" w:lineRule="auto" w:before="0" w:after="0"/>
              <w:ind w:left="110" w:right="97" w:firstLine="34"/>
              <w:jc w:val="left"/>
              <w:rPr>
                <w:sz w:val="24"/>
              </w:rPr>
            </w:pPr>
            <w:r>
              <w:rPr>
                <w:sz w:val="24"/>
              </w:rPr>
              <w:t>Infecção bacteriana com indicação de uso de antibiótico.</w:t>
            </w:r>
          </w:p>
          <w:p>
            <w:pPr>
              <w:pStyle w:val="TableParagraph"/>
              <w:numPr>
                <w:ilvl w:val="0"/>
                <w:numId w:val="14"/>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14"/>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4"/>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14"/>
              </w:numPr>
              <w:tabs>
                <w:tab w:pos="349" w:val="left" w:leader="none"/>
              </w:tabs>
              <w:spacing w:line="240" w:lineRule="auto" w:before="0" w:after="0"/>
              <w:ind w:left="110" w:right="101" w:firstLine="34"/>
              <w:jc w:val="left"/>
              <w:rPr>
                <w:sz w:val="24"/>
              </w:rPr>
            </w:pPr>
            <w:r>
              <w:rPr>
                <w:sz w:val="24"/>
              </w:rPr>
              <w:t>Elevação de aminotransferases/transaminases igual ou 3 vezes acima do limite superior da</w:t>
            </w:r>
            <w:r>
              <w:rPr>
                <w:spacing w:val="-6"/>
                <w:sz w:val="24"/>
              </w:rPr>
              <w:t> </w:t>
            </w:r>
            <w:r>
              <w:rPr>
                <w:sz w:val="24"/>
              </w:rPr>
              <w:t>normalidade.</w:t>
            </w:r>
          </w:p>
          <w:p>
            <w:pPr>
              <w:pStyle w:val="TableParagraph"/>
              <w:numPr>
                <w:ilvl w:val="0"/>
                <w:numId w:val="14"/>
              </w:numPr>
              <w:tabs>
                <w:tab w:pos="284" w:val="left" w:leader="none"/>
              </w:tabs>
              <w:spacing w:line="240" w:lineRule="auto" w:before="0" w:after="0"/>
              <w:ind w:left="110" w:right="0" w:firstLine="34"/>
              <w:jc w:val="left"/>
              <w:rPr>
                <w:sz w:val="24"/>
              </w:rPr>
            </w:pPr>
            <w:r>
              <w:rPr>
                <w:sz w:val="24"/>
              </w:rPr>
              <w:t>Contagem total de neutrófilos inferior a</w:t>
            </w:r>
            <w:r>
              <w:rPr>
                <w:spacing w:val="-5"/>
                <w:sz w:val="24"/>
              </w:rPr>
              <w:t> </w:t>
            </w:r>
            <w:r>
              <w:rPr>
                <w:sz w:val="24"/>
              </w:rPr>
              <w:t>1.000/mm3.</w:t>
            </w:r>
          </w:p>
          <w:p>
            <w:pPr>
              <w:pStyle w:val="TableParagraph"/>
              <w:numPr>
                <w:ilvl w:val="0"/>
                <w:numId w:val="14"/>
              </w:numPr>
              <w:tabs>
                <w:tab w:pos="284" w:val="left" w:leader="none"/>
              </w:tabs>
              <w:spacing w:line="240" w:lineRule="auto" w:before="0" w:after="0"/>
              <w:ind w:left="110" w:right="0" w:firstLine="34"/>
              <w:jc w:val="left"/>
              <w:rPr>
                <w:sz w:val="24"/>
              </w:rPr>
            </w:pPr>
            <w:r>
              <w:rPr>
                <w:sz w:val="24"/>
              </w:rPr>
              <w:t>Contagem total de plaquetas inferior a</w:t>
            </w:r>
            <w:r>
              <w:rPr>
                <w:spacing w:val="-6"/>
                <w:sz w:val="24"/>
              </w:rPr>
              <w:t> </w:t>
            </w:r>
            <w:r>
              <w:rPr>
                <w:sz w:val="24"/>
              </w:rPr>
              <w:t>50.000/mm3.</w:t>
            </w:r>
          </w:p>
          <w:p>
            <w:pPr>
              <w:pStyle w:val="TableParagraph"/>
              <w:numPr>
                <w:ilvl w:val="0"/>
                <w:numId w:val="14"/>
              </w:numPr>
              <w:tabs>
                <w:tab w:pos="284" w:val="left" w:leader="none"/>
              </w:tabs>
              <w:spacing w:line="264" w:lineRule="exact" w:before="0" w:after="0"/>
              <w:ind w:left="110" w:right="0" w:firstLine="34"/>
              <w:jc w:val="left"/>
              <w:rPr>
                <w:sz w:val="24"/>
              </w:rPr>
            </w:pPr>
            <w:r>
              <w:rPr>
                <w:sz w:val="24"/>
              </w:rPr>
              <w:t>Risco iminente de perfuração</w:t>
            </w:r>
            <w:r>
              <w:rPr>
                <w:spacing w:val="-3"/>
                <w:sz w:val="24"/>
              </w:rPr>
              <w:t> </w:t>
            </w:r>
            <w:r>
              <w:rPr>
                <w:sz w:val="24"/>
              </w:rPr>
              <w:t>intestinal.</w:t>
            </w:r>
          </w:p>
        </w:tc>
      </w:tr>
    </w:tbl>
    <w:p>
      <w:pPr>
        <w:spacing w:after="0" w:line="264" w:lineRule="exact"/>
        <w:jc w:val="lef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7"/>
        <w:gridCol w:w="5561"/>
      </w:tblGrid>
      <w:tr>
        <w:trPr>
          <w:trHeight w:val="2207" w:hRule="atLeast"/>
        </w:trPr>
        <w:tc>
          <w:tcPr>
            <w:tcW w:w="4647" w:type="dxa"/>
          </w:tcPr>
          <w:p>
            <w:pPr>
              <w:pStyle w:val="TableParagraph"/>
              <w:spacing w:line="268" w:lineRule="exact"/>
              <w:ind w:left="674"/>
              <w:rPr>
                <w:sz w:val="24"/>
              </w:rPr>
            </w:pPr>
            <w:r>
              <w:rPr>
                <w:sz w:val="24"/>
              </w:rPr>
              <w:t>Citrato de Tofacitinibe</w:t>
            </w:r>
          </w:p>
        </w:tc>
        <w:tc>
          <w:tcPr>
            <w:tcW w:w="5561" w:type="dxa"/>
          </w:tcPr>
          <w:p>
            <w:pPr>
              <w:pStyle w:val="TableParagraph"/>
              <w:numPr>
                <w:ilvl w:val="0"/>
                <w:numId w:val="15"/>
              </w:numPr>
              <w:tabs>
                <w:tab w:pos="284" w:val="left" w:leader="none"/>
              </w:tabs>
              <w:spacing w:line="240" w:lineRule="auto" w:before="0" w:after="0"/>
              <w:ind w:left="110" w:right="99"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5"/>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5"/>
              </w:numPr>
              <w:tabs>
                <w:tab w:pos="411" w:val="left" w:leader="none"/>
              </w:tabs>
              <w:spacing w:line="240" w:lineRule="auto" w:before="0" w:after="0"/>
              <w:ind w:left="110" w:right="98" w:firstLine="34"/>
              <w:jc w:val="left"/>
              <w:rPr>
                <w:sz w:val="24"/>
              </w:rPr>
            </w:pPr>
            <w:r>
              <w:rPr>
                <w:sz w:val="24"/>
              </w:rPr>
              <w:t>Infecção bacteriana com indicação de uso de antibiótico.</w:t>
            </w:r>
          </w:p>
          <w:p>
            <w:pPr>
              <w:pStyle w:val="TableParagraph"/>
              <w:numPr>
                <w:ilvl w:val="0"/>
                <w:numId w:val="15"/>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15"/>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5"/>
              </w:numPr>
              <w:tabs>
                <w:tab w:pos="284" w:val="left" w:leader="none"/>
              </w:tabs>
              <w:spacing w:line="264" w:lineRule="exact" w:before="0" w:after="0"/>
              <w:ind w:left="110" w:right="0" w:firstLine="34"/>
              <w:jc w:val="left"/>
              <w:rPr>
                <w:sz w:val="24"/>
              </w:rPr>
            </w:pPr>
            <w:r>
              <w:rPr>
                <w:sz w:val="24"/>
              </w:rPr>
              <w:t>Hepatites B ou C</w:t>
            </w:r>
            <w:r>
              <w:rPr>
                <w:spacing w:val="-2"/>
                <w:sz w:val="24"/>
              </w:rPr>
              <w:t> </w:t>
            </w:r>
            <w:r>
              <w:rPr>
                <w:sz w:val="24"/>
              </w:rPr>
              <w:t>agudas.</w:t>
            </w:r>
          </w:p>
        </w:tc>
      </w:tr>
      <w:tr>
        <w:trPr>
          <w:trHeight w:val="2208" w:hRule="atLeast"/>
        </w:trPr>
        <w:tc>
          <w:tcPr>
            <w:tcW w:w="4647" w:type="dxa"/>
          </w:tcPr>
          <w:p>
            <w:pPr>
              <w:pStyle w:val="TableParagraph"/>
              <w:spacing w:line="270" w:lineRule="exact"/>
              <w:ind w:left="674"/>
              <w:rPr>
                <w:sz w:val="24"/>
              </w:rPr>
            </w:pPr>
            <w:r>
              <w:rPr>
                <w:sz w:val="24"/>
              </w:rPr>
              <w:t>Azatioprina</w:t>
            </w:r>
          </w:p>
        </w:tc>
        <w:tc>
          <w:tcPr>
            <w:tcW w:w="5561" w:type="dxa"/>
          </w:tcPr>
          <w:p>
            <w:pPr>
              <w:pStyle w:val="TableParagraph"/>
              <w:numPr>
                <w:ilvl w:val="0"/>
                <w:numId w:val="16"/>
              </w:numPr>
              <w:tabs>
                <w:tab w:pos="284" w:val="left" w:leader="none"/>
              </w:tabs>
              <w:spacing w:line="237" w:lineRule="auto" w:before="0" w:after="0"/>
              <w:ind w:left="110" w:right="96"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6"/>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6"/>
              </w:numPr>
              <w:tabs>
                <w:tab w:pos="411" w:val="left" w:leader="none"/>
              </w:tabs>
              <w:spacing w:line="240" w:lineRule="auto" w:before="0" w:after="0"/>
              <w:ind w:left="110" w:right="98" w:firstLine="34"/>
              <w:jc w:val="left"/>
              <w:rPr>
                <w:sz w:val="24"/>
              </w:rPr>
            </w:pPr>
            <w:r>
              <w:rPr>
                <w:sz w:val="24"/>
              </w:rPr>
              <w:t>Infecção bacteriana com indicação de uso de antibiótico.</w:t>
            </w:r>
          </w:p>
          <w:p>
            <w:pPr>
              <w:pStyle w:val="TableParagraph"/>
              <w:numPr>
                <w:ilvl w:val="0"/>
                <w:numId w:val="16"/>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16"/>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6"/>
              </w:numPr>
              <w:tabs>
                <w:tab w:pos="284" w:val="left" w:leader="none"/>
              </w:tabs>
              <w:spacing w:line="264" w:lineRule="exact" w:before="0" w:after="0"/>
              <w:ind w:left="110" w:right="0" w:firstLine="34"/>
              <w:jc w:val="left"/>
              <w:rPr>
                <w:sz w:val="24"/>
              </w:rPr>
            </w:pPr>
            <w:r>
              <w:rPr>
                <w:sz w:val="24"/>
              </w:rPr>
              <w:t>Hepatites B ou C</w:t>
            </w:r>
            <w:r>
              <w:rPr>
                <w:spacing w:val="-2"/>
                <w:sz w:val="24"/>
              </w:rPr>
              <w:t> </w:t>
            </w:r>
            <w:r>
              <w:rPr>
                <w:sz w:val="24"/>
              </w:rPr>
              <w:t>agudas.</w:t>
            </w:r>
          </w:p>
        </w:tc>
      </w:tr>
      <w:tr>
        <w:trPr>
          <w:trHeight w:val="2486" w:hRule="atLeast"/>
        </w:trPr>
        <w:tc>
          <w:tcPr>
            <w:tcW w:w="4647" w:type="dxa"/>
          </w:tcPr>
          <w:p>
            <w:pPr>
              <w:pStyle w:val="TableParagraph"/>
              <w:spacing w:line="270" w:lineRule="exact"/>
              <w:ind w:left="674"/>
              <w:rPr>
                <w:sz w:val="24"/>
              </w:rPr>
            </w:pPr>
            <w:r>
              <w:rPr>
                <w:sz w:val="24"/>
              </w:rPr>
              <w:t>Ciclosporina</w:t>
            </w:r>
          </w:p>
        </w:tc>
        <w:tc>
          <w:tcPr>
            <w:tcW w:w="5561" w:type="dxa"/>
          </w:tcPr>
          <w:p>
            <w:pPr>
              <w:pStyle w:val="TableParagraph"/>
              <w:numPr>
                <w:ilvl w:val="0"/>
                <w:numId w:val="17"/>
              </w:numPr>
              <w:tabs>
                <w:tab w:pos="284" w:val="left" w:leader="none"/>
              </w:tabs>
              <w:spacing w:line="240" w:lineRule="auto" w:before="0" w:after="0"/>
              <w:ind w:left="110" w:right="98"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7"/>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7"/>
              </w:numPr>
              <w:tabs>
                <w:tab w:pos="411" w:val="left" w:leader="none"/>
              </w:tabs>
              <w:spacing w:line="240" w:lineRule="auto" w:before="0" w:after="0"/>
              <w:ind w:left="110" w:right="98" w:firstLine="34"/>
              <w:jc w:val="left"/>
              <w:rPr>
                <w:sz w:val="24"/>
              </w:rPr>
            </w:pPr>
            <w:r>
              <w:rPr>
                <w:sz w:val="24"/>
              </w:rPr>
              <w:t>Infecção bacteriana com indicação de uso de antibiótico.</w:t>
            </w:r>
          </w:p>
          <w:p>
            <w:pPr>
              <w:pStyle w:val="TableParagraph"/>
              <w:numPr>
                <w:ilvl w:val="0"/>
                <w:numId w:val="17"/>
              </w:numPr>
              <w:tabs>
                <w:tab w:pos="286" w:val="left" w:leader="none"/>
              </w:tabs>
              <w:spacing w:line="240" w:lineRule="auto" w:before="0" w:after="0"/>
              <w:ind w:left="285" w:right="0" w:hanging="141"/>
              <w:jc w:val="left"/>
              <w:rPr>
                <w:sz w:val="24"/>
              </w:rPr>
            </w:pPr>
            <w:r>
              <w:rPr>
                <w:sz w:val="24"/>
              </w:rPr>
              <w:t>Infecção fúngica ameaçadora à</w:t>
            </w:r>
            <w:r>
              <w:rPr>
                <w:spacing w:val="-3"/>
                <w:sz w:val="24"/>
              </w:rPr>
              <w:t> </w:t>
            </w:r>
            <w:r>
              <w:rPr>
                <w:sz w:val="24"/>
              </w:rPr>
              <w:t>vida.</w:t>
            </w:r>
          </w:p>
          <w:p>
            <w:pPr>
              <w:pStyle w:val="TableParagraph"/>
              <w:numPr>
                <w:ilvl w:val="0"/>
                <w:numId w:val="17"/>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7"/>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17"/>
              </w:numPr>
              <w:tabs>
                <w:tab w:pos="284" w:val="left" w:leader="none"/>
              </w:tabs>
              <w:spacing w:line="264" w:lineRule="exact" w:before="0" w:after="0"/>
              <w:ind w:left="110" w:right="0" w:firstLine="34"/>
              <w:jc w:val="left"/>
              <w:rPr>
                <w:sz w:val="24"/>
              </w:rPr>
            </w:pPr>
            <w:r>
              <w:rPr>
                <w:sz w:val="24"/>
              </w:rPr>
              <w:t>Hipertensão arterial sistêmica grave não</w:t>
            </w:r>
            <w:r>
              <w:rPr>
                <w:spacing w:val="-4"/>
                <w:sz w:val="24"/>
              </w:rPr>
              <w:t> </w:t>
            </w:r>
            <w:r>
              <w:rPr>
                <w:sz w:val="24"/>
              </w:rPr>
              <w:t>controlada.</w:t>
            </w:r>
          </w:p>
        </w:tc>
      </w:tr>
      <w:tr>
        <w:trPr>
          <w:trHeight w:val="2483" w:hRule="atLeast"/>
        </w:trPr>
        <w:tc>
          <w:tcPr>
            <w:tcW w:w="4647" w:type="dxa"/>
          </w:tcPr>
          <w:p>
            <w:pPr>
              <w:pStyle w:val="TableParagraph"/>
              <w:spacing w:line="268" w:lineRule="exact"/>
              <w:ind w:left="674"/>
              <w:rPr>
                <w:sz w:val="24"/>
              </w:rPr>
            </w:pPr>
            <w:r>
              <w:rPr>
                <w:sz w:val="24"/>
              </w:rPr>
              <w:t>Ciclofosfamida</w:t>
            </w:r>
          </w:p>
        </w:tc>
        <w:tc>
          <w:tcPr>
            <w:tcW w:w="5561" w:type="dxa"/>
          </w:tcPr>
          <w:p>
            <w:pPr>
              <w:pStyle w:val="TableParagraph"/>
              <w:numPr>
                <w:ilvl w:val="0"/>
                <w:numId w:val="18"/>
              </w:numPr>
              <w:tabs>
                <w:tab w:pos="284" w:val="left" w:leader="none"/>
              </w:tabs>
              <w:spacing w:line="240" w:lineRule="auto" w:before="0" w:after="0"/>
              <w:ind w:left="110" w:right="99" w:firstLine="34"/>
              <w:jc w:val="left"/>
              <w:rPr>
                <w:sz w:val="24"/>
              </w:rPr>
            </w:pPr>
            <w:r>
              <w:rPr>
                <w:sz w:val="24"/>
              </w:rPr>
              <w:t>Hipersensibilidade conhecida ao medicamento, classe ou</w:t>
            </w:r>
            <w:r>
              <w:rPr>
                <w:spacing w:val="-1"/>
                <w:sz w:val="24"/>
              </w:rPr>
              <w:t> </w:t>
            </w:r>
            <w:r>
              <w:rPr>
                <w:sz w:val="24"/>
              </w:rPr>
              <w:t>componentes.</w:t>
            </w:r>
          </w:p>
          <w:p>
            <w:pPr>
              <w:pStyle w:val="TableParagraph"/>
              <w:numPr>
                <w:ilvl w:val="0"/>
                <w:numId w:val="18"/>
              </w:numPr>
              <w:tabs>
                <w:tab w:pos="284" w:val="left" w:leader="none"/>
              </w:tabs>
              <w:spacing w:line="240" w:lineRule="auto" w:before="0" w:after="0"/>
              <w:ind w:left="110" w:right="0" w:firstLine="34"/>
              <w:jc w:val="left"/>
              <w:rPr>
                <w:sz w:val="24"/>
              </w:rPr>
            </w:pPr>
            <w:r>
              <w:rPr>
                <w:sz w:val="24"/>
              </w:rPr>
              <w:t>Tuberculose sem</w:t>
            </w:r>
            <w:r>
              <w:rPr>
                <w:spacing w:val="-2"/>
                <w:sz w:val="24"/>
              </w:rPr>
              <w:t> </w:t>
            </w:r>
            <w:r>
              <w:rPr>
                <w:sz w:val="24"/>
              </w:rPr>
              <w:t>tratamento.</w:t>
            </w:r>
          </w:p>
          <w:p>
            <w:pPr>
              <w:pStyle w:val="TableParagraph"/>
              <w:numPr>
                <w:ilvl w:val="0"/>
                <w:numId w:val="18"/>
              </w:numPr>
              <w:tabs>
                <w:tab w:pos="411" w:val="left" w:leader="none"/>
              </w:tabs>
              <w:spacing w:line="240" w:lineRule="auto" w:before="0" w:after="0"/>
              <w:ind w:left="110" w:right="98" w:firstLine="34"/>
              <w:jc w:val="left"/>
              <w:rPr>
                <w:sz w:val="24"/>
              </w:rPr>
            </w:pPr>
            <w:r>
              <w:rPr>
                <w:sz w:val="24"/>
              </w:rPr>
              <w:t>Infecção bacteriana com indicação de uso de antibiótico.</w:t>
            </w:r>
          </w:p>
          <w:p>
            <w:pPr>
              <w:pStyle w:val="TableParagraph"/>
              <w:numPr>
                <w:ilvl w:val="0"/>
                <w:numId w:val="18"/>
              </w:numPr>
              <w:tabs>
                <w:tab w:pos="286" w:val="left" w:leader="none"/>
              </w:tabs>
              <w:spacing w:line="240" w:lineRule="auto" w:before="0" w:after="0"/>
              <w:ind w:left="285" w:right="0" w:hanging="141"/>
              <w:jc w:val="left"/>
              <w:rPr>
                <w:sz w:val="24"/>
              </w:rPr>
            </w:pPr>
            <w:r>
              <w:rPr>
                <w:sz w:val="24"/>
              </w:rPr>
              <w:t>Infecção fúngica ameaçadora à</w:t>
            </w:r>
            <w:r>
              <w:rPr>
                <w:spacing w:val="-2"/>
                <w:sz w:val="24"/>
              </w:rPr>
              <w:t> </w:t>
            </w:r>
            <w:r>
              <w:rPr>
                <w:sz w:val="24"/>
              </w:rPr>
              <w:t>vida.</w:t>
            </w:r>
          </w:p>
          <w:p>
            <w:pPr>
              <w:pStyle w:val="TableParagraph"/>
              <w:numPr>
                <w:ilvl w:val="0"/>
                <w:numId w:val="18"/>
              </w:numPr>
              <w:tabs>
                <w:tab w:pos="286" w:val="left" w:leader="none"/>
              </w:tabs>
              <w:spacing w:line="240" w:lineRule="auto" w:before="0" w:after="0"/>
              <w:ind w:left="285" w:right="0" w:hanging="141"/>
              <w:jc w:val="left"/>
              <w:rPr>
                <w:sz w:val="24"/>
              </w:rPr>
            </w:pPr>
            <w:r>
              <w:rPr>
                <w:sz w:val="24"/>
              </w:rPr>
              <w:t>Infecção por herpes zoster</w:t>
            </w:r>
            <w:r>
              <w:rPr>
                <w:spacing w:val="-2"/>
                <w:sz w:val="24"/>
              </w:rPr>
              <w:t> </w:t>
            </w:r>
            <w:r>
              <w:rPr>
                <w:sz w:val="24"/>
              </w:rPr>
              <w:t>ativa.</w:t>
            </w:r>
          </w:p>
          <w:p>
            <w:pPr>
              <w:pStyle w:val="TableParagraph"/>
              <w:numPr>
                <w:ilvl w:val="0"/>
                <w:numId w:val="18"/>
              </w:numPr>
              <w:tabs>
                <w:tab w:pos="284" w:val="left" w:leader="none"/>
              </w:tabs>
              <w:spacing w:line="240" w:lineRule="auto" w:before="0" w:after="0"/>
              <w:ind w:left="110" w:right="0" w:firstLine="34"/>
              <w:jc w:val="left"/>
              <w:rPr>
                <w:sz w:val="24"/>
              </w:rPr>
            </w:pPr>
            <w:r>
              <w:rPr>
                <w:sz w:val="24"/>
              </w:rPr>
              <w:t>Hepatites B ou C</w:t>
            </w:r>
            <w:r>
              <w:rPr>
                <w:spacing w:val="-2"/>
                <w:sz w:val="24"/>
              </w:rPr>
              <w:t> </w:t>
            </w:r>
            <w:r>
              <w:rPr>
                <w:sz w:val="24"/>
              </w:rPr>
              <w:t>agudas.</w:t>
            </w:r>
          </w:p>
          <w:p>
            <w:pPr>
              <w:pStyle w:val="TableParagraph"/>
              <w:numPr>
                <w:ilvl w:val="0"/>
                <w:numId w:val="18"/>
              </w:numPr>
              <w:tabs>
                <w:tab w:pos="284" w:val="left" w:leader="none"/>
              </w:tabs>
              <w:spacing w:line="264" w:lineRule="exact" w:before="0" w:after="0"/>
              <w:ind w:left="110" w:right="0" w:firstLine="34"/>
              <w:jc w:val="left"/>
              <w:rPr>
                <w:sz w:val="24"/>
              </w:rPr>
            </w:pPr>
            <w:r>
              <w:rPr>
                <w:sz w:val="24"/>
              </w:rPr>
              <w:t>Cistite</w:t>
            </w:r>
            <w:r>
              <w:rPr>
                <w:spacing w:val="-2"/>
                <w:sz w:val="24"/>
              </w:rPr>
              <w:t> </w:t>
            </w:r>
            <w:r>
              <w:rPr>
                <w:sz w:val="24"/>
              </w:rPr>
              <w:t>hemorrágica.</w:t>
            </w:r>
          </w:p>
        </w:tc>
      </w:tr>
    </w:tbl>
    <w:p>
      <w:pPr>
        <w:pStyle w:val="BodyText"/>
        <w:spacing w:before="5"/>
        <w:ind w:left="0"/>
        <w:rPr>
          <w:sz w:val="15"/>
        </w:rPr>
      </w:pPr>
    </w:p>
    <w:p>
      <w:pPr>
        <w:pStyle w:val="BodyText"/>
        <w:spacing w:before="90"/>
        <w:ind w:right="122" w:firstLine="1418"/>
        <w:jc w:val="both"/>
      </w:pPr>
      <w:r>
        <w:rPr/>
        <w:t>Nas várias recomendações de tratamento medicamentoso dos pacientes com AR, o acompanhamento sistemático com progressão de medicamentos em caso de falha terapêutica é considerado estratégia custo-efetiva, uma vez que mantém os pacientes laboralmente ativos, melhorando  a capacidade funcional e a qualidade de vida a um custo aceitável para doenças crônicas em estudos realizados em alguns países (110-118).</w:t>
      </w:r>
    </w:p>
    <w:p>
      <w:pPr>
        <w:pStyle w:val="BodyText"/>
        <w:spacing w:before="1"/>
        <w:ind w:right="125" w:firstLine="1418"/>
        <w:jc w:val="both"/>
      </w:pPr>
      <w:r>
        <w:rPr/>
        <w:t>A administração de MMCD deve ser iniciada no momento do diagnóstico de AR. Avaliações clínicas frequentes, a cada 30 a 90 dias, são recomendadas. Em cada avaliação clínica, o ICAD pode auxiliar o médico no ajuste do tratamento, a ser realizado quando necessário. O objetivo do tratamento é manter a doença em atividade leve ou remissão segundo um ICAD (1,53). Caso contrário, considera-se falha ao tratamento em</w:t>
      </w:r>
      <w:r>
        <w:rPr>
          <w:spacing w:val="-3"/>
        </w:rPr>
        <w:t> </w:t>
      </w:r>
      <w:r>
        <w:rPr/>
        <w:t>uso.</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7" w:firstLine="1418"/>
        <w:jc w:val="both"/>
      </w:pPr>
      <w:r>
        <w:rPr/>
        <w:t>As falhas terapêuticas aos MMCD biológicos são classificadas em: (a) falha primária, quando o medicamento não atinge o objetivo terapêutico em nenhum momento durante período adequado de observação (de 3 a 6 meses); ou (b) falha secundária, quando, após resposta satisfatória inicial, há recidiva da doença, com piora da sua atividade. Falha secundária (ou resistência terapêutica adquirida) ocorre quando há atividade de doença moderada ou alta conforme um ICAD após período de atividade de doença baixa ou remissão induzida por esse mesmo medicamento. Esta falha tem sido atribuida ao surgimento de anticorpos contra a molécula dos MMCD biológicos, que apresentam maior imunogenecidade do que os MMCD sintéticos (119,120).</w:t>
      </w:r>
    </w:p>
    <w:p>
      <w:pPr>
        <w:pStyle w:val="BodyText"/>
        <w:ind w:right="124" w:firstLine="1418"/>
        <w:jc w:val="both"/>
      </w:pPr>
      <w:r>
        <w:rPr/>
        <w:t>Entre os MMCD sintéticos para o tratamento de AR, o metotrexato é o medicamento padrão, devendo ser iniciado tão logo o diagnóstico seja definido (1). Em revisões sistemáticas, o metotrexato foi seguro e eficaz na redução de sintomas, na incapacidade funcional e no dano estrutural, sendo semelhante a leflunomida e superior a outros MMCD sintéticos (121-124). Para otimizar seu perfil de segurança, este fármaco deve ser utilizado preferencialmente com ácido fólico (125-127).</w:t>
      </w:r>
    </w:p>
    <w:p>
      <w:pPr>
        <w:pStyle w:val="BodyText"/>
        <w:spacing w:before="1"/>
        <w:ind w:right="127" w:firstLine="1418"/>
        <w:jc w:val="both"/>
      </w:pPr>
      <w:r>
        <w:rPr/>
        <w:t>A leflunomida é eficaz no controle clínico e radiográfico de AR. Em revisão sistemática com 6 ensaios, leflunomida foi superior ao placebo na melhora clínica e radiográfica dos pacientes após 6 e 12 meses de uso, havendo benefício sustentado com perfil de segurança comparável aos de metotrexato e sulfassalazina após 2 anos de acompanhamento (123). Nos casos de toxicidade em que se pretende a reversão farmacológica do efeito da leflunomida, recomenda-se o uso de 50 g de carvão ativado, por via oral, a cada 6 horas, durante 24</w:t>
      </w:r>
      <w:r>
        <w:rPr>
          <w:spacing w:val="-2"/>
        </w:rPr>
        <w:t> </w:t>
      </w:r>
      <w:r>
        <w:rPr/>
        <w:t>horas.</w:t>
      </w:r>
    </w:p>
    <w:p>
      <w:pPr>
        <w:pStyle w:val="BodyText"/>
        <w:ind w:right="124" w:firstLine="1418"/>
        <w:jc w:val="both"/>
      </w:pPr>
      <w:r>
        <w:rPr/>
        <w:t>A sulfassalazina também é um MMCD sintético eficaz no tratamento de AR, como identificado por Suárez-Almazor e colaboradores (128) em revisão sistemática que incluiu mais de 400 pacientes de 6 ensaios clínicos randomizados e em que o benefício clínico sobre placebo foi evidenciado  e a melhora radiográfica pareceu</w:t>
      </w:r>
      <w:r>
        <w:rPr>
          <w:spacing w:val="-1"/>
        </w:rPr>
        <w:t> </w:t>
      </w:r>
      <w:r>
        <w:rPr/>
        <w:t>modesta.</w:t>
      </w:r>
    </w:p>
    <w:p>
      <w:pPr>
        <w:pStyle w:val="BodyText"/>
        <w:ind w:right="131" w:firstLine="1418"/>
        <w:jc w:val="both"/>
      </w:pPr>
      <w:r>
        <w:rPr/>
        <w:t>A hidroxicloroquina apresenta benefício clínico moderado e bom perfil de segurança, sem evidências consistentes de inibição de progressão radiográfica, como demonstrado em revisão sistemática com mais de 500 pacientes de 4 ensaios clínicos randomizados, identificando benefício clínico moderado e prevalência de eventos adversos comparáveis aos do grupo placebo (129).</w:t>
      </w:r>
    </w:p>
    <w:p>
      <w:pPr>
        <w:pStyle w:val="BodyText"/>
        <w:ind w:right="123" w:firstLine="1418"/>
        <w:jc w:val="both"/>
      </w:pPr>
      <w:r>
        <w:rPr/>
        <w:t>De maneira geral, os MMCD biológicos reduzem a inflamação articular, o dano estrutural e a incapacidade funcional e melhoram a qualidade de vida e, possivelmente, a fadiga (130-134). Não há dados suficientes sobre comparações diretas entre agentes biológicos que permitam definir a superioridade de um agente sobre o outro (135-138). No entanto, um MMCD biológico associado a metotrexato é melhor do que metotrexato isoladamente (139). Os MMCD biológicos não devem ser prescritos de forma associada entre si pelos riscos de eventos adversos graves (135). Há risco de aumento de infecções graves em pacientes com AR tratados com MMCD biológicos</w:t>
      </w:r>
      <w:r>
        <w:rPr>
          <w:spacing w:val="3"/>
        </w:rPr>
        <w:t> </w:t>
      </w:r>
      <w:r>
        <w:rPr/>
        <w:t>(140-144).</w:t>
      </w:r>
    </w:p>
    <w:p>
      <w:pPr>
        <w:pStyle w:val="BodyText"/>
        <w:ind w:right="123" w:firstLine="1418"/>
        <w:jc w:val="both"/>
      </w:pPr>
      <w:r>
        <w:rPr/>
        <w:t>No relatório de recomendação da Comissão Nacional de Incorporação de Tecnologias do Sistema Único de Saúde (CONITEC) sobre medicamentos biológicos para o tratamento da AR, publicado em junho de 2012, foram analisados estudos de comparação entre eles. Comparações indiretas entre todos os MMDC biológicos foram realizadas em 3 estudos: 2 sobre eficácia e 1 sobre segurança (145-147). Nos estudos de eficácia, a medida utilizada foi o critério ACR. Esse critério é medida de desfechos em ensaios clínicos e avalia a melhora na contagem de articulações dolorosas e edemaciadas e a melhora em pelo menos 3 dos 5 parâmetros a seguir:</w:t>
      </w:r>
    </w:p>
    <w:p>
      <w:pPr>
        <w:pStyle w:val="ListParagraph"/>
        <w:numPr>
          <w:ilvl w:val="1"/>
          <w:numId w:val="5"/>
        </w:numPr>
        <w:tabs>
          <w:tab w:pos="1671" w:val="left" w:leader="none"/>
        </w:tabs>
        <w:spacing w:line="240" w:lineRule="auto" w:before="1" w:after="0"/>
        <w:ind w:left="112" w:right="0" w:firstLine="1419"/>
        <w:jc w:val="left"/>
        <w:rPr>
          <w:sz w:val="24"/>
        </w:rPr>
      </w:pPr>
      <w:r>
        <w:rPr>
          <w:sz w:val="24"/>
        </w:rPr>
        <w:t>avaliação global da doença pelo</w:t>
      </w:r>
      <w:r>
        <w:rPr>
          <w:spacing w:val="-1"/>
          <w:sz w:val="24"/>
        </w:rPr>
        <w:t> </w:t>
      </w:r>
      <w:r>
        <w:rPr>
          <w:sz w:val="24"/>
        </w:rPr>
        <w:t>paciente;</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avaliação global da doença pelo</w:t>
      </w:r>
      <w:r>
        <w:rPr>
          <w:spacing w:val="-1"/>
          <w:sz w:val="24"/>
        </w:rPr>
        <w:t> </w:t>
      </w:r>
      <w:r>
        <w:rPr>
          <w:sz w:val="24"/>
        </w:rPr>
        <w:t>médico;</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avaliação da dor por meio de</w:t>
      </w:r>
      <w:r>
        <w:rPr>
          <w:spacing w:val="-2"/>
          <w:sz w:val="24"/>
        </w:rPr>
        <w:t> </w:t>
      </w:r>
      <w:r>
        <w:rPr>
          <w:sz w:val="24"/>
        </w:rPr>
        <w:t>escala;</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avaliação física por meio de questionário sobre incapacidade funcional;</w:t>
      </w:r>
      <w:r>
        <w:rPr>
          <w:spacing w:val="-7"/>
          <w:sz w:val="24"/>
        </w:rPr>
        <w:t> </w:t>
      </w:r>
      <w:r>
        <w:rPr>
          <w:sz w:val="24"/>
        </w:rPr>
        <w:t>e</w:t>
      </w:r>
    </w:p>
    <w:p>
      <w:pPr>
        <w:spacing w:after="0" w:line="240" w:lineRule="auto"/>
        <w:jc w:val="lef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1"/>
          <w:numId w:val="5"/>
        </w:numPr>
        <w:tabs>
          <w:tab w:pos="1830" w:val="left" w:leader="none"/>
        </w:tabs>
        <w:spacing w:line="240" w:lineRule="auto" w:before="90" w:after="0"/>
        <w:ind w:left="112" w:right="130" w:firstLine="1419"/>
        <w:jc w:val="both"/>
        <w:rPr>
          <w:sz w:val="24"/>
        </w:rPr>
      </w:pPr>
      <w:r>
        <w:rPr>
          <w:sz w:val="24"/>
        </w:rPr>
        <w:t>melhora em 1 das 2 provas inflamatórias de fase aguda (velocidade de hemossedimentação ou proteína C</w:t>
      </w:r>
      <w:r>
        <w:rPr>
          <w:spacing w:val="-1"/>
          <w:sz w:val="24"/>
        </w:rPr>
        <w:t> </w:t>
      </w:r>
      <w:r>
        <w:rPr>
          <w:sz w:val="24"/>
        </w:rPr>
        <w:t>reativa).</w:t>
      </w:r>
    </w:p>
    <w:p>
      <w:pPr>
        <w:pStyle w:val="BodyText"/>
        <w:ind w:right="126" w:firstLine="1418"/>
        <w:jc w:val="both"/>
      </w:pPr>
      <w:r>
        <w:rPr/>
        <w:t>Os critérios ACR 20, ACR 50 e ACR 70 indicam melhora em 20%, 50% e 70%, respectivamente, na contagem de articulações dolorosas e edemaciadas, e de 20%, 50% e 70%, respectivamente, em pelo menos 3 dos 5 parâmetros citados.</w:t>
      </w:r>
    </w:p>
    <w:p>
      <w:pPr>
        <w:pStyle w:val="BodyText"/>
        <w:ind w:right="129" w:firstLine="1418"/>
        <w:jc w:val="both"/>
      </w:pPr>
      <w:r>
        <w:rPr/>
        <w:t>O estudo de Devine e colaboradores (147) avaliou a resposta terapêutica, em 6 meses, medida por ACR 50 de 8 MMCD biológicos em pacientes com AR ativa que haviam apresentado falha de resposta ao tratamento prévio com metotrexato e não encontrou diferença significativa entre eles nesse desfecho.</w:t>
      </w:r>
    </w:p>
    <w:p>
      <w:pPr>
        <w:pStyle w:val="BodyText"/>
        <w:ind w:right="125" w:firstLine="1418"/>
        <w:jc w:val="both"/>
      </w:pPr>
      <w:r>
        <w:rPr/>
        <w:t>O estudo de Turkstra e colaboradores (145) avaliou os desfechos de eficácia de ACR 20, ACR 50 e ACR 70 de 8 MMCD biológicos em pacientes com AR ativa, apesar de tratamento prévio com MMCD, e mostrou que o certolizumabe pegol pode ser mais eficaz do que os demais. No entanto, os resultados de certolizumabe pegol foram imprecisos (grande intervalo de confiança para a estimativa de efeito), além de haver diferença no momento de ajuste de dose entre os estudos.</w:t>
      </w:r>
    </w:p>
    <w:p>
      <w:pPr>
        <w:pStyle w:val="BodyText"/>
        <w:spacing w:before="1"/>
        <w:ind w:right="124" w:firstLine="1418"/>
        <w:jc w:val="both"/>
      </w:pPr>
      <w:r>
        <w:rPr/>
        <w:t>Quanto aos anti-TNF (adalimumabe, certolizumabe pegol, etanercepte, infliximabe e golimumabe), a substituição de um por outro parece oferecer benefício, no entanto a verdadeira magnitude desse efeito bem como o custo-efetividade dessa estratégia precisam ser avaliados em estudos delineados especificamente para essas questões. Com relação à segurança, o estudo de Singh e colaboradores (148) encontrou os seguintes resultados para os desfechos</w:t>
      </w:r>
      <w:r>
        <w:rPr>
          <w:spacing w:val="-1"/>
        </w:rPr>
        <w:t> </w:t>
      </w:r>
      <w:r>
        <w:rPr/>
        <w:t>avaliados:</w:t>
      </w:r>
    </w:p>
    <w:p>
      <w:pPr>
        <w:pStyle w:val="ListParagraph"/>
        <w:numPr>
          <w:ilvl w:val="1"/>
          <w:numId w:val="5"/>
        </w:numPr>
        <w:tabs>
          <w:tab w:pos="1719" w:val="left" w:leader="none"/>
        </w:tabs>
        <w:spacing w:line="240" w:lineRule="auto" w:before="0" w:after="0"/>
        <w:ind w:left="112" w:right="126" w:firstLine="1419"/>
        <w:jc w:val="both"/>
        <w:rPr>
          <w:sz w:val="24"/>
        </w:rPr>
      </w:pPr>
      <w:r>
        <w:rPr>
          <w:sz w:val="24"/>
        </w:rPr>
        <w:t>eventos adversos graves: o certolizumabe pegol foi associado com maior número de eventos adversos graves em comparação com o adalimumabe e o abatacepte, ao passo que o adalimumabe apresentou maior taxa de eventos adversos graves do que o golimumabe. Não houve diferenças estatisticamente significativas entre os outros agentes biológicos para esse</w:t>
      </w:r>
      <w:r>
        <w:rPr>
          <w:spacing w:val="-8"/>
          <w:sz w:val="24"/>
        </w:rPr>
        <w:t> </w:t>
      </w:r>
      <w:r>
        <w:rPr>
          <w:sz w:val="24"/>
        </w:rPr>
        <w:t>desfecho;</w:t>
      </w:r>
    </w:p>
    <w:p>
      <w:pPr>
        <w:pStyle w:val="ListParagraph"/>
        <w:numPr>
          <w:ilvl w:val="1"/>
          <w:numId w:val="5"/>
        </w:numPr>
        <w:tabs>
          <w:tab w:pos="1760" w:val="left" w:leader="none"/>
        </w:tabs>
        <w:spacing w:line="240" w:lineRule="auto" w:before="0" w:after="0"/>
        <w:ind w:left="112" w:right="129" w:firstLine="1419"/>
        <w:jc w:val="both"/>
        <w:rPr>
          <w:sz w:val="24"/>
        </w:rPr>
      </w:pPr>
      <w:r>
        <w:rPr>
          <w:sz w:val="24"/>
        </w:rPr>
        <w:t>infecções graves: o certolizumabe pegol foi associado com maior incidência em comparação ao abatacepte, adalimumabe, etanercepte, golimumabe e</w:t>
      </w:r>
      <w:r>
        <w:rPr>
          <w:spacing w:val="-1"/>
          <w:sz w:val="24"/>
        </w:rPr>
        <w:t> </w:t>
      </w:r>
      <w:r>
        <w:rPr>
          <w:sz w:val="24"/>
        </w:rPr>
        <w:t>rituximabe;</w:t>
      </w:r>
    </w:p>
    <w:p>
      <w:pPr>
        <w:pStyle w:val="ListParagraph"/>
        <w:numPr>
          <w:ilvl w:val="1"/>
          <w:numId w:val="5"/>
        </w:numPr>
        <w:tabs>
          <w:tab w:pos="1702" w:val="left" w:leader="none"/>
        </w:tabs>
        <w:spacing w:line="240" w:lineRule="auto" w:before="0" w:after="0"/>
        <w:ind w:left="112" w:right="131" w:firstLine="1419"/>
        <w:jc w:val="both"/>
        <w:rPr>
          <w:sz w:val="24"/>
        </w:rPr>
      </w:pPr>
      <w:r>
        <w:rPr>
          <w:sz w:val="24"/>
        </w:rPr>
        <w:t>total de eventos adversos: não houve diferenças estatisticamente significativas entre os MMCD</w:t>
      </w:r>
      <w:r>
        <w:rPr>
          <w:spacing w:val="-1"/>
          <w:sz w:val="24"/>
        </w:rPr>
        <w:t> </w:t>
      </w:r>
      <w:r>
        <w:rPr>
          <w:sz w:val="24"/>
        </w:rPr>
        <w:t>biológicos;</w:t>
      </w:r>
    </w:p>
    <w:p>
      <w:pPr>
        <w:pStyle w:val="ListParagraph"/>
        <w:numPr>
          <w:ilvl w:val="1"/>
          <w:numId w:val="5"/>
        </w:numPr>
        <w:tabs>
          <w:tab w:pos="1676" w:val="left" w:leader="none"/>
        </w:tabs>
        <w:spacing w:line="240" w:lineRule="auto" w:before="0" w:after="0"/>
        <w:ind w:left="112" w:right="129" w:firstLine="1419"/>
        <w:jc w:val="both"/>
        <w:rPr>
          <w:sz w:val="24"/>
        </w:rPr>
      </w:pPr>
      <w:r>
        <w:rPr>
          <w:sz w:val="24"/>
        </w:rPr>
        <w:t>abandono devido a eventos adversos: não houve diferenças estatisticamente significativas entre os MMCD biológicos quando utilizados na dose</w:t>
      </w:r>
      <w:r>
        <w:rPr>
          <w:spacing w:val="-5"/>
          <w:sz w:val="24"/>
        </w:rPr>
        <w:t> </w:t>
      </w:r>
      <w:r>
        <w:rPr>
          <w:sz w:val="24"/>
        </w:rPr>
        <w:t>padrão.</w:t>
      </w:r>
    </w:p>
    <w:p>
      <w:pPr>
        <w:pStyle w:val="BodyText"/>
        <w:ind w:right="125" w:firstLine="1418"/>
        <w:jc w:val="both"/>
      </w:pPr>
      <w:r>
        <w:rPr/>
        <w:t>A meta-análise envolveu 163 ensaios clínicos randomizados com 50.010 pacientes e 46 estudos de seguimento com 11.954 pacientes com média de seguimento de 6 e 13</w:t>
      </w:r>
      <w:r>
        <w:rPr>
          <w:spacing w:val="41"/>
        </w:rPr>
        <w:t> </w:t>
      </w:r>
      <w:r>
        <w:rPr/>
        <w:t>meses, respectivamente. A taxa de reativação de tuberculose foi muito alta (razão de chances de 4,68 e o NNTH (</w:t>
      </w:r>
      <w:r>
        <w:rPr>
          <w:i/>
        </w:rPr>
        <w:t>number needed to treat to harm</w:t>
      </w:r>
      <w:r>
        <w:rPr/>
        <w:t>) de 681. De forma geral, os MMCD biológicos apresentam taxas elevadas de abandono por eventos adversos e o NNTH foi de 30 para qualquer efeito adverso. Por exemplo, o certolizumabe associou-se com alto risco de infecções graves, com razão de chances de 3,5 e NNTH = 17, e o infliximabe com altas taxas de abandono por eventos adversos, com razão de chances de 2 e NNTH=12</w:t>
      </w:r>
      <w:r>
        <w:rPr>
          <w:spacing w:val="-2"/>
        </w:rPr>
        <w:t> </w:t>
      </w:r>
      <w:r>
        <w:rPr/>
        <w:t>(146).</w:t>
      </w:r>
    </w:p>
    <w:p>
      <w:pPr>
        <w:pStyle w:val="BodyText"/>
        <w:spacing w:before="1"/>
        <w:ind w:right="126" w:firstLine="1418"/>
        <w:jc w:val="both"/>
      </w:pPr>
      <w:r>
        <w:rPr/>
        <w:t>Em coorte de 5 anos de acompanhamento, os anti-TNF (adalimumabe, etanercepte e infliximabe) não aumentaram o risco de neoplasia sólida em pacientes com AR sem história prévia deste tipo de neoplasia (149). Os anti-TNF aumentam o risco de tuberculose, devendo ser realizada, antes do início da terapia, pesquisa de infecção ativa ou de tuberculose latente, para o tratamento apropriado. Além disso, outras possíveis complicações do uso de anti-TNF são disfunção cardíaca, doenças desmielinizantes, fenômenos autoimunes (produção de autoanticorpos), vasculites, doença pulmonar intersticial e possível aumento do risco de linfoma.</w:t>
      </w:r>
    </w:p>
    <w:p>
      <w:pPr>
        <w:pStyle w:val="BodyText"/>
        <w:ind w:right="126" w:firstLine="1418"/>
        <w:jc w:val="both"/>
      </w:pPr>
      <w:r>
        <w:rPr/>
        <w:t>Em revisão sistemática com 5 ensaios clínicos randomizados controlados por placebo ou por metotrexato com placebo, Ruiz-Garcia e colaboradores (133) estimaram o NNT de certolizumabe</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4"/>
        <w:jc w:val="both"/>
      </w:pPr>
      <w:r>
        <w:rPr/>
        <w:t>pegol em 4 para benefício clínico significativo (ACR 50), havendo aumento de eventos adversos sérios, infecções e hipertensão nesse grupo de participantes de forma semelhante à de outros anti-TNF. Em outra revisão sistemática com 4 ensaios clínicos randomizados num total de mais de 1.500 pacientes, Singh e colaboradores (134) estimaram o NNT de golimumabe em 5 para benefício clínico significativo (ACR 50), havendo comparável número de eventos adversos em relação ao grupo placebo a curto prazo. Não houve diferença significativa entre os NNT dos diferentes agentes</w:t>
      </w:r>
      <w:r>
        <w:rPr>
          <w:spacing w:val="-5"/>
        </w:rPr>
        <w:t> </w:t>
      </w:r>
      <w:r>
        <w:rPr/>
        <w:t>anti-TNF.</w:t>
      </w:r>
    </w:p>
    <w:p>
      <w:pPr>
        <w:pStyle w:val="BodyText"/>
        <w:ind w:right="124" w:firstLine="1418"/>
        <w:jc w:val="both"/>
      </w:pPr>
      <w:r>
        <w:rPr/>
        <w:t>O rituximabe pode ter seu benefício percebido 3 a 4 meses após a última infusão. Os pacientes com FR ou anti-CCP parecem apresentar melhor resposta ao tratamento com este fármaco. Reações infusionais, em geral leves, podem ocorrer em até 35% dos casos na primeira administração e em cerca de 10% na segunda. Infecções, pneumonia intersticial, neutropenia e trombocitopenia podem ser complicações do tratamento com rituximabe. Os efeitos cardiovasculares deste tratamento ainda estão em estudo (130,135,138,145-147,150).</w:t>
      </w:r>
    </w:p>
    <w:p>
      <w:pPr>
        <w:pStyle w:val="BodyText"/>
        <w:spacing w:before="1"/>
        <w:ind w:right="125" w:firstLine="1418"/>
        <w:jc w:val="both"/>
      </w:pPr>
      <w:r>
        <w:rPr/>
        <w:t>O abatacepte mostrou-se eficaz e seguro a curto prazo no tratamento de AR, porém há necessidade de maior tempo de observação para confirmação desse perfil (151,152). Em revisão sistemática com mais de 2.900 pacientes de 7 ensaios clínicos randomizados controlados com placebo, Maxwell e colaboradores (151) estimaram o NNT de abatacepte em 5 para um benefício clínico significativo (ACR 50), havendo melhora estatística também sobre progressão radiográfica identificada após 12 meses de acompanhamento em um estudo.</w:t>
      </w:r>
    </w:p>
    <w:p>
      <w:pPr>
        <w:pStyle w:val="BodyText"/>
        <w:ind w:right="125" w:firstLine="1418"/>
        <w:jc w:val="both"/>
      </w:pPr>
      <w:r>
        <w:rPr/>
        <w:t>O tocilizumabe, a curto prazo, reduz a atividade de doença e melhora a capacidade funcional do doente, havendo, no entanto, aumento significativo nos níveis de colesterol e nos eventos adversos demonstrado nos estudos iniciais (153,154). Em revisão sistemática com mais de 3.300 participantes de 8 ensaios clínicos randomizados, Singh e colaboradores (153) estimaram uma probabilidade 11 vezes maior de os pacientes em uso de tocilizumabe na dose de 8 mg/kg atingirem remissão clínica do que os pacientes em uso de placebo, sem um poder suficientemente grande para conhecimento do perfil de segurança a longo prazo.</w:t>
      </w:r>
    </w:p>
    <w:p>
      <w:pPr>
        <w:pStyle w:val="BodyText"/>
        <w:ind w:right="123" w:firstLine="1418"/>
        <w:jc w:val="both"/>
      </w:pPr>
      <w:r>
        <w:rPr/>
        <w:t>O tofacitinibe é um novo imunossupressor da classe dos MMCD sintéticos que, diferente dos demais, é “alvo-específico” e inibe seletivamente as Janus quinases (JAK). É indicado para o tratamento de pacientes adultos com AR ativa moderada a grave que apresentaram uma resposta inadequada a um ou mais MMCD, pode ser usado como monoterapia ou em combinação com  metotrexato ou outros MMCD sintéticos e é administrado por via oral.</w:t>
      </w:r>
      <w:r>
        <w:rPr>
          <w:spacing w:val="-2"/>
        </w:rPr>
        <w:t> </w:t>
      </w:r>
      <w:r>
        <w:rPr/>
        <w:t>(155)</w:t>
      </w:r>
    </w:p>
    <w:p>
      <w:pPr>
        <w:pStyle w:val="BodyText"/>
        <w:ind w:right="122" w:firstLine="1418"/>
        <w:jc w:val="both"/>
      </w:pPr>
      <w:r>
        <w:rPr/>
        <w:t>Em pacientes com artrite reumatoide com resposta inadequada a outros MMCD ou a MMCD biológico, o tofacitinibe demonstrou melhor eficácia em comparação com placebo e MTX e similaridade de eficácia com os MMCD biológicos para os desfechos ACR 20 e 50, HAQ (</w:t>
      </w:r>
      <w:r>
        <w:rPr>
          <w:i/>
        </w:rPr>
        <w:t>Health </w:t>
      </w:r>
      <w:r>
        <w:rPr>
          <w:i/>
        </w:rPr>
        <w:t>Assessment Questionnaire</w:t>
      </w:r>
      <w:r>
        <w:rPr/>
        <w:t>) e redução ou remissão do DAS (</w:t>
      </w:r>
      <w:r>
        <w:rPr>
          <w:i/>
        </w:rPr>
        <w:t>Disease Activity Score</w:t>
      </w:r>
      <w:r>
        <w:rPr/>
        <w:t>) ou DAS 28 (índice de atividade de doença em 28 articulações). (156-163)</w:t>
      </w:r>
    </w:p>
    <w:p>
      <w:pPr>
        <w:pStyle w:val="BodyText"/>
        <w:ind w:right="121" w:firstLine="1418"/>
        <w:jc w:val="both"/>
      </w:pPr>
      <w:r>
        <w:rPr/>
        <w:t>Em relação à segurança não houve diferenças entre tofacitinibe, MTX e MMCD biológico para suspensão devido a eventos adversos e eventos adversos graves. No entanto, os pacientes do grupo tofacitinibe apresentaram significativamente menor média de contagem de neutrófilos, aumento da creatinina sérica, aumento de colesterol LDL (lipoproteína de baixa densidade), maior variação percentual de colesterol LDL e HDL (lipoproteína de alta densidade) e um maior risco de aumento das enzimas hepáticas ALT/TGP (alanino-aminotranferase/transaminase glutâmico-pirúvica) e AST/TGO (aspartato- aminotransferase/transaminase glutâmico-oxalacética) versus placebo ou placebo + MTX. (156- 159,160,163,164) Dois estudos relataram um aumento na incidência de eventos adversos graves e infecções graves nos grupos tofacitinibe em comparação com placebo e adalimumabe. Por outro lado, outros dois estudos relatam que os eventos adversos emergentes foram semelhantes em todos os grupos. (160)</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5" w:firstLine="1418"/>
        <w:jc w:val="both"/>
      </w:pPr>
      <w:r>
        <w:rPr/>
        <w:t>Em estudos observacionais o risco de herpes zoster foi significativamente maior em usuários de tofacitinibe, sendo aproximadamente o dobro quando comparado ao uso de MMCD biológicos. O risco de perfuração no trato gastrointestinal inferior foi significantemente superior em usuários de tofacitinibe e tocilizumabe, quando comparado aos medicamentos inibidores do fator de necrose tumoral (anti-TNF). As taxas de incidência de câncer observadas permaneceram estáveis ao  longo do tempo, não havendo associação entre duração do tratamento com tofacitinibe e risco geral de câncer. A qualidade das evidências, avaliadas pelo GRADE, variou de baixa a muito baixa.</w:t>
      </w:r>
      <w:r>
        <w:rPr>
          <w:spacing w:val="-7"/>
        </w:rPr>
        <w:t> </w:t>
      </w:r>
      <w:r>
        <w:rPr/>
        <w:t>(165-169)</w:t>
      </w:r>
    </w:p>
    <w:p>
      <w:pPr>
        <w:pStyle w:val="BodyText"/>
        <w:ind w:right="123" w:firstLine="1418"/>
        <w:jc w:val="both"/>
      </w:pPr>
      <w:r>
        <w:rPr/>
        <w:t>Outros fármacos, como anakinra, sais de ouro e tacrolimo, têm sido estudados no tratamento de AR, no entanto a desfavorável relação risco-benefício que apresentam nas situações mais frequentes de uso restringe sua aplicabilidade assistencial (138, 170-176).</w:t>
      </w:r>
    </w:p>
    <w:p>
      <w:pPr>
        <w:pStyle w:val="BodyText"/>
        <w:ind w:right="125" w:firstLine="1418"/>
        <w:jc w:val="both"/>
      </w:pPr>
      <w:r>
        <w:rPr/>
        <w:t>Glicocorticoides sistêmicos (prednisona e prednisolona) associados a MMCD sintéticos ou biológicos, principalmente quando usados no início do tratamento de AR, reduzem sintomas e progressão radiográfica, mesmo depois da suspensão do seu uso (177-182). A prednisolona é o metabólito ativo da prednisona após sua ativação hepática. Com isso, a prednisolona pode ser utilizada preferencialmente em pacientes com doenças hepáticas que diminuam a ativação da prednisona. Além disso, suas apresentações em solução oral permitem melhor adequação da dose no tratamento de pacientes pediátricos. A suplementação com cálcio e vitamina D deve ser considerada no caso de uso de glicocorticoide por mais de 3 meses, bem como a com bisfosfonados nos pacientes com fatores de risco para fraturas, conforme Protocolo Clínico e Diretrizes Terapêuticas da Osteoporose, do Ministério da Saúde. Glicocorticoide intra-articular pode ser utilizado até 4 vezes ao ano nos casos de sinovite persistente de poucas articulações. Na indicação da associação de glicocorticoide e AINE, recomenda-se o uso de inibidor de bomba de próton (por exemplo, omeprazol) para proteção gástrica (1).</w:t>
      </w:r>
    </w:p>
    <w:p>
      <w:pPr>
        <w:pStyle w:val="BodyText"/>
        <w:spacing w:before="1"/>
        <w:ind w:right="122" w:firstLine="1418"/>
        <w:jc w:val="both"/>
      </w:pPr>
      <w:r>
        <w:rPr/>
        <w:t>Os AINE são superiores a paracetamol no controle sintomático de AR (183). Esses fármacos devem ser usados com cautela nos pacientes com AR e história de doença péptica pelo aumento do risco de complicações nessa população (184-186). Em pacientes com insuficiência renal moderada a grave ou doença cardiovascular estabelecida, não se recomenda o uso de AINE (187). O uso combinado de analgésicos, AINE, opioides e neuromoduladores (antidepressivos, anticonvulsivantes e relaxantes musculares) não foi superior ao uso isolado de AINE em pacientes com AR, não sendo recomendado neste Protocolo (188-190). Analgésicos opioides em baixas doses e por menos de 6 semanas parecem ser eficazes para alguns pacientes com AR, mas os frequentes eventos adversos podem inviabilizar seu uso (191). A indicação de opioides deve seguir as recomendações do Protocolo Clínico e Diretrizes Terapêuticas da Dor Crônica, do Ministério da</w:t>
      </w:r>
      <w:r>
        <w:rPr>
          <w:spacing w:val="-4"/>
        </w:rPr>
        <w:t> </w:t>
      </w:r>
      <w:r>
        <w:rPr/>
        <w:t>Saúde.</w:t>
      </w:r>
    </w:p>
    <w:p>
      <w:pPr>
        <w:pStyle w:val="BodyText"/>
        <w:ind w:right="123" w:firstLine="1418"/>
        <w:jc w:val="both"/>
      </w:pPr>
      <w:r>
        <w:rPr/>
        <w:t>A azatioprina e a ciclosporina também apresentam evidência de benefício clínico na </w:t>
      </w:r>
      <w:r>
        <w:rPr>
          <w:spacing w:val="2"/>
        </w:rPr>
        <w:t>AR; </w:t>
      </w:r>
      <w:r>
        <w:rPr/>
        <w:t>no entanto seu uso é bastante limitado em função de eventos adversos de longo prazo e da superioridade terapêutica dos MMCD (192,193). A azatioprina ou a ciclosporina podem ser utilizadas como tratamento de manifestações extra-articulares graves, tais como doença reumatoide do pulmão e vasculite reumatoide (194,195) e nos casos de</w:t>
      </w:r>
      <w:r>
        <w:rPr>
          <w:spacing w:val="-1"/>
        </w:rPr>
        <w:t> </w:t>
      </w:r>
      <w:r>
        <w:rPr/>
        <w:t>ARJ.</w:t>
      </w:r>
    </w:p>
    <w:p>
      <w:pPr>
        <w:pStyle w:val="BodyText"/>
        <w:spacing w:before="1"/>
        <w:ind w:right="126" w:firstLine="1418"/>
        <w:jc w:val="both"/>
      </w:pPr>
      <w:r>
        <w:rPr/>
        <w:t>Pulsoterapia com succinato de metilprednisolona ou de ciclofosfamida deve ser utilizada apenas em caso de manifestações extra-articulares graves (risco de vida ou perda funcional), tais como doença reumatoide do pulmão e vasculite reumatoide (181).</w:t>
      </w:r>
    </w:p>
    <w:p>
      <w:pPr>
        <w:pStyle w:val="BodyText"/>
        <w:ind w:right="127" w:firstLine="1418"/>
        <w:jc w:val="both"/>
      </w:pPr>
      <w:r>
        <w:rPr/>
        <w:t>Contraceptivos orais, inclusive estrógenos, não parecem afetar a progressão da doença nem apresentam contraindicações específicas ao uso em pacientes com AR (197,198).</w:t>
      </w:r>
    </w:p>
    <w:p>
      <w:pPr>
        <w:pStyle w:val="BodyText"/>
        <w:ind w:right="127" w:firstLine="1418"/>
        <w:jc w:val="both"/>
      </w:pPr>
      <w:r>
        <w:rPr/>
        <w:t>Imunização deve ser recomendada conforme o Programa Nacional de Imunizações, havendo restrição quanto ao uso de vacinas com agentes vivos nos pacientes em terapia imunomoduladora</w:t>
      </w:r>
      <w:r>
        <w:rPr>
          <w:spacing w:val="-2"/>
        </w:rPr>
        <w:t> </w:t>
      </w:r>
      <w:r>
        <w:rPr/>
        <w:t>(199).</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2" w:firstLine="1418"/>
        <w:jc w:val="both"/>
      </w:pPr>
      <w:r>
        <w:rPr/>
        <w:t>Cerca de 50% a 80% das mulheres melhoram da doença durante a gestação e aproximadamente 90% apresentam reativação nos primeiros 3 meses após o parto. Alguns medicamentos, como metotrexato e leflunomida, são contraindicados de forma absoluta na gestação e amamentação (categoria X). Azatioprina (categoria D), ciclofosfamida (categoria D) e ciclosporina (categoria C) não devem ser usados na gestação. Glicocorticoides em baixas doses (até 20 mg/dia de prednisona) podem ser administrados durante a gestação sem maiores riscos de complicações. Devem ser evitadas doses altas (equivalentes a 1 mg/kg/dia de prednisona) na gestação (categoria C). Os AINE (p.ex., o naproxeno) não devem ser utilizados próximos à concepção, pelo risco de complicações na implantação (aborto espontâneo) e no terceiro trimestre de gravidez, pelo risco de complicações no desenvolvimento cardiovascular fetal com o fechamento prematuro do ducto arterial (categoria C). Os anti-TNF parecem seguros na gestação (categoria B), embora os riscos de defeitos congênitos ainda estejam sendo esclarecidos. Abatacepte, rituximabe e tocilizumabe devem ser evitados na gestação e amamentação (categoria C). Hidroxicloroquina, cloroquina (categoria C) devem ser utilizados mediante avaliação de risco-benefício em pacientes gestantes, ao passo que a sulfassalazina apresenta menor risco ao feto no primeiro trimestre (categoria B no primeiro trimestre de gestação e categoria D no terceiro trimestre). Durante a amamentação, AINE (exceto ácido acetilsalicílico), glicocorticoide (prednisona até 20 mg/dia), sulfassalazina, hidroxicloroquina e cloroquina podem ser empregados. No entanto, para se evitar toxicidade do lactente, azatioprina, ciclosporina, ciclofosfamida, metotrexato e leflunomida não devem ser utilizados (200).</w:t>
      </w:r>
    </w:p>
    <w:p>
      <w:pPr>
        <w:pStyle w:val="BodyText"/>
        <w:spacing w:before="1"/>
        <w:ind w:left="0"/>
      </w:pPr>
    </w:p>
    <w:p>
      <w:pPr>
        <w:pStyle w:val="ListParagraph"/>
        <w:numPr>
          <w:ilvl w:val="1"/>
          <w:numId w:val="1"/>
        </w:numPr>
        <w:tabs>
          <w:tab w:pos="1880" w:val="left" w:leader="none"/>
        </w:tabs>
        <w:spacing w:line="240" w:lineRule="auto" w:before="0" w:after="0"/>
        <w:ind w:left="1531" w:right="0" w:firstLine="0"/>
        <w:jc w:val="left"/>
        <w:rPr>
          <w:sz w:val="24"/>
        </w:rPr>
      </w:pPr>
      <w:r>
        <w:rPr>
          <w:sz w:val="24"/>
        </w:rPr>
        <w:t>ESTRATÉGIA</w:t>
      </w:r>
      <w:r>
        <w:rPr>
          <w:spacing w:val="-13"/>
          <w:sz w:val="24"/>
        </w:rPr>
        <w:t> </w:t>
      </w:r>
      <w:r>
        <w:rPr>
          <w:sz w:val="24"/>
        </w:rPr>
        <w:t>TERAPÊUTICA</w:t>
      </w:r>
    </w:p>
    <w:p>
      <w:pPr>
        <w:pStyle w:val="BodyText"/>
        <w:ind w:right="125" w:firstLine="1418"/>
        <w:jc w:val="both"/>
      </w:pPr>
      <w:r>
        <w:rPr/>
        <w:t>Como definido nos relatórios de recomendação da Comissão Nacional de Incorporação de Tecnologias do Sistema Único de Saúde (CONITEC) sobre medicamentos biológicos para o tratamento da AR, as estratégias terapêuticas deste Protocolo estão alinhadas aos referidos relatórios (disponíveis em </w:t>
      </w:r>
      <w:hyperlink r:id="rId7">
        <w:r>
          <w:rPr>
            <w:color w:val="0000FF"/>
            <w:u w:val="single" w:color="0000FF"/>
          </w:rPr>
          <w:t>http://conitec.gov.br</w:t>
        </w:r>
      </w:hyperlink>
      <w:r>
        <w:rPr/>
        <w:t>).</w:t>
      </w:r>
    </w:p>
    <w:p>
      <w:pPr>
        <w:pStyle w:val="BodyText"/>
        <w:ind w:right="123" w:firstLine="1418"/>
        <w:jc w:val="both"/>
      </w:pPr>
      <w:r>
        <w:rPr/>
        <w:t>Em qualquer das etapas discriminadas a seguir para o tratamento dos pacientes com AR, prednisona ou prednisolona (até 0,3 mg/Kg/dia, por via oral) e AINE (ibuprofeno ou naproxeno) podem ser prescritos para controle sintomático, optando-se pelo uso da menor dose pelo menor tempo possível (177,184).</w:t>
      </w:r>
    </w:p>
    <w:p>
      <w:pPr>
        <w:pStyle w:val="BodyText"/>
        <w:ind w:right="874" w:firstLine="1418"/>
      </w:pPr>
      <w:r>
        <w:rPr/>
        <w:t>PRIMEIRA ETAPA (MMCD sintéticos – metotrexato, leflunomida, sulfassalazina, cloroquina e hidroxicloroquina).</w:t>
      </w:r>
    </w:p>
    <w:p>
      <w:pPr>
        <w:pStyle w:val="BodyText"/>
        <w:ind w:right="121" w:firstLine="1418"/>
        <w:jc w:val="both"/>
      </w:pPr>
      <w:r>
        <w:rPr>
          <w:u w:val="single"/>
        </w:rPr>
        <w:t>Fase 1</w:t>
      </w:r>
      <w:r>
        <w:rPr/>
        <w:t> - O metotrexato deve ser a primeira escolha terapêutica. Em situações de contraindicação ao metotrexato, a leflunomida ou a sulfassalazina podem ser a primeira opção. Nos pacientes sem fatores de mau prognóstico (casos leves e com menor risco de apresentar erosões ósseas), os antimaláricos (cloroquina ou hidroxicloroquina) podem passar a ser a primeira opção</w:t>
      </w:r>
      <w:r>
        <w:rPr>
          <w:spacing w:val="-4"/>
        </w:rPr>
        <w:t> </w:t>
      </w:r>
      <w:r>
        <w:rPr/>
        <w:t>(111,121).</w:t>
      </w:r>
    </w:p>
    <w:p>
      <w:pPr>
        <w:pStyle w:val="BodyText"/>
        <w:ind w:right="124" w:firstLine="1418"/>
        <w:jc w:val="both"/>
      </w:pPr>
      <w:r>
        <w:rPr>
          <w:u w:val="single"/>
        </w:rPr>
        <w:t>Fase 2</w:t>
      </w:r>
      <w:r>
        <w:rPr/>
        <w:t> - Em caso de falha da monoterapia inicial, isto é, persistência da atividade de doença moderada ou alta após 3 meses de tratamento otimizado (doses plenas), recomenda-se tanto a substituição do MMCD sintético por outro MMCD sintético em monoterapia quanto a associação do MMCD sintético em uso a um ou dois MMCD sintéticos. As associações de MMCD sintéticos recomendadas são metotrexato com antimalárico (cloroquina ou hidroxicloroquina), metotrexato com sulfassalazina, metotrexato com antimalárico e sulfassalazina (terapia tríplice) e metotrexato com leflunomida. Dessas associações, a menos usual é a de metotrexato com antimalárico. Para minimização dos riscos de efeitos adversos, recomenda-se a redução da dose do primeiro MMCD sintético no  momento da associação ao segundo</w:t>
      </w:r>
      <w:r>
        <w:rPr>
          <w:spacing w:val="3"/>
        </w:rPr>
        <w:t> </w:t>
      </w:r>
      <w:r>
        <w:rPr/>
        <w:t>(111,121).</w:t>
      </w:r>
    </w:p>
    <w:p>
      <w:pPr>
        <w:pStyle w:val="BodyText"/>
        <w:spacing w:before="1"/>
        <w:ind w:right="131" w:firstLine="1418"/>
        <w:jc w:val="both"/>
      </w:pPr>
      <w:r>
        <w:rPr/>
        <w:t>O uso de MMCD biológicos na primeira etapa de tratamento medicamentoso de AR não é recomendado neste Protocolo.</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left="1531"/>
      </w:pPr>
      <w:r>
        <w:rPr/>
        <w:t>SEGUNDA ETAPA (MMCD biológicos ou tofacitinibe)</w:t>
      </w:r>
    </w:p>
    <w:p>
      <w:pPr>
        <w:pStyle w:val="BodyText"/>
        <w:ind w:right="121" w:firstLine="1418"/>
        <w:jc w:val="both"/>
      </w:pPr>
      <w:r>
        <w:rPr>
          <w:u w:val="single"/>
        </w:rPr>
        <w:t>Fase 3</w:t>
      </w:r>
      <w:r>
        <w:rPr/>
        <w:t> - Após 06 meses com pelo menos dos dois esquemas terapêuticos diferentes da primeira etapa e na persistência da atividade de doença moderada ou alta conforme um ICAD, recomenda-se o uso ou de um MMCD biológico ou do tofacitinibe, sendo que qualquer que seja o escolhido deve ser utilizado em associação a metotrexato, sulfassalazina ou leflunomida. Apenas para os casos de contraindicação absoluta a estes MMCD sintéticos recomenda-se a monoterapia com MMCD biológico ou com tofacitinibe. (201-204)</w:t>
      </w:r>
    </w:p>
    <w:p>
      <w:pPr>
        <w:pStyle w:val="BodyText"/>
        <w:ind w:right="122" w:firstLine="1418"/>
        <w:jc w:val="both"/>
      </w:pPr>
      <w:r>
        <w:rPr/>
        <w:t>Os MMCD biológicos disponíveis no SUS são os anti-TNF (certolizumabe pegol, golimumabe, infliximabe, etanercepte e adalimumabe) e os não anti-TNF (abatacepte, tocilizumabe e rituximabe).</w:t>
      </w:r>
    </w:p>
    <w:p>
      <w:pPr>
        <w:pStyle w:val="BodyText"/>
        <w:ind w:right="123" w:firstLine="1418"/>
        <w:jc w:val="both"/>
      </w:pPr>
      <w:r>
        <w:rPr/>
        <w:t>Para os casos novos de tratamento com medicamentos da segunda etapa (fase 3), a escolha entre os medicamentos biológicos anti-TNF, não anti-TNF ou tofacitinibe no momento da prescrição deve ser realizada considerando o tratamento mais custo-efetivo, que será o liberado no SUS, no âmbito do Componente Especializado da Assistência Farmacêutica.</w:t>
      </w:r>
    </w:p>
    <w:p>
      <w:pPr>
        <w:pStyle w:val="BodyText"/>
        <w:spacing w:before="1"/>
        <w:ind w:right="125" w:firstLine="1418"/>
        <w:jc w:val="both"/>
      </w:pPr>
      <w:r>
        <w:rPr/>
        <w:t>Para os casos de pacientes já em tratamento com MMCD biológico fornecido pelo SUS, o MMCD biológico em uso deve ser mantido.</w:t>
      </w:r>
    </w:p>
    <w:p>
      <w:pPr>
        <w:pStyle w:val="BodyText"/>
        <w:spacing w:before="11"/>
        <w:ind w:left="0"/>
        <w:rPr>
          <w:sz w:val="23"/>
        </w:rPr>
      </w:pPr>
    </w:p>
    <w:p>
      <w:pPr>
        <w:pStyle w:val="BodyText"/>
        <w:ind w:right="123" w:firstLine="1418"/>
        <w:jc w:val="both"/>
      </w:pPr>
      <w:r>
        <w:rPr/>
        <w:t>TERCEIRA ETAPA [falha terapêutica ou toxicidade inaceitável ao(s) medicamento(s) da Segunda Etapa – </w:t>
      </w:r>
      <w:r>
        <w:rPr>
          <w:u w:val="single"/>
        </w:rPr>
        <w:t>Fase 3</w:t>
      </w:r>
      <w:r>
        <w:rPr/>
        <w:t>]</w:t>
      </w:r>
    </w:p>
    <w:p>
      <w:pPr>
        <w:pStyle w:val="BodyText"/>
        <w:ind w:right="120" w:firstLine="1418"/>
        <w:jc w:val="both"/>
      </w:pPr>
      <w:r>
        <w:rPr>
          <w:u w:val="single"/>
        </w:rPr>
        <w:t>Fase 4</w:t>
      </w:r>
      <w:r>
        <w:rPr/>
        <w:t> - Após pelo menos 06 meses de terapia combinada ou de monoterapia com MMCD biológico (exceto o certolizumabe pegol, por 03 meses) ou tofacitinibe e na persistência da atividade de doença moderada ou alta conforme um ICAD, pode ser realizada a substituição por um outro MMCD biológico ou, caso não utilizado na </w:t>
      </w:r>
      <w:r>
        <w:rPr>
          <w:u w:val="single"/>
        </w:rPr>
        <w:t>Fase 3</w:t>
      </w:r>
      <w:r>
        <w:rPr/>
        <w:t>, por tofacitinibe, da seguinte forma:</w:t>
      </w:r>
    </w:p>
    <w:p>
      <w:pPr>
        <w:pStyle w:val="ListParagraph"/>
        <w:numPr>
          <w:ilvl w:val="0"/>
          <w:numId w:val="19"/>
        </w:numPr>
        <w:tabs>
          <w:tab w:pos="2273" w:val="left" w:leader="none"/>
          <w:tab w:pos="2274" w:val="left" w:leader="none"/>
        </w:tabs>
        <w:spacing w:line="240" w:lineRule="auto" w:before="1" w:after="0"/>
        <w:ind w:left="112" w:right="124" w:firstLine="1419"/>
        <w:jc w:val="both"/>
        <w:rPr>
          <w:sz w:val="24"/>
        </w:rPr>
      </w:pPr>
      <w:r>
        <w:rPr>
          <w:sz w:val="24"/>
        </w:rPr>
        <w:t>Se a atividade da doença permanecer alta ou moderada mesmo com o uso de um anti-TNF, utilizar um não anti-TNF ou um segundo anti-TNF. Caso haja falha terapêutica com o não anti- TNF, utilizar outro não anti-TNF ou o tofacitinibe e se a falha terapêutica for com o anti-TNF, utilizar um não anti-TNF ou tofacitinibe</w:t>
      </w:r>
      <w:r>
        <w:rPr>
          <w:spacing w:val="-3"/>
          <w:sz w:val="24"/>
        </w:rPr>
        <w:t> </w:t>
      </w:r>
      <w:r>
        <w:rPr>
          <w:sz w:val="24"/>
        </w:rPr>
        <w:t>(156).</w:t>
      </w:r>
    </w:p>
    <w:p>
      <w:pPr>
        <w:pStyle w:val="ListParagraph"/>
        <w:numPr>
          <w:ilvl w:val="0"/>
          <w:numId w:val="19"/>
        </w:numPr>
        <w:tabs>
          <w:tab w:pos="2273" w:val="left" w:leader="none"/>
          <w:tab w:pos="2274" w:val="left" w:leader="none"/>
        </w:tabs>
        <w:spacing w:line="240" w:lineRule="auto" w:before="0" w:after="0"/>
        <w:ind w:left="112" w:right="120" w:firstLine="1419"/>
        <w:jc w:val="both"/>
        <w:rPr>
          <w:sz w:val="24"/>
        </w:rPr>
      </w:pPr>
      <w:r>
        <w:rPr>
          <w:sz w:val="24"/>
        </w:rPr>
        <w:t>Se a atividade da doença permanecer alta ou moderada mesmo com o uso de um não anti-TNF, utilizar outro não anti-TNF. Caso haja falha terapêutica com o não anti-TNF, utilizar um anti-TNF ou tofacitinibe</w:t>
      </w:r>
      <w:r>
        <w:rPr>
          <w:spacing w:val="-2"/>
          <w:sz w:val="24"/>
        </w:rPr>
        <w:t> </w:t>
      </w:r>
      <w:r>
        <w:rPr>
          <w:sz w:val="24"/>
        </w:rPr>
        <w:t>(156).</w:t>
      </w:r>
    </w:p>
    <w:p>
      <w:pPr>
        <w:pStyle w:val="BodyText"/>
        <w:ind w:left="0"/>
      </w:pPr>
    </w:p>
    <w:p>
      <w:pPr>
        <w:pStyle w:val="BodyText"/>
        <w:ind w:right="133" w:firstLine="1418"/>
        <w:jc w:val="both"/>
      </w:pPr>
      <w:r>
        <w:rPr/>
        <w:t>Ou seja, as segunda e terceira etapas só admitem uma fase cada uma, e o uso do tofacitinibe na Terceira Etapa só é possível se ele não tenha sido usado na Segunda</w:t>
      </w:r>
      <w:r>
        <w:rPr>
          <w:spacing w:val="-9"/>
        </w:rPr>
        <w:t> </w:t>
      </w:r>
      <w:r>
        <w:rPr/>
        <w:t>Etapa.</w:t>
      </w:r>
    </w:p>
    <w:p>
      <w:pPr>
        <w:pStyle w:val="BodyText"/>
        <w:ind w:left="0"/>
      </w:pPr>
    </w:p>
    <w:p>
      <w:pPr>
        <w:pStyle w:val="BodyText"/>
        <w:ind w:right="126" w:firstLine="1418"/>
        <w:jc w:val="both"/>
      </w:pPr>
      <w:r>
        <w:rPr/>
        <w:t>Quando houver mudança de tratamento da segunda etapa (fase 3) para a terceira etapa (fase 4), a escolha entre os medicamentos biológicos anti-TNF, não anti-TNF ou tofacitinibe no momento da prescrição deve ser realizada considerando também o tratamento mais custo-efetivo, que será o liberado no SUS, no âmbito do Componente Especializado da Assistência</w:t>
      </w:r>
      <w:r>
        <w:rPr>
          <w:spacing w:val="-3"/>
        </w:rPr>
        <w:t> </w:t>
      </w:r>
      <w:r>
        <w:rPr/>
        <w:t>Farmacêutica.</w:t>
      </w:r>
    </w:p>
    <w:p>
      <w:pPr>
        <w:pStyle w:val="BodyText"/>
        <w:ind w:left="0"/>
        <w:rPr>
          <w:sz w:val="26"/>
        </w:rPr>
      </w:pPr>
    </w:p>
    <w:p>
      <w:pPr>
        <w:pStyle w:val="BodyText"/>
        <w:ind w:left="0"/>
        <w:rPr>
          <w:sz w:val="22"/>
        </w:rPr>
      </w:pPr>
    </w:p>
    <w:p>
      <w:pPr>
        <w:pStyle w:val="ListParagraph"/>
        <w:numPr>
          <w:ilvl w:val="1"/>
          <w:numId w:val="1"/>
        </w:numPr>
        <w:tabs>
          <w:tab w:pos="1880" w:val="left" w:leader="none"/>
        </w:tabs>
        <w:spacing w:line="240" w:lineRule="auto" w:before="1" w:after="0"/>
        <w:ind w:left="1531" w:right="0" w:firstLine="0"/>
        <w:jc w:val="left"/>
        <w:rPr>
          <w:sz w:val="19"/>
        </w:rPr>
      </w:pPr>
      <w:r>
        <w:rPr>
          <w:sz w:val="24"/>
        </w:rPr>
        <w:t>F</w:t>
      </w:r>
      <w:r>
        <w:rPr>
          <w:sz w:val="19"/>
        </w:rPr>
        <w:t>ÁRMACOS</w:t>
      </w:r>
    </w:p>
    <w:p>
      <w:pPr>
        <w:pStyle w:val="BodyText"/>
        <w:ind w:left="1531"/>
      </w:pPr>
      <w:r>
        <w:rPr>
          <w:u w:val="single"/>
        </w:rPr>
        <w:t>Anti-inflamatórios não esteroidais</w:t>
      </w:r>
      <w:r>
        <w:rPr/>
        <w:t> (AINE)</w:t>
      </w:r>
    </w:p>
    <w:p>
      <w:pPr>
        <w:pStyle w:val="ListParagraph"/>
        <w:numPr>
          <w:ilvl w:val="1"/>
          <w:numId w:val="5"/>
        </w:numPr>
        <w:tabs>
          <w:tab w:pos="1674" w:val="left" w:leader="none"/>
        </w:tabs>
        <w:spacing w:line="240" w:lineRule="auto" w:before="0" w:after="0"/>
        <w:ind w:left="1673" w:right="0" w:hanging="142"/>
        <w:jc w:val="left"/>
        <w:rPr>
          <w:sz w:val="24"/>
        </w:rPr>
      </w:pPr>
      <w:r>
        <w:rPr>
          <w:sz w:val="24"/>
        </w:rPr>
        <w:t>Ibuprofeno: comprimidos revestidos de 200, 300 e 600 mg; solução oral de 50</w:t>
      </w:r>
      <w:r>
        <w:rPr>
          <w:spacing w:val="-9"/>
          <w:sz w:val="24"/>
        </w:rPr>
        <w:t> </w:t>
      </w:r>
      <w:r>
        <w:rPr>
          <w:sz w:val="24"/>
        </w:rPr>
        <w:t>mg/ml.</w:t>
      </w:r>
    </w:p>
    <w:p>
      <w:pPr>
        <w:pStyle w:val="ListParagraph"/>
        <w:numPr>
          <w:ilvl w:val="1"/>
          <w:numId w:val="5"/>
        </w:numPr>
        <w:tabs>
          <w:tab w:pos="1671" w:val="left" w:leader="none"/>
        </w:tabs>
        <w:spacing w:line="240" w:lineRule="auto" w:before="0" w:after="0"/>
        <w:ind w:left="1531" w:right="3809" w:firstLine="0"/>
        <w:jc w:val="left"/>
        <w:rPr>
          <w:sz w:val="24"/>
        </w:rPr>
      </w:pPr>
      <w:r>
        <w:rPr>
          <w:sz w:val="24"/>
        </w:rPr>
        <w:t>Naproxeno: comprimidos de 250 mg ou de 500 mg.</w:t>
      </w:r>
      <w:r>
        <w:rPr>
          <w:sz w:val="24"/>
          <w:u w:val="single"/>
        </w:rPr>
        <w:t> Glicocorticoides</w:t>
      </w:r>
    </w:p>
    <w:p>
      <w:pPr>
        <w:pStyle w:val="ListParagraph"/>
        <w:numPr>
          <w:ilvl w:val="1"/>
          <w:numId w:val="5"/>
        </w:numPr>
        <w:tabs>
          <w:tab w:pos="1671" w:val="left" w:leader="none"/>
        </w:tabs>
        <w:spacing w:line="240" w:lineRule="auto" w:before="0" w:after="0"/>
        <w:ind w:left="112" w:right="0" w:firstLine="1419"/>
        <w:jc w:val="left"/>
        <w:rPr>
          <w:sz w:val="24"/>
        </w:rPr>
      </w:pPr>
      <w:r>
        <w:rPr>
          <w:sz w:val="24"/>
        </w:rPr>
        <w:t>Metilprednisolona (acetato) (intra-articular): frasco de 40 mg/2</w:t>
      </w:r>
      <w:r>
        <w:rPr>
          <w:spacing w:val="-3"/>
          <w:sz w:val="24"/>
        </w:rPr>
        <w:t> </w:t>
      </w:r>
      <w:r>
        <w:rPr>
          <w:sz w:val="24"/>
        </w:rPr>
        <w:t>ml.</w:t>
      </w:r>
    </w:p>
    <w:p>
      <w:pPr>
        <w:spacing w:after="0" w:line="240" w:lineRule="auto"/>
        <w:jc w:val="lef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spacing w:after="0"/>
        <w:rPr>
          <w:sz w:val="19"/>
        </w:rPr>
        <w:sectPr>
          <w:pgSz w:w="11910" w:h="16840"/>
          <w:pgMar w:top="1580" w:bottom="280" w:left="1020" w:right="440"/>
        </w:sect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206"/>
      </w:pPr>
      <w:r>
        <w:rPr/>
        <w:t>50 ml.</w:t>
      </w:r>
    </w:p>
    <w:p>
      <w:pPr>
        <w:pStyle w:val="ListParagraph"/>
        <w:numPr>
          <w:ilvl w:val="0"/>
          <w:numId w:val="5"/>
        </w:numPr>
        <w:tabs>
          <w:tab w:pos="252" w:val="left" w:leader="none"/>
        </w:tabs>
        <w:spacing w:line="240" w:lineRule="auto" w:before="90" w:after="0"/>
        <w:ind w:left="252" w:right="0" w:hanging="140"/>
        <w:jc w:val="left"/>
        <w:rPr>
          <w:sz w:val="24"/>
        </w:rPr>
      </w:pPr>
      <w:r>
        <w:rPr>
          <w:w w:val="99"/>
          <w:sz w:val="24"/>
        </w:rPr>
        <w:br w:type="column"/>
      </w:r>
      <w:r>
        <w:rPr>
          <w:sz w:val="24"/>
        </w:rPr>
        <w:t>Metilprednisolona (succinato) (intravenoso): frascos de 40, 125, 500 ou 1.000</w:t>
      </w:r>
      <w:r>
        <w:rPr>
          <w:spacing w:val="-3"/>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Prednisona: comprimidos de 5 ou 20</w:t>
      </w:r>
      <w:r>
        <w:rPr>
          <w:spacing w:val="-2"/>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Prednisolona: solução oral de 1 e 3</w:t>
      </w:r>
      <w:r>
        <w:rPr>
          <w:spacing w:val="-3"/>
          <w:sz w:val="24"/>
        </w:rPr>
        <w:t> </w:t>
      </w:r>
      <w:r>
        <w:rPr>
          <w:sz w:val="24"/>
        </w:rPr>
        <w:t>mg/ml.</w:t>
      </w:r>
    </w:p>
    <w:p>
      <w:pPr>
        <w:pStyle w:val="BodyText"/>
      </w:pPr>
      <w:r>
        <w:rPr>
          <w:u w:val="single"/>
        </w:rPr>
        <w:t>Medicamentos modificadores do curso da doença - sintéticos</w:t>
      </w:r>
    </w:p>
    <w:p>
      <w:pPr>
        <w:pStyle w:val="ListParagraph"/>
        <w:numPr>
          <w:ilvl w:val="0"/>
          <w:numId w:val="5"/>
        </w:numPr>
        <w:tabs>
          <w:tab w:pos="252" w:val="left" w:leader="none"/>
        </w:tabs>
        <w:spacing w:line="240" w:lineRule="auto" w:before="0" w:after="0"/>
        <w:ind w:left="252" w:right="0" w:hanging="140"/>
        <w:jc w:val="left"/>
        <w:rPr>
          <w:sz w:val="24"/>
        </w:rPr>
      </w:pPr>
      <w:r>
        <w:rPr>
          <w:sz w:val="24"/>
        </w:rPr>
        <w:t>Metotrexato: comprimidos de 2,5 mg; frascos de 50 mg/2</w:t>
      </w:r>
      <w:r>
        <w:rPr>
          <w:spacing w:val="-2"/>
          <w:sz w:val="24"/>
        </w:rPr>
        <w:t> </w:t>
      </w:r>
      <w:r>
        <w:rPr>
          <w:sz w:val="24"/>
        </w:rPr>
        <w:t>ml.</w:t>
      </w:r>
    </w:p>
    <w:p>
      <w:pPr>
        <w:pStyle w:val="ListParagraph"/>
        <w:numPr>
          <w:ilvl w:val="0"/>
          <w:numId w:val="5"/>
        </w:numPr>
        <w:tabs>
          <w:tab w:pos="252" w:val="left" w:leader="none"/>
        </w:tabs>
        <w:spacing w:line="240" w:lineRule="auto" w:before="0" w:after="0"/>
        <w:ind w:left="252" w:right="0" w:hanging="140"/>
        <w:jc w:val="left"/>
        <w:rPr>
          <w:sz w:val="24"/>
        </w:rPr>
      </w:pPr>
      <w:r>
        <w:rPr>
          <w:sz w:val="24"/>
        </w:rPr>
        <w:t>Sulfassalazina: comprimidos de 500</w:t>
      </w:r>
      <w:r>
        <w:rPr>
          <w:spacing w:val="-2"/>
          <w:sz w:val="24"/>
        </w:rPr>
        <w:t> </w:t>
      </w:r>
      <w:r>
        <w:rPr>
          <w:sz w:val="24"/>
        </w:rPr>
        <w:t>mg.</w:t>
      </w:r>
    </w:p>
    <w:p>
      <w:pPr>
        <w:pStyle w:val="ListParagraph"/>
        <w:numPr>
          <w:ilvl w:val="0"/>
          <w:numId w:val="5"/>
        </w:numPr>
        <w:tabs>
          <w:tab w:pos="255" w:val="left" w:leader="none"/>
        </w:tabs>
        <w:spacing w:line="240" w:lineRule="auto" w:before="0" w:after="0"/>
        <w:ind w:left="254" w:right="0" w:hanging="142"/>
        <w:jc w:val="left"/>
        <w:rPr>
          <w:sz w:val="24"/>
        </w:rPr>
      </w:pPr>
      <w:r>
        <w:rPr>
          <w:sz w:val="24"/>
        </w:rPr>
        <w:t>Leflunomida: comprimidos de 20</w:t>
      </w:r>
      <w:r>
        <w:rPr>
          <w:spacing w:val="-2"/>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Hidroxicloroquina: comprimidos de 400</w:t>
      </w:r>
      <w:r>
        <w:rPr>
          <w:spacing w:val="-2"/>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Cloroquina: comprimidos ou cápsulas de 150</w:t>
      </w:r>
      <w:r>
        <w:rPr>
          <w:spacing w:val="-2"/>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Tofacitinibe: comprimidos de 5</w:t>
      </w:r>
      <w:r>
        <w:rPr>
          <w:spacing w:val="-1"/>
          <w:sz w:val="24"/>
        </w:rPr>
        <w:t> </w:t>
      </w:r>
      <w:r>
        <w:rPr>
          <w:sz w:val="24"/>
        </w:rPr>
        <w:t>mg.</w:t>
      </w:r>
    </w:p>
    <w:p>
      <w:pPr>
        <w:pStyle w:val="BodyText"/>
      </w:pPr>
      <w:r>
        <w:rPr>
          <w:u w:val="single"/>
        </w:rPr>
        <w:t>Medicamentos modificadores do curso da doença - biológicos</w:t>
      </w:r>
    </w:p>
    <w:p>
      <w:pPr>
        <w:pStyle w:val="ListParagraph"/>
        <w:numPr>
          <w:ilvl w:val="0"/>
          <w:numId w:val="5"/>
        </w:numPr>
        <w:tabs>
          <w:tab w:pos="252" w:val="left" w:leader="none"/>
        </w:tabs>
        <w:spacing w:line="240" w:lineRule="auto" w:before="0" w:after="0"/>
        <w:ind w:left="252" w:right="0" w:hanging="140"/>
        <w:jc w:val="left"/>
        <w:rPr>
          <w:sz w:val="24"/>
        </w:rPr>
      </w:pPr>
      <w:r>
        <w:rPr>
          <w:sz w:val="24"/>
        </w:rPr>
        <w:t>Adalimumabe: solução injetável de 40</w:t>
      </w:r>
      <w:r>
        <w:rPr>
          <w:spacing w:val="2"/>
          <w:sz w:val="24"/>
        </w:rPr>
        <w:t> </w:t>
      </w:r>
      <w:r>
        <w:rPr>
          <w:sz w:val="24"/>
        </w:rPr>
        <w:t>mg.</w:t>
      </w:r>
    </w:p>
    <w:p>
      <w:pPr>
        <w:pStyle w:val="ListParagraph"/>
        <w:numPr>
          <w:ilvl w:val="0"/>
          <w:numId w:val="5"/>
        </w:numPr>
        <w:tabs>
          <w:tab w:pos="252" w:val="left" w:leader="none"/>
        </w:tabs>
        <w:spacing w:line="240" w:lineRule="auto" w:before="1" w:after="0"/>
        <w:ind w:left="252" w:right="0" w:hanging="140"/>
        <w:jc w:val="left"/>
        <w:rPr>
          <w:sz w:val="24"/>
        </w:rPr>
      </w:pPr>
      <w:r>
        <w:rPr>
          <w:sz w:val="24"/>
        </w:rPr>
        <w:t>Certolizumabe pegol: seringas preenchidas de 200</w:t>
      </w:r>
      <w:r>
        <w:rPr>
          <w:spacing w:val="-4"/>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Etanercepte: frascos-ampola de 25 e 50 mg; seringas preenchidas de 50</w:t>
      </w:r>
      <w:r>
        <w:rPr>
          <w:spacing w:val="-7"/>
          <w:sz w:val="24"/>
        </w:rPr>
        <w:t> </w:t>
      </w:r>
      <w:r>
        <w:rPr>
          <w:sz w:val="24"/>
        </w:rPr>
        <w:t>mg.</w:t>
      </w:r>
    </w:p>
    <w:p>
      <w:pPr>
        <w:pStyle w:val="ListParagraph"/>
        <w:numPr>
          <w:ilvl w:val="0"/>
          <w:numId w:val="5"/>
        </w:numPr>
        <w:tabs>
          <w:tab w:pos="255" w:val="left" w:leader="none"/>
        </w:tabs>
        <w:spacing w:line="240" w:lineRule="auto" w:before="0" w:after="0"/>
        <w:ind w:left="254" w:right="0" w:hanging="142"/>
        <w:jc w:val="left"/>
        <w:rPr>
          <w:sz w:val="24"/>
        </w:rPr>
      </w:pPr>
      <w:r>
        <w:rPr>
          <w:sz w:val="24"/>
        </w:rPr>
        <w:t>Infliximabe: frascos-ampola de 100</w:t>
      </w:r>
      <w:r>
        <w:rPr>
          <w:spacing w:val="-11"/>
          <w:sz w:val="24"/>
        </w:rPr>
        <w:t> </w:t>
      </w:r>
      <w:r>
        <w:rPr>
          <w:sz w:val="24"/>
        </w:rPr>
        <w:t>mg/10ml.</w:t>
      </w:r>
    </w:p>
    <w:p>
      <w:pPr>
        <w:pStyle w:val="ListParagraph"/>
        <w:numPr>
          <w:ilvl w:val="0"/>
          <w:numId w:val="5"/>
        </w:numPr>
        <w:tabs>
          <w:tab w:pos="252" w:val="left" w:leader="none"/>
        </w:tabs>
        <w:spacing w:line="240" w:lineRule="auto" w:before="0" w:after="0"/>
        <w:ind w:left="252" w:right="0" w:hanging="140"/>
        <w:jc w:val="left"/>
        <w:rPr>
          <w:sz w:val="24"/>
        </w:rPr>
      </w:pPr>
      <w:r>
        <w:rPr>
          <w:sz w:val="24"/>
        </w:rPr>
        <w:t>Golimumabe: seringas preenchidas de 50</w:t>
      </w:r>
      <w:r>
        <w:rPr>
          <w:spacing w:val="-7"/>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Abatacepte: frascos-ampola de 250 mg ou seringa preenchida de 125</w:t>
      </w:r>
      <w:r>
        <w:rPr>
          <w:spacing w:val="-8"/>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Rituximabe: frascos-ampola de 500</w:t>
      </w:r>
      <w:r>
        <w:rPr>
          <w:spacing w:val="-3"/>
          <w:sz w:val="24"/>
        </w:rPr>
        <w:t> </w:t>
      </w:r>
      <w:r>
        <w:rPr>
          <w:sz w:val="24"/>
        </w:rPr>
        <w:t>mg.</w:t>
      </w:r>
    </w:p>
    <w:p>
      <w:pPr>
        <w:pStyle w:val="ListParagraph"/>
        <w:numPr>
          <w:ilvl w:val="0"/>
          <w:numId w:val="5"/>
        </w:numPr>
        <w:tabs>
          <w:tab w:pos="252" w:val="left" w:leader="none"/>
        </w:tabs>
        <w:spacing w:line="240" w:lineRule="auto" w:before="0" w:after="0"/>
        <w:ind w:left="112" w:right="4849" w:firstLine="0"/>
        <w:jc w:val="left"/>
        <w:rPr>
          <w:sz w:val="24"/>
        </w:rPr>
      </w:pPr>
      <w:r>
        <w:rPr>
          <w:sz w:val="24"/>
        </w:rPr>
        <w:t>Tocilizumabe: frascos-ampola de 80 mg.</w:t>
      </w:r>
      <w:r>
        <w:rPr>
          <w:sz w:val="24"/>
          <w:u w:val="single"/>
        </w:rPr>
        <w:t> Imunossupressores</w:t>
      </w:r>
    </w:p>
    <w:p>
      <w:pPr>
        <w:pStyle w:val="ListParagraph"/>
        <w:numPr>
          <w:ilvl w:val="0"/>
          <w:numId w:val="5"/>
        </w:numPr>
        <w:tabs>
          <w:tab w:pos="252" w:val="left" w:leader="none"/>
        </w:tabs>
        <w:spacing w:line="240" w:lineRule="auto" w:before="0" w:after="0"/>
        <w:ind w:left="252" w:right="0" w:hanging="140"/>
        <w:jc w:val="left"/>
        <w:rPr>
          <w:sz w:val="24"/>
        </w:rPr>
      </w:pPr>
      <w:r>
        <w:rPr>
          <w:sz w:val="24"/>
        </w:rPr>
        <w:t>Ciclosporina: cápsulas de 10, 25, 50 e 100 mg; solução oral de 100 mg/ml em frascos</w:t>
      </w:r>
      <w:r>
        <w:rPr>
          <w:spacing w:val="-4"/>
          <w:sz w:val="24"/>
        </w:rPr>
        <w:t> </w:t>
      </w:r>
      <w:r>
        <w:rPr>
          <w:sz w:val="24"/>
        </w:rPr>
        <w:t>de</w:t>
      </w:r>
    </w:p>
    <w:p>
      <w:pPr>
        <w:pStyle w:val="BodyText"/>
        <w:ind w:left="0"/>
      </w:pPr>
    </w:p>
    <w:p>
      <w:pPr>
        <w:pStyle w:val="ListParagraph"/>
        <w:numPr>
          <w:ilvl w:val="0"/>
          <w:numId w:val="5"/>
        </w:numPr>
        <w:tabs>
          <w:tab w:pos="252" w:val="left" w:leader="none"/>
        </w:tabs>
        <w:spacing w:line="240" w:lineRule="auto" w:before="0" w:after="0"/>
        <w:ind w:left="252" w:right="0" w:hanging="140"/>
        <w:jc w:val="left"/>
        <w:rPr>
          <w:sz w:val="24"/>
        </w:rPr>
      </w:pPr>
      <w:r>
        <w:rPr>
          <w:sz w:val="24"/>
        </w:rPr>
        <w:t>Ciclofosfamida: frascos-ampola de 200 ou 1.000</w:t>
      </w:r>
      <w:r>
        <w:rPr>
          <w:spacing w:val="-1"/>
          <w:sz w:val="24"/>
        </w:rPr>
        <w:t> </w:t>
      </w:r>
      <w:r>
        <w:rPr>
          <w:sz w:val="24"/>
        </w:rPr>
        <w:t>mg.</w:t>
      </w:r>
    </w:p>
    <w:p>
      <w:pPr>
        <w:pStyle w:val="ListParagraph"/>
        <w:numPr>
          <w:ilvl w:val="0"/>
          <w:numId w:val="5"/>
        </w:numPr>
        <w:tabs>
          <w:tab w:pos="252" w:val="left" w:leader="none"/>
        </w:tabs>
        <w:spacing w:line="240" w:lineRule="auto" w:before="0" w:after="0"/>
        <w:ind w:left="252" w:right="0" w:hanging="140"/>
        <w:jc w:val="left"/>
        <w:rPr>
          <w:sz w:val="24"/>
        </w:rPr>
      </w:pPr>
      <w:r>
        <w:rPr>
          <w:sz w:val="24"/>
        </w:rPr>
        <w:t>Azatioprina: comprimidos de 50</w:t>
      </w:r>
      <w:r>
        <w:rPr>
          <w:spacing w:val="-2"/>
          <w:sz w:val="24"/>
        </w:rPr>
        <w:t> </w:t>
      </w:r>
      <w:r>
        <w:rPr>
          <w:sz w:val="24"/>
        </w:rPr>
        <w:t>mg.</w:t>
      </w:r>
    </w:p>
    <w:p>
      <w:pPr>
        <w:spacing w:after="0" w:line="240" w:lineRule="auto"/>
        <w:jc w:val="left"/>
        <w:rPr>
          <w:sz w:val="24"/>
        </w:rPr>
        <w:sectPr>
          <w:type w:val="continuous"/>
          <w:pgSz w:w="11910" w:h="16840"/>
          <w:pgMar w:top="1580" w:bottom="280" w:left="1020" w:right="440"/>
          <w:cols w:num="2" w:equalWidth="0">
            <w:col w:w="767" w:space="651"/>
            <w:col w:w="9032"/>
          </w:cols>
        </w:sectPr>
      </w:pPr>
    </w:p>
    <w:p>
      <w:pPr>
        <w:pStyle w:val="BodyText"/>
        <w:spacing w:before="2"/>
        <w:ind w:left="0"/>
        <w:rPr>
          <w:sz w:val="16"/>
        </w:rPr>
      </w:pPr>
    </w:p>
    <w:p>
      <w:pPr>
        <w:pStyle w:val="ListParagraph"/>
        <w:numPr>
          <w:ilvl w:val="1"/>
          <w:numId w:val="1"/>
        </w:numPr>
        <w:tabs>
          <w:tab w:pos="1880" w:val="left" w:leader="none"/>
        </w:tabs>
        <w:spacing w:line="240" w:lineRule="auto" w:before="90" w:after="0"/>
        <w:ind w:left="1531" w:right="4844" w:firstLine="0"/>
        <w:jc w:val="left"/>
        <w:rPr>
          <w:sz w:val="24"/>
        </w:rPr>
      </w:pPr>
      <w:r>
        <w:rPr>
          <w:sz w:val="24"/>
        </w:rPr>
        <w:t>ESQUEMAS DE</w:t>
      </w:r>
      <w:r>
        <w:rPr>
          <w:spacing w:val="-32"/>
          <w:sz w:val="24"/>
        </w:rPr>
        <w:t> </w:t>
      </w:r>
      <w:r>
        <w:rPr>
          <w:sz w:val="24"/>
        </w:rPr>
        <w:t>ADMINISTRAÇÃO Ibuprofeno</w:t>
      </w:r>
    </w:p>
    <w:p>
      <w:pPr>
        <w:pStyle w:val="BodyText"/>
        <w:ind w:right="127" w:firstLine="1418"/>
        <w:jc w:val="both"/>
      </w:pPr>
      <w:r>
        <w:rPr/>
        <w:t>Em adultos, devem ser utilizados 600 a 2.700 mg/dia, por via oral, divididos em três administrações, ou seja, de 8/8 horas (utilizar a menor dose pelo menor tempo possível). Considerar o uso de inibidor da bomba de prótons (20 mg/dia de omeprazol) para minimizar efeitos gastrointestinais do AINE. Em crianças com mais de 6 meses, devem ser utilizados 15 a 30 mg/kg/dia, por via oral, também divididos de 8/8 horas e utilizando a menor dose pelo menor tempo possível.</w:t>
      </w:r>
    </w:p>
    <w:p>
      <w:pPr>
        <w:pStyle w:val="BodyText"/>
        <w:ind w:left="1531"/>
      </w:pPr>
      <w:r>
        <w:rPr/>
        <w:t>Naproxeno</w:t>
      </w:r>
    </w:p>
    <w:p>
      <w:pPr>
        <w:pStyle w:val="BodyText"/>
        <w:ind w:right="124" w:firstLine="1418"/>
        <w:jc w:val="both"/>
      </w:pPr>
      <w:r>
        <w:rPr/>
        <w:t>Deve-se iniciar com 500 a 1.000 mg/dia, por via oral, divididos em até duas administrações (utilizar a menor dose pelo menor tempo possível). Em crianças com ou mais de 2 anos de idade, deve-se iniciar com 10 mg/kg/dia em duas administrações (dose máxima: 1.000 mg/dia). Considerar o uso de inibidor da bomba de prótons (20 mg/dia de omeprazol) para minimizar efeitos gastrointestinais do AINE.</w:t>
      </w:r>
    </w:p>
    <w:p>
      <w:pPr>
        <w:pStyle w:val="BodyText"/>
        <w:spacing w:before="1"/>
        <w:ind w:left="1531"/>
      </w:pPr>
      <w:r>
        <w:rPr/>
        <w:t>Metilprednisolona (acetato)</w:t>
      </w:r>
    </w:p>
    <w:p>
      <w:pPr>
        <w:pStyle w:val="BodyText"/>
        <w:ind w:firstLine="1418"/>
      </w:pPr>
      <w:r>
        <w:rPr/>
        <w:t>Devem ser utilizados 40 a 80 mg, intra ou periarticular, a cada 3 meses. Em crianças, deve- se observar a dose de 0,5 a 1,0 mg/kg/articulação.</w:t>
      </w:r>
    </w:p>
    <w:p>
      <w:pPr>
        <w:pStyle w:val="BodyText"/>
        <w:ind w:left="1531"/>
      </w:pPr>
      <w:r>
        <w:rPr/>
        <w:t>Metilprednisolona (succinato)</w:t>
      </w:r>
    </w:p>
    <w:p>
      <w:pPr>
        <w:pStyle w:val="BodyText"/>
        <w:ind w:right="126" w:firstLine="1418"/>
      </w:pPr>
      <w:r>
        <w:rPr/>
        <w:t>Devem ser utilizados 1.000 mg/dia, por via intravenosa (administrados durante pelo menos 2 horas), por 3 dias consecutivos (pulsoterapia).</w:t>
      </w:r>
    </w:p>
    <w:p>
      <w:pPr>
        <w:pStyle w:val="BodyText"/>
        <w:ind w:left="1531"/>
      </w:pPr>
      <w:r>
        <w:rPr/>
        <w:t>Prednisona/prednisolona</w:t>
      </w:r>
    </w:p>
    <w:p>
      <w:pPr>
        <w:pStyle w:val="BodyText"/>
        <w:ind w:right="126" w:firstLine="1418"/>
      </w:pPr>
      <w:r>
        <w:rPr/>
        <w:t>Deve-se iniciar com até 0,3 mg/kg/dia, por via oral, divididos em duas a três administrações, e reduzir, gradativamente, conforme melhora sintomática (utilizar a menor dose pelo</w:t>
      </w:r>
    </w:p>
    <w:p>
      <w:pPr>
        <w:spacing w:after="0"/>
        <w:sectPr>
          <w:type w:val="continuous"/>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6"/>
      </w:pPr>
      <w:r>
        <w:rPr/>
        <w:t>menor tempo possível); excepcionalmente, doses elevadas (1 mg/kg/dia), por via oral, devem ser empregadas em caso de manifestações graves.</w:t>
      </w:r>
    </w:p>
    <w:p>
      <w:pPr>
        <w:pStyle w:val="BodyText"/>
        <w:ind w:left="1531"/>
      </w:pPr>
      <w:r>
        <w:rPr/>
        <w:t>Metotrexato</w:t>
      </w:r>
    </w:p>
    <w:p>
      <w:pPr>
        <w:pStyle w:val="BodyText"/>
        <w:ind w:right="122" w:firstLine="1418"/>
        <w:jc w:val="both"/>
      </w:pPr>
      <w:r>
        <w:rPr/>
        <w:t>Deve-se iniciar com 10 a 15 mg/semana, por via oral, por via subcutânea ou intramuscular, e aumentar 5 a 7,5 mg/mês até 25 mg/semana em três meses de uso. Em crianças, a partir dos 2 anos de idade, deve-se iniciar com 5 mg/m2/semana, podendo chegar a 15 mg/m2/semana. Tanto para adultos quanto para crianças deve-se utilizar a menor dose eficaz e associar a ácido fólico, por via oral, 5 a 10 mg/semana.</w:t>
      </w:r>
    </w:p>
    <w:p>
      <w:pPr>
        <w:pStyle w:val="BodyText"/>
        <w:ind w:left="1531"/>
      </w:pPr>
      <w:r>
        <w:rPr/>
        <w:t>Sulfassalazina</w:t>
      </w:r>
    </w:p>
    <w:p>
      <w:pPr>
        <w:pStyle w:val="BodyText"/>
        <w:ind w:left="1531"/>
      </w:pPr>
      <w:r>
        <w:rPr/>
        <w:t>Deve-se iniciar com 500 mg/dia e, após uma semana, deve-se aumentar a dose até 2.000 a</w:t>
      </w:r>
    </w:p>
    <w:p>
      <w:pPr>
        <w:pStyle w:val="BodyText"/>
        <w:ind w:right="126"/>
        <w:jc w:val="both"/>
      </w:pPr>
      <w:r>
        <w:rPr/>
        <w:t>3.000 mg/dia, por via oral, divididos em duas a três administrações. Em crianças, a partir dos 6 anos de idade, deve-se iniciar com 10 mg/kg/dia em duas administrações e chegar a 30 a 50 mg/kg/dia em duas administrações (dose máxima 2.000 mg/dia).</w:t>
      </w:r>
    </w:p>
    <w:p>
      <w:pPr>
        <w:pStyle w:val="BodyText"/>
        <w:spacing w:before="1"/>
        <w:ind w:left="1531"/>
      </w:pPr>
      <w:r>
        <w:rPr/>
        <w:t>Leflunomida</w:t>
      </w:r>
    </w:p>
    <w:p>
      <w:pPr>
        <w:pStyle w:val="BodyText"/>
        <w:ind w:left="1531" w:right="2414"/>
      </w:pPr>
      <w:r>
        <w:rPr/>
        <w:t>Devem ser utilizados 20 mg/dia ou em dias alternados, por via oral. Hidroxicloroquina</w:t>
      </w:r>
    </w:p>
    <w:p>
      <w:pPr>
        <w:pStyle w:val="BodyText"/>
        <w:ind w:left="1531" w:right="761"/>
      </w:pPr>
      <w:r>
        <w:rPr/>
        <w:t>Deve-se iniciar e manter com 6 mg/kg/dia, por via oral, até, no máximo, 400 mg/dia. Cloroquina</w:t>
      </w:r>
    </w:p>
    <w:p>
      <w:pPr>
        <w:pStyle w:val="BodyText"/>
        <w:ind w:left="1591" w:right="761" w:hanging="60"/>
      </w:pPr>
      <w:r>
        <w:rPr/>
        <w:t>Deve-se iniciar e manter com 4 mg/kg/dia, por via oral, até, no máximo, 250 mg/dia. Tofacitinibe</w:t>
      </w:r>
    </w:p>
    <w:p>
      <w:pPr>
        <w:pStyle w:val="BodyText"/>
        <w:ind w:right="126" w:firstLine="1418"/>
        <w:jc w:val="both"/>
      </w:pPr>
      <w:r>
        <w:rPr/>
        <w:t>A dose recomendada de tofacitinibe, para adultos, é 5 mg administrada duas vezes ao dia, por via oral. A dose deverá ser reduzida para 5 mg ao dia em pacientes com comprometimento renal moderado a grave, comprometimento hepático moderado, em uso de potentes inibidores do citocromo P450. Seu uso não é indicado para o tratamento da ARJ.</w:t>
      </w:r>
    </w:p>
    <w:p>
      <w:pPr>
        <w:pStyle w:val="BodyText"/>
        <w:ind w:left="1531"/>
      </w:pPr>
      <w:r>
        <w:rPr/>
        <w:t>Adalimumabe</w:t>
      </w:r>
    </w:p>
    <w:p>
      <w:pPr>
        <w:pStyle w:val="BodyText"/>
        <w:ind w:right="127" w:firstLine="1418"/>
        <w:jc w:val="both"/>
      </w:pPr>
      <w:r>
        <w:rPr/>
        <w:t>Deve-se iniciar e manter a dose com 40 mg, por via subcutânea, a cada 02 semanas. Em crianças, a partir dos 4 anos de idade, com peso corporal entre 15 e 30 kg, deve-se administrar 20 mg, por via subcutânea, a cada 02 semanas; e em crianças, a partir dos 4 anos, com peso corporal acima de 30 kg, a dose é de 40 mg, por via subcutânea, a cada 02</w:t>
      </w:r>
      <w:r>
        <w:rPr>
          <w:spacing w:val="-7"/>
        </w:rPr>
        <w:t> </w:t>
      </w:r>
      <w:r>
        <w:rPr/>
        <w:t>semanas.</w:t>
      </w:r>
    </w:p>
    <w:p>
      <w:pPr>
        <w:pStyle w:val="BodyText"/>
        <w:ind w:left="1531"/>
      </w:pPr>
      <w:r>
        <w:rPr/>
        <w:t>Certolizumabe pegol</w:t>
      </w:r>
    </w:p>
    <w:p>
      <w:pPr>
        <w:pStyle w:val="BodyText"/>
        <w:ind w:right="126" w:firstLine="1418"/>
      </w:pPr>
      <w:r>
        <w:rPr/>
        <w:t>Deve-se iniciar com 400 mg, por via subcutânea, nas semanas 0, 2 e 4; após, manter com 200 mg a cada 02 semanas ou 400 mg a cada 04 semanas.</w:t>
      </w:r>
    </w:p>
    <w:p>
      <w:pPr>
        <w:pStyle w:val="BodyText"/>
        <w:ind w:left="1531"/>
      </w:pPr>
      <w:r>
        <w:rPr/>
        <w:t>Etanercepte</w:t>
      </w:r>
    </w:p>
    <w:p>
      <w:pPr>
        <w:pStyle w:val="BodyText"/>
        <w:ind w:right="126" w:firstLine="1418"/>
        <w:jc w:val="both"/>
      </w:pPr>
      <w:r>
        <w:rPr/>
        <w:t>Deve-se iniciar e manter a dose com 50 mg, por via subcutânea, 01vez por semana. Em crianças, a partir dos 2 anos de idade, com peso corporal igual ou inferior a 63 kg, deve-se administrar 0,8 mg/kg, por via subcutânea, a cada semana até a dose máxima de 50 mg, por via subcutânea, a cada semana; em crianças, a partir dos 2 anos, com peso corporal superior a 63 kg, a dose é de 50 mg, por via subcutânea, a cada semana.</w:t>
      </w:r>
    </w:p>
    <w:p>
      <w:pPr>
        <w:pStyle w:val="BodyText"/>
        <w:spacing w:before="1"/>
        <w:ind w:left="1531"/>
      </w:pPr>
      <w:r>
        <w:rPr/>
        <w:t>Infliximabe</w:t>
      </w:r>
    </w:p>
    <w:p>
      <w:pPr>
        <w:pStyle w:val="BodyText"/>
        <w:ind w:right="124" w:firstLine="1418"/>
        <w:jc w:val="both"/>
      </w:pPr>
      <w:r>
        <w:rPr/>
        <w:t>Deve-se iniciar com 3 mg/kg/dose, por via intravenosa, nas semanas 0, 2, 6 e, após, manter a mesma dose a cada 08 semanas. Em crianças, a partir dos 6 anos de idade, deve-se iniciar com 3 mg/kg/dose, por via intravenosa, nas semanas 0, 2, 6 e, após, manter a mesma dose a cada 08 semanas.</w:t>
      </w:r>
    </w:p>
    <w:p>
      <w:pPr>
        <w:pStyle w:val="BodyText"/>
        <w:ind w:left="1531"/>
      </w:pPr>
      <w:r>
        <w:rPr/>
        <w:t>Golimumabe</w:t>
      </w:r>
    </w:p>
    <w:p>
      <w:pPr>
        <w:pStyle w:val="BodyText"/>
        <w:ind w:left="1531"/>
      </w:pPr>
      <w:r>
        <w:rPr/>
        <w:t>Deve-se iniciar</w:t>
      </w:r>
      <w:r>
        <w:rPr>
          <w:spacing w:val="51"/>
        </w:rPr>
        <w:t> </w:t>
      </w:r>
      <w:r>
        <w:rPr/>
        <w:t>e manter a dose com 50</w:t>
      </w:r>
      <w:r>
        <w:rPr>
          <w:spacing w:val="52"/>
        </w:rPr>
        <w:t> </w:t>
      </w:r>
      <w:r>
        <w:rPr/>
        <w:t>mg, por via subcutânea,</w:t>
      </w:r>
      <w:r>
        <w:rPr>
          <w:spacing w:val="52"/>
        </w:rPr>
        <w:t> </w:t>
      </w:r>
      <w:r>
        <w:rPr/>
        <w:t>uma</w:t>
      </w:r>
      <w:r>
        <w:rPr>
          <w:spacing w:val="51"/>
        </w:rPr>
        <w:t> </w:t>
      </w:r>
      <w:r>
        <w:rPr/>
        <w:t>vez</w:t>
      </w:r>
      <w:r>
        <w:rPr>
          <w:spacing w:val="51"/>
        </w:rPr>
        <w:t> </w:t>
      </w:r>
      <w:r>
        <w:rPr/>
        <w:t>a cada</w:t>
      </w:r>
      <w:r>
        <w:rPr>
          <w:spacing w:val="51"/>
        </w:rPr>
        <w:t> </w:t>
      </w:r>
      <w:r>
        <w:rPr/>
        <w:t>04</w:t>
      </w:r>
    </w:p>
    <w:p>
      <w:pPr>
        <w:pStyle w:val="BodyText"/>
      </w:pPr>
      <w:r>
        <w:rPr/>
        <w:t>semanas.</w:t>
      </w:r>
    </w:p>
    <w:p>
      <w:pPr>
        <w:pStyle w:val="BodyText"/>
        <w:ind w:left="1531"/>
      </w:pPr>
      <w:r>
        <w:rPr/>
        <w:t>Abatacepte</w:t>
      </w:r>
    </w:p>
    <w:p>
      <w:pPr>
        <w:spacing w:after="0"/>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2" w:firstLine="1418"/>
        <w:jc w:val="both"/>
      </w:pPr>
      <w:r>
        <w:rPr/>
        <w:t>Utilização por via intravenosa: Deve-se iniciar com 500 mg, por via intravenosa, nos pacientes com menos de 60 kg, com 750 mg nos pacientes com 60 a 100 kg ou com 1.000 mg naqueles com mais de 100 kg, nas semanas 0, 2 e 4 e, após, manter a mesma dose a cada 04 semanas. Em crianças, a partir dos 6 anos de idade, com peso corporal inferior a 75 kg, deve-se iniciar com 10 mg/kg, por via intravenosa, nas semanas 0, 2, 4 e, após, manter a mesma dose a cada 04 semanas. Em crianças, a partir dos 6 anos, com peso corporal entre 75 e 100 kg, deve-se iniciar com 750 mg, por via intravenosa, nas semanas 0, 2, 4 e, após, manter a mesma dose a cada 04 semanas. Em crianças, a partir dos 6 anos, com peso corporal superior a 100 kg, deve-se iniciar com 1.000 mg, por via intravenosa, nas semanas 0, 2, 4 e, após, manter com a mesma dose a cada 04 semanas.</w:t>
      </w:r>
    </w:p>
    <w:p>
      <w:pPr>
        <w:pStyle w:val="BodyText"/>
        <w:ind w:right="127" w:firstLine="1418"/>
        <w:jc w:val="both"/>
      </w:pPr>
      <w:r>
        <w:rPr/>
        <w:t>Utilização por via subcutânea (em adultos, pois seu uso não é indicado para o tratamento da ARJ): Utilizar 125 mg, por via subcutânea, a cada semana, independentemente do peso corporal. Pacientes com AR em uso do abatacepte intravenoso poderão, a critério médico, ter substituída a via intravenosa pela via subcutânea, os quais receberão a primeira dose subcutânea em vez da próxima dose intravenosa</w:t>
      </w:r>
      <w:r>
        <w:rPr>
          <w:spacing w:val="-2"/>
        </w:rPr>
        <w:t> </w:t>
      </w:r>
      <w:r>
        <w:rPr/>
        <w:t>programada.</w:t>
      </w:r>
    </w:p>
    <w:p>
      <w:pPr>
        <w:pStyle w:val="BodyText"/>
        <w:spacing w:before="1"/>
        <w:ind w:left="1531"/>
      </w:pPr>
      <w:r>
        <w:rPr/>
        <w:t>Rituximabe</w:t>
      </w:r>
    </w:p>
    <w:p>
      <w:pPr>
        <w:pStyle w:val="BodyText"/>
        <w:ind w:right="123" w:firstLine="1418"/>
        <w:jc w:val="both"/>
      </w:pPr>
      <w:r>
        <w:rPr/>
        <w:t>Deve-se iniciar com 1.000 mg, por via intravenosa, nos dias 0 e 14 e, após, a cada 6 ou mais meses, conforme avaliação de atividade de doença pelo ICAD, administrando 1.000 mg, por via intravenosa, nos dias 0 e 14.</w:t>
      </w:r>
    </w:p>
    <w:p>
      <w:pPr>
        <w:pStyle w:val="BodyText"/>
        <w:ind w:left="1531"/>
      </w:pPr>
      <w:r>
        <w:rPr/>
        <w:t>Tocilizumabe</w:t>
      </w:r>
    </w:p>
    <w:p>
      <w:pPr>
        <w:pStyle w:val="BodyText"/>
        <w:ind w:right="129" w:firstLine="1418"/>
        <w:jc w:val="both"/>
      </w:pPr>
      <w:r>
        <w:rPr/>
        <w:t>Deve-se iniciar e manter a dose com 8 mg/kg/dose (dose máxima de 800 mg), por via intravenosa, a cada mês.</w:t>
      </w:r>
    </w:p>
    <w:p>
      <w:pPr>
        <w:pStyle w:val="BodyText"/>
        <w:ind w:right="124" w:firstLine="1418"/>
        <w:jc w:val="both"/>
      </w:pPr>
      <w:r>
        <w:rPr/>
        <w:t>A dose recomendada de tocilizumabe para pacientes com ARJ é de 12 mg/kg para pacientes abaixo de 30 kg e 8 mg/kg para pacientes igual ou acima de 30 kg, a ser administrada 2 vezes por mês, por infusão intravenosa. Uma mudança na dosagem somente deve ser baseada em uma mudança consistente no peso do paciente ao longo do tempo. O tocilizumabe pode ser usado isoladamente ou em combinação com</w:t>
      </w:r>
      <w:r>
        <w:rPr>
          <w:spacing w:val="1"/>
        </w:rPr>
        <w:t> </w:t>
      </w:r>
      <w:r>
        <w:rPr/>
        <w:t>MTX.</w:t>
      </w:r>
    </w:p>
    <w:p>
      <w:pPr>
        <w:pStyle w:val="BodyText"/>
        <w:ind w:left="1531"/>
      </w:pPr>
      <w:r>
        <w:rPr/>
        <w:t>Ciclosporina</w:t>
      </w:r>
    </w:p>
    <w:p>
      <w:pPr>
        <w:pStyle w:val="BodyText"/>
        <w:ind w:right="128" w:firstLine="1418"/>
        <w:jc w:val="both"/>
      </w:pPr>
      <w:r>
        <w:rPr/>
        <w:t>Em adultos e crianças, deve-se iniciar com dose de 2,5 mg/kg/dia, por via oral, em duas administrações, e aumentar 0,5 a 0,75 mg/kg/dia a cada dois ou três meses, caso não haja resposta, até, no máximo, 4 mg/kg/dia. Em caso de surgimento de hipertensão arterial sistêmica ou de elevação de 25% ou mais da creatinina basal (prévia ao início do tratamento), deve-se reduzir a dose em 25% a 50% e, caso se mantenha o efeito adverso, suspender o uso.</w:t>
      </w:r>
    </w:p>
    <w:p>
      <w:pPr>
        <w:pStyle w:val="BodyText"/>
        <w:spacing w:line="268" w:lineRule="exact"/>
        <w:ind w:left="1531"/>
      </w:pPr>
      <w:r>
        <w:rPr/>
        <w:t>Ciclofosfamida</w:t>
      </w:r>
    </w:p>
    <w:p>
      <w:pPr>
        <w:pStyle w:val="BodyText"/>
        <w:ind w:right="126" w:firstLine="1418"/>
        <w:jc w:val="both"/>
      </w:pPr>
      <w:r>
        <w:rPr/>
        <w:t>Deve-se iniciar e manter a dose com 600 mg/m</w:t>
      </w:r>
      <w:r>
        <w:rPr>
          <w:position w:val="9"/>
          <w:sz w:val="16"/>
        </w:rPr>
        <w:t>2</w:t>
      </w:r>
      <w:r>
        <w:rPr/>
        <w:t>, por via intravenosa, em pulsoterapia mensal por 3 a 6 meses.</w:t>
      </w:r>
    </w:p>
    <w:p>
      <w:pPr>
        <w:pStyle w:val="BodyText"/>
        <w:ind w:left="1531"/>
      </w:pPr>
      <w:r>
        <w:rPr/>
        <w:t>Azatioprina</w:t>
      </w:r>
    </w:p>
    <w:p>
      <w:pPr>
        <w:pStyle w:val="BodyText"/>
        <w:ind w:right="132" w:firstLine="1418"/>
        <w:jc w:val="both"/>
      </w:pPr>
      <w:r>
        <w:rPr/>
        <w:t>Em adultos e crianças, deve-se iniciar com 1 mg/kg/dia, por via oral, uma a duas vezes ao dia, e, em caso de não resposta, aumentar 0,5 mg/kg/dia a cada mês até 2,5 mg/kg/dia (dose máxima).</w:t>
      </w:r>
    </w:p>
    <w:p>
      <w:pPr>
        <w:pStyle w:val="BodyText"/>
        <w:spacing w:before="5"/>
        <w:ind w:left="0"/>
        <w:rPr>
          <w:sz w:val="23"/>
        </w:rPr>
      </w:pPr>
    </w:p>
    <w:p>
      <w:pPr>
        <w:pStyle w:val="BodyText"/>
        <w:ind w:left="1531"/>
      </w:pPr>
      <w:r>
        <w:rPr/>
        <w:t>8.6. TEMPO DE TRATAMENTO (CRITÉRIOS DE INTERRUPÇÃO)</w:t>
      </w:r>
    </w:p>
    <w:p>
      <w:pPr>
        <w:pStyle w:val="BodyText"/>
        <w:ind w:right="123" w:firstLine="1418"/>
        <w:jc w:val="both"/>
      </w:pPr>
      <w:r>
        <w:rPr/>
        <w:t>Inexistem evidências sobre a melhor estratégia de interrupção de medicamentos para AR. Quando ocorre resposta terapêutica completa, isto é, remissão pelos índices compostos de atividade de doença, e sustentada, ou seja, por mais de 06 a 12 meses, pode-se tentar a retirada gradual dos medicamentos nesta sequência: primeiramente o AINE, seguido pelo glicocorticoide e depois pelo MMCD biológico, mantendo-se o uso de MMCD sintético. Caso haja piora de atividade de doença,</w:t>
      </w:r>
      <w:r>
        <w:rPr>
          <w:spacing w:val="45"/>
        </w:rPr>
        <w:t> </w:t>
      </w:r>
      <w:r>
        <w:rPr/>
        <w:t>deve-</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49"/>
      </w:pPr>
      <w:r>
        <w:rPr/>
        <w:t>se reiniciar o esquema terapêutico anterior e seguir as recomendações de dose inicial e de ajuste de doses e troca de medicamentos indicadas neste</w:t>
      </w:r>
      <w:r>
        <w:rPr>
          <w:spacing w:val="-4"/>
        </w:rPr>
        <w:t> </w:t>
      </w:r>
      <w:r>
        <w:rPr/>
        <w:t>Protocolo.</w:t>
      </w:r>
    </w:p>
    <w:p>
      <w:pPr>
        <w:pStyle w:val="BodyText"/>
        <w:ind w:left="0"/>
      </w:pPr>
    </w:p>
    <w:p>
      <w:pPr>
        <w:pStyle w:val="BodyText"/>
        <w:ind w:left="1531"/>
      </w:pPr>
      <w:r>
        <w:rPr/>
        <w:t>8.7 BENEFÍCIOS ESPERADOS</w:t>
      </w:r>
    </w:p>
    <w:p>
      <w:pPr>
        <w:pStyle w:val="BodyText"/>
        <w:ind w:right="127" w:firstLine="1418"/>
        <w:jc w:val="both"/>
      </w:pPr>
      <w:r>
        <w:rPr/>
        <w:t>O tratamento de AR tem como benefícios esperados a reversão da limitação funcional, melhora da qualidade de vida e aumento da sobrevida por meio do controle da atividade de doença, da prevenção das complicações agudas e crônicas e da inibição da progressão dos danos estruturais causados pela doença.</w:t>
      </w:r>
    </w:p>
    <w:p>
      <w:pPr>
        <w:pStyle w:val="BodyText"/>
        <w:ind w:left="0"/>
      </w:pPr>
    </w:p>
    <w:p>
      <w:pPr>
        <w:pStyle w:val="ListParagraph"/>
        <w:numPr>
          <w:ilvl w:val="0"/>
          <w:numId w:val="1"/>
        </w:numPr>
        <w:tabs>
          <w:tab w:pos="1748" w:val="left" w:leader="none"/>
        </w:tabs>
        <w:spacing w:line="240" w:lineRule="auto" w:before="0" w:after="0"/>
        <w:ind w:left="1747" w:right="0" w:hanging="216"/>
        <w:jc w:val="left"/>
        <w:rPr>
          <w:sz w:val="24"/>
        </w:rPr>
      </w:pPr>
      <w:r>
        <w:rPr>
          <w:sz w:val="24"/>
        </w:rPr>
        <w:t>MONITORIZAÇÃO</w:t>
      </w:r>
    </w:p>
    <w:p>
      <w:pPr>
        <w:pStyle w:val="BodyText"/>
        <w:ind w:right="122" w:firstLine="1418"/>
        <w:jc w:val="both"/>
      </w:pPr>
      <w:r>
        <w:rPr/>
        <w:t>Revisões periódicas para avaliação de eficácia e segurança do tratamento devem fazer  parte do tratamento dos pacientes com AR (118). Inicialmente, os pacientes devem ser avaliados a intervalos menores (01 a 03 meses). Uma vez atingido o objetivo do tratamento (remissão para AR mais recente e atividade leve de doença para AR de anos de evolução), intervalos maiores podem ser considerados (06 a 12 meses). No entanto, mesmo sem a necessidade de visitas mais frequentes para avaliação de eficácia, a monitorização de segurança deve ser observada, ou seja, os intervalos dos exames laboratoriais para monitorização dos possíveis efeitos adversos de medicamentos devem ser respeitados (Quadro</w:t>
      </w:r>
      <w:r>
        <w:rPr>
          <w:spacing w:val="-1"/>
        </w:rPr>
        <w:t> </w:t>
      </w:r>
      <w:r>
        <w:rPr/>
        <w:t>2).</w:t>
      </w:r>
    </w:p>
    <w:p>
      <w:pPr>
        <w:pStyle w:val="BodyText"/>
        <w:ind w:left="0"/>
      </w:pPr>
    </w:p>
    <w:p>
      <w:pPr>
        <w:pStyle w:val="BodyText"/>
        <w:spacing w:before="1" w:after="8"/>
        <w:ind w:left="679"/>
      </w:pPr>
      <w:r>
        <w:rPr/>
        <w:t>Quadro 2 - Monitorização de efeitos adversos no tratamento da Artrite Reumatoide</w:t>
      </w:r>
    </w:p>
    <w:tbl>
      <w:tblPr>
        <w:tblW w:w="0" w:type="auto"/>
        <w:jc w:val="left"/>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4"/>
        <w:gridCol w:w="2381"/>
        <w:gridCol w:w="170"/>
        <w:gridCol w:w="5103"/>
      </w:tblGrid>
      <w:tr>
        <w:trPr>
          <w:trHeight w:val="274" w:hRule="atLeast"/>
        </w:trPr>
        <w:tc>
          <w:tcPr>
            <w:tcW w:w="2554" w:type="dxa"/>
            <w:tcBorders>
              <w:bottom w:val="single" w:sz="18" w:space="0" w:color="000000"/>
            </w:tcBorders>
          </w:tcPr>
          <w:p>
            <w:pPr>
              <w:pStyle w:val="TableParagraph"/>
              <w:spacing w:line="255" w:lineRule="exact"/>
              <w:ind w:right="627"/>
              <w:jc w:val="right"/>
              <w:rPr>
                <w:sz w:val="24"/>
              </w:rPr>
            </w:pPr>
            <w:r>
              <w:rPr>
                <w:sz w:val="24"/>
              </w:rPr>
              <w:t>MEDICAMENTO</w:t>
            </w:r>
          </w:p>
        </w:tc>
        <w:tc>
          <w:tcPr>
            <w:tcW w:w="2551" w:type="dxa"/>
            <w:gridSpan w:val="2"/>
            <w:tcBorders>
              <w:bottom w:val="single" w:sz="18" w:space="0" w:color="000000"/>
            </w:tcBorders>
          </w:tcPr>
          <w:p>
            <w:pPr>
              <w:pStyle w:val="TableParagraph"/>
              <w:spacing w:line="255" w:lineRule="exact"/>
              <w:ind w:left="107"/>
              <w:rPr>
                <w:sz w:val="24"/>
              </w:rPr>
            </w:pPr>
            <w:r>
              <w:rPr>
                <w:sz w:val="24"/>
              </w:rPr>
              <w:t>AVALIAÇÃO</w:t>
            </w:r>
          </w:p>
        </w:tc>
        <w:tc>
          <w:tcPr>
            <w:tcW w:w="5103" w:type="dxa"/>
            <w:tcBorders>
              <w:bottom w:val="single" w:sz="18" w:space="0" w:color="000000"/>
            </w:tcBorders>
          </w:tcPr>
          <w:p>
            <w:pPr>
              <w:pStyle w:val="TableParagraph"/>
              <w:spacing w:line="255" w:lineRule="exact"/>
              <w:ind w:left="108"/>
              <w:rPr>
                <w:sz w:val="24"/>
              </w:rPr>
            </w:pPr>
            <w:r>
              <w:rPr>
                <w:sz w:val="24"/>
              </w:rPr>
              <w:t>CONDUTA FRENTE A ALTERAÇÕES</w:t>
            </w:r>
          </w:p>
        </w:tc>
      </w:tr>
      <w:tr>
        <w:trPr>
          <w:trHeight w:val="277" w:hRule="atLeast"/>
        </w:trPr>
        <w:tc>
          <w:tcPr>
            <w:tcW w:w="10208" w:type="dxa"/>
            <w:gridSpan w:val="4"/>
            <w:tcBorders>
              <w:top w:val="single" w:sz="18" w:space="0" w:color="000000"/>
            </w:tcBorders>
            <w:shd w:val="clear" w:color="auto" w:fill="C0C0C0"/>
          </w:tcPr>
          <w:p>
            <w:pPr>
              <w:pStyle w:val="TableParagraph"/>
              <w:spacing w:line="257" w:lineRule="exact"/>
              <w:ind w:left="2306"/>
              <w:rPr>
                <w:sz w:val="24"/>
              </w:rPr>
            </w:pPr>
            <w:r>
              <w:rPr>
                <w:sz w:val="24"/>
              </w:rPr>
              <w:t>ANTI-INFLAMATÓRIOS NÃO ESTEROIDAIS (AINE)</w:t>
            </w:r>
          </w:p>
        </w:tc>
      </w:tr>
      <w:tr>
        <w:trPr>
          <w:trHeight w:val="3311" w:hRule="atLeast"/>
        </w:trPr>
        <w:tc>
          <w:tcPr>
            <w:tcW w:w="2554" w:type="dxa"/>
          </w:tcPr>
          <w:p>
            <w:pPr>
              <w:pStyle w:val="TableParagraph"/>
              <w:ind w:left="107" w:right="1174"/>
              <w:rPr>
                <w:sz w:val="24"/>
              </w:rPr>
            </w:pPr>
            <w:r>
              <w:rPr>
                <w:sz w:val="24"/>
              </w:rPr>
              <w:t>Ibuprofeno e naproxeno.</w:t>
            </w:r>
          </w:p>
        </w:tc>
        <w:tc>
          <w:tcPr>
            <w:tcW w:w="2551" w:type="dxa"/>
            <w:gridSpan w:val="2"/>
          </w:tcPr>
          <w:p>
            <w:pPr>
              <w:pStyle w:val="TableParagraph"/>
              <w:ind w:left="107" w:right="91"/>
              <w:rPr>
                <w:sz w:val="24"/>
              </w:rPr>
            </w:pPr>
            <w:r>
              <w:rPr>
                <w:sz w:val="24"/>
              </w:rPr>
              <w:t>Hemograma, creatinina, AST/ TGO e</w:t>
            </w:r>
          </w:p>
          <w:p>
            <w:pPr>
              <w:pStyle w:val="TableParagraph"/>
              <w:ind w:left="107" w:right="91"/>
              <w:rPr>
                <w:sz w:val="24"/>
              </w:rPr>
            </w:pPr>
            <w:r>
              <w:rPr>
                <w:sz w:val="24"/>
              </w:rPr>
              <w:t>ALT/TGP: A cada 1 a 3 meses.</w:t>
            </w:r>
          </w:p>
        </w:tc>
        <w:tc>
          <w:tcPr>
            <w:tcW w:w="5103" w:type="dxa"/>
          </w:tcPr>
          <w:p>
            <w:pPr>
              <w:pStyle w:val="TableParagraph"/>
              <w:numPr>
                <w:ilvl w:val="0"/>
                <w:numId w:val="20"/>
              </w:numPr>
              <w:tabs>
                <w:tab w:pos="303" w:val="left" w:leader="none"/>
              </w:tabs>
              <w:spacing w:line="240" w:lineRule="auto" w:before="0" w:after="0"/>
              <w:ind w:left="108" w:right="86" w:firstLine="0"/>
              <w:jc w:val="both"/>
              <w:rPr>
                <w:sz w:val="24"/>
              </w:rPr>
            </w:pPr>
            <w:r>
              <w:rPr>
                <w:sz w:val="24"/>
              </w:rPr>
              <w:t>Anemia, leucopenia ou trombocitopenia novas ou mais acentuadas: reduzir a dose em 25% a 50%; interromper o uso do medicamento se persistirem as</w:t>
            </w:r>
            <w:r>
              <w:rPr>
                <w:spacing w:val="-1"/>
                <w:sz w:val="24"/>
              </w:rPr>
              <w:t> </w:t>
            </w:r>
            <w:r>
              <w:rPr>
                <w:sz w:val="24"/>
              </w:rPr>
              <w:t>alterações.</w:t>
            </w:r>
          </w:p>
          <w:p>
            <w:pPr>
              <w:pStyle w:val="TableParagraph"/>
              <w:numPr>
                <w:ilvl w:val="0"/>
                <w:numId w:val="20"/>
              </w:numPr>
              <w:tabs>
                <w:tab w:pos="274" w:val="left" w:leader="none"/>
              </w:tabs>
              <w:spacing w:line="240" w:lineRule="auto" w:before="0" w:after="0"/>
              <w:ind w:left="108" w:right="88" w:firstLine="0"/>
              <w:jc w:val="both"/>
              <w:rPr>
                <w:sz w:val="24"/>
              </w:rPr>
            </w:pPr>
            <w:r>
              <w:rPr>
                <w:sz w:val="24"/>
              </w:rPr>
              <w:t>Elevação de AST/TGO e ALT/TGP entre 1 e 3 vezes o LSN: reduzir a dose em 25% a</w:t>
            </w:r>
            <w:r>
              <w:rPr>
                <w:spacing w:val="-6"/>
                <w:sz w:val="24"/>
              </w:rPr>
              <w:t> </w:t>
            </w:r>
            <w:r>
              <w:rPr>
                <w:sz w:val="24"/>
              </w:rPr>
              <w:t>50%.</w:t>
            </w:r>
          </w:p>
          <w:p>
            <w:pPr>
              <w:pStyle w:val="TableParagraph"/>
              <w:numPr>
                <w:ilvl w:val="0"/>
                <w:numId w:val="20"/>
              </w:numPr>
              <w:tabs>
                <w:tab w:pos="274" w:val="left" w:leader="none"/>
              </w:tabs>
              <w:spacing w:line="240" w:lineRule="auto" w:before="0" w:after="0"/>
              <w:ind w:left="108" w:right="89" w:firstLine="0"/>
              <w:jc w:val="both"/>
              <w:rPr>
                <w:sz w:val="24"/>
              </w:rPr>
            </w:pPr>
            <w:r>
              <w:rPr>
                <w:sz w:val="24"/>
              </w:rPr>
              <w:t>Elevação de AST/TGO e ALT/TGP entre 3 e 5 vezes o LSN: suspender o uso do medicamento até AST/TGO e ALT/TGP entre 1 e 3 vezes o LSN e reiniciar com 50% da</w:t>
            </w:r>
            <w:r>
              <w:rPr>
                <w:spacing w:val="-3"/>
                <w:sz w:val="24"/>
              </w:rPr>
              <w:t> </w:t>
            </w:r>
            <w:r>
              <w:rPr>
                <w:sz w:val="24"/>
              </w:rPr>
              <w:t>dose.</w:t>
            </w:r>
          </w:p>
          <w:p>
            <w:pPr>
              <w:pStyle w:val="TableParagraph"/>
              <w:numPr>
                <w:ilvl w:val="0"/>
                <w:numId w:val="20"/>
              </w:numPr>
              <w:tabs>
                <w:tab w:pos="255" w:val="left" w:leader="none"/>
              </w:tabs>
              <w:spacing w:line="270" w:lineRule="atLeast" w:before="0" w:after="0"/>
              <w:ind w:left="108" w:right="89" w:firstLine="0"/>
              <w:jc w:val="both"/>
              <w:rPr>
                <w:sz w:val="24"/>
              </w:rPr>
            </w:pPr>
            <w:r>
              <w:rPr>
                <w:sz w:val="24"/>
              </w:rPr>
              <w:t>Elevação de TGO/TGP acima de 5 vezes o LSN: interromper o uso do</w:t>
            </w:r>
            <w:r>
              <w:rPr>
                <w:spacing w:val="-3"/>
                <w:sz w:val="24"/>
              </w:rPr>
              <w:t> </w:t>
            </w:r>
            <w:r>
              <w:rPr>
                <w:sz w:val="24"/>
              </w:rPr>
              <w:t>medicamento.</w:t>
            </w:r>
          </w:p>
        </w:tc>
      </w:tr>
      <w:tr>
        <w:trPr>
          <w:trHeight w:val="1658" w:hRule="atLeast"/>
        </w:trPr>
        <w:tc>
          <w:tcPr>
            <w:tcW w:w="2554" w:type="dxa"/>
            <w:shd w:val="clear" w:color="auto" w:fill="C0C0C0"/>
          </w:tcPr>
          <w:p>
            <w:pPr>
              <w:pStyle w:val="TableParagraph"/>
              <w:ind w:left="107" w:right="194"/>
              <w:rPr>
                <w:sz w:val="24"/>
              </w:rPr>
            </w:pPr>
            <w:r>
              <w:rPr>
                <w:sz w:val="24"/>
              </w:rPr>
              <w:t>Prednisona, succninato de metilprednisolona, acetato de metilprednisolona, prednisolona.</w:t>
            </w:r>
          </w:p>
        </w:tc>
        <w:tc>
          <w:tcPr>
            <w:tcW w:w="2551" w:type="dxa"/>
            <w:gridSpan w:val="2"/>
            <w:shd w:val="clear" w:color="auto" w:fill="C0C0C0"/>
          </w:tcPr>
          <w:p>
            <w:pPr>
              <w:pStyle w:val="TableParagraph"/>
              <w:ind w:left="107" w:right="91"/>
              <w:rPr>
                <w:sz w:val="24"/>
              </w:rPr>
            </w:pPr>
            <w:r>
              <w:rPr>
                <w:sz w:val="24"/>
              </w:rPr>
              <w:t>Hemograma, creatinina, glicemia: A cada 1 a 3 meses.</w:t>
            </w:r>
          </w:p>
          <w:p>
            <w:pPr>
              <w:pStyle w:val="TableParagraph"/>
              <w:ind w:left="107" w:right="502"/>
              <w:rPr>
                <w:sz w:val="24"/>
              </w:rPr>
            </w:pPr>
            <w:r>
              <w:rPr>
                <w:sz w:val="24"/>
              </w:rPr>
              <w:t>Controle da</w:t>
            </w:r>
            <w:r>
              <w:rPr>
                <w:spacing w:val="-5"/>
                <w:sz w:val="24"/>
              </w:rPr>
              <w:t> </w:t>
            </w:r>
            <w:r>
              <w:rPr>
                <w:sz w:val="24"/>
              </w:rPr>
              <w:t>pressão arterial</w:t>
            </w:r>
          </w:p>
        </w:tc>
        <w:tc>
          <w:tcPr>
            <w:tcW w:w="5103" w:type="dxa"/>
            <w:shd w:val="clear" w:color="auto" w:fill="C0C0C0"/>
          </w:tcPr>
          <w:p>
            <w:pPr>
              <w:pStyle w:val="TableParagraph"/>
              <w:ind w:left="108"/>
              <w:rPr>
                <w:sz w:val="24"/>
              </w:rPr>
            </w:pPr>
            <w:r>
              <w:rPr>
                <w:sz w:val="24"/>
              </w:rPr>
              <w:t>Avaliar a redução da dose ou interromper o tratamento frente a taxas alteradas.</w:t>
            </w:r>
          </w:p>
          <w:p>
            <w:pPr>
              <w:pStyle w:val="TableParagraph"/>
              <w:tabs>
                <w:tab w:pos="1389" w:val="left" w:leader="none"/>
                <w:tab w:pos="2338" w:val="left" w:leader="none"/>
                <w:tab w:pos="3567" w:val="left" w:leader="none"/>
                <w:tab w:pos="4118" w:val="left" w:leader="none"/>
                <w:tab w:pos="4761" w:val="left" w:leader="none"/>
              </w:tabs>
              <w:ind w:left="108" w:right="90"/>
              <w:rPr>
                <w:sz w:val="24"/>
              </w:rPr>
            </w:pPr>
            <w:r>
              <w:rPr>
                <w:sz w:val="24"/>
              </w:rPr>
              <w:t>Monitorar</w:t>
              <w:tab/>
              <w:t>efeitos</w:t>
              <w:tab/>
              <w:t>colaterais</w:t>
              <w:tab/>
              <w:t>do</w:t>
              <w:tab/>
              <w:t>uso</w:t>
              <w:tab/>
              <w:t>de corticosteróides</w:t>
            </w:r>
          </w:p>
        </w:tc>
      </w:tr>
      <w:tr>
        <w:trPr>
          <w:trHeight w:val="275" w:hRule="atLeast"/>
        </w:trPr>
        <w:tc>
          <w:tcPr>
            <w:tcW w:w="10208" w:type="dxa"/>
            <w:gridSpan w:val="4"/>
          </w:tcPr>
          <w:p>
            <w:pPr>
              <w:pStyle w:val="TableParagraph"/>
              <w:spacing w:line="255" w:lineRule="exact"/>
              <w:ind w:left="4267" w:right="3687"/>
              <w:jc w:val="center"/>
              <w:rPr>
                <w:sz w:val="24"/>
              </w:rPr>
            </w:pPr>
            <w:r>
              <w:rPr>
                <w:sz w:val="24"/>
              </w:rPr>
              <w:t>MMCD SINTÉTICOS</w:t>
            </w:r>
          </w:p>
        </w:tc>
      </w:tr>
      <w:tr>
        <w:trPr>
          <w:trHeight w:val="1381" w:hRule="atLeast"/>
        </w:trPr>
        <w:tc>
          <w:tcPr>
            <w:tcW w:w="2554" w:type="dxa"/>
            <w:shd w:val="clear" w:color="auto" w:fill="C0C0C0"/>
          </w:tcPr>
          <w:p>
            <w:pPr>
              <w:pStyle w:val="TableParagraph"/>
              <w:spacing w:line="268" w:lineRule="exact"/>
              <w:ind w:right="684"/>
              <w:jc w:val="right"/>
              <w:rPr>
                <w:sz w:val="24"/>
              </w:rPr>
            </w:pPr>
            <w:r>
              <w:rPr>
                <w:sz w:val="24"/>
              </w:rPr>
              <w:t>Metotrexato</w:t>
            </w:r>
          </w:p>
        </w:tc>
        <w:tc>
          <w:tcPr>
            <w:tcW w:w="2381" w:type="dxa"/>
            <w:shd w:val="clear" w:color="auto" w:fill="C0C0C0"/>
          </w:tcPr>
          <w:p>
            <w:pPr>
              <w:pStyle w:val="TableParagraph"/>
              <w:ind w:left="107" w:right="34" w:firstLine="175"/>
              <w:rPr>
                <w:sz w:val="24"/>
              </w:rPr>
            </w:pPr>
            <w:r>
              <w:rPr>
                <w:sz w:val="24"/>
              </w:rPr>
              <w:t>Hemograma, creatinina, AST/ TGO e ALT/TGP: A cada 1 a 3 meses.</w:t>
            </w:r>
          </w:p>
        </w:tc>
        <w:tc>
          <w:tcPr>
            <w:tcW w:w="5273" w:type="dxa"/>
            <w:gridSpan w:val="2"/>
            <w:shd w:val="clear" w:color="auto" w:fill="C0C0C0"/>
          </w:tcPr>
          <w:p>
            <w:pPr>
              <w:pStyle w:val="TableParagraph"/>
              <w:numPr>
                <w:ilvl w:val="0"/>
                <w:numId w:val="21"/>
              </w:numPr>
              <w:tabs>
                <w:tab w:pos="300" w:val="left" w:leader="none"/>
              </w:tabs>
              <w:spacing w:line="240" w:lineRule="auto" w:before="0" w:after="0"/>
              <w:ind w:left="108" w:right="88" w:firstLine="33"/>
              <w:jc w:val="both"/>
              <w:rPr>
                <w:sz w:val="24"/>
              </w:rPr>
            </w:pPr>
            <w:r>
              <w:rPr>
                <w:sz w:val="24"/>
              </w:rPr>
              <w:t>Anemia, leucopenia ou trombocitopenia novas ou mais acentuadas: reduzir a dose em 25% a 50%; interromper o uso do medicamento se persistirem as alterações.</w:t>
            </w:r>
          </w:p>
          <w:p>
            <w:pPr>
              <w:pStyle w:val="TableParagraph"/>
              <w:numPr>
                <w:ilvl w:val="0"/>
                <w:numId w:val="21"/>
              </w:numPr>
              <w:tabs>
                <w:tab w:pos="322" w:val="left" w:leader="none"/>
              </w:tabs>
              <w:spacing w:line="266" w:lineRule="exact" w:before="0" w:after="0"/>
              <w:ind w:left="321" w:right="0" w:hanging="180"/>
              <w:jc w:val="both"/>
              <w:rPr>
                <w:sz w:val="24"/>
              </w:rPr>
            </w:pPr>
            <w:r>
              <w:rPr>
                <w:sz w:val="24"/>
              </w:rPr>
              <w:t>Elevação de AST/TGO e ALT/TGP entre 1 e</w:t>
            </w:r>
            <w:r>
              <w:rPr>
                <w:spacing w:val="15"/>
                <w:sz w:val="24"/>
              </w:rPr>
              <w:t> </w:t>
            </w:r>
            <w:r>
              <w:rPr>
                <w:sz w:val="24"/>
              </w:rPr>
              <w:t>3</w:t>
            </w:r>
          </w:p>
        </w:tc>
      </w:tr>
    </w:tbl>
    <w:p>
      <w:pPr>
        <w:spacing w:after="0" w:line="266" w:lineRule="exact"/>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4"/>
        <w:gridCol w:w="2381"/>
        <w:gridCol w:w="5273"/>
      </w:tblGrid>
      <w:tr>
        <w:trPr>
          <w:trHeight w:val="3035" w:hRule="atLeast"/>
        </w:trPr>
        <w:tc>
          <w:tcPr>
            <w:tcW w:w="2554" w:type="dxa"/>
            <w:shd w:val="clear" w:color="auto" w:fill="C0C0C0"/>
          </w:tcPr>
          <w:p>
            <w:pPr>
              <w:pStyle w:val="TableParagraph"/>
              <w:rPr>
                <w:sz w:val="24"/>
              </w:rPr>
            </w:pPr>
          </w:p>
        </w:tc>
        <w:tc>
          <w:tcPr>
            <w:tcW w:w="2381" w:type="dxa"/>
            <w:shd w:val="clear" w:color="auto" w:fill="C0C0C0"/>
          </w:tcPr>
          <w:p>
            <w:pPr>
              <w:pStyle w:val="TableParagraph"/>
              <w:rPr>
                <w:sz w:val="24"/>
              </w:rPr>
            </w:pPr>
          </w:p>
        </w:tc>
        <w:tc>
          <w:tcPr>
            <w:tcW w:w="5273" w:type="dxa"/>
            <w:shd w:val="clear" w:color="auto" w:fill="C0C0C0"/>
          </w:tcPr>
          <w:p>
            <w:pPr>
              <w:pStyle w:val="TableParagraph"/>
              <w:spacing w:line="270" w:lineRule="exact"/>
              <w:ind w:left="107"/>
              <w:rPr>
                <w:sz w:val="24"/>
              </w:rPr>
            </w:pPr>
            <w:r>
              <w:rPr>
                <w:sz w:val="24"/>
              </w:rPr>
              <w:t>vezes o LSN: reduzir a dose em 25% a 50%.</w:t>
            </w:r>
          </w:p>
          <w:p>
            <w:pPr>
              <w:pStyle w:val="TableParagraph"/>
              <w:numPr>
                <w:ilvl w:val="0"/>
                <w:numId w:val="22"/>
              </w:numPr>
              <w:tabs>
                <w:tab w:pos="322" w:val="left" w:leader="none"/>
              </w:tabs>
              <w:spacing w:line="240" w:lineRule="auto" w:before="0" w:after="0"/>
              <w:ind w:left="108" w:right="88" w:firstLine="33"/>
              <w:jc w:val="both"/>
              <w:rPr>
                <w:sz w:val="24"/>
              </w:rPr>
            </w:pPr>
            <w:r>
              <w:rPr>
                <w:sz w:val="24"/>
              </w:rPr>
              <w:t>Elevação de AST/TGO e ALT/TGP entre 3 e 5 vezes o LSN: suspender o uso do medicamento até AST/TGO e ALT/TGP entre 1 e 3 vezes o LSN e reiniciar com 50% da</w:t>
            </w:r>
            <w:r>
              <w:rPr>
                <w:spacing w:val="-3"/>
                <w:sz w:val="24"/>
              </w:rPr>
              <w:t> </w:t>
            </w:r>
            <w:r>
              <w:rPr>
                <w:sz w:val="24"/>
              </w:rPr>
              <w:t>dose.</w:t>
            </w:r>
          </w:p>
          <w:p>
            <w:pPr>
              <w:pStyle w:val="TableParagraph"/>
              <w:numPr>
                <w:ilvl w:val="0"/>
                <w:numId w:val="22"/>
              </w:numPr>
              <w:tabs>
                <w:tab w:pos="322" w:val="left" w:leader="none"/>
              </w:tabs>
              <w:spacing w:line="240" w:lineRule="auto" w:before="0" w:after="0"/>
              <w:ind w:left="108" w:right="92" w:firstLine="33"/>
              <w:jc w:val="both"/>
              <w:rPr>
                <w:sz w:val="24"/>
              </w:rPr>
            </w:pPr>
            <w:r>
              <w:rPr>
                <w:sz w:val="24"/>
              </w:rPr>
              <w:t>Elevação de AST/TGO e ALT/TGP acima de 5 vezes o LSN: interromper o uso do</w:t>
            </w:r>
            <w:r>
              <w:rPr>
                <w:spacing w:val="-5"/>
                <w:sz w:val="24"/>
              </w:rPr>
              <w:t> </w:t>
            </w:r>
            <w:r>
              <w:rPr>
                <w:sz w:val="24"/>
              </w:rPr>
              <w:t>medicamento.</w:t>
            </w:r>
          </w:p>
          <w:p>
            <w:pPr>
              <w:pStyle w:val="TableParagraph"/>
              <w:numPr>
                <w:ilvl w:val="0"/>
                <w:numId w:val="22"/>
              </w:numPr>
              <w:tabs>
                <w:tab w:pos="363" w:val="left" w:leader="none"/>
              </w:tabs>
              <w:spacing w:line="240" w:lineRule="auto" w:before="0" w:after="0"/>
              <w:ind w:left="108" w:right="87" w:firstLine="33"/>
              <w:jc w:val="both"/>
              <w:rPr>
                <w:sz w:val="24"/>
              </w:rPr>
            </w:pPr>
            <w:r>
              <w:rPr>
                <w:sz w:val="24"/>
              </w:rPr>
              <w:t>Depuração de creatinina endógena entre 10 e 50ml/minuto: administrar 50% da</w:t>
            </w:r>
            <w:r>
              <w:rPr>
                <w:spacing w:val="-4"/>
                <w:sz w:val="24"/>
              </w:rPr>
              <w:t> </w:t>
            </w:r>
            <w:r>
              <w:rPr>
                <w:sz w:val="24"/>
              </w:rPr>
              <w:t>dose.</w:t>
            </w:r>
          </w:p>
          <w:p>
            <w:pPr>
              <w:pStyle w:val="TableParagraph"/>
              <w:numPr>
                <w:ilvl w:val="0"/>
                <w:numId w:val="22"/>
              </w:numPr>
              <w:tabs>
                <w:tab w:pos="380" w:val="left" w:leader="none"/>
              </w:tabs>
              <w:spacing w:line="276" w:lineRule="exact" w:before="1" w:after="0"/>
              <w:ind w:left="108" w:right="87" w:firstLine="33"/>
              <w:jc w:val="both"/>
              <w:rPr>
                <w:sz w:val="24"/>
              </w:rPr>
            </w:pPr>
            <w:r>
              <w:rPr>
                <w:sz w:val="24"/>
              </w:rPr>
              <w:t>Depuração de creatinina endógena abaixo de 10ml/minuto: evitar</w:t>
            </w:r>
            <w:r>
              <w:rPr>
                <w:spacing w:val="-3"/>
                <w:sz w:val="24"/>
              </w:rPr>
              <w:t> </w:t>
            </w:r>
            <w:r>
              <w:rPr>
                <w:sz w:val="24"/>
              </w:rPr>
              <w:t>uso.</w:t>
            </w:r>
          </w:p>
        </w:tc>
      </w:tr>
      <w:tr>
        <w:trPr>
          <w:trHeight w:val="3313" w:hRule="atLeast"/>
        </w:trPr>
        <w:tc>
          <w:tcPr>
            <w:tcW w:w="2554" w:type="dxa"/>
          </w:tcPr>
          <w:p>
            <w:pPr>
              <w:pStyle w:val="TableParagraph"/>
              <w:spacing w:line="270" w:lineRule="exact"/>
              <w:ind w:left="674"/>
              <w:rPr>
                <w:sz w:val="24"/>
              </w:rPr>
            </w:pPr>
            <w:r>
              <w:rPr>
                <w:sz w:val="24"/>
              </w:rPr>
              <w:t>Sulfassalazina</w:t>
            </w:r>
          </w:p>
        </w:tc>
        <w:tc>
          <w:tcPr>
            <w:tcW w:w="2381" w:type="dxa"/>
          </w:tcPr>
          <w:p>
            <w:pPr>
              <w:pStyle w:val="TableParagraph"/>
              <w:tabs>
                <w:tab w:pos="1376" w:val="left" w:leader="none"/>
                <w:tab w:pos="1738" w:val="left" w:leader="none"/>
              </w:tabs>
              <w:ind w:left="107" w:right="90" w:firstLine="33"/>
              <w:rPr>
                <w:sz w:val="24"/>
              </w:rPr>
            </w:pPr>
            <w:r>
              <w:rPr>
                <w:sz w:val="24"/>
              </w:rPr>
              <w:t>Hemograma, AST/TGO</w:t>
              <w:tab/>
              <w:t>e</w:t>
              <w:tab/>
            </w:r>
            <w:r>
              <w:rPr>
                <w:spacing w:val="-1"/>
                <w:sz w:val="24"/>
              </w:rPr>
              <w:t>ALT/</w:t>
            </w:r>
          </w:p>
          <w:p>
            <w:pPr>
              <w:pStyle w:val="TableParagraph"/>
              <w:ind w:left="107" w:right="34"/>
              <w:rPr>
                <w:sz w:val="24"/>
              </w:rPr>
            </w:pPr>
            <w:r>
              <w:rPr>
                <w:sz w:val="24"/>
              </w:rPr>
              <w:t>TGP: A cada 1 a 3 meses.</w:t>
            </w:r>
          </w:p>
        </w:tc>
        <w:tc>
          <w:tcPr>
            <w:tcW w:w="5273" w:type="dxa"/>
          </w:tcPr>
          <w:p>
            <w:pPr>
              <w:pStyle w:val="TableParagraph"/>
              <w:numPr>
                <w:ilvl w:val="0"/>
                <w:numId w:val="23"/>
              </w:numPr>
              <w:tabs>
                <w:tab w:pos="300" w:val="left" w:leader="none"/>
              </w:tabs>
              <w:spacing w:line="240" w:lineRule="auto" w:before="0" w:after="0"/>
              <w:ind w:left="108" w:right="88" w:firstLine="33"/>
              <w:jc w:val="both"/>
              <w:rPr>
                <w:sz w:val="24"/>
              </w:rPr>
            </w:pPr>
            <w:r>
              <w:rPr>
                <w:sz w:val="24"/>
              </w:rPr>
              <w:t>Anemia, leucopenia ou trombocitopenia novas ou mais acentuadas: reduzir a dose em 25% a 50%; interromper o uso do medicamento se persistirem as alterações.</w:t>
            </w:r>
          </w:p>
          <w:p>
            <w:pPr>
              <w:pStyle w:val="TableParagraph"/>
              <w:numPr>
                <w:ilvl w:val="0"/>
                <w:numId w:val="23"/>
              </w:numPr>
              <w:tabs>
                <w:tab w:pos="322" w:val="left" w:leader="none"/>
              </w:tabs>
              <w:spacing w:line="240" w:lineRule="auto" w:before="0" w:after="0"/>
              <w:ind w:left="108" w:right="89" w:firstLine="33"/>
              <w:jc w:val="both"/>
              <w:rPr>
                <w:sz w:val="24"/>
              </w:rPr>
            </w:pPr>
            <w:r>
              <w:rPr>
                <w:sz w:val="24"/>
              </w:rPr>
              <w:t>Elevação de AST/TGO e ALT/TGP entre 1 e 3 vezes o LSN: reduzir a dose em 25% a</w:t>
            </w:r>
            <w:r>
              <w:rPr>
                <w:spacing w:val="-6"/>
                <w:sz w:val="24"/>
              </w:rPr>
              <w:t> </w:t>
            </w:r>
            <w:r>
              <w:rPr>
                <w:sz w:val="24"/>
              </w:rPr>
              <w:t>50%.</w:t>
            </w:r>
          </w:p>
          <w:p>
            <w:pPr>
              <w:pStyle w:val="TableParagraph"/>
              <w:numPr>
                <w:ilvl w:val="0"/>
                <w:numId w:val="23"/>
              </w:numPr>
              <w:tabs>
                <w:tab w:pos="322" w:val="left" w:leader="none"/>
              </w:tabs>
              <w:spacing w:line="240" w:lineRule="auto" w:before="0" w:after="0"/>
              <w:ind w:left="108" w:right="88" w:firstLine="33"/>
              <w:jc w:val="both"/>
              <w:rPr>
                <w:sz w:val="24"/>
              </w:rPr>
            </w:pPr>
            <w:r>
              <w:rPr>
                <w:sz w:val="24"/>
              </w:rPr>
              <w:t>Elevação de AST/TGO e ALT/TGP entre 3 e 5 vezes o LSN: suspender o uso do medicamento até AST/TGO e ALT/TGP entre 1 e 3 vezes o LSN e reiniciar com 50% da</w:t>
            </w:r>
            <w:r>
              <w:rPr>
                <w:spacing w:val="-3"/>
                <w:sz w:val="24"/>
              </w:rPr>
              <w:t> </w:t>
            </w:r>
            <w:r>
              <w:rPr>
                <w:sz w:val="24"/>
              </w:rPr>
              <w:t>dose.</w:t>
            </w:r>
          </w:p>
          <w:p>
            <w:pPr>
              <w:pStyle w:val="TableParagraph"/>
              <w:numPr>
                <w:ilvl w:val="0"/>
                <w:numId w:val="23"/>
              </w:numPr>
              <w:tabs>
                <w:tab w:pos="303" w:val="left" w:leader="none"/>
              </w:tabs>
              <w:spacing w:line="270" w:lineRule="atLeast" w:before="0" w:after="0"/>
              <w:ind w:left="108" w:right="89" w:firstLine="33"/>
              <w:jc w:val="both"/>
              <w:rPr>
                <w:sz w:val="24"/>
              </w:rPr>
            </w:pPr>
            <w:r>
              <w:rPr>
                <w:sz w:val="24"/>
              </w:rPr>
              <w:t>Elevação de TGO/TGP acima de 5 vezes o LSN: interromper o uso do</w:t>
            </w:r>
            <w:r>
              <w:rPr>
                <w:spacing w:val="-3"/>
                <w:sz w:val="24"/>
              </w:rPr>
              <w:t> </w:t>
            </w:r>
            <w:r>
              <w:rPr>
                <w:sz w:val="24"/>
              </w:rPr>
              <w:t>medicamento.</w:t>
            </w:r>
          </w:p>
        </w:tc>
      </w:tr>
      <w:tr>
        <w:trPr>
          <w:trHeight w:val="4140" w:hRule="atLeast"/>
        </w:trPr>
        <w:tc>
          <w:tcPr>
            <w:tcW w:w="2554" w:type="dxa"/>
            <w:shd w:val="clear" w:color="auto" w:fill="C0C0C0"/>
          </w:tcPr>
          <w:p>
            <w:pPr>
              <w:pStyle w:val="TableParagraph"/>
              <w:spacing w:line="268" w:lineRule="exact"/>
              <w:ind w:left="674"/>
              <w:rPr>
                <w:sz w:val="24"/>
              </w:rPr>
            </w:pPr>
            <w:r>
              <w:rPr>
                <w:sz w:val="24"/>
              </w:rPr>
              <w:t>Leflunomida</w:t>
            </w:r>
          </w:p>
        </w:tc>
        <w:tc>
          <w:tcPr>
            <w:tcW w:w="2381" w:type="dxa"/>
            <w:shd w:val="clear" w:color="auto" w:fill="C0C0C0"/>
          </w:tcPr>
          <w:p>
            <w:pPr>
              <w:pStyle w:val="TableParagraph"/>
              <w:ind w:left="107" w:right="34" w:firstLine="33"/>
              <w:rPr>
                <w:sz w:val="24"/>
              </w:rPr>
            </w:pPr>
            <w:r>
              <w:rPr>
                <w:sz w:val="24"/>
              </w:rPr>
              <w:t>Hemograma, creatinina, AST/ TGO e ALT/TGP: A cada 1 a 3 meses.</w:t>
            </w:r>
          </w:p>
        </w:tc>
        <w:tc>
          <w:tcPr>
            <w:tcW w:w="5273" w:type="dxa"/>
            <w:shd w:val="clear" w:color="auto" w:fill="C0C0C0"/>
          </w:tcPr>
          <w:p>
            <w:pPr>
              <w:pStyle w:val="TableParagraph"/>
              <w:numPr>
                <w:ilvl w:val="0"/>
                <w:numId w:val="24"/>
              </w:numPr>
              <w:tabs>
                <w:tab w:pos="300" w:val="left" w:leader="none"/>
              </w:tabs>
              <w:spacing w:line="240" w:lineRule="auto" w:before="0" w:after="0"/>
              <w:ind w:left="108" w:right="88" w:firstLine="33"/>
              <w:jc w:val="both"/>
              <w:rPr>
                <w:sz w:val="24"/>
              </w:rPr>
            </w:pPr>
            <w:r>
              <w:rPr>
                <w:sz w:val="24"/>
              </w:rPr>
              <w:t>Anemia, leucopenia ou trombocitopenia novas ou mais acentuadas: reduzir a dose em 25% a 50%; interromper o uso do medicamento se persistirem as alterações.</w:t>
            </w:r>
          </w:p>
          <w:p>
            <w:pPr>
              <w:pStyle w:val="TableParagraph"/>
              <w:numPr>
                <w:ilvl w:val="0"/>
                <w:numId w:val="24"/>
              </w:numPr>
              <w:tabs>
                <w:tab w:pos="322" w:val="left" w:leader="none"/>
              </w:tabs>
              <w:spacing w:line="240" w:lineRule="auto" w:before="0" w:after="0"/>
              <w:ind w:left="108" w:right="86" w:firstLine="33"/>
              <w:jc w:val="both"/>
              <w:rPr>
                <w:sz w:val="24"/>
              </w:rPr>
            </w:pPr>
            <w:r>
              <w:rPr>
                <w:sz w:val="24"/>
              </w:rPr>
              <w:t>Elevação de AST/TGO e ALT/TGP entre 1 e 3 vezes o LSN: reduzir a dose em 25% a</w:t>
            </w:r>
            <w:r>
              <w:rPr>
                <w:spacing w:val="-6"/>
                <w:sz w:val="24"/>
              </w:rPr>
              <w:t> </w:t>
            </w:r>
            <w:r>
              <w:rPr>
                <w:sz w:val="24"/>
              </w:rPr>
              <w:t>50%.</w:t>
            </w:r>
          </w:p>
          <w:p>
            <w:pPr>
              <w:pStyle w:val="TableParagraph"/>
              <w:numPr>
                <w:ilvl w:val="0"/>
                <w:numId w:val="24"/>
              </w:numPr>
              <w:tabs>
                <w:tab w:pos="322" w:val="left" w:leader="none"/>
              </w:tabs>
              <w:spacing w:line="240" w:lineRule="auto" w:before="0" w:after="0"/>
              <w:ind w:left="108" w:right="88" w:firstLine="33"/>
              <w:jc w:val="both"/>
              <w:rPr>
                <w:sz w:val="24"/>
              </w:rPr>
            </w:pPr>
            <w:r>
              <w:rPr>
                <w:sz w:val="24"/>
              </w:rPr>
              <w:t>Elevação de AST/TGO e ALT/TGP entre 3 e 5 vezes o LSN: suspender o uso do medicamento até AST/TGO e ALT/TGP entre 1 e 3 vezes o LSN e reiniciar com 50% da</w:t>
            </w:r>
            <w:r>
              <w:rPr>
                <w:spacing w:val="-3"/>
                <w:sz w:val="24"/>
              </w:rPr>
              <w:t> </w:t>
            </w:r>
            <w:r>
              <w:rPr>
                <w:sz w:val="24"/>
              </w:rPr>
              <w:t>dose.</w:t>
            </w:r>
          </w:p>
          <w:p>
            <w:pPr>
              <w:pStyle w:val="TableParagraph"/>
              <w:numPr>
                <w:ilvl w:val="0"/>
                <w:numId w:val="24"/>
              </w:numPr>
              <w:tabs>
                <w:tab w:pos="322" w:val="left" w:leader="none"/>
              </w:tabs>
              <w:spacing w:line="240" w:lineRule="auto" w:before="0" w:after="0"/>
              <w:ind w:left="108" w:right="88" w:firstLine="33"/>
              <w:jc w:val="both"/>
              <w:rPr>
                <w:sz w:val="24"/>
              </w:rPr>
            </w:pPr>
            <w:r>
              <w:rPr>
                <w:sz w:val="24"/>
              </w:rPr>
              <w:t>Elevação de AST/TGO e ALT/TGP acima de 5 vezes o LSN: interromper o uso do</w:t>
            </w:r>
            <w:r>
              <w:rPr>
                <w:spacing w:val="-4"/>
                <w:sz w:val="24"/>
              </w:rPr>
              <w:t> </w:t>
            </w:r>
            <w:r>
              <w:rPr>
                <w:sz w:val="24"/>
              </w:rPr>
              <w:t>medicamento.</w:t>
            </w:r>
          </w:p>
          <w:p>
            <w:pPr>
              <w:pStyle w:val="TableParagraph"/>
              <w:numPr>
                <w:ilvl w:val="0"/>
                <w:numId w:val="24"/>
              </w:numPr>
              <w:tabs>
                <w:tab w:pos="380" w:val="left" w:leader="none"/>
              </w:tabs>
              <w:spacing w:line="240" w:lineRule="auto" w:before="0" w:after="0"/>
              <w:ind w:left="108" w:right="87" w:firstLine="33"/>
              <w:jc w:val="both"/>
              <w:rPr>
                <w:sz w:val="24"/>
              </w:rPr>
            </w:pPr>
            <w:r>
              <w:rPr>
                <w:sz w:val="24"/>
              </w:rPr>
              <w:t>Depuração de creatinina endógena abaixo de 50ml/minuto: administrar 50% da dose</w:t>
            </w:r>
            <w:r>
              <w:rPr>
                <w:spacing w:val="38"/>
                <w:sz w:val="24"/>
              </w:rPr>
              <w:t> </w:t>
            </w:r>
            <w:r>
              <w:rPr>
                <w:sz w:val="24"/>
              </w:rPr>
              <w:t>ou</w:t>
            </w:r>
          </w:p>
          <w:p>
            <w:pPr>
              <w:pStyle w:val="TableParagraph"/>
              <w:spacing w:line="264" w:lineRule="exact"/>
              <w:ind w:left="107"/>
              <w:jc w:val="both"/>
              <w:rPr>
                <w:sz w:val="24"/>
              </w:rPr>
            </w:pPr>
            <w:r>
              <w:rPr>
                <w:sz w:val="24"/>
              </w:rPr>
              <w:t>suspender, em caso de toxicidade.</w:t>
            </w:r>
          </w:p>
        </w:tc>
      </w:tr>
      <w:tr>
        <w:trPr>
          <w:trHeight w:val="2207" w:hRule="atLeast"/>
        </w:trPr>
        <w:tc>
          <w:tcPr>
            <w:tcW w:w="2554" w:type="dxa"/>
          </w:tcPr>
          <w:p>
            <w:pPr>
              <w:pStyle w:val="TableParagraph"/>
              <w:spacing w:line="268" w:lineRule="exact"/>
              <w:ind w:left="674"/>
              <w:rPr>
                <w:sz w:val="24"/>
              </w:rPr>
            </w:pPr>
            <w:r>
              <w:rPr>
                <w:sz w:val="24"/>
              </w:rPr>
              <w:t>Tofacitinibe</w:t>
            </w:r>
          </w:p>
        </w:tc>
        <w:tc>
          <w:tcPr>
            <w:tcW w:w="2381" w:type="dxa"/>
          </w:tcPr>
          <w:p>
            <w:pPr>
              <w:pStyle w:val="TableParagraph"/>
              <w:tabs>
                <w:tab w:pos="1247" w:val="left" w:leader="none"/>
                <w:tab w:pos="2043" w:val="left" w:leader="none"/>
              </w:tabs>
              <w:ind w:left="107" w:right="84"/>
              <w:jc w:val="both"/>
              <w:rPr>
                <w:sz w:val="24"/>
              </w:rPr>
            </w:pPr>
            <w:r>
              <w:rPr>
                <w:sz w:val="24"/>
              </w:rPr>
              <w:t>Avaliação</w:t>
              <w:tab/>
              <w:tab/>
              <w:t>de tuberculose latente ou ativa antes do início do</w:t>
              <w:tab/>
              <w:t>tratamento (anamnese, exame físico, radiografia</w:t>
            </w:r>
            <w:r>
              <w:rPr>
                <w:spacing w:val="46"/>
                <w:sz w:val="24"/>
              </w:rPr>
              <w:t> </w:t>
            </w:r>
            <w:r>
              <w:rPr>
                <w:sz w:val="24"/>
              </w:rPr>
              <w:t>de</w:t>
            </w:r>
          </w:p>
          <w:p>
            <w:pPr>
              <w:pStyle w:val="TableParagraph"/>
              <w:spacing w:line="270" w:lineRule="atLeast"/>
              <w:ind w:left="107" w:right="84"/>
              <w:jc w:val="both"/>
              <w:rPr>
                <w:sz w:val="24"/>
              </w:rPr>
            </w:pPr>
            <w:r>
              <w:rPr>
                <w:sz w:val="24"/>
              </w:rPr>
              <w:t>tórax e teste tuberculínico).</w:t>
            </w:r>
          </w:p>
        </w:tc>
        <w:tc>
          <w:tcPr>
            <w:tcW w:w="5273" w:type="dxa"/>
          </w:tcPr>
          <w:p>
            <w:pPr>
              <w:pStyle w:val="TableParagraph"/>
              <w:numPr>
                <w:ilvl w:val="0"/>
                <w:numId w:val="25"/>
              </w:numPr>
              <w:tabs>
                <w:tab w:pos="291" w:val="left" w:leader="none"/>
              </w:tabs>
              <w:spacing w:line="240" w:lineRule="auto" w:before="0" w:after="0"/>
              <w:ind w:left="108" w:right="90" w:firstLine="0"/>
              <w:jc w:val="both"/>
              <w:rPr>
                <w:sz w:val="24"/>
              </w:rPr>
            </w:pPr>
            <w:r>
              <w:rPr>
                <w:sz w:val="24"/>
              </w:rPr>
              <w:t>Tratar tuberculose latente por no mínimo 1 mês antes do início do uso desses</w:t>
            </w:r>
            <w:r>
              <w:rPr>
                <w:spacing w:val="-2"/>
                <w:sz w:val="24"/>
              </w:rPr>
              <w:t> </w:t>
            </w:r>
            <w:r>
              <w:rPr>
                <w:sz w:val="24"/>
              </w:rPr>
              <w:t>medicamentos.</w:t>
            </w:r>
          </w:p>
          <w:p>
            <w:pPr>
              <w:pStyle w:val="TableParagraph"/>
              <w:numPr>
                <w:ilvl w:val="0"/>
                <w:numId w:val="25"/>
              </w:numPr>
              <w:tabs>
                <w:tab w:pos="255" w:val="left" w:leader="none"/>
              </w:tabs>
              <w:spacing w:line="240" w:lineRule="auto" w:before="0" w:after="0"/>
              <w:ind w:left="108" w:right="89" w:firstLine="0"/>
              <w:jc w:val="both"/>
              <w:rPr>
                <w:sz w:val="24"/>
              </w:rPr>
            </w:pPr>
            <w:r>
              <w:rPr>
                <w:sz w:val="24"/>
              </w:rPr>
              <w:t>Anemia,leucopenia e/ou trombocitopenia novas ou mais acentuadas: reduzir a dose em 25% a 50%; interromper o uso do medicamento se persistirem as alterações.</w:t>
            </w:r>
          </w:p>
          <w:p>
            <w:pPr>
              <w:pStyle w:val="TableParagraph"/>
              <w:numPr>
                <w:ilvl w:val="0"/>
                <w:numId w:val="25"/>
              </w:numPr>
              <w:tabs>
                <w:tab w:pos="291" w:val="left" w:leader="none"/>
              </w:tabs>
              <w:spacing w:line="270" w:lineRule="atLeast" w:before="0" w:after="0"/>
              <w:ind w:left="108" w:right="92" w:firstLine="0"/>
              <w:jc w:val="both"/>
              <w:rPr>
                <w:sz w:val="24"/>
              </w:rPr>
            </w:pPr>
            <w:r>
              <w:rPr>
                <w:sz w:val="24"/>
              </w:rPr>
              <w:t>Elevação de AST/TGO e ALT/TGP entre 1 e 3 vezes o LSN: reduzir a dose em 25% a</w:t>
            </w:r>
            <w:r>
              <w:rPr>
                <w:spacing w:val="-6"/>
                <w:sz w:val="24"/>
              </w:rPr>
              <w:t> </w:t>
            </w:r>
            <w:r>
              <w:rPr>
                <w:sz w:val="24"/>
              </w:rPr>
              <w:t>50%.</w:t>
            </w:r>
          </w:p>
        </w:tc>
      </w:tr>
    </w:tbl>
    <w:p>
      <w:pPr>
        <w:spacing w:after="0" w:line="270" w:lineRule="atLeast"/>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5"/>
        <w:gridCol w:w="368"/>
        <w:gridCol w:w="2381"/>
        <w:gridCol w:w="5273"/>
      </w:tblGrid>
      <w:tr>
        <w:trPr>
          <w:trHeight w:val="1657" w:hRule="atLeast"/>
        </w:trPr>
        <w:tc>
          <w:tcPr>
            <w:tcW w:w="2553" w:type="dxa"/>
            <w:gridSpan w:val="2"/>
            <w:tcBorders>
              <w:top w:val="single" w:sz="8" w:space="0" w:color="000000"/>
              <w:left w:val="single" w:sz="8" w:space="0" w:color="000000"/>
              <w:bottom w:val="single" w:sz="8" w:space="0" w:color="000000"/>
              <w:right w:val="single" w:sz="8" w:space="0" w:color="000000"/>
            </w:tcBorders>
          </w:tcPr>
          <w:p>
            <w:pPr>
              <w:pStyle w:val="TableParagraph"/>
              <w:rPr>
                <w:sz w:val="24"/>
              </w:rPr>
            </w:pPr>
          </w:p>
        </w:tc>
        <w:tc>
          <w:tcPr>
            <w:tcW w:w="2381" w:type="dxa"/>
            <w:tcBorders>
              <w:top w:val="single" w:sz="8" w:space="0" w:color="000000"/>
              <w:left w:val="single" w:sz="8" w:space="0" w:color="000000"/>
              <w:bottom w:val="single" w:sz="8" w:space="0" w:color="000000"/>
              <w:right w:val="single" w:sz="8" w:space="0" w:color="000000"/>
            </w:tcBorders>
          </w:tcPr>
          <w:p>
            <w:pPr>
              <w:pStyle w:val="TableParagraph"/>
              <w:tabs>
                <w:tab w:pos="2167" w:val="left" w:leader="none"/>
              </w:tabs>
              <w:ind w:left="108" w:right="85"/>
              <w:rPr>
                <w:sz w:val="24"/>
              </w:rPr>
            </w:pPr>
            <w:r>
              <w:rPr>
                <w:sz w:val="24"/>
              </w:rPr>
              <w:t>Hemograma, AST/TGO</w:t>
              <w:tab/>
              <w:t>e</w:t>
            </w:r>
          </w:p>
          <w:p>
            <w:pPr>
              <w:pStyle w:val="TableParagraph"/>
              <w:ind w:left="108" w:right="34"/>
              <w:rPr>
                <w:sz w:val="24"/>
              </w:rPr>
            </w:pPr>
            <w:r>
              <w:rPr>
                <w:sz w:val="24"/>
              </w:rPr>
              <w:t>ALT/TGP: A cada 1 a 3 meses.</w:t>
            </w:r>
          </w:p>
        </w:tc>
        <w:tc>
          <w:tcPr>
            <w:tcW w:w="5273" w:type="dxa"/>
            <w:tcBorders>
              <w:top w:val="single" w:sz="8" w:space="0" w:color="000000"/>
              <w:left w:val="single" w:sz="8" w:space="0" w:color="000000"/>
              <w:bottom w:val="single" w:sz="8" w:space="0" w:color="000000"/>
              <w:right w:val="single" w:sz="8" w:space="0" w:color="000000"/>
            </w:tcBorders>
          </w:tcPr>
          <w:p>
            <w:pPr>
              <w:pStyle w:val="TableParagraph"/>
              <w:numPr>
                <w:ilvl w:val="0"/>
                <w:numId w:val="26"/>
              </w:numPr>
              <w:tabs>
                <w:tab w:pos="292" w:val="left" w:leader="none"/>
              </w:tabs>
              <w:spacing w:line="240" w:lineRule="auto" w:before="0" w:after="0"/>
              <w:ind w:left="109" w:right="88" w:firstLine="0"/>
              <w:jc w:val="both"/>
              <w:rPr>
                <w:sz w:val="24"/>
              </w:rPr>
            </w:pPr>
            <w:r>
              <w:rPr>
                <w:sz w:val="24"/>
              </w:rPr>
              <w:t>Elevação de AST/TGO e ALT/TGP entre 3 e 5 vezes o LSN: suspender o uso do medicamento até TGO/TGP entre 1 e 3 vezes o LSN e reiniciar com 50% da</w:t>
            </w:r>
            <w:r>
              <w:rPr>
                <w:spacing w:val="-3"/>
                <w:sz w:val="24"/>
              </w:rPr>
              <w:t> </w:t>
            </w:r>
            <w:r>
              <w:rPr>
                <w:sz w:val="24"/>
              </w:rPr>
              <w:t>dose.</w:t>
            </w:r>
          </w:p>
          <w:p>
            <w:pPr>
              <w:pStyle w:val="TableParagraph"/>
              <w:numPr>
                <w:ilvl w:val="0"/>
                <w:numId w:val="26"/>
              </w:numPr>
              <w:tabs>
                <w:tab w:pos="323" w:val="left" w:leader="none"/>
              </w:tabs>
              <w:spacing w:line="270" w:lineRule="atLeast" w:before="0" w:after="0"/>
              <w:ind w:left="109" w:right="91" w:firstLine="33"/>
              <w:jc w:val="both"/>
              <w:rPr>
                <w:sz w:val="24"/>
              </w:rPr>
            </w:pPr>
            <w:r>
              <w:rPr>
                <w:sz w:val="24"/>
              </w:rPr>
              <w:t>Elevação de AST/TGO e ALT/TGP acima de 5 vezes o LSN: interromper o uso do</w:t>
            </w:r>
            <w:r>
              <w:rPr>
                <w:spacing w:val="-5"/>
                <w:sz w:val="24"/>
              </w:rPr>
              <w:t> </w:t>
            </w:r>
            <w:r>
              <w:rPr>
                <w:sz w:val="24"/>
              </w:rPr>
              <w:t>medicamento.</w:t>
            </w:r>
          </w:p>
        </w:tc>
      </w:tr>
      <w:tr>
        <w:trPr>
          <w:trHeight w:val="272" w:hRule="atLeast"/>
        </w:trPr>
        <w:tc>
          <w:tcPr>
            <w:tcW w:w="2185" w:type="dxa"/>
            <w:tcBorders>
              <w:top w:val="single" w:sz="8" w:space="0" w:color="000000"/>
              <w:left w:val="single" w:sz="8" w:space="0" w:color="000000"/>
            </w:tcBorders>
            <w:shd w:val="clear" w:color="auto" w:fill="C0C0C0"/>
          </w:tcPr>
          <w:p>
            <w:pPr>
              <w:pStyle w:val="TableParagraph"/>
              <w:spacing w:line="253" w:lineRule="exact"/>
              <w:ind w:left="674"/>
              <w:rPr>
                <w:sz w:val="24"/>
              </w:rPr>
            </w:pPr>
            <w:r>
              <w:rPr>
                <w:sz w:val="24"/>
              </w:rPr>
              <w:t>Antimaláricos</w:t>
            </w:r>
          </w:p>
        </w:tc>
        <w:tc>
          <w:tcPr>
            <w:tcW w:w="368" w:type="dxa"/>
            <w:tcBorders>
              <w:top w:val="single" w:sz="8" w:space="0" w:color="000000"/>
              <w:right w:val="single" w:sz="8" w:space="0" w:color="000000"/>
            </w:tcBorders>
            <w:shd w:val="clear" w:color="auto" w:fill="C0C0C0"/>
          </w:tcPr>
          <w:p>
            <w:pPr>
              <w:pStyle w:val="TableParagraph"/>
              <w:rPr>
                <w:sz w:val="20"/>
              </w:rPr>
            </w:pPr>
          </w:p>
        </w:tc>
        <w:tc>
          <w:tcPr>
            <w:tcW w:w="2381" w:type="dxa"/>
            <w:tcBorders>
              <w:top w:val="single" w:sz="8" w:space="0" w:color="000000"/>
              <w:left w:val="single" w:sz="8" w:space="0" w:color="000000"/>
              <w:right w:val="single" w:sz="8" w:space="0" w:color="000000"/>
            </w:tcBorders>
            <w:shd w:val="clear" w:color="auto" w:fill="C0C0C0"/>
          </w:tcPr>
          <w:p>
            <w:pPr>
              <w:pStyle w:val="TableParagraph"/>
              <w:spacing w:line="253" w:lineRule="exact"/>
              <w:ind w:left="108"/>
              <w:rPr>
                <w:sz w:val="24"/>
              </w:rPr>
            </w:pPr>
            <w:r>
              <w:rPr>
                <w:sz w:val="24"/>
              </w:rPr>
              <w:t>Avaliação</w:t>
            </w:r>
          </w:p>
        </w:tc>
        <w:tc>
          <w:tcPr>
            <w:tcW w:w="5273" w:type="dxa"/>
            <w:tcBorders>
              <w:top w:val="single" w:sz="8" w:space="0" w:color="000000"/>
              <w:left w:val="single" w:sz="8" w:space="0" w:color="000000"/>
              <w:right w:val="single" w:sz="8" w:space="0" w:color="000000"/>
            </w:tcBorders>
            <w:shd w:val="clear" w:color="auto" w:fill="C0C0C0"/>
          </w:tcPr>
          <w:p>
            <w:pPr>
              <w:pStyle w:val="TableParagraph"/>
              <w:spacing w:line="253" w:lineRule="exact"/>
              <w:ind w:left="142"/>
              <w:rPr>
                <w:sz w:val="24"/>
              </w:rPr>
            </w:pPr>
            <w:r>
              <w:rPr>
                <w:sz w:val="24"/>
              </w:rPr>
              <w:t>- Maculopatia por esses medicamentos: interromper</w:t>
            </w:r>
          </w:p>
        </w:tc>
      </w:tr>
      <w:tr>
        <w:trPr>
          <w:trHeight w:val="275" w:hRule="atLeast"/>
        </w:trPr>
        <w:tc>
          <w:tcPr>
            <w:tcW w:w="2185" w:type="dxa"/>
            <w:tcBorders>
              <w:left w:val="single" w:sz="8" w:space="0" w:color="000000"/>
            </w:tcBorders>
            <w:shd w:val="clear" w:color="auto" w:fill="C0C0C0"/>
          </w:tcPr>
          <w:p>
            <w:pPr>
              <w:pStyle w:val="TableParagraph"/>
              <w:spacing w:line="256" w:lineRule="exact"/>
              <w:ind w:left="107"/>
              <w:rPr>
                <w:sz w:val="24"/>
              </w:rPr>
            </w:pPr>
            <w:r>
              <w:rPr>
                <w:sz w:val="24"/>
              </w:rPr>
              <w:t>(cloroquina</w:t>
            </w:r>
          </w:p>
        </w:tc>
        <w:tc>
          <w:tcPr>
            <w:tcW w:w="368" w:type="dxa"/>
            <w:tcBorders>
              <w:right w:val="single" w:sz="8" w:space="0" w:color="000000"/>
            </w:tcBorders>
            <w:shd w:val="clear" w:color="auto" w:fill="C0C0C0"/>
          </w:tcPr>
          <w:p>
            <w:pPr>
              <w:pStyle w:val="TableParagraph"/>
              <w:spacing w:line="256" w:lineRule="exact"/>
              <w:ind w:left="162"/>
              <w:rPr>
                <w:sz w:val="24"/>
              </w:rPr>
            </w:pPr>
            <w:r>
              <w:rPr>
                <w:sz w:val="24"/>
              </w:rPr>
              <w:t>e</w:t>
            </w: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oftalmológica inicial e</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o uso do medicamento.</w:t>
            </w:r>
          </w:p>
        </w:tc>
      </w:tr>
      <w:tr>
        <w:trPr>
          <w:trHeight w:val="276" w:hRule="atLeast"/>
        </w:trPr>
        <w:tc>
          <w:tcPr>
            <w:tcW w:w="2185" w:type="dxa"/>
            <w:tcBorders>
              <w:left w:val="single" w:sz="8" w:space="0" w:color="000000"/>
            </w:tcBorders>
            <w:shd w:val="clear" w:color="auto" w:fill="C0C0C0"/>
          </w:tcPr>
          <w:p>
            <w:pPr>
              <w:pStyle w:val="TableParagraph"/>
              <w:spacing w:line="256" w:lineRule="exact"/>
              <w:ind w:left="107"/>
              <w:rPr>
                <w:sz w:val="24"/>
              </w:rPr>
            </w:pPr>
            <w:r>
              <w:rPr>
                <w:sz w:val="24"/>
              </w:rPr>
              <w:t>hidroxicloroquina)</w:t>
            </w: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anual após 5 anos (ou</w:t>
            </w:r>
          </w:p>
        </w:tc>
        <w:tc>
          <w:tcPr>
            <w:tcW w:w="5273" w:type="dxa"/>
            <w:tcBorders>
              <w:left w:val="single" w:sz="8" w:space="0" w:color="000000"/>
              <w:right w:val="single" w:sz="8" w:space="0" w:color="000000"/>
            </w:tcBorders>
            <w:shd w:val="clear" w:color="auto" w:fill="C0C0C0"/>
          </w:tcPr>
          <w:p>
            <w:pPr>
              <w:pStyle w:val="TableParagraph"/>
              <w:spacing w:line="256" w:lineRule="exact"/>
              <w:ind w:left="142"/>
              <w:rPr>
                <w:sz w:val="24"/>
              </w:rPr>
            </w:pPr>
            <w:r>
              <w:rPr>
                <w:sz w:val="24"/>
              </w:rPr>
              <w:t>- Anemia, leucopenia ou trombocitopenia novas ou</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anualmente se houver</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mais acentuadas: reduzir a dose em 25% a 50%;</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fatores de risco para</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interromper o uso do medicamento se persistirem as</w:t>
            </w:r>
          </w:p>
        </w:tc>
      </w:tr>
      <w:tr>
        <w:trPr>
          <w:trHeight w:val="275"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939" w:val="left" w:leader="none"/>
              </w:tabs>
              <w:spacing w:line="256" w:lineRule="exact"/>
              <w:ind w:left="108"/>
              <w:rPr>
                <w:sz w:val="24"/>
              </w:rPr>
            </w:pPr>
            <w:r>
              <w:rPr>
                <w:sz w:val="24"/>
              </w:rPr>
              <w:t>maculopatia,</w:t>
              <w:tab/>
              <w:t>tais</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alterações.</w:t>
            </w:r>
          </w:p>
        </w:tc>
      </w:tr>
      <w:tr>
        <w:trPr>
          <w:trHeight w:val="275"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953" w:val="left" w:leader="none"/>
              </w:tabs>
              <w:spacing w:line="256" w:lineRule="exact"/>
              <w:ind w:left="108"/>
              <w:rPr>
                <w:sz w:val="24"/>
              </w:rPr>
            </w:pPr>
            <w:r>
              <w:rPr>
                <w:sz w:val="24"/>
              </w:rPr>
              <w:t>como</w:t>
              <w:tab/>
              <w:t>insuficiências</w:t>
            </w:r>
          </w:p>
        </w:tc>
        <w:tc>
          <w:tcPr>
            <w:tcW w:w="5273" w:type="dxa"/>
            <w:tcBorders>
              <w:left w:val="single" w:sz="8" w:space="0" w:color="000000"/>
              <w:right w:val="single" w:sz="8" w:space="0" w:color="000000"/>
            </w:tcBorders>
            <w:shd w:val="clear" w:color="auto" w:fill="C0C0C0"/>
          </w:tcPr>
          <w:p>
            <w:pPr>
              <w:pStyle w:val="TableParagraph"/>
              <w:spacing w:line="256" w:lineRule="exact"/>
              <w:ind w:left="142"/>
              <w:rPr>
                <w:sz w:val="24"/>
              </w:rPr>
            </w:pPr>
            <w:r>
              <w:rPr>
                <w:sz w:val="24"/>
              </w:rPr>
              <w:t>- Elevação de AST/TGO e ALT/TGP entre 1 e</w:t>
            </w:r>
            <w:r>
              <w:rPr>
                <w:spacing w:val="55"/>
                <w:sz w:val="24"/>
              </w:rPr>
              <w:t> </w:t>
            </w:r>
            <w:r>
              <w:rPr>
                <w:sz w:val="24"/>
              </w:rPr>
              <w:t>3</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renal ou hepática</w:t>
            </w:r>
            <w:r>
              <w:rPr>
                <w:spacing w:val="53"/>
                <w:sz w:val="24"/>
              </w:rPr>
              <w:t> </w:t>
            </w:r>
            <w:r>
              <w:rPr>
                <w:sz w:val="24"/>
              </w:rPr>
              <w:t>e</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vezes o LSN: reduzir a dose em 25% a 50%.</w:t>
            </w:r>
          </w:p>
        </w:tc>
      </w:tr>
      <w:tr>
        <w:trPr>
          <w:trHeight w:val="275"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873" w:val="left" w:leader="none"/>
              </w:tabs>
              <w:spacing w:line="256" w:lineRule="exact"/>
              <w:ind w:left="108"/>
              <w:rPr>
                <w:sz w:val="24"/>
              </w:rPr>
            </w:pPr>
            <w:r>
              <w:rPr>
                <w:sz w:val="24"/>
              </w:rPr>
              <w:t>doses</w:t>
              <w:tab/>
              <w:t>eventualmente</w:t>
            </w:r>
          </w:p>
        </w:tc>
        <w:tc>
          <w:tcPr>
            <w:tcW w:w="5273" w:type="dxa"/>
            <w:tcBorders>
              <w:left w:val="single" w:sz="8" w:space="0" w:color="000000"/>
              <w:right w:val="single" w:sz="8" w:space="0" w:color="000000"/>
            </w:tcBorders>
            <w:shd w:val="clear" w:color="auto" w:fill="C0C0C0"/>
          </w:tcPr>
          <w:p>
            <w:pPr>
              <w:pStyle w:val="TableParagraph"/>
              <w:spacing w:line="256" w:lineRule="exact"/>
              <w:ind w:left="142"/>
              <w:rPr>
                <w:sz w:val="24"/>
              </w:rPr>
            </w:pPr>
            <w:r>
              <w:rPr>
                <w:sz w:val="24"/>
              </w:rPr>
              <w:t>- Elevação de AST/TGO e ALT/TGP entre 3 e</w:t>
            </w:r>
            <w:r>
              <w:rPr>
                <w:spacing w:val="55"/>
                <w:sz w:val="24"/>
              </w:rPr>
              <w:t> </w:t>
            </w:r>
            <w:r>
              <w:rPr>
                <w:sz w:val="24"/>
              </w:rPr>
              <w:t>5</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252" w:val="left" w:leader="none"/>
                <w:tab w:pos="2045" w:val="left" w:leader="none"/>
              </w:tabs>
              <w:spacing w:line="256" w:lineRule="exact"/>
              <w:ind w:left="108"/>
              <w:rPr>
                <w:sz w:val="24"/>
              </w:rPr>
            </w:pPr>
            <w:r>
              <w:rPr>
                <w:sz w:val="24"/>
              </w:rPr>
              <w:t>utilizadas</w:t>
              <w:tab/>
              <w:t>acima</w:t>
              <w:tab/>
              <w:t>da</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vezes o LSN: suspender o uso do medicamento até</w:t>
            </w:r>
          </w:p>
        </w:tc>
      </w:tr>
      <w:tr>
        <w:trPr>
          <w:trHeight w:val="275"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dose máxima, que não</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AST/TGO e ALT/TGP entre 1 e 3 vezes o LSN e</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devem ser utilizadas).</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reiniciar com 50% da dose.</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Hemograma,</w:t>
            </w:r>
          </w:p>
        </w:tc>
        <w:tc>
          <w:tcPr>
            <w:tcW w:w="5273" w:type="dxa"/>
            <w:tcBorders>
              <w:left w:val="single" w:sz="8" w:space="0" w:color="000000"/>
              <w:right w:val="single" w:sz="8" w:space="0" w:color="000000"/>
            </w:tcBorders>
            <w:shd w:val="clear" w:color="auto" w:fill="C0C0C0"/>
          </w:tcPr>
          <w:p>
            <w:pPr>
              <w:pStyle w:val="TableParagraph"/>
              <w:spacing w:line="256" w:lineRule="exact"/>
              <w:ind w:left="142"/>
              <w:rPr>
                <w:sz w:val="24"/>
              </w:rPr>
            </w:pPr>
            <w:r>
              <w:rPr>
                <w:sz w:val="24"/>
              </w:rPr>
              <w:t>- Elevação de TGO/TGP acima de 5 vezes o LSN:</w:t>
            </w:r>
          </w:p>
        </w:tc>
      </w:tr>
      <w:tr>
        <w:trPr>
          <w:trHeight w:val="275"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377" w:val="left" w:leader="none"/>
                <w:tab w:pos="1739" w:val="left" w:leader="none"/>
              </w:tabs>
              <w:spacing w:line="256" w:lineRule="exact"/>
              <w:ind w:left="108"/>
              <w:rPr>
                <w:sz w:val="24"/>
              </w:rPr>
            </w:pPr>
            <w:r>
              <w:rPr>
                <w:sz w:val="24"/>
              </w:rPr>
              <w:t>AST/TGO</w:t>
              <w:tab/>
              <w:t>e</w:t>
              <w:tab/>
              <w:t>ALT/</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interromper o uso do medicamento.</w:t>
            </w:r>
          </w:p>
        </w:tc>
      </w:tr>
      <w:tr>
        <w:trPr>
          <w:trHeight w:val="276" w:hRule="atLeast"/>
        </w:trPr>
        <w:tc>
          <w:tcPr>
            <w:tcW w:w="2185" w:type="dxa"/>
            <w:tcBorders>
              <w:left w:val="single" w:sz="8" w:space="0" w:color="000000"/>
            </w:tcBorders>
            <w:shd w:val="clear" w:color="auto" w:fill="C0C0C0"/>
          </w:tcPr>
          <w:p>
            <w:pPr>
              <w:pStyle w:val="TableParagraph"/>
              <w:rPr>
                <w:sz w:val="20"/>
              </w:rPr>
            </w:pPr>
          </w:p>
        </w:tc>
        <w:tc>
          <w:tcPr>
            <w:tcW w:w="368" w:type="dxa"/>
            <w:tcBorders>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TGP: A cada 1 a 3</w:t>
            </w:r>
          </w:p>
        </w:tc>
        <w:tc>
          <w:tcPr>
            <w:tcW w:w="5273" w:type="dxa"/>
            <w:tcBorders>
              <w:left w:val="single" w:sz="8" w:space="0" w:color="000000"/>
              <w:right w:val="single" w:sz="8" w:space="0" w:color="000000"/>
            </w:tcBorders>
            <w:shd w:val="clear" w:color="auto" w:fill="C0C0C0"/>
          </w:tcPr>
          <w:p>
            <w:pPr>
              <w:pStyle w:val="TableParagraph"/>
              <w:rPr>
                <w:sz w:val="20"/>
              </w:rPr>
            </w:pPr>
          </w:p>
        </w:tc>
      </w:tr>
      <w:tr>
        <w:trPr>
          <w:trHeight w:val="278" w:hRule="atLeast"/>
        </w:trPr>
        <w:tc>
          <w:tcPr>
            <w:tcW w:w="2185" w:type="dxa"/>
            <w:tcBorders>
              <w:left w:val="single" w:sz="8" w:space="0" w:color="000000"/>
              <w:bottom w:val="single" w:sz="8" w:space="0" w:color="000000"/>
            </w:tcBorders>
            <w:shd w:val="clear" w:color="auto" w:fill="C0C0C0"/>
          </w:tcPr>
          <w:p>
            <w:pPr>
              <w:pStyle w:val="TableParagraph"/>
              <w:rPr>
                <w:sz w:val="20"/>
              </w:rPr>
            </w:pPr>
          </w:p>
        </w:tc>
        <w:tc>
          <w:tcPr>
            <w:tcW w:w="368" w:type="dxa"/>
            <w:tcBorders>
              <w:bottom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bottom w:val="single" w:sz="8" w:space="0" w:color="000000"/>
              <w:right w:val="single" w:sz="8" w:space="0" w:color="000000"/>
            </w:tcBorders>
            <w:shd w:val="clear" w:color="auto" w:fill="C0C0C0"/>
          </w:tcPr>
          <w:p>
            <w:pPr>
              <w:pStyle w:val="TableParagraph"/>
              <w:spacing w:line="259" w:lineRule="exact"/>
              <w:ind w:left="108"/>
              <w:rPr>
                <w:sz w:val="24"/>
              </w:rPr>
            </w:pPr>
            <w:r>
              <w:rPr>
                <w:sz w:val="24"/>
              </w:rPr>
              <w:t>meses.</w:t>
            </w:r>
          </w:p>
        </w:tc>
        <w:tc>
          <w:tcPr>
            <w:tcW w:w="5273" w:type="dxa"/>
            <w:tcBorders>
              <w:left w:val="single" w:sz="8" w:space="0" w:color="000000"/>
              <w:bottom w:val="single" w:sz="8" w:space="0" w:color="000000"/>
              <w:right w:val="single" w:sz="8" w:space="0" w:color="000000"/>
            </w:tcBorders>
            <w:shd w:val="clear" w:color="auto" w:fill="C0C0C0"/>
          </w:tcPr>
          <w:p>
            <w:pPr>
              <w:pStyle w:val="TableParagraph"/>
              <w:rPr>
                <w:sz w:val="20"/>
              </w:rPr>
            </w:pPr>
          </w:p>
        </w:tc>
      </w:tr>
      <w:tr>
        <w:trPr>
          <w:trHeight w:val="275" w:hRule="atLeast"/>
        </w:trPr>
        <w:tc>
          <w:tcPr>
            <w:tcW w:w="10207" w:type="dxa"/>
            <w:gridSpan w:val="4"/>
            <w:tcBorders>
              <w:top w:val="single" w:sz="8" w:space="0" w:color="000000"/>
              <w:left w:val="single" w:sz="8" w:space="0" w:color="000000"/>
              <w:bottom w:val="single" w:sz="8" w:space="0" w:color="000000"/>
              <w:right w:val="single" w:sz="8" w:space="0" w:color="000000"/>
            </w:tcBorders>
          </w:tcPr>
          <w:p>
            <w:pPr>
              <w:pStyle w:val="TableParagraph"/>
              <w:spacing w:line="255" w:lineRule="exact"/>
              <w:ind w:left="3963" w:right="3910"/>
              <w:jc w:val="center"/>
              <w:rPr>
                <w:sz w:val="24"/>
              </w:rPr>
            </w:pPr>
            <w:r>
              <w:rPr>
                <w:sz w:val="24"/>
              </w:rPr>
              <w:t>MMCD BIOLÓGICOS</w:t>
            </w:r>
          </w:p>
        </w:tc>
      </w:tr>
      <w:tr>
        <w:trPr>
          <w:trHeight w:val="273" w:hRule="atLeast"/>
        </w:trPr>
        <w:tc>
          <w:tcPr>
            <w:tcW w:w="2553" w:type="dxa"/>
            <w:gridSpan w:val="2"/>
            <w:tcBorders>
              <w:top w:val="single" w:sz="8" w:space="0" w:color="000000"/>
              <w:left w:val="single" w:sz="8" w:space="0" w:color="000000"/>
              <w:right w:val="single" w:sz="8" w:space="0" w:color="000000"/>
            </w:tcBorders>
            <w:shd w:val="clear" w:color="auto" w:fill="C0C0C0"/>
          </w:tcPr>
          <w:p>
            <w:pPr>
              <w:pStyle w:val="TableParagraph"/>
              <w:spacing w:line="253" w:lineRule="exact"/>
              <w:ind w:left="674"/>
              <w:rPr>
                <w:sz w:val="24"/>
              </w:rPr>
            </w:pPr>
            <w:r>
              <w:rPr>
                <w:sz w:val="24"/>
              </w:rPr>
              <w:t>Anti-TNF</w:t>
            </w:r>
          </w:p>
        </w:tc>
        <w:tc>
          <w:tcPr>
            <w:tcW w:w="2381" w:type="dxa"/>
            <w:tcBorders>
              <w:top w:val="single" w:sz="8" w:space="0" w:color="000000"/>
              <w:left w:val="single" w:sz="8" w:space="0" w:color="000000"/>
              <w:right w:val="single" w:sz="8" w:space="0" w:color="000000"/>
            </w:tcBorders>
            <w:shd w:val="clear" w:color="auto" w:fill="C0C0C0"/>
          </w:tcPr>
          <w:p>
            <w:pPr>
              <w:pStyle w:val="TableParagraph"/>
              <w:tabs>
                <w:tab w:pos="2044" w:val="left" w:leader="none"/>
              </w:tabs>
              <w:spacing w:line="253" w:lineRule="exact"/>
              <w:ind w:left="108"/>
              <w:rPr>
                <w:sz w:val="24"/>
              </w:rPr>
            </w:pPr>
            <w:r>
              <w:rPr>
                <w:sz w:val="24"/>
              </w:rPr>
              <w:t>Avaliação</w:t>
              <w:tab/>
              <w:t>de</w:t>
            </w:r>
          </w:p>
        </w:tc>
        <w:tc>
          <w:tcPr>
            <w:tcW w:w="5273" w:type="dxa"/>
            <w:tcBorders>
              <w:top w:val="single" w:sz="8" w:space="0" w:color="000000"/>
              <w:left w:val="single" w:sz="8" w:space="0" w:color="000000"/>
              <w:right w:val="single" w:sz="8" w:space="0" w:color="000000"/>
            </w:tcBorders>
            <w:shd w:val="clear" w:color="auto" w:fill="C0C0C0"/>
          </w:tcPr>
          <w:p>
            <w:pPr>
              <w:pStyle w:val="TableParagraph"/>
              <w:spacing w:line="253" w:lineRule="exact"/>
              <w:ind w:left="108"/>
              <w:rPr>
                <w:sz w:val="24"/>
              </w:rPr>
            </w:pPr>
            <w:r>
              <w:rPr>
                <w:sz w:val="24"/>
              </w:rPr>
              <w:t>- Tratar tuberculose latente por no mínimo 1 mês</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tuberculose latente ou</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antes do início do uso desses medicamentos.</w:t>
            </w:r>
          </w:p>
        </w:tc>
      </w:tr>
      <w:tr>
        <w:trPr>
          <w:trHeight w:val="275"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ativa antes do</w:t>
            </w:r>
            <w:r>
              <w:rPr>
                <w:spacing w:val="51"/>
                <w:sz w:val="24"/>
              </w:rPr>
              <w:t> </w:t>
            </w:r>
            <w:r>
              <w:rPr>
                <w:sz w:val="24"/>
              </w:rPr>
              <w:t>início</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 Anemia, leucopenia e/ou trombocitopenia novas</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248" w:val="left" w:leader="none"/>
              </w:tabs>
              <w:spacing w:line="256" w:lineRule="exact"/>
              <w:ind w:left="108"/>
              <w:rPr>
                <w:sz w:val="24"/>
              </w:rPr>
            </w:pPr>
            <w:r>
              <w:rPr>
                <w:sz w:val="24"/>
              </w:rPr>
              <w:t>do</w:t>
              <w:tab/>
              <w:t>tratamento</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ou mais acentuadas: reduzir a dose em 25% a 50%;</w:t>
            </w:r>
          </w:p>
        </w:tc>
      </w:tr>
      <w:tr>
        <w:trPr>
          <w:trHeight w:val="275"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646" w:val="left" w:leader="none"/>
              </w:tabs>
              <w:spacing w:line="256" w:lineRule="exact"/>
              <w:ind w:left="108"/>
              <w:rPr>
                <w:sz w:val="24"/>
              </w:rPr>
            </w:pPr>
            <w:r>
              <w:rPr>
                <w:sz w:val="24"/>
              </w:rPr>
              <w:t>(anamnese,</w:t>
              <w:tab/>
              <w:t>exame</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interromper o uso do medicamento se persistirem as</w:t>
            </w:r>
          </w:p>
        </w:tc>
      </w:tr>
      <w:tr>
        <w:trPr>
          <w:trHeight w:val="275"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físico, radiografia de</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alterações.</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166" w:val="left" w:leader="none"/>
                <w:tab w:pos="1836" w:val="left" w:leader="none"/>
              </w:tabs>
              <w:spacing w:line="256" w:lineRule="exact"/>
              <w:ind w:left="108"/>
              <w:rPr>
                <w:sz w:val="24"/>
              </w:rPr>
            </w:pPr>
            <w:r>
              <w:rPr>
                <w:sz w:val="24"/>
              </w:rPr>
              <w:t>tórax</w:t>
              <w:tab/>
              <w:t>e</w:t>
              <w:tab/>
              <w:t>teste</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 Elevação de AST/TGO e ALT/TGP entre 1 e 3</w:t>
            </w:r>
          </w:p>
        </w:tc>
      </w:tr>
      <w:tr>
        <w:trPr>
          <w:trHeight w:val="275"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tuberculínico).</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vezes o LSN: reduzir a dose em 25% a 50%.</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Hemograma,</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 Elevação de AST/TGO e ALT/TGP entre 3 e 5</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tabs>
                <w:tab w:pos="1377" w:val="left" w:leader="none"/>
                <w:tab w:pos="1739" w:val="left" w:leader="none"/>
              </w:tabs>
              <w:spacing w:line="256" w:lineRule="exact"/>
              <w:ind w:left="108"/>
              <w:rPr>
                <w:sz w:val="24"/>
              </w:rPr>
            </w:pPr>
            <w:r>
              <w:rPr>
                <w:sz w:val="24"/>
              </w:rPr>
              <w:t>AST/TGO</w:t>
              <w:tab/>
              <w:t>e</w:t>
              <w:tab/>
              <w:t>ALT/</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vezes o LSN: suspender o uso do medicamento até</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TGP: A cada 1 a 3</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TGO/TGP entre 1 e 3 vezes o LSN e reiniciar com</w:t>
            </w:r>
          </w:p>
        </w:tc>
      </w:tr>
      <w:tr>
        <w:trPr>
          <w:trHeight w:val="276"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meses.</w:t>
            </w: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50% da dose.</w:t>
            </w:r>
          </w:p>
        </w:tc>
      </w:tr>
      <w:tr>
        <w:trPr>
          <w:trHeight w:val="275" w:hRule="atLeast"/>
        </w:trPr>
        <w:tc>
          <w:tcPr>
            <w:tcW w:w="2553" w:type="dxa"/>
            <w:gridSpan w:val="2"/>
            <w:tcBorders>
              <w:left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right w:val="single" w:sz="8" w:space="0" w:color="000000"/>
            </w:tcBorders>
            <w:shd w:val="clear" w:color="auto" w:fill="C0C0C0"/>
          </w:tcPr>
          <w:p>
            <w:pPr>
              <w:pStyle w:val="TableParagraph"/>
              <w:rPr>
                <w:sz w:val="20"/>
              </w:rPr>
            </w:pPr>
          </w:p>
        </w:tc>
        <w:tc>
          <w:tcPr>
            <w:tcW w:w="5273" w:type="dxa"/>
            <w:tcBorders>
              <w:left w:val="single" w:sz="8" w:space="0" w:color="000000"/>
              <w:right w:val="single" w:sz="8" w:space="0" w:color="000000"/>
            </w:tcBorders>
            <w:shd w:val="clear" w:color="auto" w:fill="C0C0C0"/>
          </w:tcPr>
          <w:p>
            <w:pPr>
              <w:pStyle w:val="TableParagraph"/>
              <w:spacing w:line="256" w:lineRule="exact"/>
              <w:ind w:left="108"/>
              <w:rPr>
                <w:sz w:val="24"/>
              </w:rPr>
            </w:pPr>
            <w:r>
              <w:rPr>
                <w:sz w:val="24"/>
              </w:rPr>
              <w:t>- Elevação de AST/TGO e ALT/TGP acima de 5</w:t>
            </w:r>
          </w:p>
        </w:tc>
      </w:tr>
      <w:tr>
        <w:trPr>
          <w:trHeight w:val="279" w:hRule="atLeast"/>
        </w:trPr>
        <w:tc>
          <w:tcPr>
            <w:tcW w:w="2553" w:type="dxa"/>
            <w:gridSpan w:val="2"/>
            <w:tcBorders>
              <w:left w:val="single" w:sz="8" w:space="0" w:color="000000"/>
              <w:bottom w:val="single" w:sz="8" w:space="0" w:color="000000"/>
              <w:right w:val="single" w:sz="8" w:space="0" w:color="000000"/>
            </w:tcBorders>
            <w:shd w:val="clear" w:color="auto" w:fill="C0C0C0"/>
          </w:tcPr>
          <w:p>
            <w:pPr>
              <w:pStyle w:val="TableParagraph"/>
              <w:rPr>
                <w:sz w:val="20"/>
              </w:rPr>
            </w:pPr>
          </w:p>
        </w:tc>
        <w:tc>
          <w:tcPr>
            <w:tcW w:w="2381" w:type="dxa"/>
            <w:tcBorders>
              <w:left w:val="single" w:sz="8" w:space="0" w:color="000000"/>
              <w:bottom w:val="single" w:sz="8" w:space="0" w:color="000000"/>
              <w:right w:val="single" w:sz="8" w:space="0" w:color="000000"/>
            </w:tcBorders>
            <w:shd w:val="clear" w:color="auto" w:fill="C0C0C0"/>
          </w:tcPr>
          <w:p>
            <w:pPr>
              <w:pStyle w:val="TableParagraph"/>
              <w:rPr>
                <w:sz w:val="20"/>
              </w:rPr>
            </w:pPr>
          </w:p>
        </w:tc>
        <w:tc>
          <w:tcPr>
            <w:tcW w:w="5273" w:type="dxa"/>
            <w:tcBorders>
              <w:left w:val="single" w:sz="8" w:space="0" w:color="000000"/>
              <w:bottom w:val="single" w:sz="8" w:space="0" w:color="000000"/>
              <w:right w:val="single" w:sz="8" w:space="0" w:color="000000"/>
            </w:tcBorders>
            <w:shd w:val="clear" w:color="auto" w:fill="C0C0C0"/>
          </w:tcPr>
          <w:p>
            <w:pPr>
              <w:pStyle w:val="TableParagraph"/>
              <w:spacing w:line="259" w:lineRule="exact"/>
              <w:ind w:left="108"/>
              <w:rPr>
                <w:sz w:val="24"/>
              </w:rPr>
            </w:pPr>
            <w:r>
              <w:rPr>
                <w:sz w:val="24"/>
              </w:rPr>
              <w:t>vezes o LSN: interromper o uso do medicamento.</w:t>
            </w:r>
          </w:p>
        </w:tc>
      </w:tr>
      <w:tr>
        <w:trPr>
          <w:trHeight w:val="275" w:hRule="atLeast"/>
        </w:trPr>
        <w:tc>
          <w:tcPr>
            <w:tcW w:w="2553" w:type="dxa"/>
            <w:gridSpan w:val="2"/>
            <w:tcBorders>
              <w:top w:val="single" w:sz="8" w:space="0" w:color="000000"/>
              <w:left w:val="single" w:sz="8" w:space="0" w:color="000000"/>
              <w:right w:val="single" w:sz="8" w:space="0" w:color="000000"/>
            </w:tcBorders>
          </w:tcPr>
          <w:p>
            <w:pPr>
              <w:pStyle w:val="TableParagraph"/>
              <w:spacing w:line="255" w:lineRule="exact"/>
              <w:ind w:left="674"/>
              <w:rPr>
                <w:sz w:val="24"/>
              </w:rPr>
            </w:pPr>
            <w:r>
              <w:rPr>
                <w:sz w:val="24"/>
              </w:rPr>
              <w:t>Abatacepte</w:t>
            </w:r>
          </w:p>
        </w:tc>
        <w:tc>
          <w:tcPr>
            <w:tcW w:w="2381" w:type="dxa"/>
            <w:tcBorders>
              <w:top w:val="single" w:sz="8" w:space="0" w:color="000000"/>
              <w:left w:val="single" w:sz="8" w:space="0" w:color="000000"/>
              <w:right w:val="single" w:sz="8" w:space="0" w:color="000000"/>
            </w:tcBorders>
          </w:tcPr>
          <w:p>
            <w:pPr>
              <w:pStyle w:val="TableParagraph"/>
              <w:tabs>
                <w:tab w:pos="2045" w:val="left" w:leader="none"/>
              </w:tabs>
              <w:spacing w:line="255" w:lineRule="exact"/>
              <w:ind w:left="108"/>
              <w:rPr>
                <w:sz w:val="24"/>
              </w:rPr>
            </w:pPr>
            <w:r>
              <w:rPr>
                <w:sz w:val="24"/>
              </w:rPr>
              <w:t>Avaliação</w:t>
              <w:tab/>
              <w:t>de</w:t>
            </w:r>
          </w:p>
        </w:tc>
        <w:tc>
          <w:tcPr>
            <w:tcW w:w="5273" w:type="dxa"/>
            <w:tcBorders>
              <w:top w:val="single" w:sz="8" w:space="0" w:color="000000"/>
              <w:left w:val="single" w:sz="8" w:space="0" w:color="000000"/>
              <w:right w:val="single" w:sz="8" w:space="0" w:color="000000"/>
            </w:tcBorders>
          </w:tcPr>
          <w:p>
            <w:pPr>
              <w:pStyle w:val="TableParagraph"/>
              <w:spacing w:line="255" w:lineRule="exact"/>
              <w:ind w:left="108"/>
              <w:rPr>
                <w:sz w:val="24"/>
              </w:rPr>
            </w:pPr>
            <w:r>
              <w:rPr>
                <w:sz w:val="24"/>
              </w:rPr>
              <w:t>- Tratar tuberculose latente por no mínimo 1 mês</w:t>
            </w:r>
          </w:p>
        </w:tc>
      </w:tr>
      <w:tr>
        <w:trPr>
          <w:trHeight w:val="275"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spacing w:line="256" w:lineRule="exact"/>
              <w:ind w:left="108"/>
              <w:rPr>
                <w:sz w:val="24"/>
              </w:rPr>
            </w:pPr>
            <w:r>
              <w:rPr>
                <w:sz w:val="24"/>
              </w:rPr>
              <w:t>tuberculose latente ou</w:t>
            </w:r>
          </w:p>
        </w:tc>
        <w:tc>
          <w:tcPr>
            <w:tcW w:w="5273" w:type="dxa"/>
            <w:tcBorders>
              <w:left w:val="single" w:sz="8" w:space="0" w:color="000000"/>
              <w:right w:val="single" w:sz="8" w:space="0" w:color="000000"/>
            </w:tcBorders>
          </w:tcPr>
          <w:p>
            <w:pPr>
              <w:pStyle w:val="TableParagraph"/>
              <w:spacing w:line="256" w:lineRule="exact"/>
              <w:ind w:left="108"/>
              <w:rPr>
                <w:sz w:val="24"/>
              </w:rPr>
            </w:pPr>
            <w:r>
              <w:rPr>
                <w:sz w:val="24"/>
              </w:rPr>
              <w:t>antes do início do uso desse medicamento.</w:t>
            </w:r>
          </w:p>
        </w:tc>
      </w:tr>
      <w:tr>
        <w:trPr>
          <w:trHeight w:val="276"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spacing w:line="256" w:lineRule="exact"/>
              <w:ind w:left="108"/>
              <w:rPr>
                <w:sz w:val="24"/>
              </w:rPr>
            </w:pPr>
            <w:r>
              <w:rPr>
                <w:sz w:val="24"/>
              </w:rPr>
              <w:t>ativa antes do</w:t>
            </w:r>
            <w:r>
              <w:rPr>
                <w:spacing w:val="51"/>
                <w:sz w:val="24"/>
              </w:rPr>
              <w:t> </w:t>
            </w:r>
            <w:r>
              <w:rPr>
                <w:sz w:val="24"/>
              </w:rPr>
              <w:t>início</w:t>
            </w:r>
          </w:p>
        </w:tc>
        <w:tc>
          <w:tcPr>
            <w:tcW w:w="5273" w:type="dxa"/>
            <w:tcBorders>
              <w:left w:val="single" w:sz="8" w:space="0" w:color="000000"/>
              <w:right w:val="single" w:sz="8" w:space="0" w:color="000000"/>
            </w:tcBorders>
          </w:tcPr>
          <w:p>
            <w:pPr>
              <w:pStyle w:val="TableParagraph"/>
              <w:spacing w:line="256" w:lineRule="exact"/>
              <w:ind w:left="108"/>
              <w:rPr>
                <w:sz w:val="24"/>
              </w:rPr>
            </w:pPr>
            <w:r>
              <w:rPr>
                <w:sz w:val="24"/>
              </w:rPr>
              <w:t>- Anemia, leucopenia ou trombocitopenia novas ou</w:t>
            </w:r>
          </w:p>
        </w:tc>
      </w:tr>
      <w:tr>
        <w:trPr>
          <w:trHeight w:val="276"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tabs>
                <w:tab w:pos="1248" w:val="left" w:leader="none"/>
              </w:tabs>
              <w:spacing w:line="256" w:lineRule="exact"/>
              <w:ind w:left="108"/>
              <w:rPr>
                <w:sz w:val="24"/>
              </w:rPr>
            </w:pPr>
            <w:r>
              <w:rPr>
                <w:sz w:val="24"/>
              </w:rPr>
              <w:t>do</w:t>
              <w:tab/>
              <w:t>tratamento</w:t>
            </w:r>
          </w:p>
        </w:tc>
        <w:tc>
          <w:tcPr>
            <w:tcW w:w="5273" w:type="dxa"/>
            <w:tcBorders>
              <w:left w:val="single" w:sz="8" w:space="0" w:color="000000"/>
              <w:right w:val="single" w:sz="8" w:space="0" w:color="000000"/>
            </w:tcBorders>
          </w:tcPr>
          <w:p>
            <w:pPr>
              <w:pStyle w:val="TableParagraph"/>
              <w:spacing w:line="256" w:lineRule="exact"/>
              <w:ind w:left="108"/>
              <w:rPr>
                <w:sz w:val="24"/>
              </w:rPr>
            </w:pPr>
            <w:r>
              <w:rPr>
                <w:sz w:val="24"/>
              </w:rPr>
              <w:t>mais acentuadas: reduzir a dose em 25% a 50%;</w:t>
            </w:r>
          </w:p>
        </w:tc>
      </w:tr>
      <w:tr>
        <w:trPr>
          <w:trHeight w:val="275"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tabs>
                <w:tab w:pos="1646" w:val="left" w:leader="none"/>
              </w:tabs>
              <w:spacing w:line="256" w:lineRule="exact"/>
              <w:ind w:left="108"/>
              <w:rPr>
                <w:sz w:val="24"/>
              </w:rPr>
            </w:pPr>
            <w:r>
              <w:rPr>
                <w:sz w:val="24"/>
              </w:rPr>
              <w:t>(anamnese,</w:t>
              <w:tab/>
              <w:t>exame</w:t>
            </w:r>
          </w:p>
        </w:tc>
        <w:tc>
          <w:tcPr>
            <w:tcW w:w="5273" w:type="dxa"/>
            <w:tcBorders>
              <w:left w:val="single" w:sz="8" w:space="0" w:color="000000"/>
              <w:right w:val="single" w:sz="8" w:space="0" w:color="000000"/>
            </w:tcBorders>
          </w:tcPr>
          <w:p>
            <w:pPr>
              <w:pStyle w:val="TableParagraph"/>
              <w:spacing w:line="256" w:lineRule="exact"/>
              <w:ind w:left="108"/>
              <w:rPr>
                <w:sz w:val="24"/>
              </w:rPr>
            </w:pPr>
            <w:r>
              <w:rPr>
                <w:sz w:val="24"/>
              </w:rPr>
              <w:t>interromper o uso do medicamento se persistirem as</w:t>
            </w:r>
          </w:p>
        </w:tc>
      </w:tr>
      <w:tr>
        <w:trPr>
          <w:trHeight w:val="274"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spacing w:line="255" w:lineRule="exact"/>
              <w:ind w:left="108"/>
              <w:rPr>
                <w:sz w:val="24"/>
              </w:rPr>
            </w:pPr>
            <w:r>
              <w:rPr>
                <w:sz w:val="24"/>
              </w:rPr>
              <w:t>físico, radiografia de</w:t>
            </w:r>
          </w:p>
        </w:tc>
        <w:tc>
          <w:tcPr>
            <w:tcW w:w="5273" w:type="dxa"/>
            <w:tcBorders>
              <w:left w:val="single" w:sz="8" w:space="0" w:color="000000"/>
              <w:right w:val="single" w:sz="8" w:space="0" w:color="000000"/>
            </w:tcBorders>
          </w:tcPr>
          <w:p>
            <w:pPr>
              <w:pStyle w:val="TableParagraph"/>
              <w:spacing w:line="255" w:lineRule="exact"/>
              <w:ind w:left="108"/>
              <w:rPr>
                <w:sz w:val="24"/>
              </w:rPr>
            </w:pPr>
            <w:r>
              <w:rPr>
                <w:sz w:val="24"/>
              </w:rPr>
              <w:t>alterações.</w:t>
            </w:r>
          </w:p>
        </w:tc>
      </w:tr>
      <w:tr>
        <w:trPr>
          <w:trHeight w:val="274"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tabs>
                <w:tab w:pos="1166" w:val="left" w:leader="none"/>
                <w:tab w:pos="1835" w:val="left" w:leader="none"/>
              </w:tabs>
              <w:spacing w:line="255" w:lineRule="exact"/>
              <w:ind w:left="108"/>
              <w:rPr>
                <w:sz w:val="24"/>
              </w:rPr>
            </w:pPr>
            <w:r>
              <w:rPr>
                <w:sz w:val="24"/>
              </w:rPr>
              <w:t>tórax</w:t>
              <w:tab/>
              <w:t>e</w:t>
              <w:tab/>
              <w:t>teste</w:t>
            </w:r>
          </w:p>
        </w:tc>
        <w:tc>
          <w:tcPr>
            <w:tcW w:w="5273" w:type="dxa"/>
            <w:tcBorders>
              <w:left w:val="single" w:sz="8" w:space="0" w:color="000000"/>
              <w:right w:val="single" w:sz="8" w:space="0" w:color="000000"/>
            </w:tcBorders>
          </w:tcPr>
          <w:p>
            <w:pPr>
              <w:pStyle w:val="TableParagraph"/>
              <w:spacing w:line="255" w:lineRule="exact"/>
              <w:ind w:left="108"/>
              <w:rPr>
                <w:sz w:val="24"/>
              </w:rPr>
            </w:pPr>
            <w:r>
              <w:rPr>
                <w:sz w:val="24"/>
              </w:rPr>
              <w:t>- Elevação de AST/TGO e ALT/TGP entre 1 e 3</w:t>
            </w:r>
          </w:p>
        </w:tc>
      </w:tr>
      <w:tr>
        <w:trPr>
          <w:trHeight w:val="276" w:hRule="atLeast"/>
        </w:trPr>
        <w:tc>
          <w:tcPr>
            <w:tcW w:w="2553" w:type="dxa"/>
            <w:gridSpan w:val="2"/>
            <w:tcBorders>
              <w:left w:val="single" w:sz="8" w:space="0" w:color="000000"/>
              <w:right w:val="single" w:sz="8" w:space="0" w:color="000000"/>
            </w:tcBorders>
          </w:tcPr>
          <w:p>
            <w:pPr>
              <w:pStyle w:val="TableParagraph"/>
              <w:rPr>
                <w:sz w:val="20"/>
              </w:rPr>
            </w:pPr>
          </w:p>
        </w:tc>
        <w:tc>
          <w:tcPr>
            <w:tcW w:w="2381" w:type="dxa"/>
            <w:tcBorders>
              <w:left w:val="single" w:sz="8" w:space="0" w:color="000000"/>
              <w:right w:val="single" w:sz="8" w:space="0" w:color="000000"/>
            </w:tcBorders>
          </w:tcPr>
          <w:p>
            <w:pPr>
              <w:pStyle w:val="TableParagraph"/>
              <w:spacing w:line="256" w:lineRule="exact"/>
              <w:ind w:left="108"/>
              <w:rPr>
                <w:sz w:val="24"/>
              </w:rPr>
            </w:pPr>
            <w:r>
              <w:rPr>
                <w:sz w:val="24"/>
              </w:rPr>
              <w:t>tuberculínico).</w:t>
            </w:r>
          </w:p>
        </w:tc>
        <w:tc>
          <w:tcPr>
            <w:tcW w:w="5273" w:type="dxa"/>
            <w:tcBorders>
              <w:left w:val="single" w:sz="8" w:space="0" w:color="000000"/>
              <w:right w:val="single" w:sz="8" w:space="0" w:color="000000"/>
            </w:tcBorders>
          </w:tcPr>
          <w:p>
            <w:pPr>
              <w:pStyle w:val="TableParagraph"/>
              <w:spacing w:line="256" w:lineRule="exact"/>
              <w:ind w:left="108"/>
              <w:rPr>
                <w:sz w:val="24"/>
              </w:rPr>
            </w:pPr>
            <w:r>
              <w:rPr>
                <w:sz w:val="24"/>
              </w:rPr>
              <w:t>vezes o LSN: reduzir a dose em 25% a 50%.</w:t>
            </w:r>
          </w:p>
        </w:tc>
      </w:tr>
      <w:tr>
        <w:trPr>
          <w:trHeight w:val="280" w:hRule="atLeast"/>
        </w:trPr>
        <w:tc>
          <w:tcPr>
            <w:tcW w:w="2553" w:type="dxa"/>
            <w:gridSpan w:val="2"/>
            <w:tcBorders>
              <w:left w:val="single" w:sz="8" w:space="0" w:color="000000"/>
              <w:bottom w:val="single" w:sz="8" w:space="0" w:color="000000"/>
              <w:right w:val="single" w:sz="8" w:space="0" w:color="000000"/>
            </w:tcBorders>
          </w:tcPr>
          <w:p>
            <w:pPr>
              <w:pStyle w:val="TableParagraph"/>
              <w:rPr>
                <w:sz w:val="20"/>
              </w:rPr>
            </w:pPr>
          </w:p>
        </w:tc>
        <w:tc>
          <w:tcPr>
            <w:tcW w:w="2381" w:type="dxa"/>
            <w:tcBorders>
              <w:left w:val="single" w:sz="8" w:space="0" w:color="000000"/>
              <w:bottom w:val="single" w:sz="8" w:space="0" w:color="000000"/>
              <w:right w:val="single" w:sz="8" w:space="0" w:color="000000"/>
            </w:tcBorders>
          </w:tcPr>
          <w:p>
            <w:pPr>
              <w:pStyle w:val="TableParagraph"/>
              <w:spacing w:line="261" w:lineRule="exact"/>
              <w:ind w:left="108"/>
              <w:rPr>
                <w:sz w:val="24"/>
              </w:rPr>
            </w:pPr>
            <w:r>
              <w:rPr>
                <w:sz w:val="24"/>
              </w:rPr>
              <w:t>Hemograma,</w:t>
            </w:r>
          </w:p>
        </w:tc>
        <w:tc>
          <w:tcPr>
            <w:tcW w:w="5273" w:type="dxa"/>
            <w:tcBorders>
              <w:left w:val="single" w:sz="8" w:space="0" w:color="000000"/>
              <w:bottom w:val="single" w:sz="8" w:space="0" w:color="000000"/>
              <w:right w:val="single" w:sz="8" w:space="0" w:color="000000"/>
            </w:tcBorders>
          </w:tcPr>
          <w:p>
            <w:pPr>
              <w:pStyle w:val="TableParagraph"/>
              <w:spacing w:line="261" w:lineRule="exact"/>
              <w:ind w:left="108"/>
              <w:rPr>
                <w:sz w:val="24"/>
              </w:rPr>
            </w:pPr>
            <w:r>
              <w:rPr>
                <w:sz w:val="24"/>
              </w:rPr>
              <w:t>- Elevação de AST/TGO e ALT/TGP entre 3 e 5</w:t>
            </w:r>
          </w:p>
        </w:tc>
      </w:tr>
    </w:tbl>
    <w:p>
      <w:pPr>
        <w:spacing w:after="0" w:line="261" w:lineRule="exac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4"/>
        <w:gridCol w:w="2381"/>
        <w:gridCol w:w="5273"/>
      </w:tblGrid>
      <w:tr>
        <w:trPr>
          <w:trHeight w:val="1381" w:hRule="atLeast"/>
        </w:trPr>
        <w:tc>
          <w:tcPr>
            <w:tcW w:w="2554" w:type="dxa"/>
          </w:tcPr>
          <w:p>
            <w:pPr>
              <w:pStyle w:val="TableParagraph"/>
              <w:rPr>
                <w:sz w:val="24"/>
              </w:rPr>
            </w:pPr>
          </w:p>
        </w:tc>
        <w:tc>
          <w:tcPr>
            <w:tcW w:w="2381" w:type="dxa"/>
          </w:tcPr>
          <w:p>
            <w:pPr>
              <w:pStyle w:val="TableParagraph"/>
              <w:tabs>
                <w:tab w:pos="2166" w:val="left" w:leader="none"/>
              </w:tabs>
              <w:spacing w:line="270" w:lineRule="exact"/>
              <w:ind w:left="107"/>
              <w:rPr>
                <w:sz w:val="24"/>
              </w:rPr>
            </w:pPr>
            <w:r>
              <w:rPr>
                <w:sz w:val="24"/>
              </w:rPr>
              <w:t>AST/TGO</w:t>
              <w:tab/>
              <w:t>e</w:t>
            </w:r>
          </w:p>
          <w:p>
            <w:pPr>
              <w:pStyle w:val="TableParagraph"/>
              <w:ind w:left="107" w:right="34"/>
              <w:rPr>
                <w:sz w:val="24"/>
              </w:rPr>
            </w:pPr>
            <w:r>
              <w:rPr>
                <w:sz w:val="24"/>
              </w:rPr>
              <w:t>ALT/TGP: A cada 1 a 3 meses.</w:t>
            </w:r>
          </w:p>
        </w:tc>
        <w:tc>
          <w:tcPr>
            <w:tcW w:w="5273" w:type="dxa"/>
          </w:tcPr>
          <w:p>
            <w:pPr>
              <w:pStyle w:val="TableParagraph"/>
              <w:ind w:left="107" w:right="88"/>
              <w:jc w:val="both"/>
              <w:rPr>
                <w:sz w:val="24"/>
              </w:rPr>
            </w:pPr>
            <w:r>
              <w:rPr>
                <w:sz w:val="24"/>
              </w:rPr>
              <w:t>vezes o LSN: suspender o uso do medicamento até AST/TGO e ALT/TGP entre 1 e 3 vezes o LSN e reiniciar com 50% da dose.</w:t>
            </w:r>
          </w:p>
          <w:p>
            <w:pPr>
              <w:pStyle w:val="TableParagraph"/>
              <w:spacing w:line="270" w:lineRule="atLeast"/>
              <w:ind w:left="107" w:right="92"/>
              <w:jc w:val="both"/>
              <w:rPr>
                <w:sz w:val="24"/>
              </w:rPr>
            </w:pPr>
            <w:r>
              <w:rPr>
                <w:sz w:val="24"/>
              </w:rPr>
              <w:t>- Elevação de AST/TGO e ALT/TGP acima de 5 vezes o LSN: interromper o uso do medicamento.</w:t>
            </w:r>
          </w:p>
        </w:tc>
      </w:tr>
      <w:tr>
        <w:trPr>
          <w:trHeight w:val="272" w:hRule="atLeast"/>
        </w:trPr>
        <w:tc>
          <w:tcPr>
            <w:tcW w:w="2554" w:type="dxa"/>
            <w:tcBorders>
              <w:bottom w:val="nil"/>
            </w:tcBorders>
            <w:shd w:val="clear" w:color="auto" w:fill="C0C0C0"/>
          </w:tcPr>
          <w:p>
            <w:pPr>
              <w:pStyle w:val="TableParagraph"/>
              <w:spacing w:line="253" w:lineRule="exact"/>
              <w:ind w:left="674"/>
              <w:rPr>
                <w:sz w:val="24"/>
              </w:rPr>
            </w:pPr>
            <w:r>
              <w:rPr>
                <w:sz w:val="24"/>
              </w:rPr>
              <w:t>Rituximabe</w:t>
            </w:r>
          </w:p>
        </w:tc>
        <w:tc>
          <w:tcPr>
            <w:tcW w:w="2381" w:type="dxa"/>
            <w:tcBorders>
              <w:bottom w:val="nil"/>
            </w:tcBorders>
            <w:shd w:val="clear" w:color="auto" w:fill="C0C0C0"/>
          </w:tcPr>
          <w:p>
            <w:pPr>
              <w:pStyle w:val="TableParagraph"/>
              <w:tabs>
                <w:tab w:pos="2043" w:val="left" w:leader="none"/>
              </w:tabs>
              <w:spacing w:line="253" w:lineRule="exact"/>
              <w:ind w:left="107"/>
              <w:rPr>
                <w:sz w:val="24"/>
              </w:rPr>
            </w:pPr>
            <w:r>
              <w:rPr>
                <w:sz w:val="24"/>
              </w:rPr>
              <w:t>Avaliação</w:t>
              <w:tab/>
              <w:t>de</w:t>
            </w:r>
          </w:p>
        </w:tc>
        <w:tc>
          <w:tcPr>
            <w:tcW w:w="5273" w:type="dxa"/>
            <w:tcBorders>
              <w:bottom w:val="nil"/>
            </w:tcBorders>
            <w:shd w:val="clear" w:color="auto" w:fill="C0C0C0"/>
          </w:tcPr>
          <w:p>
            <w:pPr>
              <w:pStyle w:val="TableParagraph"/>
              <w:spacing w:line="253" w:lineRule="exact"/>
              <w:ind w:left="107"/>
              <w:rPr>
                <w:sz w:val="24"/>
              </w:rPr>
            </w:pPr>
            <w:r>
              <w:rPr>
                <w:sz w:val="24"/>
              </w:rPr>
              <w:t>- Tratar tuberculose latente por no mínimo 1 mês</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tuberculose latente ou</w:t>
            </w:r>
          </w:p>
        </w:tc>
        <w:tc>
          <w:tcPr>
            <w:tcW w:w="5273" w:type="dxa"/>
            <w:tcBorders>
              <w:top w:val="nil"/>
              <w:bottom w:val="nil"/>
            </w:tcBorders>
            <w:shd w:val="clear" w:color="auto" w:fill="C0C0C0"/>
          </w:tcPr>
          <w:p>
            <w:pPr>
              <w:pStyle w:val="TableParagraph"/>
              <w:spacing w:line="256" w:lineRule="exact"/>
              <w:ind w:left="107"/>
              <w:rPr>
                <w:sz w:val="24"/>
              </w:rPr>
            </w:pPr>
            <w:r>
              <w:rPr>
                <w:sz w:val="24"/>
              </w:rPr>
              <w:t>antes do início do uso desse medicamento.</w:t>
            </w:r>
          </w:p>
        </w:tc>
      </w:tr>
      <w:tr>
        <w:trPr>
          <w:trHeight w:val="275"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ativa antes do</w:t>
            </w:r>
            <w:r>
              <w:rPr>
                <w:spacing w:val="51"/>
                <w:sz w:val="24"/>
              </w:rPr>
              <w:t> </w:t>
            </w:r>
            <w:r>
              <w:rPr>
                <w:sz w:val="24"/>
              </w:rPr>
              <w:t>início</w:t>
            </w:r>
          </w:p>
        </w:tc>
        <w:tc>
          <w:tcPr>
            <w:tcW w:w="5273" w:type="dxa"/>
            <w:tcBorders>
              <w:top w:val="nil"/>
              <w:bottom w:val="nil"/>
            </w:tcBorders>
            <w:shd w:val="clear" w:color="auto" w:fill="C0C0C0"/>
          </w:tcPr>
          <w:p>
            <w:pPr>
              <w:pStyle w:val="TableParagraph"/>
              <w:spacing w:line="256" w:lineRule="exact"/>
              <w:ind w:left="107"/>
              <w:rPr>
                <w:sz w:val="24"/>
              </w:rPr>
            </w:pPr>
            <w:r>
              <w:rPr>
                <w:sz w:val="24"/>
              </w:rPr>
              <w:t>- Anemia, leucopenia ou trombocitopenia novas ou</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tabs>
                <w:tab w:pos="1247" w:val="left" w:leader="none"/>
              </w:tabs>
              <w:spacing w:line="256" w:lineRule="exact"/>
              <w:ind w:left="107"/>
              <w:rPr>
                <w:sz w:val="24"/>
              </w:rPr>
            </w:pPr>
            <w:r>
              <w:rPr>
                <w:sz w:val="24"/>
              </w:rPr>
              <w:t>do</w:t>
              <w:tab/>
              <w:t>tratamento</w:t>
            </w:r>
          </w:p>
        </w:tc>
        <w:tc>
          <w:tcPr>
            <w:tcW w:w="5273" w:type="dxa"/>
            <w:tcBorders>
              <w:top w:val="nil"/>
              <w:bottom w:val="nil"/>
            </w:tcBorders>
            <w:shd w:val="clear" w:color="auto" w:fill="C0C0C0"/>
          </w:tcPr>
          <w:p>
            <w:pPr>
              <w:pStyle w:val="TableParagraph"/>
              <w:spacing w:line="256" w:lineRule="exact"/>
              <w:ind w:left="107"/>
              <w:rPr>
                <w:sz w:val="24"/>
              </w:rPr>
            </w:pPr>
            <w:r>
              <w:rPr>
                <w:sz w:val="24"/>
              </w:rPr>
              <w:t>mais acentuadas: reduzir a dose em 25% a 50%;</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tabs>
                <w:tab w:pos="1645" w:val="left" w:leader="none"/>
              </w:tabs>
              <w:spacing w:line="256" w:lineRule="exact"/>
              <w:ind w:left="107"/>
              <w:rPr>
                <w:sz w:val="24"/>
              </w:rPr>
            </w:pPr>
            <w:r>
              <w:rPr>
                <w:sz w:val="24"/>
              </w:rPr>
              <w:t>(anamnese,</w:t>
              <w:tab/>
              <w:t>exame</w:t>
            </w:r>
          </w:p>
        </w:tc>
        <w:tc>
          <w:tcPr>
            <w:tcW w:w="5273" w:type="dxa"/>
            <w:tcBorders>
              <w:top w:val="nil"/>
              <w:bottom w:val="nil"/>
            </w:tcBorders>
            <w:shd w:val="clear" w:color="auto" w:fill="C0C0C0"/>
          </w:tcPr>
          <w:p>
            <w:pPr>
              <w:pStyle w:val="TableParagraph"/>
              <w:spacing w:line="256" w:lineRule="exact"/>
              <w:ind w:left="107"/>
              <w:rPr>
                <w:sz w:val="24"/>
              </w:rPr>
            </w:pPr>
            <w:r>
              <w:rPr>
                <w:sz w:val="24"/>
              </w:rPr>
              <w:t>interromper o uso do medicamento se persistirem as</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físico, radiografia de</w:t>
            </w:r>
          </w:p>
        </w:tc>
        <w:tc>
          <w:tcPr>
            <w:tcW w:w="5273" w:type="dxa"/>
            <w:tcBorders>
              <w:top w:val="nil"/>
              <w:bottom w:val="nil"/>
            </w:tcBorders>
            <w:shd w:val="clear" w:color="auto" w:fill="C0C0C0"/>
          </w:tcPr>
          <w:p>
            <w:pPr>
              <w:pStyle w:val="TableParagraph"/>
              <w:spacing w:line="256" w:lineRule="exact"/>
              <w:ind w:left="107"/>
              <w:rPr>
                <w:sz w:val="24"/>
              </w:rPr>
            </w:pPr>
            <w:r>
              <w:rPr>
                <w:sz w:val="24"/>
              </w:rPr>
              <w:t>alterações.</w:t>
            </w:r>
          </w:p>
        </w:tc>
      </w:tr>
      <w:tr>
        <w:trPr>
          <w:trHeight w:val="275"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tabs>
                <w:tab w:pos="1165" w:val="left" w:leader="none"/>
                <w:tab w:pos="1834" w:val="left" w:leader="none"/>
              </w:tabs>
              <w:spacing w:line="256" w:lineRule="exact"/>
              <w:ind w:left="107"/>
              <w:rPr>
                <w:sz w:val="24"/>
              </w:rPr>
            </w:pPr>
            <w:r>
              <w:rPr>
                <w:sz w:val="24"/>
              </w:rPr>
              <w:t>tórax</w:t>
              <w:tab/>
              <w:t>e</w:t>
              <w:tab/>
              <w:t>teste</w:t>
            </w:r>
          </w:p>
        </w:tc>
        <w:tc>
          <w:tcPr>
            <w:tcW w:w="5273" w:type="dxa"/>
            <w:tcBorders>
              <w:top w:val="nil"/>
              <w:bottom w:val="nil"/>
            </w:tcBorders>
            <w:shd w:val="clear" w:color="auto" w:fill="C0C0C0"/>
          </w:tcPr>
          <w:p>
            <w:pPr>
              <w:pStyle w:val="TableParagraph"/>
              <w:spacing w:line="256" w:lineRule="exact"/>
              <w:ind w:left="107"/>
              <w:rPr>
                <w:sz w:val="24"/>
              </w:rPr>
            </w:pPr>
            <w:r>
              <w:rPr>
                <w:sz w:val="24"/>
              </w:rPr>
              <w:t>- Elevação de AST/TGO e ALT/TGP entre 1 e 3</w:t>
            </w:r>
          </w:p>
        </w:tc>
      </w:tr>
      <w:tr>
        <w:trPr>
          <w:trHeight w:val="275"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tuberculínico).</w:t>
            </w:r>
          </w:p>
        </w:tc>
        <w:tc>
          <w:tcPr>
            <w:tcW w:w="5273" w:type="dxa"/>
            <w:tcBorders>
              <w:top w:val="nil"/>
              <w:bottom w:val="nil"/>
            </w:tcBorders>
            <w:shd w:val="clear" w:color="auto" w:fill="C0C0C0"/>
          </w:tcPr>
          <w:p>
            <w:pPr>
              <w:pStyle w:val="TableParagraph"/>
              <w:spacing w:line="256" w:lineRule="exact"/>
              <w:ind w:left="107"/>
              <w:rPr>
                <w:sz w:val="24"/>
              </w:rPr>
            </w:pPr>
            <w:r>
              <w:rPr>
                <w:sz w:val="24"/>
              </w:rPr>
              <w:t>vezes o LSN: reduzir a dose em 25% a 50%.</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Hemograma,</w:t>
            </w:r>
          </w:p>
        </w:tc>
        <w:tc>
          <w:tcPr>
            <w:tcW w:w="5273" w:type="dxa"/>
            <w:tcBorders>
              <w:top w:val="nil"/>
              <w:bottom w:val="nil"/>
            </w:tcBorders>
            <w:shd w:val="clear" w:color="auto" w:fill="C0C0C0"/>
          </w:tcPr>
          <w:p>
            <w:pPr>
              <w:pStyle w:val="TableParagraph"/>
              <w:spacing w:line="256" w:lineRule="exact"/>
              <w:ind w:left="107"/>
              <w:rPr>
                <w:sz w:val="24"/>
              </w:rPr>
            </w:pPr>
            <w:r>
              <w:rPr>
                <w:sz w:val="24"/>
              </w:rPr>
              <w:t>- Elevação de AST/TGO e ALT/TGP entre 3 e 5</w:t>
            </w:r>
          </w:p>
        </w:tc>
      </w:tr>
      <w:tr>
        <w:trPr>
          <w:trHeight w:val="275"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tabs>
                <w:tab w:pos="2166" w:val="left" w:leader="none"/>
              </w:tabs>
              <w:spacing w:line="256" w:lineRule="exact"/>
              <w:ind w:left="107"/>
              <w:rPr>
                <w:sz w:val="24"/>
              </w:rPr>
            </w:pPr>
            <w:r>
              <w:rPr>
                <w:sz w:val="24"/>
              </w:rPr>
              <w:t>AST/TGO</w:t>
              <w:tab/>
              <w:t>e</w:t>
            </w:r>
          </w:p>
        </w:tc>
        <w:tc>
          <w:tcPr>
            <w:tcW w:w="5273" w:type="dxa"/>
            <w:tcBorders>
              <w:top w:val="nil"/>
              <w:bottom w:val="nil"/>
            </w:tcBorders>
            <w:shd w:val="clear" w:color="auto" w:fill="C0C0C0"/>
          </w:tcPr>
          <w:p>
            <w:pPr>
              <w:pStyle w:val="TableParagraph"/>
              <w:spacing w:line="256" w:lineRule="exact"/>
              <w:ind w:left="107"/>
              <w:rPr>
                <w:sz w:val="24"/>
              </w:rPr>
            </w:pPr>
            <w:r>
              <w:rPr>
                <w:sz w:val="24"/>
              </w:rPr>
              <w:t>vezes o LSN: suspender o uso do medicamento até</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ALT/TGP: A cada 1 a</w:t>
            </w:r>
          </w:p>
        </w:tc>
        <w:tc>
          <w:tcPr>
            <w:tcW w:w="5273" w:type="dxa"/>
            <w:tcBorders>
              <w:top w:val="nil"/>
              <w:bottom w:val="nil"/>
            </w:tcBorders>
            <w:shd w:val="clear" w:color="auto" w:fill="C0C0C0"/>
          </w:tcPr>
          <w:p>
            <w:pPr>
              <w:pStyle w:val="TableParagraph"/>
              <w:spacing w:line="256" w:lineRule="exact"/>
              <w:ind w:left="107"/>
              <w:rPr>
                <w:sz w:val="24"/>
              </w:rPr>
            </w:pPr>
            <w:r>
              <w:rPr>
                <w:sz w:val="24"/>
              </w:rPr>
              <w:t>AST/TGO e ALT/TGP entre 1 e 3 vezes o LSN e</w:t>
            </w:r>
          </w:p>
        </w:tc>
      </w:tr>
      <w:tr>
        <w:trPr>
          <w:trHeight w:val="275"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spacing w:line="256" w:lineRule="exact"/>
              <w:ind w:left="107"/>
              <w:rPr>
                <w:sz w:val="24"/>
              </w:rPr>
            </w:pPr>
            <w:r>
              <w:rPr>
                <w:sz w:val="24"/>
              </w:rPr>
              <w:t>3 meses.</w:t>
            </w:r>
          </w:p>
        </w:tc>
        <w:tc>
          <w:tcPr>
            <w:tcW w:w="5273" w:type="dxa"/>
            <w:tcBorders>
              <w:top w:val="nil"/>
              <w:bottom w:val="nil"/>
            </w:tcBorders>
            <w:shd w:val="clear" w:color="auto" w:fill="C0C0C0"/>
          </w:tcPr>
          <w:p>
            <w:pPr>
              <w:pStyle w:val="TableParagraph"/>
              <w:spacing w:line="256" w:lineRule="exact"/>
              <w:ind w:left="107"/>
              <w:rPr>
                <w:sz w:val="24"/>
              </w:rPr>
            </w:pPr>
            <w:r>
              <w:rPr>
                <w:sz w:val="24"/>
              </w:rPr>
              <w:t>reiniciar com 50% da dose.</w:t>
            </w:r>
          </w:p>
        </w:tc>
      </w:tr>
      <w:tr>
        <w:trPr>
          <w:trHeight w:val="276" w:hRule="atLeast"/>
        </w:trPr>
        <w:tc>
          <w:tcPr>
            <w:tcW w:w="2554" w:type="dxa"/>
            <w:tcBorders>
              <w:top w:val="nil"/>
              <w:bottom w:val="nil"/>
            </w:tcBorders>
            <w:shd w:val="clear" w:color="auto" w:fill="C0C0C0"/>
          </w:tcPr>
          <w:p>
            <w:pPr>
              <w:pStyle w:val="TableParagraph"/>
              <w:rPr>
                <w:sz w:val="20"/>
              </w:rPr>
            </w:pPr>
          </w:p>
        </w:tc>
        <w:tc>
          <w:tcPr>
            <w:tcW w:w="2381" w:type="dxa"/>
            <w:tcBorders>
              <w:top w:val="nil"/>
              <w:bottom w:val="nil"/>
            </w:tcBorders>
            <w:shd w:val="clear" w:color="auto" w:fill="C0C0C0"/>
          </w:tcPr>
          <w:p>
            <w:pPr>
              <w:pStyle w:val="TableParagraph"/>
              <w:rPr>
                <w:sz w:val="20"/>
              </w:rPr>
            </w:pPr>
          </w:p>
        </w:tc>
        <w:tc>
          <w:tcPr>
            <w:tcW w:w="5273" w:type="dxa"/>
            <w:tcBorders>
              <w:top w:val="nil"/>
              <w:bottom w:val="nil"/>
            </w:tcBorders>
            <w:shd w:val="clear" w:color="auto" w:fill="C0C0C0"/>
          </w:tcPr>
          <w:p>
            <w:pPr>
              <w:pStyle w:val="TableParagraph"/>
              <w:spacing w:line="256" w:lineRule="exact"/>
              <w:ind w:left="107"/>
              <w:rPr>
                <w:sz w:val="24"/>
              </w:rPr>
            </w:pPr>
            <w:r>
              <w:rPr>
                <w:sz w:val="24"/>
              </w:rPr>
              <w:t>- Elevação de TGO/TGP acima de 5 vezes o LSN:</w:t>
            </w:r>
          </w:p>
        </w:tc>
      </w:tr>
      <w:tr>
        <w:trPr>
          <w:trHeight w:val="278" w:hRule="atLeast"/>
        </w:trPr>
        <w:tc>
          <w:tcPr>
            <w:tcW w:w="2554" w:type="dxa"/>
            <w:tcBorders>
              <w:top w:val="nil"/>
            </w:tcBorders>
            <w:shd w:val="clear" w:color="auto" w:fill="C0C0C0"/>
          </w:tcPr>
          <w:p>
            <w:pPr>
              <w:pStyle w:val="TableParagraph"/>
              <w:rPr>
                <w:sz w:val="20"/>
              </w:rPr>
            </w:pPr>
          </w:p>
        </w:tc>
        <w:tc>
          <w:tcPr>
            <w:tcW w:w="2381" w:type="dxa"/>
            <w:tcBorders>
              <w:top w:val="nil"/>
            </w:tcBorders>
            <w:shd w:val="clear" w:color="auto" w:fill="C0C0C0"/>
          </w:tcPr>
          <w:p>
            <w:pPr>
              <w:pStyle w:val="TableParagraph"/>
              <w:rPr>
                <w:sz w:val="20"/>
              </w:rPr>
            </w:pPr>
          </w:p>
        </w:tc>
        <w:tc>
          <w:tcPr>
            <w:tcW w:w="5273" w:type="dxa"/>
            <w:tcBorders>
              <w:top w:val="nil"/>
            </w:tcBorders>
            <w:shd w:val="clear" w:color="auto" w:fill="C0C0C0"/>
          </w:tcPr>
          <w:p>
            <w:pPr>
              <w:pStyle w:val="TableParagraph"/>
              <w:spacing w:line="259" w:lineRule="exact"/>
              <w:ind w:left="107"/>
              <w:rPr>
                <w:sz w:val="24"/>
              </w:rPr>
            </w:pPr>
            <w:r>
              <w:rPr>
                <w:sz w:val="24"/>
              </w:rPr>
              <w:t>interromper o uso do medicamento.</w:t>
            </w:r>
          </w:p>
        </w:tc>
      </w:tr>
      <w:tr>
        <w:trPr>
          <w:trHeight w:val="272" w:hRule="atLeast"/>
        </w:trPr>
        <w:tc>
          <w:tcPr>
            <w:tcW w:w="2554" w:type="dxa"/>
            <w:tcBorders>
              <w:bottom w:val="nil"/>
            </w:tcBorders>
          </w:tcPr>
          <w:p>
            <w:pPr>
              <w:pStyle w:val="TableParagraph"/>
              <w:spacing w:line="253" w:lineRule="exact"/>
              <w:ind w:left="674"/>
              <w:rPr>
                <w:sz w:val="24"/>
              </w:rPr>
            </w:pPr>
            <w:r>
              <w:rPr>
                <w:sz w:val="24"/>
              </w:rPr>
              <w:t>Tocilizumabe</w:t>
            </w:r>
          </w:p>
        </w:tc>
        <w:tc>
          <w:tcPr>
            <w:tcW w:w="2381" w:type="dxa"/>
            <w:tcBorders>
              <w:bottom w:val="nil"/>
            </w:tcBorders>
          </w:tcPr>
          <w:p>
            <w:pPr>
              <w:pStyle w:val="TableParagraph"/>
              <w:tabs>
                <w:tab w:pos="2043" w:val="left" w:leader="none"/>
              </w:tabs>
              <w:spacing w:line="253" w:lineRule="exact"/>
              <w:ind w:left="141"/>
              <w:rPr>
                <w:sz w:val="24"/>
              </w:rPr>
            </w:pPr>
            <w:r>
              <w:rPr>
                <w:sz w:val="24"/>
              </w:rPr>
              <w:t>Avaliação</w:t>
              <w:tab/>
              <w:t>de</w:t>
            </w:r>
          </w:p>
        </w:tc>
        <w:tc>
          <w:tcPr>
            <w:tcW w:w="5273" w:type="dxa"/>
            <w:tcBorders>
              <w:bottom w:val="nil"/>
            </w:tcBorders>
          </w:tcPr>
          <w:p>
            <w:pPr>
              <w:pStyle w:val="TableParagraph"/>
              <w:spacing w:line="253" w:lineRule="exact"/>
              <w:ind w:left="107"/>
              <w:rPr>
                <w:sz w:val="24"/>
              </w:rPr>
            </w:pPr>
            <w:r>
              <w:rPr>
                <w:sz w:val="24"/>
              </w:rPr>
              <w:t>- Tratar tuberculose latente por no mínimo 1 mês</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tuberculose latente ou</w:t>
            </w:r>
          </w:p>
        </w:tc>
        <w:tc>
          <w:tcPr>
            <w:tcW w:w="5273" w:type="dxa"/>
            <w:tcBorders>
              <w:top w:val="nil"/>
              <w:bottom w:val="nil"/>
            </w:tcBorders>
          </w:tcPr>
          <w:p>
            <w:pPr>
              <w:pStyle w:val="TableParagraph"/>
              <w:spacing w:line="256" w:lineRule="exact"/>
              <w:ind w:left="107"/>
              <w:rPr>
                <w:sz w:val="24"/>
              </w:rPr>
            </w:pPr>
            <w:r>
              <w:rPr>
                <w:sz w:val="24"/>
              </w:rPr>
              <w:t>antes do início do uso desse medicamento.</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ativa antes do</w:t>
            </w:r>
            <w:r>
              <w:rPr>
                <w:spacing w:val="51"/>
                <w:sz w:val="24"/>
              </w:rPr>
              <w:t> </w:t>
            </w:r>
            <w:r>
              <w:rPr>
                <w:sz w:val="24"/>
              </w:rPr>
              <w:t>início</w:t>
            </w:r>
          </w:p>
        </w:tc>
        <w:tc>
          <w:tcPr>
            <w:tcW w:w="5273" w:type="dxa"/>
            <w:tcBorders>
              <w:top w:val="nil"/>
              <w:bottom w:val="nil"/>
            </w:tcBorders>
          </w:tcPr>
          <w:p>
            <w:pPr>
              <w:pStyle w:val="TableParagraph"/>
              <w:spacing w:line="256" w:lineRule="exact"/>
              <w:ind w:left="107"/>
              <w:rPr>
                <w:sz w:val="24"/>
              </w:rPr>
            </w:pPr>
            <w:r>
              <w:rPr>
                <w:sz w:val="24"/>
              </w:rPr>
              <w:t>- Neutrófilos entre 500 e 1.000/mm3: suspender o</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tabs>
                <w:tab w:pos="1247" w:val="left" w:leader="none"/>
              </w:tabs>
              <w:spacing w:line="256" w:lineRule="exact"/>
              <w:ind w:left="107"/>
              <w:rPr>
                <w:sz w:val="24"/>
              </w:rPr>
            </w:pPr>
            <w:r>
              <w:rPr>
                <w:sz w:val="24"/>
              </w:rPr>
              <w:t>do</w:t>
              <w:tab/>
              <w:t>tratamento</w:t>
            </w:r>
          </w:p>
        </w:tc>
        <w:tc>
          <w:tcPr>
            <w:tcW w:w="5273" w:type="dxa"/>
            <w:tcBorders>
              <w:top w:val="nil"/>
              <w:bottom w:val="nil"/>
            </w:tcBorders>
          </w:tcPr>
          <w:p>
            <w:pPr>
              <w:pStyle w:val="TableParagraph"/>
              <w:spacing w:line="256" w:lineRule="exact"/>
              <w:ind w:left="107"/>
              <w:rPr>
                <w:sz w:val="24"/>
              </w:rPr>
            </w:pPr>
            <w:r>
              <w:rPr>
                <w:sz w:val="24"/>
              </w:rPr>
              <w:t>uso do medicamento até neutrófilos acima de</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tabs>
                <w:tab w:pos="1645" w:val="left" w:leader="none"/>
              </w:tabs>
              <w:spacing w:line="256" w:lineRule="exact"/>
              <w:ind w:left="107"/>
              <w:rPr>
                <w:sz w:val="24"/>
              </w:rPr>
            </w:pPr>
            <w:r>
              <w:rPr>
                <w:sz w:val="24"/>
              </w:rPr>
              <w:t>(anamnese,</w:t>
              <w:tab/>
              <w:t>exame</w:t>
            </w:r>
          </w:p>
        </w:tc>
        <w:tc>
          <w:tcPr>
            <w:tcW w:w="5273" w:type="dxa"/>
            <w:tcBorders>
              <w:top w:val="nil"/>
              <w:bottom w:val="nil"/>
            </w:tcBorders>
          </w:tcPr>
          <w:p>
            <w:pPr>
              <w:pStyle w:val="TableParagraph"/>
              <w:spacing w:line="256" w:lineRule="exact"/>
              <w:ind w:left="107"/>
              <w:rPr>
                <w:sz w:val="24"/>
              </w:rPr>
            </w:pPr>
            <w:r>
              <w:rPr>
                <w:sz w:val="24"/>
              </w:rPr>
              <w:t>1.000/mm3 e reiniciar com 4 mg/kg.</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físico, radiografia de</w:t>
            </w:r>
          </w:p>
        </w:tc>
        <w:tc>
          <w:tcPr>
            <w:tcW w:w="5273" w:type="dxa"/>
            <w:tcBorders>
              <w:top w:val="nil"/>
              <w:bottom w:val="nil"/>
            </w:tcBorders>
          </w:tcPr>
          <w:p>
            <w:pPr>
              <w:pStyle w:val="TableParagraph"/>
              <w:spacing w:line="256" w:lineRule="exact"/>
              <w:ind w:left="107"/>
              <w:rPr>
                <w:sz w:val="24"/>
              </w:rPr>
            </w:pPr>
            <w:r>
              <w:rPr>
                <w:sz w:val="24"/>
              </w:rPr>
              <w:t>- Neutrófilos abaixo de 500/mm3: interromper o uso</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tabs>
                <w:tab w:pos="1165" w:val="left" w:leader="none"/>
                <w:tab w:pos="1834" w:val="left" w:leader="none"/>
              </w:tabs>
              <w:spacing w:line="256" w:lineRule="exact"/>
              <w:ind w:left="107"/>
              <w:rPr>
                <w:sz w:val="24"/>
              </w:rPr>
            </w:pPr>
            <w:r>
              <w:rPr>
                <w:sz w:val="24"/>
              </w:rPr>
              <w:t>tórax</w:t>
              <w:tab/>
              <w:t>e</w:t>
              <w:tab/>
              <w:t>teste</w:t>
            </w:r>
          </w:p>
        </w:tc>
        <w:tc>
          <w:tcPr>
            <w:tcW w:w="5273" w:type="dxa"/>
            <w:tcBorders>
              <w:top w:val="nil"/>
              <w:bottom w:val="nil"/>
            </w:tcBorders>
          </w:tcPr>
          <w:p>
            <w:pPr>
              <w:pStyle w:val="TableParagraph"/>
              <w:spacing w:line="256" w:lineRule="exact"/>
              <w:ind w:left="107"/>
              <w:rPr>
                <w:sz w:val="24"/>
              </w:rPr>
            </w:pPr>
            <w:r>
              <w:rPr>
                <w:sz w:val="24"/>
              </w:rPr>
              <w:t>do medicamento.</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tuberculínico).</w:t>
            </w:r>
          </w:p>
        </w:tc>
        <w:tc>
          <w:tcPr>
            <w:tcW w:w="5273" w:type="dxa"/>
            <w:tcBorders>
              <w:top w:val="nil"/>
              <w:bottom w:val="nil"/>
            </w:tcBorders>
          </w:tcPr>
          <w:p>
            <w:pPr>
              <w:pStyle w:val="TableParagraph"/>
              <w:tabs>
                <w:tab w:pos="446" w:val="left" w:leader="none"/>
                <w:tab w:pos="1624" w:val="left" w:leader="none"/>
                <w:tab w:pos="2362" w:val="left" w:leader="none"/>
                <w:tab w:pos="3284" w:val="left" w:leader="none"/>
                <w:tab w:pos="3648" w:val="left" w:leader="none"/>
              </w:tabs>
              <w:spacing w:line="256" w:lineRule="exact"/>
              <w:ind w:left="107"/>
              <w:rPr>
                <w:sz w:val="24"/>
              </w:rPr>
            </w:pPr>
            <w:r>
              <w:rPr>
                <w:sz w:val="24"/>
              </w:rPr>
              <w:t>-</w:t>
              <w:tab/>
              <w:t>Plaquetas</w:t>
              <w:tab/>
              <w:t>entre</w:t>
              <w:tab/>
              <w:t>50.000</w:t>
              <w:tab/>
              <w:t>e</w:t>
              <w:tab/>
              <w:t>100.000c/mm3:</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41"/>
              <w:rPr>
                <w:sz w:val="24"/>
              </w:rPr>
            </w:pPr>
            <w:r>
              <w:rPr>
                <w:sz w:val="24"/>
              </w:rPr>
              <w:t>Hemograma,</w:t>
            </w:r>
          </w:p>
        </w:tc>
        <w:tc>
          <w:tcPr>
            <w:tcW w:w="5273" w:type="dxa"/>
            <w:tcBorders>
              <w:top w:val="nil"/>
              <w:bottom w:val="nil"/>
            </w:tcBorders>
          </w:tcPr>
          <w:p>
            <w:pPr>
              <w:pStyle w:val="TableParagraph"/>
              <w:spacing w:line="256" w:lineRule="exact"/>
              <w:ind w:left="107"/>
              <w:rPr>
                <w:sz w:val="24"/>
              </w:rPr>
            </w:pPr>
            <w:r>
              <w:rPr>
                <w:sz w:val="24"/>
              </w:rPr>
              <w:t>suspender o uso do medicamento até plaquetas</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tabs>
                <w:tab w:pos="2166" w:val="left" w:leader="none"/>
              </w:tabs>
              <w:spacing w:line="256" w:lineRule="exact"/>
              <w:ind w:left="107"/>
              <w:rPr>
                <w:sz w:val="24"/>
              </w:rPr>
            </w:pPr>
            <w:r>
              <w:rPr>
                <w:sz w:val="24"/>
              </w:rPr>
              <w:t>AST/TGO</w:t>
              <w:tab/>
              <w:t>e</w:t>
            </w:r>
          </w:p>
        </w:tc>
        <w:tc>
          <w:tcPr>
            <w:tcW w:w="5273" w:type="dxa"/>
            <w:tcBorders>
              <w:top w:val="nil"/>
              <w:bottom w:val="nil"/>
            </w:tcBorders>
          </w:tcPr>
          <w:p>
            <w:pPr>
              <w:pStyle w:val="TableParagraph"/>
              <w:spacing w:line="256" w:lineRule="exact"/>
              <w:ind w:left="107"/>
              <w:rPr>
                <w:sz w:val="24"/>
              </w:rPr>
            </w:pPr>
            <w:r>
              <w:rPr>
                <w:sz w:val="24"/>
              </w:rPr>
              <w:t>acima de 100.000/mm3 e reiniciar com 4 mg/kg.</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ALT/TGP: A cada 1 a</w:t>
            </w:r>
          </w:p>
        </w:tc>
        <w:tc>
          <w:tcPr>
            <w:tcW w:w="5273" w:type="dxa"/>
            <w:tcBorders>
              <w:top w:val="nil"/>
              <w:bottom w:val="nil"/>
            </w:tcBorders>
          </w:tcPr>
          <w:p>
            <w:pPr>
              <w:pStyle w:val="TableParagraph"/>
              <w:spacing w:line="256" w:lineRule="exact"/>
              <w:ind w:left="107"/>
              <w:rPr>
                <w:sz w:val="24"/>
              </w:rPr>
            </w:pPr>
            <w:r>
              <w:rPr>
                <w:sz w:val="24"/>
              </w:rPr>
              <w:t>- Plaquetas abaixo de 50.000/mm3: interromper o</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3 meses.</w:t>
            </w:r>
          </w:p>
        </w:tc>
        <w:tc>
          <w:tcPr>
            <w:tcW w:w="5273" w:type="dxa"/>
            <w:tcBorders>
              <w:top w:val="nil"/>
              <w:bottom w:val="nil"/>
            </w:tcBorders>
          </w:tcPr>
          <w:p>
            <w:pPr>
              <w:pStyle w:val="TableParagraph"/>
              <w:spacing w:line="256" w:lineRule="exact"/>
              <w:ind w:left="107"/>
              <w:rPr>
                <w:sz w:val="24"/>
              </w:rPr>
            </w:pPr>
            <w:r>
              <w:rPr>
                <w:sz w:val="24"/>
              </w:rPr>
              <w:t>uso do medicamento.</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tabs>
                <w:tab w:pos="1786" w:val="left" w:leader="none"/>
              </w:tabs>
              <w:spacing w:line="256" w:lineRule="exact"/>
              <w:ind w:left="141"/>
              <w:rPr>
                <w:sz w:val="24"/>
              </w:rPr>
            </w:pPr>
            <w:r>
              <w:rPr>
                <w:sz w:val="24"/>
              </w:rPr>
              <w:t>Colesterol</w:t>
              <w:tab/>
              <w:t>total,</w:t>
            </w:r>
          </w:p>
        </w:tc>
        <w:tc>
          <w:tcPr>
            <w:tcW w:w="5273" w:type="dxa"/>
            <w:tcBorders>
              <w:top w:val="nil"/>
              <w:bottom w:val="nil"/>
            </w:tcBorders>
          </w:tcPr>
          <w:p>
            <w:pPr>
              <w:pStyle w:val="TableParagraph"/>
              <w:spacing w:line="256" w:lineRule="exact"/>
              <w:ind w:left="107"/>
              <w:rPr>
                <w:sz w:val="24"/>
              </w:rPr>
            </w:pPr>
            <w:r>
              <w:rPr>
                <w:sz w:val="24"/>
              </w:rPr>
              <w:t>- Elevação de AST/TGO e ALT/TGP entre 1 e 3</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tabs>
                <w:tab w:pos="1746" w:val="left" w:leader="none"/>
              </w:tabs>
              <w:spacing w:line="256" w:lineRule="exact"/>
              <w:ind w:left="107"/>
              <w:rPr>
                <w:sz w:val="24"/>
              </w:rPr>
            </w:pPr>
            <w:r>
              <w:rPr>
                <w:sz w:val="24"/>
              </w:rPr>
              <w:t>HDL,</w:t>
              <w:tab/>
              <w:t>LDL,</w:t>
            </w:r>
          </w:p>
        </w:tc>
        <w:tc>
          <w:tcPr>
            <w:tcW w:w="5273" w:type="dxa"/>
            <w:tcBorders>
              <w:top w:val="nil"/>
              <w:bottom w:val="nil"/>
            </w:tcBorders>
          </w:tcPr>
          <w:p>
            <w:pPr>
              <w:pStyle w:val="TableParagraph"/>
              <w:spacing w:line="256" w:lineRule="exact"/>
              <w:ind w:left="107"/>
              <w:rPr>
                <w:sz w:val="24"/>
              </w:rPr>
            </w:pPr>
            <w:r>
              <w:rPr>
                <w:sz w:val="24"/>
              </w:rPr>
              <w:t>vezes o LSN: reduzir a dose para 4 mg/kg.</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triglicerídios: A cada</w:t>
            </w:r>
          </w:p>
        </w:tc>
        <w:tc>
          <w:tcPr>
            <w:tcW w:w="5273" w:type="dxa"/>
            <w:tcBorders>
              <w:top w:val="nil"/>
              <w:bottom w:val="nil"/>
            </w:tcBorders>
          </w:tcPr>
          <w:p>
            <w:pPr>
              <w:pStyle w:val="TableParagraph"/>
              <w:spacing w:line="256" w:lineRule="exact"/>
              <w:ind w:left="107"/>
              <w:rPr>
                <w:sz w:val="24"/>
              </w:rPr>
            </w:pPr>
            <w:r>
              <w:rPr>
                <w:sz w:val="24"/>
              </w:rPr>
              <w:t>- Elevação de AST/TGO e ALT/TGP entre 3 e 5</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spacing w:line="256" w:lineRule="exact"/>
              <w:ind w:left="107"/>
              <w:rPr>
                <w:sz w:val="24"/>
              </w:rPr>
            </w:pPr>
            <w:r>
              <w:rPr>
                <w:sz w:val="24"/>
              </w:rPr>
              <w:t>6 a 12 meses.</w:t>
            </w:r>
          </w:p>
        </w:tc>
        <w:tc>
          <w:tcPr>
            <w:tcW w:w="5273" w:type="dxa"/>
            <w:tcBorders>
              <w:top w:val="nil"/>
              <w:bottom w:val="nil"/>
            </w:tcBorders>
          </w:tcPr>
          <w:p>
            <w:pPr>
              <w:pStyle w:val="TableParagraph"/>
              <w:spacing w:line="256" w:lineRule="exact"/>
              <w:ind w:left="107"/>
              <w:rPr>
                <w:sz w:val="24"/>
              </w:rPr>
            </w:pPr>
            <w:r>
              <w:rPr>
                <w:sz w:val="24"/>
              </w:rPr>
              <w:t>vezes o LSN: suspender o uso do medicamento até</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TGO/TGP entre 1 e 3 vezes o LSN e reiniciar com 4</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mg/kg.</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 Elevação de AST/TGO e ALT/TGP acima de 5</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vezes o LSN: interromper o uso do medicamento.</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 Elevações de colesterol total, HDL, LDL ou</w:t>
            </w:r>
          </w:p>
        </w:tc>
      </w:tr>
      <w:tr>
        <w:trPr>
          <w:trHeight w:val="275"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triglicerídios: seguir o Protocolo Clínico e Diretrizes</w:t>
            </w:r>
          </w:p>
        </w:tc>
      </w:tr>
      <w:tr>
        <w:trPr>
          <w:trHeight w:val="276" w:hRule="atLeast"/>
        </w:trPr>
        <w:tc>
          <w:tcPr>
            <w:tcW w:w="2554" w:type="dxa"/>
            <w:tcBorders>
              <w:top w:val="nil"/>
              <w:bottom w:val="nil"/>
            </w:tcBorders>
          </w:tcPr>
          <w:p>
            <w:pPr>
              <w:pStyle w:val="TableParagraph"/>
              <w:rPr>
                <w:sz w:val="20"/>
              </w:rPr>
            </w:pPr>
          </w:p>
        </w:tc>
        <w:tc>
          <w:tcPr>
            <w:tcW w:w="2381" w:type="dxa"/>
            <w:tcBorders>
              <w:top w:val="nil"/>
              <w:bottom w:val="nil"/>
            </w:tcBorders>
          </w:tcPr>
          <w:p>
            <w:pPr>
              <w:pStyle w:val="TableParagraph"/>
              <w:rPr>
                <w:sz w:val="20"/>
              </w:rPr>
            </w:pPr>
          </w:p>
        </w:tc>
        <w:tc>
          <w:tcPr>
            <w:tcW w:w="5273" w:type="dxa"/>
            <w:tcBorders>
              <w:top w:val="nil"/>
              <w:bottom w:val="nil"/>
            </w:tcBorders>
          </w:tcPr>
          <w:p>
            <w:pPr>
              <w:pStyle w:val="TableParagraph"/>
              <w:spacing w:line="256" w:lineRule="exact"/>
              <w:ind w:left="107"/>
              <w:rPr>
                <w:sz w:val="24"/>
              </w:rPr>
            </w:pPr>
            <w:r>
              <w:rPr>
                <w:sz w:val="24"/>
              </w:rPr>
              <w:t>Terapêuticas de Dislipidemia, do Ministério da</w:t>
            </w:r>
          </w:p>
        </w:tc>
      </w:tr>
      <w:tr>
        <w:trPr>
          <w:trHeight w:val="1106" w:hRule="atLeast"/>
        </w:trPr>
        <w:tc>
          <w:tcPr>
            <w:tcW w:w="2554" w:type="dxa"/>
            <w:tcBorders>
              <w:top w:val="nil"/>
            </w:tcBorders>
          </w:tcPr>
          <w:p>
            <w:pPr>
              <w:pStyle w:val="TableParagraph"/>
              <w:rPr>
                <w:sz w:val="24"/>
              </w:rPr>
            </w:pPr>
          </w:p>
        </w:tc>
        <w:tc>
          <w:tcPr>
            <w:tcW w:w="2381" w:type="dxa"/>
            <w:tcBorders>
              <w:top w:val="nil"/>
            </w:tcBorders>
          </w:tcPr>
          <w:p>
            <w:pPr>
              <w:pStyle w:val="TableParagraph"/>
              <w:rPr>
                <w:sz w:val="24"/>
              </w:rPr>
            </w:pPr>
          </w:p>
        </w:tc>
        <w:tc>
          <w:tcPr>
            <w:tcW w:w="5273" w:type="dxa"/>
            <w:tcBorders>
              <w:top w:val="nil"/>
            </w:tcBorders>
          </w:tcPr>
          <w:p>
            <w:pPr>
              <w:pStyle w:val="TableParagraph"/>
              <w:spacing w:line="271" w:lineRule="exact"/>
              <w:ind w:left="107"/>
              <w:rPr>
                <w:sz w:val="24"/>
              </w:rPr>
            </w:pPr>
            <w:r>
              <w:rPr>
                <w:sz w:val="24"/>
              </w:rPr>
              <w:t>Saúde.</w:t>
            </w:r>
          </w:p>
        </w:tc>
      </w:tr>
    </w:tbl>
    <w:p>
      <w:pPr>
        <w:spacing w:after="0" w:line="271" w:lineRule="exact"/>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4"/>
        <w:gridCol w:w="2381"/>
        <w:gridCol w:w="5273"/>
      </w:tblGrid>
      <w:tr>
        <w:trPr>
          <w:trHeight w:val="277" w:hRule="atLeast"/>
        </w:trPr>
        <w:tc>
          <w:tcPr>
            <w:tcW w:w="10208" w:type="dxa"/>
            <w:gridSpan w:val="3"/>
            <w:shd w:val="clear" w:color="auto" w:fill="C0C0C0"/>
          </w:tcPr>
          <w:p>
            <w:pPr>
              <w:pStyle w:val="TableParagraph"/>
              <w:spacing w:line="258" w:lineRule="exact"/>
              <w:ind w:left="3103"/>
              <w:rPr>
                <w:sz w:val="24"/>
              </w:rPr>
            </w:pPr>
            <w:r>
              <w:rPr>
                <w:sz w:val="24"/>
              </w:rPr>
              <w:t>MEDICAMENTOS IMUNOSSUPRESSORES</w:t>
            </w:r>
          </w:p>
        </w:tc>
      </w:tr>
      <w:tr>
        <w:trPr>
          <w:trHeight w:val="3311" w:hRule="atLeast"/>
        </w:trPr>
        <w:tc>
          <w:tcPr>
            <w:tcW w:w="2554" w:type="dxa"/>
          </w:tcPr>
          <w:p>
            <w:pPr>
              <w:pStyle w:val="TableParagraph"/>
              <w:spacing w:line="268" w:lineRule="exact"/>
              <w:ind w:left="674"/>
              <w:rPr>
                <w:sz w:val="24"/>
              </w:rPr>
            </w:pPr>
            <w:r>
              <w:rPr>
                <w:sz w:val="24"/>
              </w:rPr>
              <w:t>Azatioprina</w:t>
            </w:r>
          </w:p>
        </w:tc>
        <w:tc>
          <w:tcPr>
            <w:tcW w:w="2381" w:type="dxa"/>
          </w:tcPr>
          <w:p>
            <w:pPr>
              <w:pStyle w:val="TableParagraph"/>
              <w:tabs>
                <w:tab w:pos="1376" w:val="left" w:leader="none"/>
                <w:tab w:pos="1738" w:val="left" w:leader="none"/>
              </w:tabs>
              <w:ind w:left="107" w:right="90" w:firstLine="33"/>
              <w:rPr>
                <w:sz w:val="24"/>
              </w:rPr>
            </w:pPr>
            <w:r>
              <w:rPr>
                <w:sz w:val="24"/>
              </w:rPr>
              <w:t>Hemograma, AST/TGO</w:t>
              <w:tab/>
              <w:t>e</w:t>
              <w:tab/>
            </w:r>
            <w:r>
              <w:rPr>
                <w:spacing w:val="-1"/>
                <w:sz w:val="24"/>
              </w:rPr>
              <w:t>ALT/</w:t>
            </w:r>
          </w:p>
          <w:p>
            <w:pPr>
              <w:pStyle w:val="TableParagraph"/>
              <w:ind w:left="107" w:right="34"/>
              <w:rPr>
                <w:sz w:val="24"/>
              </w:rPr>
            </w:pPr>
            <w:r>
              <w:rPr>
                <w:sz w:val="24"/>
              </w:rPr>
              <w:t>TGP: A cada 1 a 3 meses.</w:t>
            </w:r>
          </w:p>
        </w:tc>
        <w:tc>
          <w:tcPr>
            <w:tcW w:w="5273" w:type="dxa"/>
          </w:tcPr>
          <w:p>
            <w:pPr>
              <w:pStyle w:val="TableParagraph"/>
              <w:numPr>
                <w:ilvl w:val="0"/>
                <w:numId w:val="27"/>
              </w:numPr>
              <w:tabs>
                <w:tab w:pos="272" w:val="left" w:leader="none"/>
              </w:tabs>
              <w:spacing w:line="240" w:lineRule="auto" w:before="0" w:after="0"/>
              <w:ind w:left="108" w:right="88" w:firstLine="0"/>
              <w:jc w:val="both"/>
              <w:rPr>
                <w:sz w:val="24"/>
              </w:rPr>
            </w:pPr>
            <w:r>
              <w:rPr>
                <w:sz w:val="24"/>
              </w:rPr>
              <w:t>Anemia, leucopenia ou trombocitopenia novas ou mais acentuadas: reduzir a dose em 25% a 50%; interromper o uso do medicamento se persistirem as alterações.</w:t>
            </w:r>
          </w:p>
          <w:p>
            <w:pPr>
              <w:pStyle w:val="TableParagraph"/>
              <w:numPr>
                <w:ilvl w:val="0"/>
                <w:numId w:val="27"/>
              </w:numPr>
              <w:tabs>
                <w:tab w:pos="291" w:val="left" w:leader="none"/>
              </w:tabs>
              <w:spacing w:line="240" w:lineRule="auto" w:before="0" w:after="0"/>
              <w:ind w:left="108" w:right="92" w:firstLine="0"/>
              <w:jc w:val="both"/>
              <w:rPr>
                <w:sz w:val="24"/>
              </w:rPr>
            </w:pPr>
            <w:r>
              <w:rPr>
                <w:sz w:val="24"/>
              </w:rPr>
              <w:t>Elevação de AST/TGO e ALT/TGP entre 1 e 3 vezes o LSN: reduzir a dose em 25% a</w:t>
            </w:r>
            <w:r>
              <w:rPr>
                <w:spacing w:val="-6"/>
                <w:sz w:val="24"/>
              </w:rPr>
              <w:t> </w:t>
            </w:r>
            <w:r>
              <w:rPr>
                <w:sz w:val="24"/>
              </w:rPr>
              <w:t>50%.</w:t>
            </w:r>
          </w:p>
          <w:p>
            <w:pPr>
              <w:pStyle w:val="TableParagraph"/>
              <w:numPr>
                <w:ilvl w:val="0"/>
                <w:numId w:val="27"/>
              </w:numPr>
              <w:tabs>
                <w:tab w:pos="291" w:val="left" w:leader="none"/>
              </w:tabs>
              <w:spacing w:line="240" w:lineRule="auto" w:before="0" w:after="0"/>
              <w:ind w:left="108" w:right="88" w:firstLine="0"/>
              <w:jc w:val="both"/>
              <w:rPr>
                <w:sz w:val="24"/>
              </w:rPr>
            </w:pPr>
            <w:r>
              <w:rPr>
                <w:sz w:val="24"/>
              </w:rPr>
              <w:t>Elevação de AST/TGO e ALT/TGP entre 3 e 5 vezes o LSN: suspender o uso do medicamento até AST/TGO e ALT/TGP entre 1 e 3 vezes o LSN e reiniciar com 50% da</w:t>
            </w:r>
            <w:r>
              <w:rPr>
                <w:spacing w:val="-3"/>
                <w:sz w:val="24"/>
              </w:rPr>
              <w:t> </w:t>
            </w:r>
            <w:r>
              <w:rPr>
                <w:sz w:val="24"/>
              </w:rPr>
              <w:t>dose.</w:t>
            </w:r>
          </w:p>
          <w:p>
            <w:pPr>
              <w:pStyle w:val="TableParagraph"/>
              <w:numPr>
                <w:ilvl w:val="0"/>
                <w:numId w:val="27"/>
              </w:numPr>
              <w:tabs>
                <w:tab w:pos="293" w:val="left" w:leader="none"/>
              </w:tabs>
              <w:spacing w:line="270" w:lineRule="atLeast" w:before="0" w:after="0"/>
              <w:ind w:left="108" w:right="92" w:firstLine="0"/>
              <w:jc w:val="both"/>
              <w:rPr>
                <w:sz w:val="24"/>
              </w:rPr>
            </w:pPr>
            <w:r>
              <w:rPr>
                <w:sz w:val="24"/>
              </w:rPr>
              <w:t>Elevação de AST/TGO e ALT/TGP acima de 5 vezes o LSN: interromper o uso do</w:t>
            </w:r>
            <w:r>
              <w:rPr>
                <w:spacing w:val="-5"/>
                <w:sz w:val="24"/>
              </w:rPr>
              <w:t> </w:t>
            </w:r>
            <w:r>
              <w:rPr>
                <w:sz w:val="24"/>
              </w:rPr>
              <w:t>medicamento.</w:t>
            </w:r>
          </w:p>
        </w:tc>
      </w:tr>
      <w:tr>
        <w:trPr>
          <w:trHeight w:val="1103" w:hRule="atLeast"/>
        </w:trPr>
        <w:tc>
          <w:tcPr>
            <w:tcW w:w="2554" w:type="dxa"/>
            <w:shd w:val="clear" w:color="auto" w:fill="C0C0C0"/>
          </w:tcPr>
          <w:p>
            <w:pPr>
              <w:pStyle w:val="TableParagraph"/>
              <w:spacing w:line="268" w:lineRule="exact"/>
              <w:ind w:left="674"/>
              <w:rPr>
                <w:sz w:val="24"/>
              </w:rPr>
            </w:pPr>
            <w:r>
              <w:rPr>
                <w:sz w:val="24"/>
              </w:rPr>
              <w:t>Ciclosporina</w:t>
            </w:r>
          </w:p>
        </w:tc>
        <w:tc>
          <w:tcPr>
            <w:tcW w:w="2381" w:type="dxa"/>
            <w:shd w:val="clear" w:color="auto" w:fill="C0C0C0"/>
          </w:tcPr>
          <w:p>
            <w:pPr>
              <w:pStyle w:val="TableParagraph"/>
              <w:ind w:left="107" w:right="87"/>
              <w:jc w:val="both"/>
              <w:rPr>
                <w:sz w:val="24"/>
              </w:rPr>
            </w:pPr>
            <w:r>
              <w:rPr>
                <w:sz w:val="24"/>
              </w:rPr>
              <w:t>Pressão arterial e creatinina: A cada 1 a 3 meses.</w:t>
            </w:r>
          </w:p>
        </w:tc>
        <w:tc>
          <w:tcPr>
            <w:tcW w:w="5273" w:type="dxa"/>
            <w:shd w:val="clear" w:color="auto" w:fill="C0C0C0"/>
          </w:tcPr>
          <w:p>
            <w:pPr>
              <w:pStyle w:val="TableParagraph"/>
              <w:ind w:left="107" w:right="88" w:firstLine="33"/>
              <w:jc w:val="both"/>
              <w:rPr>
                <w:sz w:val="24"/>
              </w:rPr>
            </w:pPr>
            <w:r>
              <w:rPr>
                <w:sz w:val="24"/>
              </w:rPr>
              <w:t>- Elevação nova de pressão arterial ou elevação de 25% ou mais do valor de creatinina basal (prévio ao início do medicamento) que se</w:t>
            </w:r>
            <w:r>
              <w:rPr>
                <w:spacing w:val="56"/>
                <w:sz w:val="24"/>
              </w:rPr>
              <w:t> </w:t>
            </w:r>
            <w:r>
              <w:rPr>
                <w:sz w:val="24"/>
              </w:rPr>
              <w:t>mantêm apesar do</w:t>
            </w:r>
          </w:p>
          <w:p>
            <w:pPr>
              <w:pStyle w:val="TableParagraph"/>
              <w:spacing w:line="264" w:lineRule="exact"/>
              <w:ind w:left="107"/>
              <w:jc w:val="both"/>
              <w:rPr>
                <w:sz w:val="24"/>
              </w:rPr>
            </w:pPr>
            <w:r>
              <w:rPr>
                <w:sz w:val="24"/>
              </w:rPr>
              <w:t>ajuste de dose: interromper o uso do medicamento.</w:t>
            </w:r>
          </w:p>
        </w:tc>
      </w:tr>
      <w:tr>
        <w:trPr>
          <w:trHeight w:val="1657" w:hRule="atLeast"/>
        </w:trPr>
        <w:tc>
          <w:tcPr>
            <w:tcW w:w="2554" w:type="dxa"/>
          </w:tcPr>
          <w:p>
            <w:pPr>
              <w:pStyle w:val="TableParagraph"/>
              <w:spacing w:line="268" w:lineRule="exact"/>
              <w:ind w:left="674"/>
              <w:rPr>
                <w:sz w:val="24"/>
              </w:rPr>
            </w:pPr>
            <w:r>
              <w:rPr>
                <w:sz w:val="24"/>
              </w:rPr>
              <w:t>Ciclofosfamida</w:t>
            </w:r>
          </w:p>
        </w:tc>
        <w:tc>
          <w:tcPr>
            <w:tcW w:w="2381" w:type="dxa"/>
          </w:tcPr>
          <w:p>
            <w:pPr>
              <w:pStyle w:val="TableParagraph"/>
              <w:ind w:left="107" w:right="86"/>
              <w:jc w:val="both"/>
              <w:rPr>
                <w:sz w:val="24"/>
              </w:rPr>
            </w:pPr>
            <w:r>
              <w:rPr>
                <w:sz w:val="24"/>
              </w:rPr>
              <w:t>Hemograma, exame comum de urina:</w:t>
            </w:r>
            <w:r>
              <w:rPr>
                <w:spacing w:val="55"/>
                <w:sz w:val="24"/>
              </w:rPr>
              <w:t> </w:t>
            </w:r>
            <w:r>
              <w:rPr>
                <w:sz w:val="24"/>
              </w:rPr>
              <w:t>2 semanas após cada infusão.</w:t>
            </w:r>
          </w:p>
        </w:tc>
        <w:tc>
          <w:tcPr>
            <w:tcW w:w="5273" w:type="dxa"/>
          </w:tcPr>
          <w:p>
            <w:pPr>
              <w:pStyle w:val="TableParagraph"/>
              <w:numPr>
                <w:ilvl w:val="0"/>
                <w:numId w:val="28"/>
              </w:numPr>
              <w:tabs>
                <w:tab w:pos="329" w:val="left" w:leader="none"/>
              </w:tabs>
              <w:spacing w:line="240" w:lineRule="auto" w:before="0" w:after="0"/>
              <w:ind w:left="108" w:right="87" w:firstLine="33"/>
              <w:jc w:val="both"/>
              <w:rPr>
                <w:sz w:val="24"/>
              </w:rPr>
            </w:pPr>
            <w:r>
              <w:rPr>
                <w:sz w:val="24"/>
              </w:rPr>
              <w:t>Anemia, leucopenia e/ou trombocitopenia novas ou mais acentuadas: reduzir a dose em 25% a 50%; interromper o uso do medicamento se persistirem as alterações.</w:t>
            </w:r>
          </w:p>
          <w:p>
            <w:pPr>
              <w:pStyle w:val="TableParagraph"/>
              <w:numPr>
                <w:ilvl w:val="0"/>
                <w:numId w:val="28"/>
              </w:numPr>
              <w:tabs>
                <w:tab w:pos="490" w:val="left" w:leader="none"/>
              </w:tabs>
              <w:spacing w:line="270" w:lineRule="atLeast" w:before="0" w:after="0"/>
              <w:ind w:left="108" w:right="91" w:firstLine="33"/>
              <w:jc w:val="both"/>
              <w:rPr>
                <w:sz w:val="24"/>
              </w:rPr>
            </w:pPr>
            <w:r>
              <w:rPr>
                <w:sz w:val="24"/>
              </w:rPr>
              <w:t>Hematúria devida a cistite hemorrágica: interromper o uso do</w:t>
            </w:r>
            <w:r>
              <w:rPr>
                <w:spacing w:val="-3"/>
                <w:sz w:val="24"/>
              </w:rPr>
              <w:t> </w:t>
            </w:r>
            <w:r>
              <w:rPr>
                <w:sz w:val="24"/>
              </w:rPr>
              <w:t>medicamento.</w:t>
            </w:r>
          </w:p>
        </w:tc>
      </w:tr>
    </w:tbl>
    <w:p>
      <w:pPr>
        <w:pStyle w:val="BodyText"/>
        <w:ind w:right="126"/>
        <w:jc w:val="both"/>
      </w:pPr>
      <w:r>
        <w:rPr/>
        <w:t>MMCD: medicamentos modificadores do curso de doença; AST: aspartato-aminotransferase/TGO: transaminase glutâmico-oxalacética; ALT: alanino-aminotransferase/TGP: transaminase glutâmico- pirúvica; LSN: limite superior da normalidade; HDL: lipoproteína de densidade alta; LDL: lipoproteína de densidade</w:t>
      </w:r>
      <w:r>
        <w:rPr>
          <w:spacing w:val="-3"/>
        </w:rPr>
        <w:t> </w:t>
      </w:r>
      <w:r>
        <w:rPr/>
        <w:t>baixa.</w:t>
      </w:r>
    </w:p>
    <w:p>
      <w:pPr>
        <w:pStyle w:val="BodyText"/>
        <w:spacing w:before="3"/>
        <w:ind w:left="0"/>
        <w:rPr>
          <w:sz w:val="23"/>
        </w:rPr>
      </w:pPr>
    </w:p>
    <w:p>
      <w:pPr>
        <w:pStyle w:val="BodyText"/>
        <w:spacing w:before="1"/>
        <w:ind w:right="124" w:firstLine="1418"/>
        <w:jc w:val="both"/>
      </w:pPr>
      <w:r>
        <w:rPr/>
        <w:t>A avaliação sistemática de atividade de doença deve fazer parte do acompanhamento dos pacientes com AR (2,205). Para tanto, índices compostos de atividade de doença (ICAD) devem ser utilizados (Apêndice 1). Os ICAD incluem componentes clínicos e laboratoriais. Os principais ICAD são o índice de atividade de doença DAS 28 (</w:t>
      </w:r>
      <w:r>
        <w:rPr>
          <w:i/>
        </w:rPr>
        <w:t>Disease Activity Score 28</w:t>
      </w:r>
      <w:r>
        <w:rPr/>
        <w:t>), o índice simplificado de atividade de doença SDAI (</w:t>
      </w:r>
      <w:r>
        <w:rPr>
          <w:i/>
        </w:rPr>
        <w:t>Simplified Disease Activity Index</w:t>
      </w:r>
      <w:r>
        <w:rPr/>
        <w:t>) e o índice clínico de atividade de doença CDAI (</w:t>
      </w:r>
      <w:r>
        <w:rPr>
          <w:i/>
        </w:rPr>
        <w:t>Clinical Disease Activity Index</w:t>
      </w:r>
      <w:r>
        <w:rPr/>
        <w:t>). Com eles é possível estimar a atividade da doença (Quadro 3). Existe boa correlação entre esses ICAD, sendo possível o uso de qualquer um deles isoladamente</w:t>
      </w:r>
      <w:r>
        <w:rPr>
          <w:spacing w:val="-3"/>
        </w:rPr>
        <w:t> </w:t>
      </w:r>
      <w:r>
        <w:rPr/>
        <w:t>(53).</w:t>
      </w:r>
    </w:p>
    <w:p>
      <w:pPr>
        <w:pStyle w:val="BodyText"/>
        <w:ind w:left="0"/>
      </w:pPr>
    </w:p>
    <w:p>
      <w:pPr>
        <w:pStyle w:val="BodyText"/>
        <w:spacing w:after="9"/>
        <w:ind w:left="679"/>
      </w:pPr>
      <w:r>
        <w:rPr/>
        <w:t>Quadro 3 - ICAD Utilizados no Acompanhamento de Pacientes com AR</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6"/>
        <w:gridCol w:w="3805"/>
        <w:gridCol w:w="3788"/>
      </w:tblGrid>
      <w:tr>
        <w:trPr>
          <w:trHeight w:val="275" w:hRule="atLeast"/>
        </w:trPr>
        <w:tc>
          <w:tcPr>
            <w:tcW w:w="2616" w:type="dxa"/>
          </w:tcPr>
          <w:p>
            <w:pPr>
              <w:pStyle w:val="TableParagraph"/>
              <w:spacing w:line="256" w:lineRule="exact"/>
              <w:ind w:left="896" w:right="888"/>
              <w:jc w:val="center"/>
              <w:rPr>
                <w:sz w:val="24"/>
              </w:rPr>
            </w:pPr>
            <w:r>
              <w:rPr>
                <w:sz w:val="24"/>
              </w:rPr>
              <w:t>Índice</w:t>
            </w:r>
          </w:p>
        </w:tc>
        <w:tc>
          <w:tcPr>
            <w:tcW w:w="3805" w:type="dxa"/>
          </w:tcPr>
          <w:p>
            <w:pPr>
              <w:pStyle w:val="TableParagraph"/>
              <w:spacing w:line="256" w:lineRule="exact"/>
              <w:ind w:left="449"/>
              <w:rPr>
                <w:sz w:val="24"/>
              </w:rPr>
            </w:pPr>
            <w:r>
              <w:rPr>
                <w:sz w:val="24"/>
              </w:rPr>
              <w:t>Estado da atividade de doença</w:t>
            </w:r>
          </w:p>
        </w:tc>
        <w:tc>
          <w:tcPr>
            <w:tcW w:w="3788" w:type="dxa"/>
          </w:tcPr>
          <w:p>
            <w:pPr>
              <w:pStyle w:val="TableParagraph"/>
              <w:spacing w:line="256" w:lineRule="exact"/>
              <w:ind w:left="1154"/>
              <w:rPr>
                <w:sz w:val="24"/>
              </w:rPr>
            </w:pPr>
            <w:r>
              <w:rPr>
                <w:sz w:val="24"/>
              </w:rPr>
              <w:t>Pontos de corte</w:t>
            </w:r>
          </w:p>
        </w:tc>
      </w:tr>
      <w:tr>
        <w:trPr>
          <w:trHeight w:val="548" w:hRule="atLeast"/>
        </w:trPr>
        <w:tc>
          <w:tcPr>
            <w:tcW w:w="2616" w:type="dxa"/>
            <w:vMerge w:val="restart"/>
          </w:tcPr>
          <w:p>
            <w:pPr>
              <w:pStyle w:val="TableParagraph"/>
              <w:spacing w:before="6"/>
              <w:rPr>
                <w:sz w:val="35"/>
              </w:rPr>
            </w:pPr>
          </w:p>
          <w:p>
            <w:pPr>
              <w:pStyle w:val="TableParagraph"/>
              <w:spacing w:before="1"/>
              <w:ind w:left="896" w:right="889"/>
              <w:jc w:val="center"/>
              <w:rPr>
                <w:sz w:val="24"/>
              </w:rPr>
            </w:pPr>
            <w:r>
              <w:rPr>
                <w:sz w:val="24"/>
              </w:rPr>
              <w:t>DAS 28</w:t>
            </w:r>
          </w:p>
        </w:tc>
        <w:tc>
          <w:tcPr>
            <w:tcW w:w="3805" w:type="dxa"/>
            <w:tcBorders>
              <w:bottom w:val="nil"/>
            </w:tcBorders>
          </w:tcPr>
          <w:p>
            <w:pPr>
              <w:pStyle w:val="TableParagraph"/>
              <w:spacing w:line="268" w:lineRule="exact"/>
              <w:ind w:left="1395" w:right="1385"/>
              <w:jc w:val="center"/>
              <w:rPr>
                <w:sz w:val="24"/>
              </w:rPr>
            </w:pPr>
            <w:r>
              <w:rPr>
                <w:sz w:val="24"/>
              </w:rPr>
              <w:t>Remissão</w:t>
            </w:r>
          </w:p>
          <w:p>
            <w:pPr>
              <w:pStyle w:val="TableParagraph"/>
              <w:spacing w:line="261" w:lineRule="exact"/>
              <w:ind w:left="1395" w:right="1384"/>
              <w:jc w:val="center"/>
              <w:rPr>
                <w:sz w:val="24"/>
              </w:rPr>
            </w:pPr>
            <w:r>
              <w:rPr>
                <w:sz w:val="24"/>
              </w:rPr>
              <w:t>Baixa</w:t>
            </w:r>
          </w:p>
        </w:tc>
        <w:tc>
          <w:tcPr>
            <w:tcW w:w="3788" w:type="dxa"/>
            <w:tcBorders>
              <w:bottom w:val="nil"/>
            </w:tcBorders>
          </w:tcPr>
          <w:p>
            <w:pPr>
              <w:pStyle w:val="TableParagraph"/>
              <w:spacing w:line="268" w:lineRule="exact"/>
              <w:ind w:left="813"/>
              <w:rPr>
                <w:sz w:val="24"/>
              </w:rPr>
            </w:pPr>
            <w:r>
              <w:rPr>
                <w:sz w:val="24"/>
              </w:rPr>
              <w:t>Inferior ou igual a 2,6.</w:t>
            </w:r>
          </w:p>
          <w:p>
            <w:pPr>
              <w:pStyle w:val="TableParagraph"/>
              <w:spacing w:line="261" w:lineRule="exact"/>
              <w:ind w:left="753"/>
              <w:rPr>
                <w:sz w:val="24"/>
              </w:rPr>
            </w:pPr>
            <w:r>
              <w:rPr>
                <w:sz w:val="24"/>
              </w:rPr>
              <w:t>Superior a 2,6 e até 3,2.</w:t>
            </w:r>
          </w:p>
        </w:tc>
      </w:tr>
      <w:tr>
        <w:trPr>
          <w:trHeight w:val="554" w:hRule="atLeast"/>
        </w:trPr>
        <w:tc>
          <w:tcPr>
            <w:tcW w:w="2616" w:type="dxa"/>
            <w:vMerge/>
            <w:tcBorders>
              <w:top w:val="nil"/>
            </w:tcBorders>
          </w:tcPr>
          <w:p>
            <w:pPr>
              <w:rPr>
                <w:sz w:val="2"/>
                <w:szCs w:val="2"/>
              </w:rPr>
            </w:pPr>
          </w:p>
        </w:tc>
        <w:tc>
          <w:tcPr>
            <w:tcW w:w="3805" w:type="dxa"/>
            <w:tcBorders>
              <w:top w:val="nil"/>
            </w:tcBorders>
          </w:tcPr>
          <w:p>
            <w:pPr>
              <w:pStyle w:val="TableParagraph"/>
              <w:spacing w:line="271" w:lineRule="exact"/>
              <w:ind w:left="1395" w:right="1386"/>
              <w:jc w:val="center"/>
              <w:rPr>
                <w:sz w:val="24"/>
              </w:rPr>
            </w:pPr>
            <w:r>
              <w:rPr>
                <w:sz w:val="24"/>
              </w:rPr>
              <w:t>Moderada</w:t>
            </w:r>
          </w:p>
          <w:p>
            <w:pPr>
              <w:pStyle w:val="TableParagraph"/>
              <w:spacing w:line="264" w:lineRule="exact"/>
              <w:ind w:left="1394" w:right="1386"/>
              <w:jc w:val="center"/>
              <w:rPr>
                <w:sz w:val="24"/>
              </w:rPr>
            </w:pPr>
            <w:r>
              <w:rPr>
                <w:sz w:val="24"/>
              </w:rPr>
              <w:t>Alta</w:t>
            </w:r>
          </w:p>
        </w:tc>
        <w:tc>
          <w:tcPr>
            <w:tcW w:w="3788" w:type="dxa"/>
            <w:tcBorders>
              <w:top w:val="nil"/>
            </w:tcBorders>
          </w:tcPr>
          <w:p>
            <w:pPr>
              <w:pStyle w:val="TableParagraph"/>
              <w:spacing w:line="271" w:lineRule="exact"/>
              <w:ind w:left="732" w:right="725"/>
              <w:jc w:val="center"/>
              <w:rPr>
                <w:sz w:val="24"/>
              </w:rPr>
            </w:pPr>
            <w:r>
              <w:rPr>
                <w:sz w:val="24"/>
              </w:rPr>
              <w:t>Superior a 3,2 e até 5,1.</w:t>
            </w:r>
          </w:p>
          <w:p>
            <w:pPr>
              <w:pStyle w:val="TableParagraph"/>
              <w:spacing w:line="264" w:lineRule="exact"/>
              <w:ind w:left="732" w:right="723"/>
              <w:jc w:val="center"/>
              <w:rPr>
                <w:sz w:val="24"/>
              </w:rPr>
            </w:pPr>
            <w:r>
              <w:rPr>
                <w:sz w:val="24"/>
              </w:rPr>
              <w:t>Superior a 5,1.</w:t>
            </w:r>
          </w:p>
        </w:tc>
      </w:tr>
      <w:tr>
        <w:trPr>
          <w:trHeight w:val="548" w:hRule="atLeast"/>
        </w:trPr>
        <w:tc>
          <w:tcPr>
            <w:tcW w:w="2616" w:type="dxa"/>
            <w:vMerge w:val="restart"/>
          </w:tcPr>
          <w:p>
            <w:pPr>
              <w:pStyle w:val="TableParagraph"/>
              <w:spacing w:before="9"/>
              <w:rPr>
                <w:sz w:val="35"/>
              </w:rPr>
            </w:pPr>
          </w:p>
          <w:p>
            <w:pPr>
              <w:pStyle w:val="TableParagraph"/>
              <w:ind w:left="896" w:right="886"/>
              <w:jc w:val="center"/>
              <w:rPr>
                <w:sz w:val="24"/>
              </w:rPr>
            </w:pPr>
            <w:r>
              <w:rPr>
                <w:sz w:val="24"/>
              </w:rPr>
              <w:t>SDAI</w:t>
            </w:r>
          </w:p>
        </w:tc>
        <w:tc>
          <w:tcPr>
            <w:tcW w:w="3805" w:type="dxa"/>
            <w:tcBorders>
              <w:bottom w:val="nil"/>
            </w:tcBorders>
          </w:tcPr>
          <w:p>
            <w:pPr>
              <w:pStyle w:val="TableParagraph"/>
              <w:spacing w:line="268" w:lineRule="exact"/>
              <w:ind w:left="1395" w:right="1385"/>
              <w:jc w:val="center"/>
              <w:rPr>
                <w:sz w:val="24"/>
              </w:rPr>
            </w:pPr>
            <w:r>
              <w:rPr>
                <w:sz w:val="24"/>
              </w:rPr>
              <w:t>Remissão</w:t>
            </w:r>
          </w:p>
          <w:p>
            <w:pPr>
              <w:pStyle w:val="TableParagraph"/>
              <w:spacing w:line="261" w:lineRule="exact"/>
              <w:ind w:left="1395" w:right="1384"/>
              <w:jc w:val="center"/>
              <w:rPr>
                <w:sz w:val="24"/>
              </w:rPr>
            </w:pPr>
            <w:r>
              <w:rPr>
                <w:sz w:val="24"/>
              </w:rPr>
              <w:t>Baixa</w:t>
            </w:r>
          </w:p>
        </w:tc>
        <w:tc>
          <w:tcPr>
            <w:tcW w:w="3788" w:type="dxa"/>
            <w:tcBorders>
              <w:bottom w:val="nil"/>
            </w:tcBorders>
          </w:tcPr>
          <w:p>
            <w:pPr>
              <w:pStyle w:val="TableParagraph"/>
              <w:spacing w:line="268" w:lineRule="exact"/>
              <w:ind w:left="732" w:right="723"/>
              <w:jc w:val="center"/>
              <w:rPr>
                <w:sz w:val="24"/>
              </w:rPr>
            </w:pPr>
            <w:r>
              <w:rPr>
                <w:sz w:val="24"/>
              </w:rPr>
              <w:t>Até 5.</w:t>
            </w:r>
          </w:p>
          <w:p>
            <w:pPr>
              <w:pStyle w:val="TableParagraph"/>
              <w:spacing w:line="261" w:lineRule="exact"/>
              <w:ind w:left="732" w:right="725"/>
              <w:jc w:val="center"/>
              <w:rPr>
                <w:sz w:val="24"/>
              </w:rPr>
            </w:pPr>
            <w:r>
              <w:rPr>
                <w:sz w:val="24"/>
              </w:rPr>
              <w:t>Superior a 5 e até 20.</w:t>
            </w:r>
          </w:p>
        </w:tc>
      </w:tr>
      <w:tr>
        <w:trPr>
          <w:trHeight w:val="554" w:hRule="atLeast"/>
        </w:trPr>
        <w:tc>
          <w:tcPr>
            <w:tcW w:w="2616" w:type="dxa"/>
            <w:vMerge/>
            <w:tcBorders>
              <w:top w:val="nil"/>
            </w:tcBorders>
          </w:tcPr>
          <w:p>
            <w:pPr>
              <w:rPr>
                <w:sz w:val="2"/>
                <w:szCs w:val="2"/>
              </w:rPr>
            </w:pPr>
          </w:p>
        </w:tc>
        <w:tc>
          <w:tcPr>
            <w:tcW w:w="3805" w:type="dxa"/>
            <w:tcBorders>
              <w:top w:val="nil"/>
            </w:tcBorders>
          </w:tcPr>
          <w:p>
            <w:pPr>
              <w:pStyle w:val="TableParagraph"/>
              <w:spacing w:line="271" w:lineRule="exact"/>
              <w:ind w:left="1395" w:right="1386"/>
              <w:jc w:val="center"/>
              <w:rPr>
                <w:sz w:val="24"/>
              </w:rPr>
            </w:pPr>
            <w:r>
              <w:rPr>
                <w:sz w:val="24"/>
              </w:rPr>
              <w:t>Moderada</w:t>
            </w:r>
          </w:p>
          <w:p>
            <w:pPr>
              <w:pStyle w:val="TableParagraph"/>
              <w:spacing w:line="264" w:lineRule="exact"/>
              <w:ind w:left="1394" w:right="1386"/>
              <w:jc w:val="center"/>
              <w:rPr>
                <w:sz w:val="24"/>
              </w:rPr>
            </w:pPr>
            <w:r>
              <w:rPr>
                <w:sz w:val="24"/>
              </w:rPr>
              <w:t>Alta</w:t>
            </w:r>
          </w:p>
        </w:tc>
        <w:tc>
          <w:tcPr>
            <w:tcW w:w="3788" w:type="dxa"/>
            <w:tcBorders>
              <w:top w:val="nil"/>
            </w:tcBorders>
          </w:tcPr>
          <w:p>
            <w:pPr>
              <w:pStyle w:val="TableParagraph"/>
              <w:spacing w:line="271" w:lineRule="exact"/>
              <w:ind w:left="732" w:right="725"/>
              <w:jc w:val="center"/>
              <w:rPr>
                <w:sz w:val="24"/>
              </w:rPr>
            </w:pPr>
            <w:r>
              <w:rPr>
                <w:sz w:val="24"/>
              </w:rPr>
              <w:t>Superior a 20 e até 40.</w:t>
            </w:r>
          </w:p>
          <w:p>
            <w:pPr>
              <w:pStyle w:val="TableParagraph"/>
              <w:spacing w:line="264" w:lineRule="exact"/>
              <w:ind w:left="731" w:right="725"/>
              <w:jc w:val="center"/>
              <w:rPr>
                <w:sz w:val="24"/>
              </w:rPr>
            </w:pPr>
            <w:r>
              <w:rPr>
                <w:sz w:val="24"/>
              </w:rPr>
              <w:t>Superior a 40.</w:t>
            </w:r>
          </w:p>
        </w:tc>
      </w:tr>
    </w:tbl>
    <w:p>
      <w:pPr>
        <w:spacing w:after="0" w:line="264" w:lineRule="exact"/>
        <w:jc w:val="center"/>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6"/>
        <w:gridCol w:w="3805"/>
        <w:gridCol w:w="3788"/>
      </w:tblGrid>
      <w:tr>
        <w:trPr>
          <w:trHeight w:val="549" w:hRule="atLeast"/>
        </w:trPr>
        <w:tc>
          <w:tcPr>
            <w:tcW w:w="2616" w:type="dxa"/>
            <w:vMerge w:val="restart"/>
          </w:tcPr>
          <w:p>
            <w:pPr>
              <w:pStyle w:val="TableParagraph"/>
              <w:spacing w:before="9"/>
              <w:rPr>
                <w:sz w:val="35"/>
              </w:rPr>
            </w:pPr>
          </w:p>
          <w:p>
            <w:pPr>
              <w:pStyle w:val="TableParagraph"/>
              <w:ind w:left="896" w:right="883"/>
              <w:jc w:val="center"/>
              <w:rPr>
                <w:sz w:val="24"/>
              </w:rPr>
            </w:pPr>
            <w:r>
              <w:rPr>
                <w:sz w:val="24"/>
              </w:rPr>
              <w:t>CDAI</w:t>
            </w:r>
          </w:p>
        </w:tc>
        <w:tc>
          <w:tcPr>
            <w:tcW w:w="3805" w:type="dxa"/>
            <w:tcBorders>
              <w:bottom w:val="nil"/>
            </w:tcBorders>
          </w:tcPr>
          <w:p>
            <w:pPr>
              <w:pStyle w:val="TableParagraph"/>
              <w:spacing w:line="268" w:lineRule="exact"/>
              <w:ind w:left="1395" w:right="1385"/>
              <w:jc w:val="center"/>
              <w:rPr>
                <w:sz w:val="24"/>
              </w:rPr>
            </w:pPr>
            <w:r>
              <w:rPr>
                <w:sz w:val="24"/>
              </w:rPr>
              <w:t>Remissão</w:t>
            </w:r>
          </w:p>
          <w:p>
            <w:pPr>
              <w:pStyle w:val="TableParagraph"/>
              <w:spacing w:line="262" w:lineRule="exact"/>
              <w:ind w:left="1395" w:right="1384"/>
              <w:jc w:val="center"/>
              <w:rPr>
                <w:sz w:val="24"/>
              </w:rPr>
            </w:pPr>
            <w:r>
              <w:rPr>
                <w:sz w:val="24"/>
              </w:rPr>
              <w:t>Baixa</w:t>
            </w:r>
          </w:p>
        </w:tc>
        <w:tc>
          <w:tcPr>
            <w:tcW w:w="3788" w:type="dxa"/>
            <w:tcBorders>
              <w:bottom w:val="nil"/>
            </w:tcBorders>
          </w:tcPr>
          <w:p>
            <w:pPr>
              <w:pStyle w:val="TableParagraph"/>
              <w:spacing w:line="268" w:lineRule="exact"/>
              <w:ind w:left="732" w:right="721"/>
              <w:jc w:val="center"/>
              <w:rPr>
                <w:sz w:val="24"/>
              </w:rPr>
            </w:pPr>
            <w:r>
              <w:rPr>
                <w:sz w:val="24"/>
              </w:rPr>
              <w:t>Até 2,8.</w:t>
            </w:r>
          </w:p>
          <w:p>
            <w:pPr>
              <w:pStyle w:val="TableParagraph"/>
              <w:spacing w:line="262" w:lineRule="exact"/>
              <w:ind w:left="732" w:right="725"/>
              <w:jc w:val="center"/>
              <w:rPr>
                <w:sz w:val="24"/>
              </w:rPr>
            </w:pPr>
            <w:r>
              <w:rPr>
                <w:sz w:val="24"/>
              </w:rPr>
              <w:t>Superior a 2,8 e até10.</w:t>
            </w:r>
          </w:p>
        </w:tc>
      </w:tr>
      <w:tr>
        <w:trPr>
          <w:trHeight w:val="555" w:hRule="atLeast"/>
        </w:trPr>
        <w:tc>
          <w:tcPr>
            <w:tcW w:w="2616" w:type="dxa"/>
            <w:vMerge/>
            <w:tcBorders>
              <w:top w:val="nil"/>
            </w:tcBorders>
          </w:tcPr>
          <w:p>
            <w:pPr>
              <w:rPr>
                <w:sz w:val="2"/>
                <w:szCs w:val="2"/>
              </w:rPr>
            </w:pPr>
          </w:p>
        </w:tc>
        <w:tc>
          <w:tcPr>
            <w:tcW w:w="3805" w:type="dxa"/>
            <w:tcBorders>
              <w:top w:val="nil"/>
            </w:tcBorders>
          </w:tcPr>
          <w:p>
            <w:pPr>
              <w:pStyle w:val="TableParagraph"/>
              <w:spacing w:line="272" w:lineRule="exact"/>
              <w:ind w:left="1395" w:right="1386"/>
              <w:jc w:val="center"/>
              <w:rPr>
                <w:sz w:val="24"/>
              </w:rPr>
            </w:pPr>
            <w:r>
              <w:rPr>
                <w:sz w:val="24"/>
              </w:rPr>
              <w:t>Moderada</w:t>
            </w:r>
          </w:p>
          <w:p>
            <w:pPr>
              <w:pStyle w:val="TableParagraph"/>
              <w:spacing w:line="264" w:lineRule="exact"/>
              <w:ind w:left="1394" w:right="1386"/>
              <w:jc w:val="center"/>
              <w:rPr>
                <w:sz w:val="24"/>
              </w:rPr>
            </w:pPr>
            <w:r>
              <w:rPr>
                <w:sz w:val="24"/>
              </w:rPr>
              <w:t>Alta</w:t>
            </w:r>
          </w:p>
        </w:tc>
        <w:tc>
          <w:tcPr>
            <w:tcW w:w="3788" w:type="dxa"/>
            <w:tcBorders>
              <w:top w:val="nil"/>
            </w:tcBorders>
          </w:tcPr>
          <w:p>
            <w:pPr>
              <w:pStyle w:val="TableParagraph"/>
              <w:spacing w:line="272" w:lineRule="exact"/>
              <w:ind w:left="732" w:right="725"/>
              <w:jc w:val="center"/>
              <w:rPr>
                <w:sz w:val="24"/>
              </w:rPr>
            </w:pPr>
            <w:r>
              <w:rPr>
                <w:sz w:val="24"/>
              </w:rPr>
              <w:t>Superior a 10 e até 22.</w:t>
            </w:r>
          </w:p>
          <w:p>
            <w:pPr>
              <w:pStyle w:val="TableParagraph"/>
              <w:spacing w:line="264" w:lineRule="exact"/>
              <w:ind w:left="731" w:right="725"/>
              <w:jc w:val="center"/>
              <w:rPr>
                <w:sz w:val="24"/>
              </w:rPr>
            </w:pPr>
            <w:r>
              <w:rPr>
                <w:sz w:val="24"/>
              </w:rPr>
              <w:t>Superior a 22.</w:t>
            </w:r>
          </w:p>
        </w:tc>
      </w:tr>
    </w:tbl>
    <w:p>
      <w:pPr>
        <w:pStyle w:val="BodyText"/>
        <w:ind w:right="126"/>
      </w:pPr>
      <w:r>
        <w:rPr/>
        <w:t>DAS 28: índice de atividade de doença (28 articulações); SDAI: índice simplificado de atividade de doença; CDAI: índice clínico de atividade de doença.</w:t>
      </w:r>
    </w:p>
    <w:p>
      <w:pPr>
        <w:pStyle w:val="BodyText"/>
        <w:spacing w:before="3"/>
        <w:ind w:left="0"/>
        <w:rPr>
          <w:sz w:val="23"/>
        </w:rPr>
      </w:pPr>
    </w:p>
    <w:p>
      <w:pPr>
        <w:pStyle w:val="BodyText"/>
        <w:ind w:right="123" w:firstLine="1418"/>
        <w:jc w:val="both"/>
      </w:pPr>
      <w:r>
        <w:rPr/>
        <w:t>Além de atividade de doença, a capacidade funcional deve ser periodicamente avaliada. O questionário mais utilizado é o HAQ (</w:t>
      </w:r>
      <w:r>
        <w:rPr>
          <w:i/>
        </w:rPr>
        <w:t>Health Assessment Questionnaire</w:t>
      </w:r>
      <w:r>
        <w:rPr/>
        <w:t>; 0-3 pontos) e, nos casos de ARJ, o CHAQ (Apêndice 2) (206,207).</w:t>
      </w:r>
    </w:p>
    <w:p>
      <w:pPr>
        <w:pStyle w:val="BodyText"/>
        <w:spacing w:before="1"/>
        <w:ind w:right="124" w:firstLine="1418"/>
        <w:jc w:val="both"/>
      </w:pPr>
      <w:r>
        <w:rPr/>
        <w:t>Índices compostos de atividade de doença (DAS 28, SDAI, CDAI) devem ser utilizados a cada consulta; avaliação da capacidade funcional (HAQ) pode ser realizada no mínimo, 1 vez por ano.</w:t>
      </w:r>
    </w:p>
    <w:p>
      <w:pPr>
        <w:pStyle w:val="BodyText"/>
        <w:ind w:right="125" w:firstLine="1418"/>
        <w:jc w:val="both"/>
      </w:pPr>
      <w:r>
        <w:rPr/>
        <w:t>Titulações de FR e de anti-CCP só devem ser repetidas dentro dos primeiros dois anos do diagnóstico, caso sejam negativos no início, já que podem se tornar positivos, representando pior prognóstico. O intervalo para solicitação de FR e anti-CCP é variável, devendo ser considerado o custo desses exames nessa decisão. Radiografias de mãos e pés e de outras articulações acometidas devem ser realizadas anualmente.</w:t>
      </w:r>
    </w:p>
    <w:p>
      <w:pPr>
        <w:pStyle w:val="BodyText"/>
        <w:ind w:right="126" w:firstLine="1418"/>
        <w:jc w:val="both"/>
      </w:pPr>
      <w:r>
        <w:rPr/>
        <w:t>Atualmente, a principal causa de morte de pacientes com AR são as doenças cardiovasculares (208). A identificação e o controle dos fatores de risco cardiovascular devem fazer parte da rotina assistencial dos pacientes com AR, incluindo o controle rigoroso do processo inflamatório sistêmico (209).</w:t>
      </w:r>
    </w:p>
    <w:p>
      <w:pPr>
        <w:pStyle w:val="BodyText"/>
        <w:ind w:left="0"/>
      </w:pPr>
    </w:p>
    <w:p>
      <w:pPr>
        <w:pStyle w:val="ListParagraph"/>
        <w:numPr>
          <w:ilvl w:val="0"/>
          <w:numId w:val="1"/>
        </w:numPr>
        <w:tabs>
          <w:tab w:pos="1868" w:val="left" w:leader="none"/>
        </w:tabs>
        <w:spacing w:line="240" w:lineRule="auto" w:before="0" w:after="0"/>
        <w:ind w:left="1867" w:right="0" w:hanging="336"/>
        <w:jc w:val="left"/>
        <w:rPr>
          <w:sz w:val="24"/>
        </w:rPr>
      </w:pPr>
      <w:r>
        <w:rPr>
          <w:sz w:val="24"/>
        </w:rPr>
        <w:t>ACOMPANHAMENTO</w:t>
      </w:r>
      <w:r>
        <w:rPr>
          <w:spacing w:val="-13"/>
          <w:sz w:val="24"/>
        </w:rPr>
        <w:t> </w:t>
      </w:r>
      <w:r>
        <w:rPr>
          <w:sz w:val="24"/>
        </w:rPr>
        <w:t>PÓS-TRATAMENTO</w:t>
      </w:r>
    </w:p>
    <w:p>
      <w:pPr>
        <w:pStyle w:val="BodyText"/>
        <w:spacing w:before="1"/>
        <w:ind w:right="125" w:firstLine="1418"/>
        <w:jc w:val="both"/>
      </w:pPr>
      <w:r>
        <w:rPr/>
        <w:t>O tratamento de AR deve ser realizado enquanto o paciente dele se beneficiar. Nos raros casos de remissão após interrupção de tratamento, revisões anuais podem ser adotadas. Nessas consultas, além da história e do exame físico, exames como velocidade de hemossedimentação e proteína C reativa podem ser solicitados. Na confirmação </w:t>
      </w:r>
      <w:r>
        <w:rPr>
          <w:spacing w:val="3"/>
        </w:rPr>
        <w:t>de </w:t>
      </w:r>
      <w:r>
        <w:rPr/>
        <w:t>reativação da doença, as recomendações deste Protocolo voltam a ser</w:t>
      </w:r>
      <w:r>
        <w:rPr>
          <w:spacing w:val="-1"/>
        </w:rPr>
        <w:t> </w:t>
      </w:r>
      <w:r>
        <w:rPr/>
        <w:t>aplicáveis.</w:t>
      </w:r>
    </w:p>
    <w:p>
      <w:pPr>
        <w:pStyle w:val="BodyText"/>
        <w:spacing w:before="9"/>
        <w:ind w:left="0"/>
        <w:rPr>
          <w:sz w:val="23"/>
        </w:rPr>
      </w:pPr>
    </w:p>
    <w:p>
      <w:pPr>
        <w:pStyle w:val="ListParagraph"/>
        <w:numPr>
          <w:ilvl w:val="0"/>
          <w:numId w:val="1"/>
        </w:numPr>
        <w:tabs>
          <w:tab w:pos="1868" w:val="left" w:leader="none"/>
        </w:tabs>
        <w:spacing w:line="240" w:lineRule="auto" w:before="0" w:after="0"/>
        <w:ind w:left="1867" w:right="0" w:hanging="336"/>
        <w:jc w:val="left"/>
        <w:rPr>
          <w:sz w:val="24"/>
        </w:rPr>
      </w:pPr>
      <w:r>
        <w:rPr>
          <w:sz w:val="24"/>
        </w:rPr>
        <w:t>REGULAÇÃO/CONTROLE/AVALIAÇÃO PELO</w:t>
      </w:r>
      <w:r>
        <w:rPr>
          <w:spacing w:val="-24"/>
          <w:sz w:val="24"/>
        </w:rPr>
        <w:t> </w:t>
      </w:r>
      <w:r>
        <w:rPr>
          <w:sz w:val="24"/>
        </w:rPr>
        <w:t>GESTOR</w:t>
      </w:r>
    </w:p>
    <w:p>
      <w:pPr>
        <w:pStyle w:val="BodyText"/>
        <w:ind w:right="123" w:firstLine="1418"/>
        <w:jc w:val="both"/>
      </w:pPr>
      <w:r>
        <w:rPr/>
        <w:t>Devem ser observados os critérios de inclusão e exclusão de pacientes deste Protocolo, a duração e a monitorização do tratamento bem como a verificação periódica das doses prescritas e dispensadas e a adequação de uso dos medicamentos.</w:t>
      </w:r>
    </w:p>
    <w:p>
      <w:pPr>
        <w:pStyle w:val="BodyText"/>
        <w:ind w:right="125" w:firstLine="1418"/>
        <w:jc w:val="both"/>
      </w:pPr>
      <w:r>
        <w:rPr/>
        <w:t>Recomenda-se que o tratamento de AR seja realizado em serviços especializados, para fins de diagnóstico e de seguimento, que contemplem equipes multiprofissionais para acompanhamento dos pacientes e de suas famílias. Como o controle da doença exige familiaridade com manifestações clínicas próprias, recomenda-se que o médico responsável pelo tratamento tenha experiência e seja treinado nessa atividade, devendo ser preferencialmente reumatologista.</w:t>
      </w:r>
    </w:p>
    <w:p>
      <w:pPr>
        <w:pStyle w:val="BodyText"/>
        <w:spacing w:before="1"/>
        <w:ind w:right="131" w:firstLine="1418"/>
        <w:jc w:val="both"/>
      </w:pPr>
      <w:r>
        <w:rPr/>
        <w:t>Verificar na Relação Nacional de Medicamentos Essenciais (RENAME) vigente em qual componente da Assistência Farmacêutica se encontram os medicamentos preconizados neste Protocolo.</w:t>
      </w:r>
    </w:p>
    <w:p>
      <w:pPr>
        <w:pStyle w:val="BodyText"/>
        <w:ind w:right="121" w:firstLine="1418"/>
        <w:jc w:val="both"/>
      </w:pPr>
      <w:r>
        <w:rPr/>
        <w:t>Verificar na relação do Componente Especializado da Assistência Farmacêutica quais os medicamentos modificadores do curso da doença (MMCD) sintéticos e biológicos estão disponíveis para o tratamento da Artrite</w:t>
      </w:r>
      <w:r>
        <w:rPr>
          <w:spacing w:val="-2"/>
        </w:rPr>
        <w:t> </w:t>
      </w:r>
      <w:r>
        <w:rPr/>
        <w:t>Reumatoide.</w:t>
      </w:r>
    </w:p>
    <w:p>
      <w:pPr>
        <w:pStyle w:val="BodyText"/>
        <w:ind w:right="126" w:firstLine="1418"/>
        <w:jc w:val="both"/>
      </w:pPr>
      <w:r>
        <w:rPr/>
        <w:t>Para a administração dos MMCD biológicos, recomenda-se a criação de centros de referência para aplicação, com vistas à maior racionalidade do uso e ao monitoramento da efetividade desses medicamentos.</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3"/>
        </w:rPr>
      </w:pPr>
    </w:p>
    <w:p>
      <w:pPr>
        <w:pStyle w:val="ListParagraph"/>
        <w:numPr>
          <w:ilvl w:val="0"/>
          <w:numId w:val="1"/>
        </w:numPr>
        <w:tabs>
          <w:tab w:pos="1868" w:val="left" w:leader="none"/>
        </w:tabs>
        <w:spacing w:line="240" w:lineRule="auto" w:before="90" w:after="0"/>
        <w:ind w:left="1867" w:right="0" w:hanging="336"/>
        <w:jc w:val="left"/>
        <w:rPr>
          <w:sz w:val="24"/>
        </w:rPr>
      </w:pPr>
      <w:r>
        <w:rPr>
          <w:sz w:val="24"/>
        </w:rPr>
        <w:t>TERMO</w:t>
      </w:r>
      <w:r>
        <w:rPr>
          <w:spacing w:val="-13"/>
          <w:sz w:val="24"/>
        </w:rPr>
        <w:t> </w:t>
      </w:r>
      <w:r>
        <w:rPr>
          <w:sz w:val="24"/>
        </w:rPr>
        <w:t>DE</w:t>
      </w:r>
      <w:r>
        <w:rPr>
          <w:spacing w:val="-12"/>
          <w:sz w:val="24"/>
        </w:rPr>
        <w:t> </w:t>
      </w:r>
      <w:r>
        <w:rPr>
          <w:sz w:val="24"/>
        </w:rPr>
        <w:t>ESCLARECIMENTO</w:t>
      </w:r>
      <w:r>
        <w:rPr>
          <w:spacing w:val="-13"/>
          <w:sz w:val="24"/>
        </w:rPr>
        <w:t> </w:t>
      </w:r>
      <w:r>
        <w:rPr>
          <w:sz w:val="24"/>
        </w:rPr>
        <w:t>E</w:t>
      </w:r>
      <w:r>
        <w:rPr>
          <w:spacing w:val="-13"/>
          <w:sz w:val="24"/>
        </w:rPr>
        <w:t> </w:t>
      </w:r>
      <w:r>
        <w:rPr>
          <w:sz w:val="24"/>
        </w:rPr>
        <w:t>RESPONSABILIDADE</w:t>
      </w:r>
      <w:r>
        <w:rPr>
          <w:spacing w:val="-11"/>
          <w:sz w:val="24"/>
        </w:rPr>
        <w:t> </w:t>
      </w:r>
      <w:r>
        <w:rPr>
          <w:sz w:val="24"/>
        </w:rPr>
        <w:t>(TER)</w:t>
      </w:r>
    </w:p>
    <w:p>
      <w:pPr>
        <w:pStyle w:val="BodyText"/>
        <w:ind w:right="129" w:firstLine="1418"/>
        <w:jc w:val="both"/>
      </w:pPr>
      <w:r>
        <w:rPr/>
        <w:t>É obrigatória a informação ao paciente ou a seu responsável legal dos benefícios, potenciais riscos e efeitos colaterais relacionados ao uso de medicamento preconizado neste Protocolo. O TER é obrigatório ao se prescrever medicamento do Componente Especializado da Assistência Farmacêutica.</w:t>
      </w:r>
    </w:p>
    <w:p>
      <w:pPr>
        <w:pStyle w:val="BodyText"/>
        <w:ind w:left="0"/>
      </w:pPr>
    </w:p>
    <w:p>
      <w:pPr>
        <w:pStyle w:val="ListParagraph"/>
        <w:numPr>
          <w:ilvl w:val="0"/>
          <w:numId w:val="1"/>
        </w:numPr>
        <w:tabs>
          <w:tab w:pos="1868" w:val="left" w:leader="none"/>
        </w:tabs>
        <w:spacing w:line="240" w:lineRule="auto" w:before="0" w:after="0"/>
        <w:ind w:left="1867" w:right="0" w:hanging="336"/>
        <w:jc w:val="left"/>
        <w:rPr>
          <w:sz w:val="24"/>
        </w:rPr>
      </w:pPr>
      <w:r>
        <w:rPr>
          <w:sz w:val="24"/>
        </w:rPr>
        <w:t>REFERÊNCIAS</w:t>
      </w:r>
    </w:p>
    <w:p>
      <w:pPr>
        <w:pStyle w:val="ListParagraph"/>
        <w:numPr>
          <w:ilvl w:val="0"/>
          <w:numId w:val="29"/>
        </w:numPr>
        <w:tabs>
          <w:tab w:pos="1713" w:val="left" w:leader="none"/>
        </w:tabs>
        <w:spacing w:line="240" w:lineRule="auto" w:before="0" w:after="0"/>
        <w:ind w:left="112" w:right="123" w:firstLine="1419"/>
        <w:jc w:val="both"/>
        <w:rPr>
          <w:sz w:val="24"/>
        </w:rPr>
      </w:pPr>
      <w:r>
        <w:rPr>
          <w:sz w:val="24"/>
        </w:rPr>
        <w:t>da Mota LM, Cruz BA, Brenol CV, Pereira IA, Rezende-Fronza LS, Bertolo MB, et al. 2012 Brazilian Society of Rheumatology Consensus for the treatment of rheumatoid arthritis. Rev Bras Reumatol. 2012</w:t>
      </w:r>
      <w:r>
        <w:rPr>
          <w:spacing w:val="-1"/>
          <w:sz w:val="24"/>
        </w:rPr>
        <w:t> </w:t>
      </w:r>
      <w:r>
        <w:rPr>
          <w:sz w:val="24"/>
        </w:rPr>
        <w:t>Mar-Apr;52(2):152-74.</w:t>
      </w:r>
    </w:p>
    <w:p>
      <w:pPr>
        <w:pStyle w:val="ListParagraph"/>
        <w:numPr>
          <w:ilvl w:val="0"/>
          <w:numId w:val="29"/>
        </w:numPr>
        <w:tabs>
          <w:tab w:pos="1713" w:val="left" w:leader="none"/>
        </w:tabs>
        <w:spacing w:line="240" w:lineRule="auto" w:before="0" w:after="0"/>
        <w:ind w:left="112" w:right="127" w:firstLine="1419"/>
        <w:jc w:val="both"/>
        <w:rPr>
          <w:sz w:val="24"/>
        </w:rPr>
      </w:pPr>
      <w:r>
        <w:rPr>
          <w:sz w:val="24"/>
        </w:rPr>
        <w:t>da Mota LM, Cruz BA, Brenol CV, Pereira IA, Fronza LS, Bertolo MB, et al. 2011 Consensus of the Brazilian Society of Rheumatology for diagnosis and early assessment of rheumatoid arthritis. Rev Bras Reumatol. 2011 May-Jun;51(3):199-219.</w:t>
      </w:r>
    </w:p>
    <w:p>
      <w:pPr>
        <w:pStyle w:val="ListParagraph"/>
        <w:numPr>
          <w:ilvl w:val="0"/>
          <w:numId w:val="29"/>
        </w:numPr>
        <w:tabs>
          <w:tab w:pos="1713" w:val="left" w:leader="none"/>
        </w:tabs>
        <w:spacing w:line="240" w:lineRule="auto" w:before="1" w:after="0"/>
        <w:ind w:left="112" w:right="123" w:firstLine="1419"/>
        <w:jc w:val="both"/>
        <w:rPr>
          <w:sz w:val="24"/>
        </w:rPr>
      </w:pPr>
      <w:r>
        <w:rPr>
          <w:sz w:val="24"/>
        </w:rPr>
        <w:t>Senna ER, De Barros AL, Silva EO, Costa </w:t>
      </w:r>
      <w:r>
        <w:rPr>
          <w:spacing w:val="-2"/>
          <w:sz w:val="24"/>
        </w:rPr>
        <w:t>IF, </w:t>
      </w:r>
      <w:r>
        <w:rPr>
          <w:sz w:val="24"/>
        </w:rPr>
        <w:t>Pereira LV, Ciconelli RM, et al. Prevalence of rheumatic diseases in Brazil: a study using the COPCORD approach. J Rheumatol. 2004 Mar;31(3):594-7.</w:t>
      </w:r>
    </w:p>
    <w:p>
      <w:pPr>
        <w:pStyle w:val="ListParagraph"/>
        <w:numPr>
          <w:ilvl w:val="0"/>
          <w:numId w:val="29"/>
        </w:numPr>
        <w:tabs>
          <w:tab w:pos="1713" w:val="left" w:leader="none"/>
        </w:tabs>
        <w:spacing w:line="240" w:lineRule="auto" w:before="0" w:after="0"/>
        <w:ind w:left="112" w:right="122" w:firstLine="1419"/>
        <w:jc w:val="both"/>
        <w:rPr>
          <w:sz w:val="24"/>
        </w:rPr>
      </w:pPr>
      <w:r>
        <w:rPr>
          <w:sz w:val="24"/>
        </w:rPr>
        <w:t>Marques-Neto J, Gonçalves E, Langen L, Cunha M, Radominski S, Oliveira S. Multicentric study of the prevalence of adult rheumatoid arthritis in Brazilian population samples. Rev Bras Reumatol.</w:t>
      </w:r>
      <w:r>
        <w:rPr>
          <w:spacing w:val="-1"/>
          <w:sz w:val="24"/>
        </w:rPr>
        <w:t> </w:t>
      </w:r>
      <w:r>
        <w:rPr>
          <w:sz w:val="24"/>
        </w:rPr>
        <w:t>1993;33:169-73.</w:t>
      </w:r>
    </w:p>
    <w:p>
      <w:pPr>
        <w:pStyle w:val="ListParagraph"/>
        <w:numPr>
          <w:ilvl w:val="0"/>
          <w:numId w:val="29"/>
        </w:numPr>
        <w:tabs>
          <w:tab w:pos="1713" w:val="left" w:leader="none"/>
        </w:tabs>
        <w:spacing w:line="240" w:lineRule="auto" w:before="0" w:after="0"/>
        <w:ind w:left="112" w:right="122" w:firstLine="1419"/>
        <w:jc w:val="both"/>
        <w:rPr>
          <w:sz w:val="24"/>
        </w:rPr>
      </w:pPr>
      <w:r>
        <w:rPr>
          <w:sz w:val="24"/>
        </w:rPr>
        <w:t>Usnayo MJ, Andrade LE, Alarcon RT, Oliveira JC, Silva GM, Bendet I, et al. Study of the frequency of HLA-DRB1 alleles in Brazilian patients with rheumatoid arthritis. Rev Bras Reumatol. 2011</w:t>
      </w:r>
      <w:r>
        <w:rPr>
          <w:spacing w:val="-1"/>
          <w:sz w:val="24"/>
        </w:rPr>
        <w:t> </w:t>
      </w:r>
      <w:r>
        <w:rPr>
          <w:sz w:val="24"/>
        </w:rPr>
        <w:t>Sep-Oct;51(5):474-83.</w:t>
      </w:r>
    </w:p>
    <w:p>
      <w:pPr>
        <w:pStyle w:val="ListParagraph"/>
        <w:numPr>
          <w:ilvl w:val="0"/>
          <w:numId w:val="29"/>
        </w:numPr>
        <w:tabs>
          <w:tab w:pos="1713" w:val="left" w:leader="none"/>
          <w:tab w:pos="8091" w:val="left" w:leader="none"/>
        </w:tabs>
        <w:spacing w:line="240" w:lineRule="auto" w:before="0" w:after="0"/>
        <w:ind w:left="112" w:right="0" w:firstLine="1419"/>
        <w:jc w:val="left"/>
        <w:rPr>
          <w:sz w:val="24"/>
        </w:rPr>
      </w:pPr>
      <w:r>
        <w:rPr>
          <w:sz w:val="24"/>
        </w:rPr>
        <w:t>Schur  P,  Firestein  G.  Pathogenesis  of  </w:t>
      </w:r>
      <w:r>
        <w:rPr>
          <w:spacing w:val="11"/>
          <w:sz w:val="24"/>
        </w:rPr>
        <w:t> </w:t>
      </w:r>
      <w:r>
        <w:rPr>
          <w:sz w:val="24"/>
        </w:rPr>
        <w:t>rheumatoid </w:t>
      </w:r>
      <w:r>
        <w:rPr>
          <w:spacing w:val="13"/>
          <w:sz w:val="24"/>
        </w:rPr>
        <w:t> </w:t>
      </w:r>
      <w:r>
        <w:rPr>
          <w:sz w:val="24"/>
        </w:rPr>
        <w:t>arthritis.</w:t>
        <w:tab/>
        <w:t>UpToDate. Oct,</w:t>
      </w:r>
      <w:r>
        <w:rPr>
          <w:spacing w:val="21"/>
          <w:sz w:val="24"/>
        </w:rPr>
        <w:t> </w:t>
      </w:r>
      <w:r>
        <w:rPr>
          <w:sz w:val="24"/>
        </w:rPr>
        <w:t>2012</w:t>
      </w:r>
    </w:p>
    <w:p>
      <w:pPr>
        <w:pStyle w:val="BodyText"/>
      </w:pPr>
      <w:r>
        <w:rPr/>
        <w:t>ed2012.</w:t>
      </w:r>
    </w:p>
    <w:p>
      <w:pPr>
        <w:pStyle w:val="ListParagraph"/>
        <w:numPr>
          <w:ilvl w:val="0"/>
          <w:numId w:val="29"/>
        </w:numPr>
        <w:tabs>
          <w:tab w:pos="1713" w:val="left" w:leader="none"/>
        </w:tabs>
        <w:spacing w:line="240" w:lineRule="auto" w:before="0" w:after="0"/>
        <w:ind w:left="112" w:right="0" w:firstLine="1419"/>
        <w:jc w:val="left"/>
        <w:rPr>
          <w:sz w:val="24"/>
        </w:rPr>
      </w:pPr>
      <w:r>
        <w:rPr>
          <w:sz w:val="24"/>
        </w:rPr>
        <w:t>Chermont GC, Kowalski SC, Ciconelli RM, Ferraz MB. Resource utilization and the</w:t>
      </w:r>
      <w:r>
        <w:rPr>
          <w:spacing w:val="-7"/>
          <w:sz w:val="24"/>
        </w:rPr>
        <w:t> </w:t>
      </w:r>
      <w:r>
        <w:rPr>
          <w:sz w:val="24"/>
        </w:rPr>
        <w:t>cost</w:t>
      </w:r>
    </w:p>
    <w:p>
      <w:pPr>
        <w:pStyle w:val="BodyText"/>
      </w:pPr>
      <w:r>
        <w:rPr/>
        <w:t>of rheumatoid arthritis in Brazil. Clin Exp Rheumatol. 2008 Jan-Feb;26(1):24-31.</w:t>
      </w:r>
    </w:p>
    <w:p>
      <w:pPr>
        <w:pStyle w:val="ListParagraph"/>
        <w:numPr>
          <w:ilvl w:val="0"/>
          <w:numId w:val="29"/>
        </w:numPr>
        <w:tabs>
          <w:tab w:pos="1713" w:val="left" w:leader="none"/>
        </w:tabs>
        <w:spacing w:line="240" w:lineRule="auto" w:before="0" w:after="0"/>
        <w:ind w:left="112" w:right="128" w:firstLine="1419"/>
        <w:jc w:val="both"/>
        <w:rPr>
          <w:sz w:val="24"/>
        </w:rPr>
      </w:pPr>
      <w:r>
        <w:rPr>
          <w:sz w:val="24"/>
        </w:rPr>
        <w:t>Schneider M, Lelgemann M, Baerwald C, Braun J, Hammer M, Kern P, et al. Value of inpatient care in rheumatoid arthritis - An evidence based report. Zeitschrift fur Rheumatologie. 2004;63(5):402-13.</w:t>
      </w:r>
    </w:p>
    <w:p>
      <w:pPr>
        <w:pStyle w:val="ListParagraph"/>
        <w:numPr>
          <w:ilvl w:val="0"/>
          <w:numId w:val="29"/>
        </w:numPr>
        <w:tabs>
          <w:tab w:pos="1713" w:val="left" w:leader="none"/>
        </w:tabs>
        <w:spacing w:line="240" w:lineRule="auto" w:before="0" w:after="0"/>
        <w:ind w:left="112" w:right="130" w:firstLine="1419"/>
        <w:jc w:val="both"/>
        <w:rPr>
          <w:sz w:val="24"/>
        </w:rPr>
      </w:pPr>
      <w:r>
        <w:rPr>
          <w:sz w:val="24"/>
        </w:rPr>
        <w:t>de Azevedo AB, Ferraz MB, Ciconelli RM. Indirect costs of rheumatoid arthritis in Brazil. Value Health. 2008</w:t>
      </w:r>
      <w:r>
        <w:rPr>
          <w:spacing w:val="-1"/>
          <w:sz w:val="24"/>
        </w:rPr>
        <w:t> </w:t>
      </w:r>
      <w:r>
        <w:rPr>
          <w:sz w:val="24"/>
        </w:rPr>
        <w:t>Sep-Oct;11(5):869-77.</w:t>
      </w:r>
    </w:p>
    <w:p>
      <w:pPr>
        <w:pStyle w:val="ListParagraph"/>
        <w:numPr>
          <w:ilvl w:val="0"/>
          <w:numId w:val="29"/>
        </w:numPr>
        <w:tabs>
          <w:tab w:pos="1833" w:val="left" w:leader="none"/>
        </w:tabs>
        <w:spacing w:line="240" w:lineRule="auto" w:before="0" w:after="0"/>
        <w:ind w:left="112" w:right="129" w:firstLine="1419"/>
        <w:jc w:val="both"/>
        <w:rPr>
          <w:sz w:val="24"/>
        </w:rPr>
      </w:pPr>
      <w:r>
        <w:rPr>
          <w:sz w:val="24"/>
        </w:rPr>
        <w:t>Bombardier C, Barbieri M, Parthan A, Zack DJ, Walker V, Macarios D, et al. The relationship between joint damage and functional disability in rheumatoid arthritis: a systematic review. Ann Rheum Dis. 2012</w:t>
      </w:r>
      <w:r>
        <w:rPr>
          <w:spacing w:val="-1"/>
          <w:sz w:val="24"/>
        </w:rPr>
        <w:t> </w:t>
      </w:r>
      <w:r>
        <w:rPr>
          <w:sz w:val="24"/>
        </w:rPr>
        <w:t>Jun;71(6):836-44.</w:t>
      </w:r>
    </w:p>
    <w:p>
      <w:pPr>
        <w:pStyle w:val="ListParagraph"/>
        <w:numPr>
          <w:ilvl w:val="0"/>
          <w:numId w:val="29"/>
        </w:numPr>
        <w:tabs>
          <w:tab w:pos="1833" w:val="left" w:leader="none"/>
        </w:tabs>
        <w:spacing w:line="240" w:lineRule="auto" w:before="0" w:after="0"/>
        <w:ind w:left="112" w:right="126" w:firstLine="1419"/>
        <w:jc w:val="both"/>
        <w:rPr>
          <w:sz w:val="24"/>
        </w:rPr>
      </w:pPr>
      <w:r>
        <w:rPr>
          <w:sz w:val="24"/>
        </w:rPr>
        <w:t>da Mota LM, Laurindo IM, dos Santos Neto LL. Demographic and clinical characteristics of a cohort of patients with early rheumatoid arthritis. Rev Bras Reumatol. 2010 May- Jun;50(3):235-48.</w:t>
      </w:r>
    </w:p>
    <w:p>
      <w:pPr>
        <w:pStyle w:val="ListParagraph"/>
        <w:numPr>
          <w:ilvl w:val="0"/>
          <w:numId w:val="29"/>
        </w:numPr>
        <w:tabs>
          <w:tab w:pos="1833" w:val="left" w:leader="none"/>
        </w:tabs>
        <w:spacing w:line="240" w:lineRule="auto" w:before="1" w:after="0"/>
        <w:ind w:left="1531" w:right="131" w:firstLine="0"/>
        <w:jc w:val="left"/>
        <w:rPr>
          <w:sz w:val="24"/>
        </w:rPr>
      </w:pPr>
      <w:r>
        <w:rPr>
          <w:sz w:val="24"/>
        </w:rPr>
        <w:t>Venables P, Maini R. Clinical features of rheumatoid arthritis. UpToDate2012. 13.Lehman T. Classification of juvenile arthritis (JRA/JIA). UpToDate. Sept 4, 2012 ed. 14.Helfenstein M, Jr., Halpern AS, Bertolo MB. Investigation on Brazilian</w:t>
      </w:r>
      <w:r>
        <w:rPr>
          <w:spacing w:val="41"/>
          <w:sz w:val="24"/>
        </w:rPr>
        <w:t> </w:t>
      </w:r>
      <w:r>
        <w:rPr>
          <w:sz w:val="24"/>
        </w:rPr>
        <w:t>clinical</w:t>
      </w:r>
    </w:p>
    <w:p>
      <w:pPr>
        <w:pStyle w:val="BodyText"/>
        <w:ind w:right="126"/>
      </w:pPr>
      <w:r>
        <w:rPr/>
        <w:t>practices in rheumatoid arthritis: the Brazilian rheumatoid arthritis clinical practices investigation-- BRACTICE. J Clin Rheumatol. 2011 Jun;17(4 Suppl 1):S1-10.</w:t>
      </w:r>
    </w:p>
    <w:p>
      <w:pPr>
        <w:pStyle w:val="ListParagraph"/>
        <w:numPr>
          <w:ilvl w:val="0"/>
          <w:numId w:val="30"/>
        </w:numPr>
        <w:tabs>
          <w:tab w:pos="1833" w:val="left" w:leader="none"/>
        </w:tabs>
        <w:spacing w:line="240" w:lineRule="auto" w:before="0" w:after="0"/>
        <w:ind w:left="112" w:right="127" w:firstLine="1419"/>
        <w:jc w:val="both"/>
        <w:rPr>
          <w:sz w:val="24"/>
        </w:rPr>
      </w:pPr>
      <w:r>
        <w:rPr>
          <w:sz w:val="24"/>
        </w:rPr>
        <w:t>Pincus T, Yazici Y, Sokka T. Are excellent systematic reviews of clinical trials useful for patient care? Nature Clinical Practice Rheumatology.</w:t>
      </w:r>
      <w:r>
        <w:rPr>
          <w:spacing w:val="-2"/>
          <w:sz w:val="24"/>
        </w:rPr>
        <w:t> </w:t>
      </w:r>
      <w:r>
        <w:rPr>
          <w:sz w:val="24"/>
        </w:rPr>
        <w:t>2008;4(6):294-5.</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0"/>
        </w:numPr>
        <w:tabs>
          <w:tab w:pos="1833" w:val="left" w:leader="none"/>
        </w:tabs>
        <w:spacing w:line="240" w:lineRule="auto" w:before="90" w:after="0"/>
        <w:ind w:left="112" w:right="0" w:firstLine="1419"/>
        <w:jc w:val="left"/>
        <w:rPr>
          <w:sz w:val="24"/>
        </w:rPr>
      </w:pPr>
      <w:r>
        <w:rPr>
          <w:sz w:val="24"/>
        </w:rPr>
        <w:t>Venables P, Maini R. Diagnosis and differential diagnosis of rheumatoid</w:t>
      </w:r>
      <w:r>
        <w:rPr>
          <w:spacing w:val="10"/>
          <w:sz w:val="24"/>
        </w:rPr>
        <w:t> </w:t>
      </w:r>
      <w:r>
        <w:rPr>
          <w:sz w:val="24"/>
        </w:rPr>
        <w:t>arthritis.</w:t>
      </w:r>
    </w:p>
    <w:p>
      <w:pPr>
        <w:pStyle w:val="BodyText"/>
      </w:pPr>
      <w:r>
        <w:rPr/>
        <w:t>UpToDate2012.</w:t>
      </w:r>
    </w:p>
    <w:p>
      <w:pPr>
        <w:pStyle w:val="ListParagraph"/>
        <w:numPr>
          <w:ilvl w:val="0"/>
          <w:numId w:val="30"/>
        </w:numPr>
        <w:tabs>
          <w:tab w:pos="1833" w:val="left" w:leader="none"/>
        </w:tabs>
        <w:spacing w:line="240" w:lineRule="auto" w:before="0" w:after="0"/>
        <w:ind w:left="112" w:right="128" w:firstLine="1419"/>
        <w:jc w:val="both"/>
        <w:rPr>
          <w:sz w:val="24"/>
        </w:rPr>
      </w:pPr>
      <w:r>
        <w:rPr>
          <w:sz w:val="24"/>
        </w:rPr>
        <w:t>Schur P, Matteson EL, Turesson C. Overview of the systemic and nonarticular manifestations of rheumatoid arthritis.</w:t>
      </w:r>
      <w:r>
        <w:rPr>
          <w:spacing w:val="-1"/>
          <w:sz w:val="24"/>
        </w:rPr>
        <w:t> </w:t>
      </w:r>
      <w:r>
        <w:rPr>
          <w:sz w:val="24"/>
        </w:rPr>
        <w:t>UpToDate2012.</w:t>
      </w:r>
    </w:p>
    <w:p>
      <w:pPr>
        <w:pStyle w:val="ListParagraph"/>
        <w:numPr>
          <w:ilvl w:val="0"/>
          <w:numId w:val="30"/>
        </w:numPr>
        <w:tabs>
          <w:tab w:pos="1833" w:val="left" w:leader="none"/>
        </w:tabs>
        <w:spacing w:line="240" w:lineRule="auto" w:before="0" w:after="0"/>
        <w:ind w:left="112" w:right="125" w:firstLine="1419"/>
        <w:jc w:val="both"/>
        <w:rPr>
          <w:sz w:val="24"/>
        </w:rPr>
      </w:pPr>
      <w:r>
        <w:rPr>
          <w:sz w:val="24"/>
        </w:rPr>
        <w:t>Schur P, Currier B. Cervical subluxation in rheumatoid arthritis. UpToDate [serial on the Internet]. 2012.</w:t>
      </w:r>
    </w:p>
    <w:p>
      <w:pPr>
        <w:pStyle w:val="ListParagraph"/>
        <w:numPr>
          <w:ilvl w:val="0"/>
          <w:numId w:val="30"/>
        </w:numPr>
        <w:tabs>
          <w:tab w:pos="1833" w:val="left" w:leader="none"/>
        </w:tabs>
        <w:spacing w:line="240" w:lineRule="auto" w:before="0" w:after="0"/>
        <w:ind w:left="112" w:right="127" w:firstLine="1419"/>
        <w:jc w:val="both"/>
        <w:rPr>
          <w:sz w:val="24"/>
        </w:rPr>
      </w:pPr>
      <w:r>
        <w:rPr>
          <w:sz w:val="24"/>
        </w:rPr>
        <w:t>da Mota LM, Santos Neto LL, Pereira IA, Burlingame R, Menard HA, Laurindo IM. Autoantibodies in early rheumatoid arthritis: Brasilia cohort: results of a three-year serial analysis. Rev Bras Reumatol. 2011</w:t>
      </w:r>
      <w:r>
        <w:rPr>
          <w:spacing w:val="-1"/>
          <w:sz w:val="24"/>
        </w:rPr>
        <w:t> </w:t>
      </w:r>
      <w:r>
        <w:rPr>
          <w:sz w:val="24"/>
        </w:rPr>
        <w:t>Dec;51(6):564-71.</w:t>
      </w:r>
    </w:p>
    <w:p>
      <w:pPr>
        <w:pStyle w:val="ListParagraph"/>
        <w:numPr>
          <w:ilvl w:val="0"/>
          <w:numId w:val="30"/>
        </w:numPr>
        <w:tabs>
          <w:tab w:pos="1833" w:val="left" w:leader="none"/>
        </w:tabs>
        <w:spacing w:line="240" w:lineRule="auto" w:before="0" w:after="0"/>
        <w:ind w:left="112" w:right="127" w:firstLine="1419"/>
        <w:jc w:val="both"/>
        <w:rPr>
          <w:sz w:val="24"/>
        </w:rPr>
      </w:pPr>
      <w:r>
        <w:rPr>
          <w:sz w:val="24"/>
        </w:rPr>
        <w:t>Aletaha D, Neogi T, Silman AJ, Funovits J, Felson DT, Bingham CO, 3rd, et al. 2010 rheumatoid arthritis classification criteria: an American College of Rheumatology/European League Against Rheumatism collaborative initiative. Ann Rheum Dis. 2010</w:t>
      </w:r>
      <w:r>
        <w:rPr>
          <w:spacing w:val="-2"/>
          <w:sz w:val="24"/>
        </w:rPr>
        <w:t> </w:t>
      </w:r>
      <w:r>
        <w:rPr>
          <w:sz w:val="24"/>
        </w:rPr>
        <w:t>Sep;69(9):1580-8.</w:t>
      </w:r>
    </w:p>
    <w:p>
      <w:pPr>
        <w:pStyle w:val="ListParagraph"/>
        <w:numPr>
          <w:ilvl w:val="0"/>
          <w:numId w:val="30"/>
        </w:numPr>
        <w:tabs>
          <w:tab w:pos="1833" w:val="left" w:leader="none"/>
        </w:tabs>
        <w:spacing w:line="240" w:lineRule="auto" w:before="1" w:after="0"/>
        <w:ind w:left="112" w:right="128" w:firstLine="1419"/>
        <w:jc w:val="both"/>
        <w:rPr>
          <w:sz w:val="24"/>
        </w:rPr>
      </w:pPr>
      <w:r>
        <w:rPr>
          <w:sz w:val="24"/>
        </w:rPr>
        <w:t>Aletaha D, Neogi T, Silman AJ, Funovits </w:t>
      </w:r>
      <w:r>
        <w:rPr>
          <w:spacing w:val="3"/>
          <w:sz w:val="24"/>
        </w:rPr>
        <w:t>J, </w:t>
      </w:r>
      <w:r>
        <w:rPr>
          <w:sz w:val="24"/>
        </w:rPr>
        <w:t>Felson DT, Bingham CO, 3rd, et al. 2010 Rheumatoid arthritis classification criteria: an American College of Rheumatology/European League Against Rheumatism collaborative initiative. Arthritis Rheum. 2010</w:t>
      </w:r>
      <w:r>
        <w:rPr>
          <w:spacing w:val="-3"/>
          <w:sz w:val="24"/>
        </w:rPr>
        <w:t> </w:t>
      </w:r>
      <w:r>
        <w:rPr>
          <w:sz w:val="24"/>
        </w:rPr>
        <w:t>Sep;62(9):2569-81.</w:t>
      </w:r>
    </w:p>
    <w:p>
      <w:pPr>
        <w:pStyle w:val="ListParagraph"/>
        <w:numPr>
          <w:ilvl w:val="0"/>
          <w:numId w:val="30"/>
        </w:numPr>
        <w:tabs>
          <w:tab w:pos="1833" w:val="left" w:leader="none"/>
        </w:tabs>
        <w:spacing w:line="240" w:lineRule="auto" w:before="0" w:after="0"/>
        <w:ind w:left="112" w:right="125" w:firstLine="1419"/>
        <w:jc w:val="both"/>
        <w:rPr>
          <w:sz w:val="24"/>
        </w:rPr>
      </w:pPr>
      <w:r>
        <w:rPr>
          <w:sz w:val="24"/>
        </w:rPr>
        <w:t>Arnett FC, Edworthy SM, Bloch DA, McShane DJ, Fries JF, Cooper NS, et al. The American Rheumatism Association 1987 revised criteria for the classification of rheumatoid arthritis. Arthritis Rheum. 1988</w:t>
      </w:r>
      <w:r>
        <w:rPr>
          <w:spacing w:val="-1"/>
          <w:sz w:val="24"/>
        </w:rPr>
        <w:t> </w:t>
      </w:r>
      <w:r>
        <w:rPr>
          <w:sz w:val="24"/>
        </w:rPr>
        <w:t>Mar;31(3):315-24.</w:t>
      </w:r>
    </w:p>
    <w:p>
      <w:pPr>
        <w:pStyle w:val="ListParagraph"/>
        <w:numPr>
          <w:ilvl w:val="0"/>
          <w:numId w:val="30"/>
        </w:numPr>
        <w:tabs>
          <w:tab w:pos="1833" w:val="left" w:leader="none"/>
        </w:tabs>
        <w:spacing w:line="240" w:lineRule="auto" w:before="0" w:after="0"/>
        <w:ind w:left="112" w:right="124" w:firstLine="1419"/>
        <w:jc w:val="both"/>
        <w:rPr>
          <w:sz w:val="24"/>
        </w:rPr>
      </w:pPr>
      <w:r>
        <w:rPr>
          <w:sz w:val="24"/>
        </w:rPr>
        <w:t>Varache S, Cornec D, Morvan J, Devauchelle-Pensec V, Berthelot JM, </w:t>
      </w:r>
      <w:r>
        <w:rPr>
          <w:spacing w:val="-3"/>
          <w:sz w:val="24"/>
        </w:rPr>
        <w:t>Le </w:t>
      </w:r>
      <w:r>
        <w:rPr>
          <w:sz w:val="24"/>
        </w:rPr>
        <w:t>Henaff- Bourhis C, et al. Diagnostic accuracy of ACR/EULAR 2010 criteria for rheumatoid arthritis in a 2-year cohort. J Rheumatol. 2011</w:t>
      </w:r>
      <w:r>
        <w:rPr>
          <w:spacing w:val="1"/>
          <w:sz w:val="24"/>
        </w:rPr>
        <w:t> </w:t>
      </w:r>
      <w:r>
        <w:rPr>
          <w:sz w:val="24"/>
        </w:rPr>
        <w:t>Jul;38(7):1250-7.</w:t>
      </w:r>
    </w:p>
    <w:p>
      <w:pPr>
        <w:pStyle w:val="ListParagraph"/>
        <w:numPr>
          <w:ilvl w:val="0"/>
          <w:numId w:val="30"/>
        </w:numPr>
        <w:tabs>
          <w:tab w:pos="1833" w:val="left" w:leader="none"/>
        </w:tabs>
        <w:spacing w:line="240" w:lineRule="auto" w:before="0" w:after="0"/>
        <w:ind w:left="112" w:right="129" w:firstLine="1419"/>
        <w:jc w:val="both"/>
        <w:rPr>
          <w:sz w:val="24"/>
        </w:rPr>
      </w:pPr>
      <w:r>
        <w:rPr>
          <w:sz w:val="24"/>
        </w:rPr>
        <w:t>Britsemmer K, Ursum J, Gerritsen M, van Tuyl LH, van Schaardenburg D. Validation of the 2010 ACR/EULAR classification criteria for rheumatoid arthritis: slight improvement over the 1987 ACR criteria. Ann Rheum Dis. 2011 Aug;70(8):1468-70.</w:t>
      </w:r>
    </w:p>
    <w:p>
      <w:pPr>
        <w:pStyle w:val="ListParagraph"/>
        <w:numPr>
          <w:ilvl w:val="0"/>
          <w:numId w:val="30"/>
        </w:numPr>
        <w:tabs>
          <w:tab w:pos="1833" w:val="left" w:leader="none"/>
        </w:tabs>
        <w:spacing w:line="240" w:lineRule="auto" w:before="0" w:after="0"/>
        <w:ind w:left="112" w:right="128" w:firstLine="1419"/>
        <w:jc w:val="both"/>
        <w:rPr>
          <w:sz w:val="24"/>
        </w:rPr>
      </w:pPr>
      <w:r>
        <w:rPr>
          <w:sz w:val="24"/>
        </w:rPr>
        <w:t>Alves C, Luime JJ, van Zeben D, Huisman AM, Weel AE, Barendregt PJ, et al. Diagnostic performance of the ACR/EULAR 2010 criteria for rheumatoid arthritis and two diagnostic algorithms in an early arthritis clinic (REACH). Ann Rheum Dis. 2011</w:t>
      </w:r>
      <w:r>
        <w:rPr>
          <w:spacing w:val="-7"/>
          <w:sz w:val="24"/>
        </w:rPr>
        <w:t> </w:t>
      </w:r>
      <w:r>
        <w:rPr>
          <w:sz w:val="24"/>
        </w:rPr>
        <w:t>Sep;70(9):1645-7.</w:t>
      </w:r>
    </w:p>
    <w:p>
      <w:pPr>
        <w:pStyle w:val="ListParagraph"/>
        <w:numPr>
          <w:ilvl w:val="0"/>
          <w:numId w:val="30"/>
        </w:numPr>
        <w:tabs>
          <w:tab w:pos="1833" w:val="left" w:leader="none"/>
        </w:tabs>
        <w:spacing w:line="240" w:lineRule="auto" w:before="0" w:after="0"/>
        <w:ind w:left="112" w:right="123" w:firstLine="1419"/>
        <w:jc w:val="both"/>
        <w:rPr>
          <w:sz w:val="24"/>
        </w:rPr>
      </w:pPr>
      <w:r>
        <w:rPr>
          <w:sz w:val="24"/>
        </w:rPr>
        <w:t>Villeneuve E, Nam J, Emery P. 2010 ACR-EULAR classification criteria for rheumatoid arthritis. Rev Bras Reumatol. 2010 Sep-Oct;50(5):481-3.</w:t>
      </w:r>
    </w:p>
    <w:p>
      <w:pPr>
        <w:pStyle w:val="ListParagraph"/>
        <w:numPr>
          <w:ilvl w:val="0"/>
          <w:numId w:val="30"/>
        </w:numPr>
        <w:tabs>
          <w:tab w:pos="1833" w:val="left" w:leader="none"/>
        </w:tabs>
        <w:spacing w:line="240" w:lineRule="auto" w:before="0" w:after="0"/>
        <w:ind w:left="112" w:right="132" w:firstLine="1419"/>
        <w:jc w:val="both"/>
        <w:rPr>
          <w:sz w:val="24"/>
        </w:rPr>
      </w:pPr>
      <w:r>
        <w:rPr>
          <w:sz w:val="24"/>
        </w:rPr>
        <w:t>Jung SJ, Lee SW, Ha YJ, Lee KH, Kang Y, Park MC, et al. Patients with early arthritis who fulfil the 1987 ACR classification criteria for rheumatoid arthritis but not the 2010 ACR/EULAR criteria. Ann Rheum Dis. 2012</w:t>
      </w:r>
      <w:r>
        <w:rPr>
          <w:spacing w:val="2"/>
          <w:sz w:val="24"/>
        </w:rPr>
        <w:t> </w:t>
      </w:r>
      <w:r>
        <w:rPr>
          <w:sz w:val="24"/>
        </w:rPr>
        <w:t>Jun;71(6):1097-8.</w:t>
      </w:r>
    </w:p>
    <w:p>
      <w:pPr>
        <w:pStyle w:val="ListParagraph"/>
        <w:numPr>
          <w:ilvl w:val="0"/>
          <w:numId w:val="30"/>
        </w:numPr>
        <w:tabs>
          <w:tab w:pos="1833" w:val="left" w:leader="none"/>
        </w:tabs>
        <w:spacing w:line="240" w:lineRule="auto" w:before="0" w:after="0"/>
        <w:ind w:left="112" w:right="130" w:firstLine="1419"/>
        <w:jc w:val="both"/>
        <w:rPr>
          <w:sz w:val="24"/>
        </w:rPr>
      </w:pPr>
      <w:r>
        <w:rPr>
          <w:sz w:val="24"/>
        </w:rPr>
        <w:t>Fautrel B, Combe B, Rincheval N, Dougados M. Level of agreement of the 1987 ACR and 2010 ACR/EULAR rheumatoid arthritis classification criteria: an analysis based on ESPOIR cohort data. Ann Rheum Dis. 2012</w:t>
      </w:r>
      <w:r>
        <w:rPr>
          <w:spacing w:val="-1"/>
          <w:sz w:val="24"/>
        </w:rPr>
        <w:t> </w:t>
      </w:r>
      <w:r>
        <w:rPr>
          <w:sz w:val="24"/>
        </w:rPr>
        <w:t>Mar;71(3):386-9.</w:t>
      </w:r>
    </w:p>
    <w:p>
      <w:pPr>
        <w:pStyle w:val="ListParagraph"/>
        <w:numPr>
          <w:ilvl w:val="0"/>
          <w:numId w:val="30"/>
        </w:numPr>
        <w:tabs>
          <w:tab w:pos="1833" w:val="left" w:leader="none"/>
        </w:tabs>
        <w:spacing w:line="240" w:lineRule="auto" w:before="0" w:after="0"/>
        <w:ind w:left="112" w:right="124" w:firstLine="1419"/>
        <w:jc w:val="both"/>
        <w:rPr>
          <w:sz w:val="24"/>
        </w:rPr>
      </w:pPr>
      <w:r>
        <w:rPr>
          <w:sz w:val="24"/>
        </w:rPr>
        <w:t>van der Linden MP, Knevel R, Huizinga TW, van der Helm-van Mil AH. Classification of rheumatoid arthritis: comparison of the 1987 American College of Rheumatology criteria and the 2010 American College of Rheumatology/European League Against Rheumatism criteria. Arthritis Rheum. 2011 Jan;63(1):37-42.</w:t>
      </w:r>
    </w:p>
    <w:p>
      <w:pPr>
        <w:pStyle w:val="ListParagraph"/>
        <w:numPr>
          <w:ilvl w:val="0"/>
          <w:numId w:val="30"/>
        </w:numPr>
        <w:tabs>
          <w:tab w:pos="1833" w:val="left" w:leader="none"/>
        </w:tabs>
        <w:spacing w:line="240" w:lineRule="auto" w:before="1" w:after="0"/>
        <w:ind w:left="112" w:right="132" w:firstLine="1419"/>
        <w:jc w:val="both"/>
        <w:rPr>
          <w:sz w:val="24"/>
        </w:rPr>
      </w:pPr>
      <w:r>
        <w:rPr>
          <w:sz w:val="24"/>
        </w:rPr>
        <w:t>Kaneko Y, Kuwana M, Kameda H, Takeuchi T. Sensitivity and specificity of 2010 rheumatoid arthritis classification criteria. Rheumatology (Oxford). 2011</w:t>
      </w:r>
      <w:r>
        <w:rPr>
          <w:spacing w:val="-7"/>
          <w:sz w:val="24"/>
        </w:rPr>
        <w:t> </w:t>
      </w:r>
      <w:r>
        <w:rPr>
          <w:sz w:val="24"/>
        </w:rPr>
        <w:t>Jul;50(7):1268-74.</w:t>
      </w:r>
    </w:p>
    <w:p>
      <w:pPr>
        <w:pStyle w:val="ListParagraph"/>
        <w:numPr>
          <w:ilvl w:val="0"/>
          <w:numId w:val="30"/>
        </w:numPr>
        <w:tabs>
          <w:tab w:pos="1833" w:val="left" w:leader="none"/>
        </w:tabs>
        <w:spacing w:line="240" w:lineRule="auto" w:before="0" w:after="0"/>
        <w:ind w:left="112" w:right="129" w:firstLine="1419"/>
        <w:jc w:val="both"/>
        <w:rPr>
          <w:sz w:val="24"/>
        </w:rPr>
      </w:pPr>
      <w:r>
        <w:rPr>
          <w:sz w:val="24"/>
        </w:rPr>
        <w:t>Neogi T, Aletaha D, Silman AJ, Naden RL, Felson DT, Aggarwal R, et al. The 2010 American College of Rheumatology/European League Against Rheumatism classification criteria for rheumatoid arthritis: Phase 2 methodological report. Arthritis Rheum. 2010</w:t>
      </w:r>
      <w:r>
        <w:rPr>
          <w:spacing w:val="-4"/>
          <w:sz w:val="24"/>
        </w:rPr>
        <w:t> </w:t>
      </w:r>
      <w:r>
        <w:rPr>
          <w:sz w:val="24"/>
        </w:rPr>
        <w:t>Sep;62(9):2582-91.</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0"/>
        </w:numPr>
        <w:tabs>
          <w:tab w:pos="1833" w:val="left" w:leader="none"/>
        </w:tabs>
        <w:spacing w:line="240" w:lineRule="auto" w:before="90" w:after="0"/>
        <w:ind w:left="112" w:right="128" w:firstLine="1419"/>
        <w:jc w:val="both"/>
        <w:rPr>
          <w:sz w:val="24"/>
        </w:rPr>
      </w:pPr>
      <w:r>
        <w:rPr>
          <w:sz w:val="24"/>
        </w:rPr>
        <w:t>Funovits J, Aletaha D, Bykerk V, Combe B, Dougados M, Emery P, et al. The 2010 American College of Rheumatology/European League Against Rheumatism classification criteria for rheumatoid arthritis: methodological report phase I. Ann Rheum Dis. 2010</w:t>
      </w:r>
      <w:r>
        <w:rPr>
          <w:spacing w:val="-2"/>
          <w:sz w:val="24"/>
        </w:rPr>
        <w:t> </w:t>
      </w:r>
      <w:r>
        <w:rPr>
          <w:sz w:val="24"/>
        </w:rPr>
        <w:t>Sep;69(9):1589-95.</w:t>
      </w:r>
    </w:p>
    <w:p>
      <w:pPr>
        <w:pStyle w:val="ListParagraph"/>
        <w:numPr>
          <w:ilvl w:val="0"/>
          <w:numId w:val="30"/>
        </w:numPr>
        <w:tabs>
          <w:tab w:pos="1834" w:val="left" w:leader="none"/>
        </w:tabs>
        <w:spacing w:line="240" w:lineRule="auto" w:before="0" w:after="0"/>
        <w:ind w:left="1531" w:right="132" w:firstLine="0"/>
        <w:jc w:val="left"/>
        <w:rPr>
          <w:sz w:val="24"/>
        </w:rPr>
      </w:pPr>
      <w:r>
        <w:rPr>
          <w:sz w:val="24"/>
        </w:rPr>
        <w:t>Lake F. Interstitial lung disease in rheumatoid arthritis. UpToDate. Jun 7, 2011 ed. 34.Lehman</w:t>
      </w:r>
      <w:r>
        <w:rPr>
          <w:spacing w:val="8"/>
          <w:sz w:val="24"/>
        </w:rPr>
        <w:t> </w:t>
      </w:r>
      <w:r>
        <w:rPr>
          <w:sz w:val="24"/>
        </w:rPr>
        <w:t>AJ.</w:t>
      </w:r>
      <w:r>
        <w:rPr>
          <w:spacing w:val="8"/>
          <w:sz w:val="24"/>
        </w:rPr>
        <w:t> </w:t>
      </w:r>
      <w:r>
        <w:rPr>
          <w:sz w:val="24"/>
        </w:rPr>
        <w:t>Pauciarticular</w:t>
      </w:r>
      <w:r>
        <w:rPr>
          <w:spacing w:val="8"/>
          <w:sz w:val="24"/>
        </w:rPr>
        <w:t> </w:t>
      </w:r>
      <w:r>
        <w:rPr>
          <w:sz w:val="24"/>
        </w:rPr>
        <w:t>onset</w:t>
      </w:r>
      <w:r>
        <w:rPr>
          <w:spacing w:val="8"/>
          <w:sz w:val="24"/>
        </w:rPr>
        <w:t> </w:t>
      </w:r>
      <w:r>
        <w:rPr>
          <w:sz w:val="24"/>
        </w:rPr>
        <w:t>juvenile</w:t>
      </w:r>
      <w:r>
        <w:rPr>
          <w:spacing w:val="7"/>
          <w:sz w:val="24"/>
        </w:rPr>
        <w:t> </w:t>
      </w:r>
      <w:r>
        <w:rPr>
          <w:sz w:val="24"/>
        </w:rPr>
        <w:t>idiopathic</w:t>
      </w:r>
      <w:r>
        <w:rPr>
          <w:spacing w:val="8"/>
          <w:sz w:val="24"/>
        </w:rPr>
        <w:t> </w:t>
      </w:r>
      <w:r>
        <w:rPr>
          <w:sz w:val="24"/>
        </w:rPr>
        <w:t>arthritis.</w:t>
      </w:r>
      <w:r>
        <w:rPr>
          <w:spacing w:val="17"/>
          <w:sz w:val="24"/>
        </w:rPr>
        <w:t> </w:t>
      </w:r>
      <w:r>
        <w:rPr>
          <w:sz w:val="24"/>
        </w:rPr>
        <w:t>UpToDate.</w:t>
      </w:r>
      <w:r>
        <w:rPr>
          <w:spacing w:val="8"/>
          <w:sz w:val="24"/>
        </w:rPr>
        <w:t> </w:t>
      </w:r>
      <w:r>
        <w:rPr>
          <w:sz w:val="24"/>
        </w:rPr>
        <w:t>Apr</w:t>
      </w:r>
      <w:r>
        <w:rPr>
          <w:spacing w:val="7"/>
          <w:sz w:val="24"/>
        </w:rPr>
        <w:t> </w:t>
      </w:r>
      <w:r>
        <w:rPr>
          <w:sz w:val="24"/>
        </w:rPr>
        <w:t>23,</w:t>
      </w:r>
      <w:r>
        <w:rPr>
          <w:spacing w:val="8"/>
          <w:sz w:val="24"/>
        </w:rPr>
        <w:t> </w:t>
      </w:r>
      <w:r>
        <w:rPr>
          <w:sz w:val="24"/>
        </w:rPr>
        <w:t>2012</w:t>
      </w:r>
    </w:p>
    <w:p>
      <w:pPr>
        <w:pStyle w:val="BodyText"/>
      </w:pPr>
      <w:r>
        <w:rPr/>
        <w:t>ed.</w:t>
      </w:r>
    </w:p>
    <w:p>
      <w:pPr>
        <w:pStyle w:val="ListParagraph"/>
        <w:numPr>
          <w:ilvl w:val="0"/>
          <w:numId w:val="31"/>
        </w:numPr>
        <w:tabs>
          <w:tab w:pos="1834" w:val="left" w:leader="none"/>
        </w:tabs>
        <w:spacing w:line="240" w:lineRule="auto" w:before="0" w:after="0"/>
        <w:ind w:left="112" w:right="0" w:firstLine="1419"/>
        <w:jc w:val="left"/>
        <w:rPr>
          <w:sz w:val="24"/>
        </w:rPr>
      </w:pPr>
      <w:r>
        <w:rPr>
          <w:sz w:val="24"/>
        </w:rPr>
        <w:t>Lehman</w:t>
      </w:r>
      <w:r>
        <w:rPr>
          <w:spacing w:val="28"/>
          <w:sz w:val="24"/>
        </w:rPr>
        <w:t> </w:t>
      </w:r>
      <w:r>
        <w:rPr>
          <w:sz w:val="24"/>
        </w:rPr>
        <w:t>T.</w:t>
      </w:r>
      <w:r>
        <w:rPr>
          <w:spacing w:val="28"/>
          <w:sz w:val="24"/>
        </w:rPr>
        <w:t> </w:t>
      </w:r>
      <w:r>
        <w:rPr>
          <w:sz w:val="24"/>
        </w:rPr>
        <w:t>Polyarticular</w:t>
      </w:r>
      <w:r>
        <w:rPr>
          <w:spacing w:val="27"/>
          <w:sz w:val="24"/>
        </w:rPr>
        <w:t> </w:t>
      </w:r>
      <w:r>
        <w:rPr>
          <w:sz w:val="24"/>
        </w:rPr>
        <w:t>onset</w:t>
      </w:r>
      <w:r>
        <w:rPr>
          <w:spacing w:val="29"/>
          <w:sz w:val="24"/>
        </w:rPr>
        <w:t> </w:t>
      </w:r>
      <w:r>
        <w:rPr>
          <w:sz w:val="24"/>
        </w:rPr>
        <w:t>juvenile</w:t>
      </w:r>
      <w:r>
        <w:rPr>
          <w:spacing w:val="29"/>
          <w:sz w:val="24"/>
        </w:rPr>
        <w:t> </w:t>
      </w:r>
      <w:r>
        <w:rPr>
          <w:sz w:val="24"/>
        </w:rPr>
        <w:t>idiopathic</w:t>
      </w:r>
      <w:r>
        <w:rPr>
          <w:spacing w:val="28"/>
          <w:sz w:val="24"/>
        </w:rPr>
        <w:t> </w:t>
      </w:r>
      <w:r>
        <w:rPr>
          <w:sz w:val="24"/>
        </w:rPr>
        <w:t>arthritis:</w:t>
      </w:r>
      <w:r>
        <w:rPr>
          <w:spacing w:val="29"/>
          <w:sz w:val="24"/>
        </w:rPr>
        <w:t> </w:t>
      </w:r>
      <w:r>
        <w:rPr>
          <w:sz w:val="24"/>
        </w:rPr>
        <w:t>Management.</w:t>
      </w:r>
      <w:r>
        <w:rPr>
          <w:spacing w:val="5"/>
          <w:sz w:val="24"/>
        </w:rPr>
        <w:t> </w:t>
      </w:r>
      <w:r>
        <w:rPr>
          <w:sz w:val="24"/>
        </w:rPr>
        <w:t>UpToDate.</w:t>
      </w:r>
    </w:p>
    <w:p>
      <w:pPr>
        <w:pStyle w:val="BodyText"/>
      </w:pPr>
      <w:r>
        <w:rPr/>
        <w:t>Oct 2, 2012 ed.</w:t>
      </w:r>
    </w:p>
    <w:p>
      <w:pPr>
        <w:pStyle w:val="ListParagraph"/>
        <w:numPr>
          <w:ilvl w:val="0"/>
          <w:numId w:val="31"/>
        </w:numPr>
        <w:tabs>
          <w:tab w:pos="1834" w:val="left" w:leader="none"/>
        </w:tabs>
        <w:spacing w:line="240" w:lineRule="auto" w:before="0" w:after="0"/>
        <w:ind w:left="112" w:right="0" w:firstLine="1419"/>
        <w:jc w:val="left"/>
        <w:rPr>
          <w:sz w:val="24"/>
        </w:rPr>
      </w:pPr>
      <w:r>
        <w:rPr>
          <w:sz w:val="24"/>
        </w:rPr>
        <w:t>Lehman AJ. Systemic onset juvenile idiopathic arthritis: Treatment. UpToDate. Jun</w:t>
      </w:r>
      <w:r>
        <w:rPr>
          <w:spacing w:val="15"/>
          <w:sz w:val="24"/>
        </w:rPr>
        <w:t> </w:t>
      </w:r>
      <w:r>
        <w:rPr>
          <w:sz w:val="24"/>
        </w:rPr>
        <w:t>20,</w:t>
      </w:r>
    </w:p>
    <w:p>
      <w:pPr>
        <w:spacing w:after="0" w:line="240" w:lineRule="auto"/>
        <w:jc w:val="left"/>
        <w:rPr>
          <w:sz w:val="24"/>
        </w:rPr>
        <w:sectPr>
          <w:pgSz w:w="11910" w:h="16840"/>
          <w:pgMar w:top="1580" w:bottom="280" w:left="1020" w:right="440"/>
        </w:sectPr>
      </w:pPr>
    </w:p>
    <w:p>
      <w:pPr>
        <w:pStyle w:val="BodyText"/>
      </w:pPr>
      <w:r>
        <w:rPr/>
        <w:t>2012 ed.</w:t>
      </w:r>
    </w:p>
    <w:p>
      <w:pPr>
        <w:pStyle w:val="BodyText"/>
        <w:ind w:left="0"/>
      </w:pPr>
      <w:r>
        <w:rPr/>
        <w:br w:type="column"/>
      </w:r>
      <w:r>
        <w:rPr/>
      </w:r>
    </w:p>
    <w:p>
      <w:pPr>
        <w:pStyle w:val="ListParagraph"/>
        <w:numPr>
          <w:ilvl w:val="0"/>
          <w:numId w:val="31"/>
        </w:numPr>
        <w:tabs>
          <w:tab w:pos="414" w:val="left" w:leader="none"/>
        </w:tabs>
        <w:spacing w:line="240" w:lineRule="auto" w:before="0" w:after="0"/>
        <w:ind w:left="413" w:right="0" w:hanging="301"/>
        <w:jc w:val="left"/>
        <w:rPr>
          <w:sz w:val="24"/>
        </w:rPr>
      </w:pPr>
      <w:r>
        <w:rPr>
          <w:sz w:val="24"/>
        </w:rPr>
        <w:t>Tocilizumabe: Bula Profissional de Saúde.</w:t>
      </w:r>
      <w:r>
        <w:rPr>
          <w:spacing w:val="-2"/>
          <w:sz w:val="24"/>
        </w:rPr>
        <w:t> </w:t>
      </w:r>
      <w:r>
        <w:rPr>
          <w:sz w:val="24"/>
        </w:rPr>
        <w:t>2013.</w:t>
      </w:r>
    </w:p>
    <w:p>
      <w:pPr>
        <w:pStyle w:val="ListParagraph"/>
        <w:numPr>
          <w:ilvl w:val="0"/>
          <w:numId w:val="31"/>
        </w:numPr>
        <w:tabs>
          <w:tab w:pos="414" w:val="left" w:leader="none"/>
        </w:tabs>
        <w:spacing w:line="240" w:lineRule="auto" w:before="0" w:after="0"/>
        <w:ind w:left="413" w:right="0" w:hanging="301"/>
        <w:jc w:val="left"/>
        <w:rPr>
          <w:sz w:val="24"/>
        </w:rPr>
      </w:pPr>
      <w:r>
        <w:rPr>
          <w:sz w:val="24"/>
        </w:rPr>
        <w:t>McMahan</w:t>
      </w:r>
      <w:r>
        <w:rPr>
          <w:spacing w:val="33"/>
          <w:sz w:val="24"/>
        </w:rPr>
        <w:t> </w:t>
      </w:r>
      <w:r>
        <w:rPr>
          <w:sz w:val="24"/>
        </w:rPr>
        <w:t>R,</w:t>
      </w:r>
      <w:r>
        <w:rPr>
          <w:spacing w:val="34"/>
          <w:sz w:val="24"/>
        </w:rPr>
        <w:t> </w:t>
      </w:r>
      <w:r>
        <w:rPr>
          <w:sz w:val="24"/>
        </w:rPr>
        <w:t>Balfe</w:t>
      </w:r>
      <w:r>
        <w:rPr>
          <w:spacing w:val="34"/>
          <w:sz w:val="24"/>
        </w:rPr>
        <w:t> </w:t>
      </w:r>
      <w:r>
        <w:rPr>
          <w:sz w:val="24"/>
        </w:rPr>
        <w:t>LM,</w:t>
      </w:r>
      <w:r>
        <w:rPr>
          <w:spacing w:val="34"/>
          <w:sz w:val="24"/>
        </w:rPr>
        <w:t> </w:t>
      </w:r>
      <w:r>
        <w:rPr>
          <w:sz w:val="24"/>
        </w:rPr>
        <w:t>Greene</w:t>
      </w:r>
      <w:r>
        <w:rPr>
          <w:spacing w:val="36"/>
          <w:sz w:val="24"/>
        </w:rPr>
        <w:t> </w:t>
      </w:r>
      <w:r>
        <w:rPr>
          <w:sz w:val="24"/>
        </w:rPr>
        <w:t>L.</w:t>
      </w:r>
      <w:r>
        <w:rPr>
          <w:spacing w:val="33"/>
          <w:sz w:val="24"/>
        </w:rPr>
        <w:t> </w:t>
      </w:r>
      <w:r>
        <w:rPr>
          <w:sz w:val="24"/>
        </w:rPr>
        <w:t>Summary</w:t>
      </w:r>
      <w:r>
        <w:rPr>
          <w:spacing w:val="32"/>
          <w:sz w:val="24"/>
        </w:rPr>
        <w:t> </w:t>
      </w:r>
      <w:r>
        <w:rPr>
          <w:sz w:val="24"/>
        </w:rPr>
        <w:t>of</w:t>
      </w:r>
      <w:r>
        <w:rPr>
          <w:spacing w:val="35"/>
          <w:sz w:val="24"/>
        </w:rPr>
        <w:t> </w:t>
      </w:r>
      <w:r>
        <w:rPr>
          <w:sz w:val="24"/>
        </w:rPr>
        <w:t>AHRQ's</w:t>
      </w:r>
      <w:r>
        <w:rPr>
          <w:spacing w:val="35"/>
          <w:sz w:val="24"/>
        </w:rPr>
        <w:t> </w:t>
      </w:r>
      <w:r>
        <w:rPr>
          <w:sz w:val="24"/>
        </w:rPr>
        <w:t>Comparative</w:t>
      </w:r>
      <w:r>
        <w:rPr>
          <w:spacing w:val="32"/>
          <w:sz w:val="24"/>
        </w:rPr>
        <w:t> </w:t>
      </w:r>
      <w:r>
        <w:rPr>
          <w:sz w:val="24"/>
        </w:rPr>
        <w:t>Effectiveness</w:t>
      </w:r>
    </w:p>
    <w:p>
      <w:pPr>
        <w:spacing w:after="0" w:line="240" w:lineRule="auto"/>
        <w:jc w:val="left"/>
        <w:rPr>
          <w:sz w:val="24"/>
        </w:rPr>
        <w:sectPr>
          <w:type w:val="continuous"/>
          <w:pgSz w:w="11910" w:h="16840"/>
          <w:pgMar w:top="1580" w:bottom="280" w:left="1020" w:right="440"/>
          <w:cols w:num="2" w:equalWidth="0">
            <w:col w:w="979" w:space="440"/>
            <w:col w:w="9031"/>
          </w:cols>
        </w:sectPr>
      </w:pPr>
    </w:p>
    <w:p>
      <w:pPr>
        <w:pStyle w:val="BodyText"/>
        <w:spacing w:before="1"/>
        <w:ind w:right="126"/>
      </w:pPr>
      <w:r>
        <w:rPr/>
        <w:t>Review of Disease-Modifying Antirheumatic Drugs for Children with Juvenile Idiopathic Arthritis. J Manag Care Pharm. 2012 Jan-Feb;18(1 Suppl B):1-16.</w:t>
      </w:r>
    </w:p>
    <w:p>
      <w:pPr>
        <w:pStyle w:val="ListParagraph"/>
        <w:numPr>
          <w:ilvl w:val="0"/>
          <w:numId w:val="31"/>
        </w:numPr>
        <w:tabs>
          <w:tab w:pos="1833" w:val="left" w:leader="none"/>
        </w:tabs>
        <w:spacing w:line="240" w:lineRule="auto" w:before="0" w:after="0"/>
        <w:ind w:left="112" w:right="125" w:firstLine="1419"/>
        <w:jc w:val="both"/>
        <w:rPr>
          <w:sz w:val="24"/>
        </w:rPr>
      </w:pPr>
      <w:r>
        <w:rPr>
          <w:sz w:val="24"/>
        </w:rPr>
        <w:t>Klein A, Kaul I, Foeldvari I, Ganser G, Urban A, Horneff G. Efficacy and safety of oral and parenteral methotrexate therapy in children with juvenile idiopathic arthritis: an observational study with patients from the German Methotrexate Registry. Arthritis Care Res (Hoboken). 2012 Sep;64(9):1349-56.</w:t>
      </w:r>
    </w:p>
    <w:p>
      <w:pPr>
        <w:pStyle w:val="ListParagraph"/>
        <w:numPr>
          <w:ilvl w:val="0"/>
          <w:numId w:val="31"/>
        </w:numPr>
        <w:tabs>
          <w:tab w:pos="1833" w:val="left" w:leader="none"/>
        </w:tabs>
        <w:spacing w:line="240" w:lineRule="auto" w:before="0" w:after="0"/>
        <w:ind w:left="112" w:right="131" w:firstLine="1419"/>
        <w:jc w:val="both"/>
        <w:rPr>
          <w:sz w:val="24"/>
        </w:rPr>
      </w:pPr>
      <w:r>
        <w:rPr>
          <w:sz w:val="24"/>
        </w:rPr>
        <w:t>Kemper AR, Van Mater HA, Coeytaux RR, Williams JW, Jr., Sanders GD. Systematic review of disease-modifying antirheumatic drugs for juvenile idiopathic arthritis. BMC Pediatr. 2012;12:29.</w:t>
      </w:r>
    </w:p>
    <w:p>
      <w:pPr>
        <w:pStyle w:val="ListParagraph"/>
        <w:numPr>
          <w:ilvl w:val="0"/>
          <w:numId w:val="31"/>
        </w:numPr>
        <w:tabs>
          <w:tab w:pos="1833" w:val="left" w:leader="none"/>
        </w:tabs>
        <w:spacing w:line="240" w:lineRule="auto" w:before="0" w:after="0"/>
        <w:ind w:left="112" w:right="121" w:firstLine="1419"/>
        <w:jc w:val="both"/>
        <w:rPr>
          <w:sz w:val="24"/>
        </w:rPr>
      </w:pPr>
      <w:r>
        <w:rPr>
          <w:sz w:val="24"/>
        </w:rPr>
        <w:t>Shenoi S, Wallace CA. Tumor necrosis factor inhibitors in the management of juvenile idiopathic arthritis: an evidence-based review. Paediatr Drugs. 2010 Dec</w:t>
      </w:r>
      <w:r>
        <w:rPr>
          <w:spacing w:val="-5"/>
          <w:sz w:val="24"/>
        </w:rPr>
        <w:t> </w:t>
      </w:r>
      <w:r>
        <w:rPr>
          <w:sz w:val="24"/>
        </w:rPr>
        <w:t>1;12(6):367-77.</w:t>
      </w:r>
    </w:p>
    <w:p>
      <w:pPr>
        <w:pStyle w:val="ListParagraph"/>
        <w:numPr>
          <w:ilvl w:val="0"/>
          <w:numId w:val="31"/>
        </w:numPr>
        <w:tabs>
          <w:tab w:pos="1833" w:val="left" w:leader="none"/>
        </w:tabs>
        <w:spacing w:line="240" w:lineRule="auto" w:before="0" w:after="0"/>
        <w:ind w:left="112" w:right="124" w:firstLine="1419"/>
        <w:jc w:val="both"/>
        <w:rPr>
          <w:sz w:val="24"/>
        </w:rPr>
      </w:pPr>
      <w:r>
        <w:rPr>
          <w:sz w:val="24"/>
        </w:rPr>
        <w:t>Gartlehner G, Hansen RA, Jonas BL, Thieda P, Lohr KN. Biologics for the treatment of juvenile idiopathic arthritis: a systematic review and critical analysis of the evidence. Clin Rheumatol. 2008 Jan;27(1):67-76.</w:t>
      </w:r>
    </w:p>
    <w:p>
      <w:pPr>
        <w:pStyle w:val="ListParagraph"/>
        <w:numPr>
          <w:ilvl w:val="0"/>
          <w:numId w:val="31"/>
        </w:numPr>
        <w:tabs>
          <w:tab w:pos="1833" w:val="left" w:leader="none"/>
        </w:tabs>
        <w:spacing w:line="240" w:lineRule="auto" w:before="0" w:after="0"/>
        <w:ind w:left="112" w:right="125" w:firstLine="1419"/>
        <w:jc w:val="both"/>
        <w:rPr>
          <w:sz w:val="24"/>
        </w:rPr>
      </w:pPr>
      <w:r>
        <w:rPr>
          <w:sz w:val="24"/>
        </w:rPr>
        <w:t>van Rossum MA, van Soesbergen RM, Boers M, Zwinderman AH, Fiselier TJ, Franssen MJ, et al. Long-term outcome of juvenile idiopathic arthritis following a placebo-controlled trial: sustained benefits of early sulfasalazine treatment. Ann Rheum Dis. 2007</w:t>
      </w:r>
      <w:r>
        <w:rPr>
          <w:spacing w:val="-6"/>
          <w:sz w:val="24"/>
        </w:rPr>
        <w:t> </w:t>
      </w:r>
      <w:r>
        <w:rPr>
          <w:sz w:val="24"/>
        </w:rPr>
        <w:t>Nov;66(11):1518-24.</w:t>
      </w:r>
    </w:p>
    <w:p>
      <w:pPr>
        <w:pStyle w:val="ListParagraph"/>
        <w:numPr>
          <w:ilvl w:val="0"/>
          <w:numId w:val="31"/>
        </w:numPr>
        <w:tabs>
          <w:tab w:pos="1833" w:val="left" w:leader="none"/>
        </w:tabs>
        <w:spacing w:line="240" w:lineRule="auto" w:before="0" w:after="0"/>
        <w:ind w:left="112" w:right="131" w:firstLine="1419"/>
        <w:jc w:val="both"/>
        <w:rPr>
          <w:sz w:val="24"/>
        </w:rPr>
      </w:pPr>
      <w:r>
        <w:rPr>
          <w:sz w:val="24"/>
        </w:rPr>
        <w:t>Takken T, Van der Net J, Helders PJ. Methotrexate for treating juvenile idiopathic arthritis. Cochrane Database Syst Rev.</w:t>
      </w:r>
      <w:r>
        <w:rPr>
          <w:spacing w:val="-3"/>
          <w:sz w:val="24"/>
        </w:rPr>
        <w:t> </w:t>
      </w:r>
      <w:r>
        <w:rPr>
          <w:sz w:val="24"/>
        </w:rPr>
        <w:t>2001(3):CD003129.</w:t>
      </w:r>
    </w:p>
    <w:p>
      <w:pPr>
        <w:pStyle w:val="ListParagraph"/>
        <w:numPr>
          <w:ilvl w:val="0"/>
          <w:numId w:val="31"/>
        </w:numPr>
        <w:tabs>
          <w:tab w:pos="1833" w:val="left" w:leader="none"/>
        </w:tabs>
        <w:spacing w:line="240" w:lineRule="auto" w:before="0" w:after="0"/>
        <w:ind w:left="112" w:right="127" w:firstLine="1419"/>
        <w:jc w:val="both"/>
        <w:rPr>
          <w:sz w:val="24"/>
        </w:rPr>
      </w:pPr>
      <w:r>
        <w:rPr>
          <w:sz w:val="24"/>
        </w:rPr>
        <w:t>Takken T, Van Der Net J, Helders PJ. Methotrexate for treating juvenile idiopathic arthritis. Cochrane Database Syst Rev.</w:t>
      </w:r>
      <w:r>
        <w:rPr>
          <w:spacing w:val="-3"/>
          <w:sz w:val="24"/>
        </w:rPr>
        <w:t> </w:t>
      </w:r>
      <w:r>
        <w:rPr>
          <w:sz w:val="24"/>
        </w:rPr>
        <w:t>2001(4):CD003129.</w:t>
      </w:r>
    </w:p>
    <w:p>
      <w:pPr>
        <w:pStyle w:val="ListParagraph"/>
        <w:numPr>
          <w:ilvl w:val="0"/>
          <w:numId w:val="31"/>
        </w:numPr>
        <w:tabs>
          <w:tab w:pos="1833" w:val="left" w:leader="none"/>
        </w:tabs>
        <w:spacing w:line="240" w:lineRule="auto" w:before="0" w:after="0"/>
        <w:ind w:left="112" w:right="128" w:firstLine="1419"/>
        <w:jc w:val="both"/>
        <w:rPr>
          <w:sz w:val="24"/>
        </w:rPr>
      </w:pPr>
      <w:r>
        <w:rPr>
          <w:sz w:val="24"/>
        </w:rPr>
        <w:t>Johnson CJ, Reilly KM, Murray KM. Etanercept in juvenile rheumatoid arthritis. Ann Pharmacother. 2001</w:t>
      </w:r>
      <w:r>
        <w:rPr>
          <w:spacing w:val="1"/>
          <w:sz w:val="24"/>
        </w:rPr>
        <w:t> </w:t>
      </w:r>
      <w:r>
        <w:rPr>
          <w:sz w:val="24"/>
        </w:rPr>
        <w:t>Apr;35(4):464-71.</w:t>
      </w:r>
    </w:p>
    <w:p>
      <w:pPr>
        <w:pStyle w:val="ListParagraph"/>
        <w:numPr>
          <w:ilvl w:val="0"/>
          <w:numId w:val="31"/>
        </w:numPr>
        <w:tabs>
          <w:tab w:pos="1833" w:val="left" w:leader="none"/>
        </w:tabs>
        <w:spacing w:line="240" w:lineRule="auto" w:before="0" w:after="0"/>
        <w:ind w:left="112" w:right="125" w:firstLine="1419"/>
        <w:jc w:val="both"/>
        <w:rPr>
          <w:sz w:val="24"/>
        </w:rPr>
      </w:pPr>
      <w:r>
        <w:rPr>
          <w:sz w:val="24"/>
        </w:rPr>
        <w:t>Brooks CD. Sulfasalazine for the management of juvenile rheumatoid arthritis. J Rheumatol. 2001</w:t>
      </w:r>
      <w:r>
        <w:rPr>
          <w:spacing w:val="-1"/>
          <w:sz w:val="24"/>
        </w:rPr>
        <w:t> </w:t>
      </w:r>
      <w:r>
        <w:rPr>
          <w:sz w:val="24"/>
        </w:rPr>
        <w:t>Apr;28(4):845-53.</w:t>
      </w:r>
    </w:p>
    <w:p>
      <w:pPr>
        <w:pStyle w:val="ListParagraph"/>
        <w:numPr>
          <w:ilvl w:val="0"/>
          <w:numId w:val="31"/>
        </w:numPr>
        <w:tabs>
          <w:tab w:pos="1833" w:val="left" w:leader="none"/>
        </w:tabs>
        <w:spacing w:line="240" w:lineRule="auto" w:before="1" w:after="0"/>
        <w:ind w:left="112" w:right="123" w:firstLine="1419"/>
        <w:jc w:val="both"/>
        <w:rPr>
          <w:sz w:val="24"/>
        </w:rPr>
      </w:pPr>
      <w:r>
        <w:rPr>
          <w:sz w:val="24"/>
        </w:rPr>
        <w:t>Giannini EH, Cassidy JT, Brewer EJ, Shaikov A, Maximov A, Kuzmina N. Comparative efficacy and safety of advanced drug therapy in children with juvenile rheumatoid arthritis. Semin Arthritis Rheum. 1993</w:t>
      </w:r>
      <w:r>
        <w:rPr>
          <w:spacing w:val="-3"/>
          <w:sz w:val="24"/>
        </w:rPr>
        <w:t> </w:t>
      </w:r>
      <w:r>
        <w:rPr>
          <w:sz w:val="24"/>
        </w:rPr>
        <w:t>Aug;23(1):34-46.</w:t>
      </w:r>
    </w:p>
    <w:p>
      <w:pPr>
        <w:pStyle w:val="ListParagraph"/>
        <w:numPr>
          <w:ilvl w:val="0"/>
          <w:numId w:val="31"/>
        </w:numPr>
        <w:tabs>
          <w:tab w:pos="1833" w:val="left" w:leader="none"/>
        </w:tabs>
        <w:spacing w:line="240" w:lineRule="auto" w:before="0" w:after="0"/>
        <w:ind w:left="112" w:right="121" w:firstLine="1419"/>
        <w:jc w:val="both"/>
        <w:rPr>
          <w:sz w:val="24"/>
        </w:rPr>
      </w:pPr>
      <w:r>
        <w:rPr>
          <w:sz w:val="24"/>
        </w:rPr>
        <w:t>Brewer EJ, Giannini EH, Kuzmina N, Alekseev L. Penicillamine and hydroxychloroquine in the treatment of severe juvenile rheumatoid arthritis. Results of the</w:t>
      </w:r>
      <w:r>
        <w:rPr>
          <w:spacing w:val="57"/>
          <w:sz w:val="24"/>
        </w:rPr>
        <w:t> </w:t>
      </w:r>
      <w:r>
        <w:rPr>
          <w:sz w:val="24"/>
        </w:rPr>
        <w:t>U.S.A.-</w:t>
      </w:r>
    </w:p>
    <w:p>
      <w:pPr>
        <w:pStyle w:val="BodyText"/>
        <w:ind w:left="1531" w:right="126" w:hanging="1419"/>
      </w:pPr>
      <w:r>
        <w:rPr/>
        <w:t>U.S.S.R. double-blind placebo-controlled trial. N Engl J Med. 1986 May 15;314(20):1269-76. 50.Silverman E, Mouy R, Spiegel L, Jung LK, Saurenmann RK, Lahdenne P, et al.</w:t>
      </w:r>
    </w:p>
    <w:p>
      <w:pPr>
        <w:pStyle w:val="BodyText"/>
      </w:pPr>
      <w:r>
        <w:rPr/>
        <w:t>Leflunomide or methotrexate for juvenile rheumatoid arthritis. N Engl J Med. 2005 Apr 21;352(16):1655- 66.</w:t>
      </w:r>
    </w:p>
    <w:p>
      <w:pPr>
        <w:spacing w:after="0"/>
        <w:sectPr>
          <w:type w:val="continuous"/>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2"/>
        </w:numPr>
        <w:tabs>
          <w:tab w:pos="1833" w:val="left" w:leader="none"/>
        </w:tabs>
        <w:spacing w:line="240" w:lineRule="auto" w:before="90" w:after="0"/>
        <w:ind w:left="112" w:right="126" w:firstLine="1419"/>
        <w:jc w:val="both"/>
        <w:rPr>
          <w:sz w:val="24"/>
        </w:rPr>
      </w:pPr>
      <w:r>
        <w:rPr>
          <w:sz w:val="24"/>
        </w:rPr>
        <w:t>Boers M, Van Tuyl LHD, Van Den Broek M, Kostense PJ, Allaart CF. Meta-analysis suggests intensive non-biologic combination therapy with step-down prednisolone may also disconnect disease activity and damage in rheumatoid arthritis. Arthritis and Rheumatism.</w:t>
      </w:r>
      <w:r>
        <w:rPr>
          <w:spacing w:val="-9"/>
          <w:sz w:val="24"/>
        </w:rPr>
        <w:t> </w:t>
      </w:r>
      <w:r>
        <w:rPr>
          <w:sz w:val="24"/>
        </w:rPr>
        <w:t>2011;63(10).</w:t>
      </w:r>
    </w:p>
    <w:p>
      <w:pPr>
        <w:pStyle w:val="ListParagraph"/>
        <w:numPr>
          <w:ilvl w:val="0"/>
          <w:numId w:val="32"/>
        </w:numPr>
        <w:tabs>
          <w:tab w:pos="1833" w:val="left" w:leader="none"/>
        </w:tabs>
        <w:spacing w:line="240" w:lineRule="auto" w:before="0" w:after="0"/>
        <w:ind w:left="112" w:right="123" w:firstLine="1419"/>
        <w:jc w:val="both"/>
        <w:rPr>
          <w:sz w:val="24"/>
        </w:rPr>
      </w:pPr>
      <w:r>
        <w:rPr>
          <w:sz w:val="24"/>
        </w:rPr>
        <w:t>Boers M, van Tuyl L, van den Broek M, Kostense PJ, Allaart CF. Meta-analysis suggests that intensive non-biological combination therapy with step-down prednisolone (COBRA strategy) may also 'disconnect' disease activity and damage in rheumatoid arthritis. Ann Rheum Dis. 2012 Nov 15.</w:t>
      </w:r>
    </w:p>
    <w:p>
      <w:pPr>
        <w:pStyle w:val="ListParagraph"/>
        <w:numPr>
          <w:ilvl w:val="0"/>
          <w:numId w:val="32"/>
        </w:numPr>
        <w:tabs>
          <w:tab w:pos="1833" w:val="left" w:leader="none"/>
        </w:tabs>
        <w:spacing w:line="240" w:lineRule="auto" w:before="0" w:after="0"/>
        <w:ind w:left="112" w:right="0" w:firstLine="1419"/>
        <w:jc w:val="left"/>
        <w:rPr>
          <w:sz w:val="24"/>
        </w:rPr>
      </w:pPr>
      <w:r>
        <w:rPr>
          <w:sz w:val="24"/>
        </w:rPr>
        <w:t>Schur P, Moreland LW. General principles of management of rheumatoid</w:t>
      </w:r>
      <w:r>
        <w:rPr>
          <w:spacing w:val="-25"/>
          <w:sz w:val="24"/>
        </w:rPr>
        <w:t> </w:t>
      </w:r>
      <w:r>
        <w:rPr>
          <w:sz w:val="24"/>
        </w:rPr>
        <w:t>arthritis.</w:t>
      </w:r>
    </w:p>
    <w:p>
      <w:pPr>
        <w:pStyle w:val="BodyText"/>
      </w:pPr>
      <w:r>
        <w:rPr/>
        <w:t>UpToDate2012.</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Robinson PC, Taylor WJ. Decreasing time to treatment in rheumatoid arthritis: Review of delays in presentation, referral and assessment. International Journal of Clinical Rheumatology. 2011;6(2):173-87.</w:t>
      </w:r>
    </w:p>
    <w:p>
      <w:pPr>
        <w:pStyle w:val="ListParagraph"/>
        <w:numPr>
          <w:ilvl w:val="0"/>
          <w:numId w:val="32"/>
        </w:numPr>
        <w:tabs>
          <w:tab w:pos="1834" w:val="left" w:leader="none"/>
        </w:tabs>
        <w:spacing w:line="240" w:lineRule="auto" w:before="1" w:after="0"/>
        <w:ind w:left="112" w:right="124" w:firstLine="1419"/>
        <w:jc w:val="both"/>
        <w:rPr>
          <w:sz w:val="24"/>
        </w:rPr>
      </w:pPr>
      <w:r>
        <w:rPr>
          <w:sz w:val="24"/>
        </w:rPr>
        <w:t>Lineker SC, Husted JA. Educational interventions for implementation of arthritis clinical practice guidelines in primary care: Effects on health professional behavior. Journal of Rheumatology.</w:t>
      </w:r>
      <w:r>
        <w:rPr>
          <w:spacing w:val="-1"/>
          <w:sz w:val="24"/>
        </w:rPr>
        <w:t> </w:t>
      </w:r>
      <w:r>
        <w:rPr>
          <w:sz w:val="24"/>
        </w:rPr>
        <w:t>2010;37(8):1562-9.</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Vliet Vlieland TP, van den Ende CH. Nonpharmacological treatment of rheumatoid arthritis. Curr Opin Rheumatol. 2011</w:t>
      </w:r>
      <w:r>
        <w:rPr>
          <w:spacing w:val="-3"/>
          <w:sz w:val="24"/>
        </w:rPr>
        <w:t> </w:t>
      </w:r>
      <w:r>
        <w:rPr>
          <w:sz w:val="24"/>
        </w:rPr>
        <w:t>May;23(3):259-64.</w:t>
      </w:r>
    </w:p>
    <w:p>
      <w:pPr>
        <w:pStyle w:val="ListParagraph"/>
        <w:numPr>
          <w:ilvl w:val="0"/>
          <w:numId w:val="32"/>
        </w:numPr>
        <w:tabs>
          <w:tab w:pos="1833" w:val="left" w:leader="none"/>
        </w:tabs>
        <w:spacing w:line="240" w:lineRule="auto" w:before="0" w:after="0"/>
        <w:ind w:left="112" w:right="131" w:firstLine="1419"/>
        <w:jc w:val="both"/>
        <w:rPr>
          <w:sz w:val="24"/>
        </w:rPr>
      </w:pPr>
      <w:r>
        <w:rPr>
          <w:sz w:val="24"/>
        </w:rPr>
        <w:t>Silva KN, Mizusaki Imoto A, Almeida GJ, Atallah AN, PeccinMS,Fernandes Moca Trevisani V. Balance training (proprioceptive training) for patients with rheumatoid arthritis. Cochrane Database Syst Rev.</w:t>
      </w:r>
      <w:r>
        <w:rPr>
          <w:spacing w:val="-2"/>
          <w:sz w:val="24"/>
        </w:rPr>
        <w:t> </w:t>
      </w:r>
      <w:r>
        <w:rPr>
          <w:sz w:val="24"/>
        </w:rPr>
        <w:t>2010(5):CD007648.</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Forestier R, Andre-Vert J, Guillez P, Coudeyre E, Lefevre-Colau MM, Combe B, et al. Non-drug treatment (excluding surgery) in rheumatoid arthritis: clinical practice guidelines. Joint Bone Spine. 2009</w:t>
      </w:r>
      <w:r>
        <w:rPr>
          <w:spacing w:val="-1"/>
          <w:sz w:val="24"/>
        </w:rPr>
        <w:t> </w:t>
      </w:r>
      <w:r>
        <w:rPr>
          <w:sz w:val="24"/>
        </w:rPr>
        <w:t>Dec;76(6):691-8.</w:t>
      </w:r>
    </w:p>
    <w:p>
      <w:pPr>
        <w:pStyle w:val="ListParagraph"/>
        <w:numPr>
          <w:ilvl w:val="0"/>
          <w:numId w:val="32"/>
        </w:numPr>
        <w:tabs>
          <w:tab w:pos="1833" w:val="left" w:leader="none"/>
        </w:tabs>
        <w:spacing w:line="240" w:lineRule="auto" w:before="0" w:after="0"/>
        <w:ind w:left="112" w:right="128" w:firstLine="1419"/>
        <w:jc w:val="both"/>
        <w:rPr>
          <w:sz w:val="24"/>
        </w:rPr>
      </w:pPr>
      <w:r>
        <w:rPr>
          <w:sz w:val="24"/>
        </w:rPr>
        <w:t>Falagas ME, Zarkadoulia E, Rafailidis PI. The therapeutic effect of balneotherapy: Evaluation of the evidence from randomised controlled trials. International Journal of Clinical Practice. 2009;63(7):1068-84.</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Stucki G, Cieza A, Geyh S, Battistella </w:t>
      </w:r>
      <w:r>
        <w:rPr>
          <w:spacing w:val="-3"/>
          <w:sz w:val="24"/>
        </w:rPr>
        <w:t>L, </w:t>
      </w:r>
      <w:r>
        <w:rPr>
          <w:sz w:val="24"/>
        </w:rPr>
        <w:t>Lloyd J, Symmons D, et al. ICF Core Sets for rheumatoid arthritis. Journal of Rehabilitation Medicine, Supplement.</w:t>
      </w:r>
      <w:r>
        <w:rPr>
          <w:spacing w:val="-2"/>
          <w:sz w:val="24"/>
        </w:rPr>
        <w:t> </w:t>
      </w:r>
      <w:r>
        <w:rPr>
          <w:sz w:val="24"/>
        </w:rPr>
        <w:t>2004(44):87-93.</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Riemsma RP, Kirwan JR, Taal E, Rasker JJ. Patient education for adults with rheumatoid arthritis. Cochrane Database Syst Rev.</w:t>
      </w:r>
      <w:r>
        <w:rPr>
          <w:spacing w:val="-1"/>
          <w:sz w:val="24"/>
        </w:rPr>
        <w:t> </w:t>
      </w:r>
      <w:r>
        <w:rPr>
          <w:sz w:val="24"/>
        </w:rPr>
        <w:t>2003(2):CD003688.</w:t>
      </w:r>
    </w:p>
    <w:p>
      <w:pPr>
        <w:pStyle w:val="ListParagraph"/>
        <w:numPr>
          <w:ilvl w:val="0"/>
          <w:numId w:val="32"/>
        </w:numPr>
        <w:tabs>
          <w:tab w:pos="1833" w:val="left" w:leader="none"/>
        </w:tabs>
        <w:spacing w:line="240" w:lineRule="auto" w:before="0" w:after="0"/>
        <w:ind w:left="112" w:right="124" w:firstLine="1419"/>
        <w:jc w:val="both"/>
        <w:rPr>
          <w:sz w:val="24"/>
        </w:rPr>
      </w:pPr>
      <w:r>
        <w:rPr>
          <w:sz w:val="24"/>
        </w:rPr>
        <w:t>Macfarlane GJ, Paudyal P, Doherty M, Ernst E, Lewith G, MacPherson H, et al. A systematic review of evidence for the effectiveness of practitioner-based complementary and alternative therapies in the management of rheumatic diseases: rheumatoid arthritis. Rheumatology (Oxford). 2012 Sep;51(9):1707-13.</w:t>
      </w:r>
    </w:p>
    <w:p>
      <w:pPr>
        <w:pStyle w:val="ListParagraph"/>
        <w:numPr>
          <w:ilvl w:val="0"/>
          <w:numId w:val="32"/>
        </w:numPr>
        <w:tabs>
          <w:tab w:pos="1833" w:val="left" w:leader="none"/>
        </w:tabs>
        <w:spacing w:line="240" w:lineRule="auto" w:before="0" w:after="0"/>
        <w:ind w:left="112" w:right="124" w:firstLine="1419"/>
        <w:jc w:val="both"/>
        <w:rPr>
          <w:sz w:val="24"/>
        </w:rPr>
      </w:pPr>
      <w:r>
        <w:rPr>
          <w:sz w:val="24"/>
        </w:rPr>
        <w:t>Takken T, van Brussel M, Engelbert RH, Van der Net J, Kuis W, Helders PJ. Exercise therapy in juvenile idiopathic arthritis. Cochrane Database Syst Rev.</w:t>
      </w:r>
      <w:r>
        <w:rPr>
          <w:spacing w:val="-9"/>
          <w:sz w:val="24"/>
        </w:rPr>
        <w:t> </w:t>
      </w:r>
      <w:r>
        <w:rPr>
          <w:sz w:val="24"/>
        </w:rPr>
        <w:t>2008(2):CD005954.</w:t>
      </w:r>
    </w:p>
    <w:p>
      <w:pPr>
        <w:pStyle w:val="ListParagraph"/>
        <w:numPr>
          <w:ilvl w:val="0"/>
          <w:numId w:val="32"/>
        </w:numPr>
        <w:tabs>
          <w:tab w:pos="1833" w:val="left" w:leader="none"/>
        </w:tabs>
        <w:spacing w:line="240" w:lineRule="auto" w:before="0" w:after="0"/>
        <w:ind w:left="112" w:right="124" w:firstLine="1419"/>
        <w:jc w:val="both"/>
        <w:rPr>
          <w:sz w:val="24"/>
        </w:rPr>
      </w:pPr>
      <w:r>
        <w:rPr>
          <w:sz w:val="24"/>
        </w:rPr>
        <w:t>Takken T, Van Brussel M, Engelbert RH, Van Der Net J, Kuis W, Helders PJ. Exercise therapy in juvenile idiopathic arthritis: a Cochrane Review. Eur J Phys Rehabil Med. 2008 Sep;44(3):287- 97.</w:t>
      </w:r>
    </w:p>
    <w:p>
      <w:pPr>
        <w:pStyle w:val="ListParagraph"/>
        <w:numPr>
          <w:ilvl w:val="0"/>
          <w:numId w:val="32"/>
        </w:numPr>
        <w:tabs>
          <w:tab w:pos="1833" w:val="left" w:leader="none"/>
        </w:tabs>
        <w:spacing w:line="240" w:lineRule="auto" w:before="1" w:after="0"/>
        <w:ind w:left="112" w:right="129" w:firstLine="1419"/>
        <w:jc w:val="both"/>
        <w:rPr>
          <w:sz w:val="24"/>
        </w:rPr>
      </w:pPr>
      <w:r>
        <w:rPr>
          <w:sz w:val="24"/>
        </w:rPr>
        <w:t>Epps H, Ginnelly L, Utley M, Southwood T, Gallivan S, Sculpher M, et al. Is hydrotherapy cost-effective? A randomised controlled trial of combined hydrotherapy programmes compared with physiotherapy land techniques in children with juvenile idiopathic arthritis. Health Technol Assess. 2005 Oct;9(39):iii-iv, ix-x,</w:t>
      </w:r>
      <w:r>
        <w:rPr>
          <w:spacing w:val="-1"/>
          <w:sz w:val="24"/>
        </w:rPr>
        <w:t> </w:t>
      </w:r>
      <w:r>
        <w:rPr>
          <w:sz w:val="24"/>
        </w:rPr>
        <w:t>1-59.</w:t>
      </w:r>
    </w:p>
    <w:p>
      <w:pPr>
        <w:pStyle w:val="ListParagraph"/>
        <w:numPr>
          <w:ilvl w:val="0"/>
          <w:numId w:val="32"/>
        </w:numPr>
        <w:tabs>
          <w:tab w:pos="1833" w:val="left" w:leader="none"/>
        </w:tabs>
        <w:spacing w:line="240" w:lineRule="auto" w:before="0" w:after="0"/>
        <w:ind w:left="112" w:right="128" w:firstLine="1419"/>
        <w:jc w:val="both"/>
        <w:rPr>
          <w:sz w:val="24"/>
        </w:rPr>
      </w:pPr>
      <w:r>
        <w:rPr>
          <w:sz w:val="24"/>
        </w:rPr>
        <w:t>Tuntland H, Kjeken I, Nordheim LV, Falzon </w:t>
      </w:r>
      <w:r>
        <w:rPr>
          <w:spacing w:val="-3"/>
          <w:sz w:val="24"/>
        </w:rPr>
        <w:t>L, </w:t>
      </w:r>
      <w:r>
        <w:rPr>
          <w:sz w:val="24"/>
        </w:rPr>
        <w:t>Jamtvedt G, Hagen KB. Assistive technology for rheumatoid arthritis. Cochrane Database Syst Rev.</w:t>
      </w:r>
      <w:r>
        <w:rPr>
          <w:spacing w:val="-8"/>
          <w:sz w:val="24"/>
        </w:rPr>
        <w:t> </w:t>
      </w:r>
      <w:r>
        <w:rPr>
          <w:sz w:val="24"/>
        </w:rPr>
        <w:t>2009(4):CD006729.</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2"/>
        </w:numPr>
        <w:tabs>
          <w:tab w:pos="1833" w:val="left" w:leader="none"/>
        </w:tabs>
        <w:spacing w:line="240" w:lineRule="auto" w:before="90" w:after="0"/>
        <w:ind w:left="112" w:right="132" w:firstLine="1419"/>
        <w:jc w:val="both"/>
        <w:rPr>
          <w:sz w:val="24"/>
        </w:rPr>
      </w:pPr>
      <w:r>
        <w:rPr>
          <w:sz w:val="24"/>
        </w:rPr>
        <w:t>Oldfield V, Felson DT. Exercise therapy and orthotic devices in rheumatoid arthritis: evidence-based review. Curr Opin Rheumatol. 2008</w:t>
      </w:r>
      <w:r>
        <w:rPr>
          <w:spacing w:val="1"/>
          <w:sz w:val="24"/>
        </w:rPr>
        <w:t> </w:t>
      </w:r>
      <w:r>
        <w:rPr>
          <w:sz w:val="24"/>
        </w:rPr>
        <w:t>May;20(3):353-9.</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Metsios GS, Stavropoulos-Kalinoglou A, van Zanten JJCSV, Treharne GJ, Panoulas VF, Douglas KMJ, et al. Rheumatoid arthritis, cardiovascular disease and physical exercise: A systematic review. Rheumatology.</w:t>
      </w:r>
      <w:r>
        <w:rPr>
          <w:spacing w:val="-1"/>
          <w:sz w:val="24"/>
        </w:rPr>
        <w:t> </w:t>
      </w:r>
      <w:r>
        <w:rPr>
          <w:sz w:val="24"/>
        </w:rPr>
        <w:t>2008;47(3):239-48.</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Steultjens EM, Dekker J, Bouter LM, van Schaardenburg D, van Kuyk MA, van den Ende CH. Occupational therapy for rheumatoid arthritis. Cochrane Database Syst Rev. 2004(1):CD003114.</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Egan M, Brosseau L, Farmer M, Ouimet MA, Rees S, Wells G, et al. Splints/orthoses in the treatment of rheumatoid arthritis. Cochrane Database Syst Rev.</w:t>
      </w:r>
      <w:r>
        <w:rPr>
          <w:spacing w:val="-4"/>
          <w:sz w:val="24"/>
        </w:rPr>
        <w:t> </w:t>
      </w:r>
      <w:r>
        <w:rPr>
          <w:sz w:val="24"/>
        </w:rPr>
        <w:t>2003(1):CD004018.</w:t>
      </w:r>
    </w:p>
    <w:p>
      <w:pPr>
        <w:pStyle w:val="ListParagraph"/>
        <w:numPr>
          <w:ilvl w:val="0"/>
          <w:numId w:val="32"/>
        </w:numPr>
        <w:tabs>
          <w:tab w:pos="1833" w:val="left" w:leader="none"/>
        </w:tabs>
        <w:spacing w:line="240" w:lineRule="auto" w:before="0" w:after="0"/>
        <w:ind w:left="112" w:right="130" w:firstLine="1419"/>
        <w:jc w:val="both"/>
        <w:rPr>
          <w:sz w:val="24"/>
        </w:rPr>
      </w:pPr>
      <w:r>
        <w:rPr>
          <w:sz w:val="24"/>
        </w:rPr>
        <w:t>Steultjens EM, Dekker J, Bouter LM, van Schaardenburg D, van Kuyk MA, van den Ende CH. Occupational therapy for rheumatoid arthritis: a systematic review. Arthritis Rheum. 2002 Dec 15;47(6):672-85.</w:t>
      </w:r>
    </w:p>
    <w:p>
      <w:pPr>
        <w:pStyle w:val="ListParagraph"/>
        <w:numPr>
          <w:ilvl w:val="0"/>
          <w:numId w:val="32"/>
        </w:numPr>
        <w:tabs>
          <w:tab w:pos="1833" w:val="left" w:leader="none"/>
        </w:tabs>
        <w:spacing w:line="240" w:lineRule="auto" w:before="1" w:after="0"/>
        <w:ind w:left="112" w:right="123" w:firstLine="1419"/>
        <w:jc w:val="both"/>
        <w:rPr>
          <w:sz w:val="24"/>
        </w:rPr>
      </w:pPr>
      <w:r>
        <w:rPr>
          <w:sz w:val="24"/>
        </w:rPr>
        <w:t>Baillet A, Vaillant M, Guinot M, Juvin R, Gaudin P. Efficacy of resistance exercises in rheumatoid arthritis: meta-analysis of randomized controlled trials. Rheumatology (Oxford). 2012 Mar;51(3):519-27.</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Wessel J. The effectiveness of hand exercises for persons with rheumatoid arthritis: a systematic review. J Hand Ther. 2004 Apr-Jun;17(2):174-80.</w:t>
      </w:r>
    </w:p>
    <w:p>
      <w:pPr>
        <w:pStyle w:val="ListParagraph"/>
        <w:numPr>
          <w:ilvl w:val="0"/>
          <w:numId w:val="32"/>
        </w:numPr>
        <w:tabs>
          <w:tab w:pos="1833" w:val="left" w:leader="none"/>
        </w:tabs>
        <w:spacing w:line="240" w:lineRule="auto" w:before="0" w:after="0"/>
        <w:ind w:left="112" w:right="126" w:firstLine="1419"/>
        <w:jc w:val="both"/>
        <w:rPr>
          <w:sz w:val="24"/>
        </w:rPr>
      </w:pPr>
      <w:r>
        <w:rPr>
          <w:sz w:val="24"/>
        </w:rPr>
        <w:t>Baillet A, Zeboulon N, Gossec L, Combescure C, Bodin LA, Juvin R, et al. Efficacy of cardiorespiratory aerobic exercise in rheumatoid arthritis: meta-analysis of randomized controlled trials. Arthritis Care Res (Hoboken). 2010</w:t>
      </w:r>
      <w:r>
        <w:rPr>
          <w:spacing w:val="-1"/>
          <w:sz w:val="24"/>
        </w:rPr>
        <w:t> </w:t>
      </w:r>
      <w:r>
        <w:rPr>
          <w:sz w:val="24"/>
        </w:rPr>
        <w:t>Jul;62(7):984-92.</w:t>
      </w:r>
    </w:p>
    <w:p>
      <w:pPr>
        <w:pStyle w:val="ListParagraph"/>
        <w:numPr>
          <w:ilvl w:val="0"/>
          <w:numId w:val="32"/>
        </w:numPr>
        <w:tabs>
          <w:tab w:pos="1833" w:val="left" w:leader="none"/>
        </w:tabs>
        <w:spacing w:line="240" w:lineRule="auto" w:before="0" w:after="0"/>
        <w:ind w:left="112" w:right="130" w:firstLine="1419"/>
        <w:jc w:val="both"/>
        <w:rPr>
          <w:sz w:val="24"/>
        </w:rPr>
      </w:pPr>
      <w:r>
        <w:rPr>
          <w:sz w:val="24"/>
        </w:rPr>
        <w:t>Hurkmans E, Van Der Giesen FJ, Vliet Vlieland TPM, Schoones J, Van Den Ende ECHM. Home-based exercise therapy for rheumatoid arthritis. Cochrane Database of Systematic Reviews.</w:t>
      </w:r>
      <w:r>
        <w:rPr>
          <w:spacing w:val="-1"/>
          <w:sz w:val="24"/>
        </w:rPr>
        <w:t> </w:t>
      </w:r>
      <w:r>
        <w:rPr>
          <w:sz w:val="24"/>
        </w:rPr>
        <w:t>2009(2).</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Hurkmans E, van der Giesen FJ, Vliet Vlieland TP, Schoones J, Van den Ende EC. Dynamic exercise programs (aerobic capacity and/or muscle strength training) in patients with rheumatoid arthritis. Cochrane Database Syst Rev.</w:t>
      </w:r>
      <w:r>
        <w:rPr>
          <w:spacing w:val="-1"/>
          <w:sz w:val="24"/>
        </w:rPr>
        <w:t> </w:t>
      </w:r>
      <w:r>
        <w:rPr>
          <w:sz w:val="24"/>
        </w:rPr>
        <w:t>2009(4):CD006853.</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Cairns AP, McVeigh JG. A systematic review of the effects of dynamic exercise in rheumatoid arthritis. Rheumatol Int. 2009</w:t>
      </w:r>
      <w:r>
        <w:rPr>
          <w:spacing w:val="1"/>
          <w:sz w:val="24"/>
        </w:rPr>
        <w:t> </w:t>
      </w:r>
      <w:r>
        <w:rPr>
          <w:sz w:val="24"/>
        </w:rPr>
        <w:t>Dec;30(2):147-58.</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Conn VS, Hafdahl AR, Minor MA, Nielsen PJ. Physical Activity Interventions Among Adults with Arthritis: Meta-Analysis of Outcomes. Seminars in Arthritis and Rheumatism. 2008;37(5):307-16.</w:t>
      </w:r>
    </w:p>
    <w:p>
      <w:pPr>
        <w:pStyle w:val="ListParagraph"/>
        <w:numPr>
          <w:ilvl w:val="0"/>
          <w:numId w:val="32"/>
        </w:numPr>
        <w:tabs>
          <w:tab w:pos="1833" w:val="left" w:leader="none"/>
        </w:tabs>
        <w:spacing w:line="240" w:lineRule="auto" w:before="0" w:after="0"/>
        <w:ind w:left="112" w:right="128" w:firstLine="1419"/>
        <w:jc w:val="both"/>
        <w:rPr>
          <w:sz w:val="24"/>
        </w:rPr>
      </w:pPr>
      <w:r>
        <w:rPr>
          <w:sz w:val="24"/>
        </w:rPr>
        <w:t>Hurkmans EJ, Jones A, </w:t>
      </w:r>
      <w:r>
        <w:rPr>
          <w:spacing w:val="-3"/>
          <w:sz w:val="24"/>
        </w:rPr>
        <w:t>Li </w:t>
      </w:r>
      <w:r>
        <w:rPr>
          <w:sz w:val="24"/>
        </w:rPr>
        <w:t>LC, Vliet Vlieland TP. Quality appraisal of clinical practice guidelines on the use of physiotherapy in rheumatoid arthritis: a systematic review. Rheumatology (Oxford). 2011</w:t>
      </w:r>
      <w:r>
        <w:rPr>
          <w:spacing w:val="-1"/>
          <w:sz w:val="24"/>
        </w:rPr>
        <w:t> </w:t>
      </w:r>
      <w:r>
        <w:rPr>
          <w:sz w:val="24"/>
        </w:rPr>
        <w:t>Oct;50(10):1879-88.</w:t>
      </w:r>
    </w:p>
    <w:p>
      <w:pPr>
        <w:pStyle w:val="ListParagraph"/>
        <w:numPr>
          <w:ilvl w:val="0"/>
          <w:numId w:val="32"/>
        </w:numPr>
        <w:tabs>
          <w:tab w:pos="1833" w:val="left" w:leader="none"/>
        </w:tabs>
        <w:spacing w:line="240" w:lineRule="auto" w:before="0" w:after="0"/>
        <w:ind w:left="112" w:right="131" w:firstLine="1419"/>
        <w:jc w:val="both"/>
        <w:rPr>
          <w:sz w:val="24"/>
        </w:rPr>
      </w:pPr>
      <w:r>
        <w:rPr>
          <w:sz w:val="24"/>
        </w:rPr>
        <w:t>Greene B, Lim SS. The role of physical therapy in management of patients with osteoarthritis and rheumatoid arthritis. Bulletin on the Rheumatic Diseases.</w:t>
      </w:r>
      <w:r>
        <w:rPr>
          <w:spacing w:val="-2"/>
          <w:sz w:val="24"/>
        </w:rPr>
        <w:t> </w:t>
      </w:r>
      <w:r>
        <w:rPr>
          <w:sz w:val="24"/>
        </w:rPr>
        <w:t>2003;52(4).</w:t>
      </w:r>
    </w:p>
    <w:p>
      <w:pPr>
        <w:pStyle w:val="ListParagraph"/>
        <w:numPr>
          <w:ilvl w:val="0"/>
          <w:numId w:val="32"/>
        </w:numPr>
        <w:tabs>
          <w:tab w:pos="1833" w:val="left" w:leader="none"/>
        </w:tabs>
        <w:spacing w:line="240" w:lineRule="auto" w:before="1" w:after="0"/>
        <w:ind w:left="112" w:right="131" w:firstLine="1419"/>
        <w:jc w:val="both"/>
        <w:rPr>
          <w:sz w:val="24"/>
        </w:rPr>
      </w:pPr>
      <w:r>
        <w:rPr>
          <w:sz w:val="24"/>
        </w:rPr>
        <w:t>Brosseau L, Judd MG, Marchand S, Robinson VA, Tugwell P, Wells G, et al. Transcutaneous electrical nerve stimulation (TENS) for the treatment of rheumatoid arthritis in the hand. Cochrane Database Syst Rev.</w:t>
      </w:r>
      <w:r>
        <w:rPr>
          <w:spacing w:val="-1"/>
          <w:sz w:val="24"/>
        </w:rPr>
        <w:t> </w:t>
      </w:r>
      <w:r>
        <w:rPr>
          <w:sz w:val="24"/>
        </w:rPr>
        <w:t>2003(3):CD004377.</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Robinson V, Brosseau </w:t>
      </w:r>
      <w:r>
        <w:rPr>
          <w:spacing w:val="-3"/>
          <w:sz w:val="24"/>
        </w:rPr>
        <w:t>L, </w:t>
      </w:r>
      <w:r>
        <w:rPr>
          <w:sz w:val="24"/>
        </w:rPr>
        <w:t>Casimiro </w:t>
      </w:r>
      <w:r>
        <w:rPr>
          <w:spacing w:val="-3"/>
          <w:sz w:val="24"/>
        </w:rPr>
        <w:t>L, </w:t>
      </w:r>
      <w:r>
        <w:rPr>
          <w:sz w:val="24"/>
        </w:rPr>
        <w:t>Judd M, Shea B, Wells G, et al. Thermotherapy for treating rheumatoid arthritis. Cochrane Database Syst Rev.</w:t>
      </w:r>
      <w:r>
        <w:rPr>
          <w:spacing w:val="-6"/>
          <w:sz w:val="24"/>
        </w:rPr>
        <w:t> </w:t>
      </w:r>
      <w:r>
        <w:rPr>
          <w:sz w:val="24"/>
        </w:rPr>
        <w:t>2002(2):CD002826.</w:t>
      </w:r>
    </w:p>
    <w:p>
      <w:pPr>
        <w:pStyle w:val="ListParagraph"/>
        <w:numPr>
          <w:ilvl w:val="0"/>
          <w:numId w:val="32"/>
        </w:numPr>
        <w:tabs>
          <w:tab w:pos="1833" w:val="left" w:leader="none"/>
        </w:tabs>
        <w:spacing w:line="240" w:lineRule="auto" w:before="0" w:after="0"/>
        <w:ind w:left="112" w:right="130" w:firstLine="1419"/>
        <w:jc w:val="both"/>
        <w:rPr>
          <w:sz w:val="24"/>
        </w:rPr>
      </w:pPr>
      <w:r>
        <w:rPr>
          <w:sz w:val="24"/>
        </w:rPr>
        <w:t>Casimiro </w:t>
      </w:r>
      <w:r>
        <w:rPr>
          <w:spacing w:val="-3"/>
          <w:sz w:val="24"/>
        </w:rPr>
        <w:t>L, </w:t>
      </w:r>
      <w:r>
        <w:rPr>
          <w:sz w:val="24"/>
        </w:rPr>
        <w:t>Brosseau </w:t>
      </w:r>
      <w:r>
        <w:rPr>
          <w:spacing w:val="-3"/>
          <w:sz w:val="24"/>
        </w:rPr>
        <w:t>L, </w:t>
      </w:r>
      <w:r>
        <w:rPr>
          <w:sz w:val="24"/>
        </w:rPr>
        <w:t>Robinson V, Milne S, Judd M, Well G, et al. Therapeutic ultrasound for the treatment of rheumatoid arthritis. Cochrane Database Syst Rev.</w:t>
      </w:r>
      <w:r>
        <w:rPr>
          <w:spacing w:val="-10"/>
          <w:sz w:val="24"/>
        </w:rPr>
        <w:t> </w:t>
      </w:r>
      <w:r>
        <w:rPr>
          <w:sz w:val="24"/>
        </w:rPr>
        <w:t>2002(3):CD003787.</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2"/>
        </w:numPr>
        <w:tabs>
          <w:tab w:pos="1833" w:val="left" w:leader="none"/>
        </w:tabs>
        <w:spacing w:line="240" w:lineRule="auto" w:before="90" w:after="0"/>
        <w:ind w:left="112" w:right="124" w:firstLine="1419"/>
        <w:jc w:val="both"/>
        <w:rPr>
          <w:sz w:val="24"/>
        </w:rPr>
      </w:pPr>
      <w:r>
        <w:rPr>
          <w:sz w:val="24"/>
        </w:rPr>
        <w:t>Brosseau LU, Pelland LU, Casimiro LY, Robinson VI, Tugwell PE, Wells GE. Electrical stimulation for the treatment of rheumatoid arthritis. Cochrane Database Syst</w:t>
      </w:r>
      <w:r>
        <w:rPr>
          <w:spacing w:val="30"/>
          <w:sz w:val="24"/>
        </w:rPr>
        <w:t> </w:t>
      </w:r>
      <w:r>
        <w:rPr>
          <w:sz w:val="24"/>
        </w:rPr>
        <w:t>Rev. 2002(2):CD003687.</w:t>
      </w:r>
    </w:p>
    <w:p>
      <w:pPr>
        <w:pStyle w:val="ListParagraph"/>
        <w:numPr>
          <w:ilvl w:val="0"/>
          <w:numId w:val="32"/>
        </w:numPr>
        <w:tabs>
          <w:tab w:pos="1833" w:val="left" w:leader="none"/>
        </w:tabs>
        <w:spacing w:line="240" w:lineRule="auto" w:before="0" w:after="0"/>
        <w:ind w:left="112" w:right="124" w:firstLine="1419"/>
        <w:jc w:val="both"/>
        <w:rPr>
          <w:sz w:val="24"/>
        </w:rPr>
      </w:pPr>
      <w:r>
        <w:rPr>
          <w:sz w:val="24"/>
        </w:rPr>
        <w:t>Knittle K, Maes S, de Gucht V. Psychological interventions for rheumatoid arthritis: examining the role of self-regulation with a systematic review and meta-analysis of randomized controlled trials. Arthritis Care Res (Hoboken). 2010</w:t>
      </w:r>
      <w:r>
        <w:rPr>
          <w:spacing w:val="-3"/>
          <w:sz w:val="24"/>
        </w:rPr>
        <w:t> </w:t>
      </w:r>
      <w:r>
        <w:rPr>
          <w:sz w:val="24"/>
        </w:rPr>
        <w:t>Oct;62(10):1460-72.</w:t>
      </w:r>
    </w:p>
    <w:p>
      <w:pPr>
        <w:pStyle w:val="ListParagraph"/>
        <w:numPr>
          <w:ilvl w:val="0"/>
          <w:numId w:val="32"/>
        </w:numPr>
        <w:tabs>
          <w:tab w:pos="1833" w:val="left" w:leader="none"/>
        </w:tabs>
        <w:spacing w:line="240" w:lineRule="auto" w:before="0" w:after="0"/>
        <w:ind w:left="112" w:right="132" w:firstLine="1419"/>
        <w:jc w:val="both"/>
        <w:rPr>
          <w:sz w:val="24"/>
        </w:rPr>
      </w:pPr>
      <w:r>
        <w:rPr>
          <w:sz w:val="24"/>
        </w:rPr>
        <w:t>Dissanayake RK, Bertouch JV. Psychosocial interventions as adjunct therapy for patients with rheumatoid arthritis: a systematic review. Int J Rheum Dis. 2010</w:t>
      </w:r>
      <w:r>
        <w:rPr>
          <w:spacing w:val="-4"/>
          <w:sz w:val="24"/>
        </w:rPr>
        <w:t> </w:t>
      </w:r>
      <w:r>
        <w:rPr>
          <w:sz w:val="24"/>
        </w:rPr>
        <w:t>Oct;13(4):324-34.</w:t>
      </w:r>
    </w:p>
    <w:p>
      <w:pPr>
        <w:pStyle w:val="ListParagraph"/>
        <w:numPr>
          <w:ilvl w:val="0"/>
          <w:numId w:val="32"/>
        </w:numPr>
        <w:tabs>
          <w:tab w:pos="1833" w:val="left" w:leader="none"/>
        </w:tabs>
        <w:spacing w:line="240" w:lineRule="auto" w:before="0" w:after="0"/>
        <w:ind w:left="112" w:right="129" w:firstLine="1419"/>
        <w:jc w:val="both"/>
        <w:rPr>
          <w:sz w:val="24"/>
        </w:rPr>
      </w:pPr>
      <w:r>
        <w:rPr>
          <w:sz w:val="24"/>
        </w:rPr>
        <w:t>Wolfs JF, Kloppenburg M, Fehlings MG, van Tulder MW, Boers M, Peul WC. Neurologic outcome of surgical and conservative treatment of rheumatoid cervical spine subluxation: a systematic review. Arthritis Rheum. 2009 Dec</w:t>
      </w:r>
      <w:r>
        <w:rPr>
          <w:spacing w:val="-2"/>
          <w:sz w:val="24"/>
        </w:rPr>
        <w:t> </w:t>
      </w:r>
      <w:r>
        <w:rPr>
          <w:sz w:val="24"/>
        </w:rPr>
        <w:t>15;61(12):1743-52.</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Jacobs WC, Clement DJ, Wymenga AB. Retention versus sacrifice of the posterior cruciate ligament in total knee replacement for treatment of osteoarthritis and rheumatoid arthritis. Cochrane Database Syst Rev.</w:t>
      </w:r>
      <w:r>
        <w:rPr>
          <w:spacing w:val="-1"/>
          <w:sz w:val="24"/>
        </w:rPr>
        <w:t> </w:t>
      </w:r>
      <w:r>
        <w:rPr>
          <w:sz w:val="24"/>
        </w:rPr>
        <w:t>2005(4):CD004803.</w:t>
      </w:r>
    </w:p>
    <w:p>
      <w:pPr>
        <w:pStyle w:val="ListParagraph"/>
        <w:numPr>
          <w:ilvl w:val="0"/>
          <w:numId w:val="32"/>
        </w:numPr>
        <w:tabs>
          <w:tab w:pos="1833" w:val="left" w:leader="none"/>
        </w:tabs>
        <w:spacing w:line="240" w:lineRule="auto" w:before="1" w:after="0"/>
        <w:ind w:left="112" w:right="127" w:firstLine="1419"/>
        <w:jc w:val="both"/>
        <w:rPr>
          <w:sz w:val="24"/>
        </w:rPr>
      </w:pPr>
      <w:r>
        <w:rPr>
          <w:sz w:val="24"/>
        </w:rPr>
        <w:t>Jacobs W, Anderson P, Limbeek J, Wymenga A. Mobile bearing vs fixed bearing prostheses for total knee arthroplasty for post-operative functional status in patients with osteoarthritis and rheumatoid arthritis. Cochrane Database Syst Rev. 2004(2):CD003130.</w:t>
      </w:r>
    </w:p>
    <w:p>
      <w:pPr>
        <w:pStyle w:val="ListParagraph"/>
        <w:numPr>
          <w:ilvl w:val="0"/>
          <w:numId w:val="32"/>
        </w:numPr>
        <w:tabs>
          <w:tab w:pos="1833" w:val="left" w:leader="none"/>
        </w:tabs>
        <w:spacing w:line="240" w:lineRule="auto" w:before="0" w:after="0"/>
        <w:ind w:left="112" w:right="132" w:firstLine="1419"/>
        <w:jc w:val="both"/>
        <w:rPr>
          <w:sz w:val="24"/>
        </w:rPr>
      </w:pPr>
      <w:r>
        <w:rPr>
          <w:sz w:val="24"/>
        </w:rPr>
        <w:t>Wang C, de Pablo P, Chen X, Schmid C, McAlindon T. Acupuncture for pain relief in patients with rheumatoid arthritis: a systematic review. Arthritis Rheum. 2008 Sep</w:t>
      </w:r>
      <w:r>
        <w:rPr>
          <w:spacing w:val="-5"/>
          <w:sz w:val="24"/>
        </w:rPr>
        <w:t> </w:t>
      </w:r>
      <w:r>
        <w:rPr>
          <w:sz w:val="24"/>
        </w:rPr>
        <w:t>15;59(9):1249-56.</w:t>
      </w:r>
    </w:p>
    <w:p>
      <w:pPr>
        <w:pStyle w:val="ListParagraph"/>
        <w:numPr>
          <w:ilvl w:val="0"/>
          <w:numId w:val="32"/>
        </w:numPr>
        <w:tabs>
          <w:tab w:pos="1834" w:val="left" w:leader="none"/>
        </w:tabs>
        <w:spacing w:line="240" w:lineRule="auto" w:before="0" w:after="0"/>
        <w:ind w:left="1834" w:right="0" w:hanging="303"/>
        <w:jc w:val="left"/>
        <w:rPr>
          <w:sz w:val="24"/>
        </w:rPr>
      </w:pPr>
      <w:r>
        <w:rPr>
          <w:sz w:val="24"/>
        </w:rPr>
        <w:t>Lee</w:t>
      </w:r>
      <w:r>
        <w:rPr>
          <w:spacing w:val="14"/>
          <w:sz w:val="24"/>
        </w:rPr>
        <w:t> </w:t>
      </w:r>
      <w:r>
        <w:rPr>
          <w:sz w:val="24"/>
        </w:rPr>
        <w:t>MS,</w:t>
      </w:r>
      <w:r>
        <w:rPr>
          <w:spacing w:val="16"/>
          <w:sz w:val="24"/>
        </w:rPr>
        <w:t> </w:t>
      </w:r>
      <w:r>
        <w:rPr>
          <w:sz w:val="24"/>
        </w:rPr>
        <w:t>Shin</w:t>
      </w:r>
      <w:r>
        <w:rPr>
          <w:spacing w:val="16"/>
          <w:sz w:val="24"/>
        </w:rPr>
        <w:t> </w:t>
      </w:r>
      <w:r>
        <w:rPr>
          <w:sz w:val="24"/>
        </w:rPr>
        <w:t>BC,</w:t>
      </w:r>
      <w:r>
        <w:rPr>
          <w:spacing w:val="16"/>
          <w:sz w:val="24"/>
        </w:rPr>
        <w:t> </w:t>
      </w:r>
      <w:r>
        <w:rPr>
          <w:sz w:val="24"/>
        </w:rPr>
        <w:t>Ernst</w:t>
      </w:r>
      <w:r>
        <w:rPr>
          <w:spacing w:val="16"/>
          <w:sz w:val="24"/>
        </w:rPr>
        <w:t> </w:t>
      </w:r>
      <w:r>
        <w:rPr>
          <w:sz w:val="24"/>
        </w:rPr>
        <w:t>E.</w:t>
      </w:r>
      <w:r>
        <w:rPr>
          <w:spacing w:val="16"/>
          <w:sz w:val="24"/>
        </w:rPr>
        <w:t> </w:t>
      </w:r>
      <w:r>
        <w:rPr>
          <w:sz w:val="24"/>
        </w:rPr>
        <w:t>Acupuncture</w:t>
      </w:r>
      <w:r>
        <w:rPr>
          <w:spacing w:val="14"/>
          <w:sz w:val="24"/>
        </w:rPr>
        <w:t> </w:t>
      </w:r>
      <w:r>
        <w:rPr>
          <w:sz w:val="24"/>
        </w:rPr>
        <w:t>for</w:t>
      </w:r>
      <w:r>
        <w:rPr>
          <w:spacing w:val="15"/>
          <w:sz w:val="24"/>
        </w:rPr>
        <w:t> </w:t>
      </w:r>
      <w:r>
        <w:rPr>
          <w:sz w:val="24"/>
        </w:rPr>
        <w:t>rheumatoid</w:t>
      </w:r>
      <w:r>
        <w:rPr>
          <w:spacing w:val="16"/>
          <w:sz w:val="24"/>
        </w:rPr>
        <w:t> </w:t>
      </w:r>
      <w:r>
        <w:rPr>
          <w:sz w:val="24"/>
        </w:rPr>
        <w:t>arthritis:</w:t>
      </w:r>
      <w:r>
        <w:rPr>
          <w:spacing w:val="17"/>
          <w:sz w:val="24"/>
        </w:rPr>
        <w:t> </w:t>
      </w:r>
      <w:r>
        <w:rPr>
          <w:sz w:val="24"/>
        </w:rPr>
        <w:t>a</w:t>
      </w:r>
      <w:r>
        <w:rPr>
          <w:spacing w:val="15"/>
          <w:sz w:val="24"/>
        </w:rPr>
        <w:t> </w:t>
      </w:r>
      <w:r>
        <w:rPr>
          <w:sz w:val="24"/>
        </w:rPr>
        <w:t>systematic</w:t>
      </w:r>
      <w:r>
        <w:rPr>
          <w:spacing w:val="14"/>
          <w:sz w:val="24"/>
        </w:rPr>
        <w:t> </w:t>
      </w:r>
      <w:r>
        <w:rPr>
          <w:sz w:val="24"/>
        </w:rPr>
        <w:t>review.</w:t>
      </w:r>
    </w:p>
    <w:p>
      <w:pPr>
        <w:pStyle w:val="BodyText"/>
      </w:pPr>
      <w:r>
        <w:rPr/>
        <w:t>Rheumatology (Oxford). 2008 Dec;47(12):1747-53.</w:t>
      </w:r>
    </w:p>
    <w:p>
      <w:pPr>
        <w:pStyle w:val="ListParagraph"/>
        <w:numPr>
          <w:ilvl w:val="0"/>
          <w:numId w:val="32"/>
        </w:numPr>
        <w:tabs>
          <w:tab w:pos="1833" w:val="left" w:leader="none"/>
        </w:tabs>
        <w:spacing w:line="240" w:lineRule="auto" w:before="0" w:after="0"/>
        <w:ind w:left="112" w:right="128" w:firstLine="1419"/>
        <w:jc w:val="both"/>
        <w:rPr>
          <w:sz w:val="24"/>
        </w:rPr>
      </w:pPr>
      <w:r>
        <w:rPr>
          <w:sz w:val="24"/>
        </w:rPr>
        <w:t>Casimiro </w:t>
      </w:r>
      <w:r>
        <w:rPr>
          <w:spacing w:val="-3"/>
          <w:sz w:val="24"/>
        </w:rPr>
        <w:t>L, </w:t>
      </w:r>
      <w:r>
        <w:rPr>
          <w:sz w:val="24"/>
        </w:rPr>
        <w:t>Barnsley L, Brosseau L, Milne S, Robinson VA, Tugwell P, et al. Acupuncture and electroacupuncture for the treatment of rheumatoid arthritis. Cochrane Database Syst Rev.</w:t>
      </w:r>
      <w:r>
        <w:rPr>
          <w:spacing w:val="-1"/>
          <w:sz w:val="24"/>
        </w:rPr>
        <w:t> </w:t>
      </w:r>
      <w:r>
        <w:rPr>
          <w:sz w:val="24"/>
        </w:rPr>
        <w:t>2005(4):CD003788.</w:t>
      </w:r>
    </w:p>
    <w:p>
      <w:pPr>
        <w:pStyle w:val="ListParagraph"/>
        <w:numPr>
          <w:ilvl w:val="0"/>
          <w:numId w:val="32"/>
        </w:numPr>
        <w:tabs>
          <w:tab w:pos="1833" w:val="left" w:leader="none"/>
        </w:tabs>
        <w:spacing w:line="240" w:lineRule="auto" w:before="0" w:after="0"/>
        <w:ind w:left="112" w:right="127" w:firstLine="1419"/>
        <w:jc w:val="both"/>
        <w:rPr>
          <w:sz w:val="24"/>
        </w:rPr>
      </w:pPr>
      <w:r>
        <w:rPr>
          <w:sz w:val="24"/>
        </w:rPr>
        <w:t>Macfarlane GJ, El-Metwally A, De Silva V, Ernst E, Dowds GL, Moots RJ. Evidence for the efficacy of complementary and alternative medicines in the management of rheumatoid arthritis: a systematic review. Rheumatology (Oxford). 2011</w:t>
      </w:r>
      <w:r>
        <w:rPr>
          <w:spacing w:val="-4"/>
          <w:sz w:val="24"/>
        </w:rPr>
        <w:t> </w:t>
      </w:r>
      <w:r>
        <w:rPr>
          <w:sz w:val="24"/>
        </w:rPr>
        <w:t>Sep;50(9):1672-83.</w:t>
      </w:r>
    </w:p>
    <w:p>
      <w:pPr>
        <w:pStyle w:val="ListParagraph"/>
        <w:numPr>
          <w:ilvl w:val="0"/>
          <w:numId w:val="32"/>
        </w:numPr>
        <w:tabs>
          <w:tab w:pos="1833" w:val="left" w:leader="none"/>
        </w:tabs>
        <w:spacing w:line="240" w:lineRule="auto" w:before="0" w:after="0"/>
        <w:ind w:left="112" w:right="131" w:firstLine="1419"/>
        <w:jc w:val="both"/>
        <w:rPr>
          <w:sz w:val="24"/>
        </w:rPr>
      </w:pPr>
      <w:r>
        <w:rPr>
          <w:sz w:val="24"/>
        </w:rPr>
        <w:t>Haaz S, Bartlett SJ. Yoga for Arthritis: A Scoping Review. Rheumatic Disease Clinics of North America.</w:t>
      </w:r>
      <w:r>
        <w:rPr>
          <w:spacing w:val="-1"/>
          <w:sz w:val="24"/>
        </w:rPr>
        <w:t> </w:t>
      </w:r>
      <w:r>
        <w:rPr>
          <w:sz w:val="24"/>
        </w:rPr>
        <w:t>2011;37(1):33-46.</w:t>
      </w:r>
    </w:p>
    <w:p>
      <w:pPr>
        <w:pStyle w:val="ListParagraph"/>
        <w:numPr>
          <w:ilvl w:val="0"/>
          <w:numId w:val="32"/>
        </w:numPr>
        <w:tabs>
          <w:tab w:pos="1833" w:val="left" w:leader="none"/>
        </w:tabs>
        <w:spacing w:line="240" w:lineRule="auto" w:before="0" w:after="0"/>
        <w:ind w:left="112" w:right="120" w:firstLine="1419"/>
        <w:jc w:val="both"/>
        <w:rPr>
          <w:sz w:val="24"/>
        </w:rPr>
      </w:pPr>
      <w:r>
        <w:rPr>
          <w:sz w:val="24"/>
        </w:rPr>
        <w:t>Ernst E, Posadzki P. Complementary and alternative medicine for rheumatoid arthritis and osteoarthritis: an overview of systematic reviews. Curr Pain Headache Rep. 2011</w:t>
      </w:r>
      <w:r>
        <w:rPr>
          <w:spacing w:val="-10"/>
          <w:sz w:val="24"/>
        </w:rPr>
        <w:t> </w:t>
      </w:r>
      <w:r>
        <w:rPr>
          <w:sz w:val="24"/>
        </w:rPr>
        <w:t>Dec;15(6):431-7.</w:t>
      </w:r>
    </w:p>
    <w:p>
      <w:pPr>
        <w:pStyle w:val="ListParagraph"/>
        <w:numPr>
          <w:ilvl w:val="0"/>
          <w:numId w:val="32"/>
        </w:numPr>
        <w:tabs>
          <w:tab w:pos="1833" w:val="left" w:leader="none"/>
        </w:tabs>
        <w:spacing w:line="240" w:lineRule="auto" w:before="0" w:after="0"/>
        <w:ind w:left="112" w:right="0" w:firstLine="1419"/>
        <w:jc w:val="left"/>
        <w:rPr>
          <w:sz w:val="24"/>
        </w:rPr>
      </w:pPr>
      <w:r>
        <w:rPr>
          <w:sz w:val="24"/>
        </w:rPr>
        <w:t>Cameron</w:t>
      </w:r>
      <w:r>
        <w:rPr>
          <w:spacing w:val="15"/>
          <w:sz w:val="24"/>
        </w:rPr>
        <w:t> </w:t>
      </w:r>
      <w:r>
        <w:rPr>
          <w:sz w:val="24"/>
        </w:rPr>
        <w:t>M,</w:t>
      </w:r>
      <w:r>
        <w:rPr>
          <w:spacing w:val="15"/>
          <w:sz w:val="24"/>
        </w:rPr>
        <w:t> </w:t>
      </w:r>
      <w:r>
        <w:rPr>
          <w:sz w:val="24"/>
        </w:rPr>
        <w:t>Gagnier</w:t>
      </w:r>
      <w:r>
        <w:rPr>
          <w:spacing w:val="17"/>
          <w:sz w:val="24"/>
        </w:rPr>
        <w:t> </w:t>
      </w:r>
      <w:r>
        <w:rPr>
          <w:sz w:val="24"/>
        </w:rPr>
        <w:t>JJ,</w:t>
      </w:r>
      <w:r>
        <w:rPr>
          <w:spacing w:val="15"/>
          <w:sz w:val="24"/>
        </w:rPr>
        <w:t> </w:t>
      </w:r>
      <w:r>
        <w:rPr>
          <w:sz w:val="24"/>
        </w:rPr>
        <w:t>Chrubasik</w:t>
      </w:r>
      <w:r>
        <w:rPr>
          <w:spacing w:val="16"/>
          <w:sz w:val="24"/>
        </w:rPr>
        <w:t> </w:t>
      </w:r>
      <w:r>
        <w:rPr>
          <w:sz w:val="24"/>
        </w:rPr>
        <w:t>S.</w:t>
      </w:r>
      <w:r>
        <w:rPr>
          <w:spacing w:val="16"/>
          <w:sz w:val="24"/>
        </w:rPr>
        <w:t> </w:t>
      </w:r>
      <w:r>
        <w:rPr>
          <w:sz w:val="24"/>
        </w:rPr>
        <w:t>Herbal</w:t>
      </w:r>
      <w:r>
        <w:rPr>
          <w:spacing w:val="16"/>
          <w:sz w:val="24"/>
        </w:rPr>
        <w:t> </w:t>
      </w:r>
      <w:r>
        <w:rPr>
          <w:sz w:val="24"/>
        </w:rPr>
        <w:t>therapy</w:t>
      </w:r>
      <w:r>
        <w:rPr>
          <w:spacing w:val="13"/>
          <w:sz w:val="24"/>
        </w:rPr>
        <w:t> </w:t>
      </w:r>
      <w:r>
        <w:rPr>
          <w:sz w:val="24"/>
        </w:rPr>
        <w:t>for</w:t>
      </w:r>
      <w:r>
        <w:rPr>
          <w:spacing w:val="15"/>
          <w:sz w:val="24"/>
        </w:rPr>
        <w:t> </w:t>
      </w:r>
      <w:r>
        <w:rPr>
          <w:sz w:val="24"/>
        </w:rPr>
        <w:t>treating</w:t>
      </w:r>
      <w:r>
        <w:rPr>
          <w:spacing w:val="13"/>
          <w:sz w:val="24"/>
        </w:rPr>
        <w:t> </w:t>
      </w:r>
      <w:r>
        <w:rPr>
          <w:sz w:val="24"/>
        </w:rPr>
        <w:t>rheumatoid</w:t>
      </w:r>
      <w:r>
        <w:rPr>
          <w:spacing w:val="16"/>
          <w:sz w:val="24"/>
        </w:rPr>
        <w:t> </w:t>
      </w:r>
      <w:r>
        <w:rPr>
          <w:sz w:val="24"/>
        </w:rPr>
        <w:t>arthritis.</w:t>
      </w:r>
    </w:p>
    <w:p>
      <w:pPr>
        <w:pStyle w:val="BodyText"/>
      </w:pPr>
      <w:r>
        <w:rPr/>
        <w:t>Cochrane Database Syst Rev. 2011(2):CD002948.</w:t>
      </w:r>
    </w:p>
    <w:p>
      <w:pPr>
        <w:pStyle w:val="ListParagraph"/>
        <w:numPr>
          <w:ilvl w:val="0"/>
          <w:numId w:val="32"/>
        </w:numPr>
        <w:tabs>
          <w:tab w:pos="1834" w:val="left" w:leader="none"/>
        </w:tabs>
        <w:spacing w:line="240" w:lineRule="auto" w:before="0" w:after="0"/>
        <w:ind w:left="1834" w:right="0" w:hanging="303"/>
        <w:jc w:val="left"/>
        <w:rPr>
          <w:sz w:val="24"/>
        </w:rPr>
      </w:pPr>
      <w:r>
        <w:rPr>
          <w:sz w:val="24"/>
        </w:rPr>
        <w:t>Lee MS, Pittler MH, Ernst E. Tai chi for rheumatoid arthritis: Systematic</w:t>
      </w:r>
      <w:r>
        <w:rPr>
          <w:spacing w:val="8"/>
          <w:sz w:val="24"/>
        </w:rPr>
        <w:t> </w:t>
      </w:r>
      <w:r>
        <w:rPr>
          <w:sz w:val="24"/>
        </w:rPr>
        <w:t>review.</w:t>
      </w:r>
    </w:p>
    <w:p>
      <w:pPr>
        <w:pStyle w:val="BodyText"/>
      </w:pPr>
      <w:r>
        <w:rPr/>
        <w:t>Rheumatology. 2007;46(11):1648-51.</w:t>
      </w:r>
    </w:p>
    <w:p>
      <w:pPr>
        <w:pStyle w:val="ListParagraph"/>
        <w:numPr>
          <w:ilvl w:val="0"/>
          <w:numId w:val="32"/>
        </w:numPr>
        <w:tabs>
          <w:tab w:pos="1833" w:val="left" w:leader="none"/>
        </w:tabs>
        <w:spacing w:line="240" w:lineRule="auto" w:before="0" w:after="0"/>
        <w:ind w:left="112" w:right="0" w:firstLine="1419"/>
        <w:jc w:val="left"/>
        <w:rPr>
          <w:sz w:val="24"/>
        </w:rPr>
      </w:pPr>
      <w:r>
        <w:rPr>
          <w:sz w:val="24"/>
        </w:rPr>
        <w:t>Park J, Ernst E. Ayurvedic medicine for rheumatoid arthritis: a systematic</w:t>
      </w:r>
      <w:r>
        <w:rPr>
          <w:spacing w:val="-10"/>
          <w:sz w:val="24"/>
        </w:rPr>
        <w:t> </w:t>
      </w:r>
      <w:r>
        <w:rPr>
          <w:sz w:val="24"/>
        </w:rPr>
        <w:t>review.</w:t>
      </w:r>
    </w:p>
    <w:p>
      <w:pPr>
        <w:pStyle w:val="BodyText"/>
      </w:pPr>
      <w:r>
        <w:rPr/>
        <w:t>Semin Arthritis Rheum. 2005 Apr;34(5):705-13.</w:t>
      </w:r>
    </w:p>
    <w:p>
      <w:pPr>
        <w:pStyle w:val="ListParagraph"/>
        <w:numPr>
          <w:ilvl w:val="0"/>
          <w:numId w:val="32"/>
        </w:numPr>
        <w:tabs>
          <w:tab w:pos="1833" w:val="left" w:leader="none"/>
        </w:tabs>
        <w:spacing w:line="240" w:lineRule="auto" w:before="1" w:after="0"/>
        <w:ind w:left="112" w:right="128" w:firstLine="1419"/>
        <w:jc w:val="both"/>
        <w:rPr>
          <w:sz w:val="24"/>
        </w:rPr>
      </w:pPr>
      <w:r>
        <w:rPr>
          <w:sz w:val="24"/>
        </w:rPr>
        <w:t>Christie A, Fongen C. Tai Chi may be safe through ineffective for rheumatoid arthritis: Commentary. Australian Journal of Physiotherapy. 2005;51(4):267.</w:t>
      </w:r>
    </w:p>
    <w:p>
      <w:pPr>
        <w:pStyle w:val="ListParagraph"/>
        <w:numPr>
          <w:ilvl w:val="0"/>
          <w:numId w:val="32"/>
        </w:numPr>
        <w:tabs>
          <w:tab w:pos="1953" w:val="left" w:leader="none"/>
        </w:tabs>
        <w:spacing w:line="240" w:lineRule="auto" w:before="0" w:after="0"/>
        <w:ind w:left="112" w:right="127" w:firstLine="1419"/>
        <w:jc w:val="both"/>
        <w:rPr>
          <w:sz w:val="24"/>
        </w:rPr>
      </w:pPr>
      <w:r>
        <w:rPr>
          <w:sz w:val="24"/>
        </w:rPr>
        <w:t>Brosseau L, Robinson V, Wells G, Debie R, Gam A, Harman K, et al. Low level laser therapy (Classes I, II and III) for treating rheumatoid arthritis. Cochrane Database Syst Rev. 2005(4):CD002049.</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Han A, Robinson V, Judd M, Taixiang W, Wells G, Tugwell P. Tai chi for treating rheumatoid arthritis. Cochrane Database Syst Rev.</w:t>
      </w:r>
      <w:r>
        <w:rPr>
          <w:spacing w:val="-1"/>
          <w:sz w:val="24"/>
        </w:rPr>
        <w:t> </w:t>
      </w:r>
      <w:r>
        <w:rPr>
          <w:sz w:val="24"/>
        </w:rPr>
        <w:t>2004(3):CD004849.</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Brien S, Lachance L, Lewith GT. Are the therapeutic effects of homeopathy attributed to</w:t>
      </w:r>
      <w:r>
        <w:rPr>
          <w:spacing w:val="10"/>
          <w:sz w:val="24"/>
        </w:rPr>
        <w:t> </w:t>
      </w:r>
      <w:r>
        <w:rPr>
          <w:sz w:val="24"/>
        </w:rPr>
        <w:t>the</w:t>
      </w:r>
      <w:r>
        <w:rPr>
          <w:spacing w:val="10"/>
          <w:sz w:val="24"/>
        </w:rPr>
        <w:t> </w:t>
      </w:r>
      <w:r>
        <w:rPr>
          <w:sz w:val="24"/>
        </w:rPr>
        <w:t>consultation,</w:t>
      </w:r>
      <w:r>
        <w:rPr>
          <w:spacing w:val="8"/>
          <w:sz w:val="24"/>
        </w:rPr>
        <w:t> </w:t>
      </w:r>
      <w:r>
        <w:rPr>
          <w:sz w:val="24"/>
        </w:rPr>
        <w:t>the</w:t>
      </w:r>
      <w:r>
        <w:rPr>
          <w:spacing w:val="10"/>
          <w:sz w:val="24"/>
        </w:rPr>
        <w:t> </w:t>
      </w:r>
      <w:r>
        <w:rPr>
          <w:sz w:val="24"/>
        </w:rPr>
        <w:t>homeopathic</w:t>
      </w:r>
      <w:r>
        <w:rPr>
          <w:spacing w:val="9"/>
          <w:sz w:val="24"/>
        </w:rPr>
        <w:t> </w:t>
      </w:r>
      <w:r>
        <w:rPr>
          <w:sz w:val="24"/>
        </w:rPr>
        <w:t>remedy,</w:t>
      </w:r>
      <w:r>
        <w:rPr>
          <w:spacing w:val="10"/>
          <w:sz w:val="24"/>
        </w:rPr>
        <w:t> </w:t>
      </w:r>
      <w:r>
        <w:rPr>
          <w:sz w:val="24"/>
        </w:rPr>
        <w:t>or</w:t>
      </w:r>
      <w:r>
        <w:rPr>
          <w:spacing w:val="10"/>
          <w:sz w:val="24"/>
        </w:rPr>
        <w:t> </w:t>
      </w:r>
      <w:r>
        <w:rPr>
          <w:sz w:val="24"/>
        </w:rPr>
        <w:t>both?</w:t>
      </w:r>
      <w:r>
        <w:rPr>
          <w:spacing w:val="13"/>
          <w:sz w:val="24"/>
        </w:rPr>
        <w:t> </w:t>
      </w:r>
      <w:r>
        <w:rPr>
          <w:sz w:val="24"/>
        </w:rPr>
        <w:t>A</w:t>
      </w:r>
      <w:r>
        <w:rPr>
          <w:spacing w:val="7"/>
          <w:sz w:val="24"/>
        </w:rPr>
        <w:t> </w:t>
      </w:r>
      <w:r>
        <w:rPr>
          <w:sz w:val="24"/>
        </w:rPr>
        <w:t>protocol</w:t>
      </w:r>
      <w:r>
        <w:rPr>
          <w:spacing w:val="11"/>
          <w:sz w:val="24"/>
        </w:rPr>
        <w:t> </w:t>
      </w:r>
      <w:r>
        <w:rPr>
          <w:sz w:val="24"/>
        </w:rPr>
        <w:t>for</w:t>
      </w:r>
      <w:r>
        <w:rPr>
          <w:spacing w:val="9"/>
          <w:sz w:val="24"/>
        </w:rPr>
        <w:t> </w:t>
      </w:r>
      <w:r>
        <w:rPr>
          <w:sz w:val="24"/>
        </w:rPr>
        <w:t>a</w:t>
      </w:r>
      <w:r>
        <w:rPr>
          <w:spacing w:val="9"/>
          <w:sz w:val="24"/>
        </w:rPr>
        <w:t> </w:t>
      </w:r>
      <w:r>
        <w:rPr>
          <w:sz w:val="24"/>
        </w:rPr>
        <w:t>future</w:t>
      </w:r>
      <w:r>
        <w:rPr>
          <w:spacing w:val="9"/>
          <w:sz w:val="24"/>
        </w:rPr>
        <w:t> </w:t>
      </w:r>
      <w:r>
        <w:rPr>
          <w:sz w:val="24"/>
        </w:rPr>
        <w:t>exploratory</w:t>
      </w:r>
      <w:r>
        <w:rPr>
          <w:spacing w:val="5"/>
          <w:sz w:val="24"/>
        </w:rPr>
        <w:t> </w:t>
      </w:r>
      <w:r>
        <w:rPr>
          <w:sz w:val="24"/>
        </w:rPr>
        <w:t>feasibility</w:t>
      </w:r>
      <w:r>
        <w:rPr>
          <w:spacing w:val="6"/>
          <w:sz w:val="24"/>
        </w:rPr>
        <w:t> </w:t>
      </w:r>
      <w:r>
        <w:rPr>
          <w:sz w:val="24"/>
        </w:rPr>
        <w:t>trial</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tabs>
          <w:tab w:pos="510" w:val="left" w:leader="none"/>
          <w:tab w:pos="1467" w:val="left" w:leader="none"/>
          <w:tab w:pos="2103" w:val="left" w:leader="none"/>
          <w:tab w:pos="3406" w:val="left" w:leader="none"/>
          <w:tab w:pos="4421" w:val="left" w:leader="none"/>
          <w:tab w:pos="5337" w:val="left" w:leader="none"/>
          <w:tab w:pos="5747" w:val="left" w:leader="none"/>
          <w:tab w:pos="7035" w:val="left" w:leader="none"/>
          <w:tab w:pos="7592" w:val="left" w:leader="none"/>
          <w:tab w:pos="9343" w:val="left" w:leader="none"/>
        </w:tabs>
        <w:spacing w:before="90"/>
        <w:ind w:right="124"/>
      </w:pPr>
      <w:r>
        <w:rPr/>
        <w:t>in</w:t>
        <w:tab/>
        <w:t>patients</w:t>
        <w:tab/>
        <w:t>with</w:t>
        <w:tab/>
        <w:t>rheumatoid</w:t>
        <w:tab/>
        <w:t>arthritis.</w:t>
        <w:tab/>
        <w:t>Journal</w:t>
        <w:tab/>
        <w:t>of</w:t>
        <w:tab/>
        <w:t>Alternative</w:t>
        <w:tab/>
        <w:t>and</w:t>
        <w:tab/>
        <w:t>Complementary</w:t>
        <w:tab/>
        <w:t>Medicine. 2004;10(3):499-502.</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Verhagen AP, Bierma-Zeinstra SM, Cardoso JR, de Bie RA, Boers M, de Vet HC. Balneotherapy for rheumatoid arthritis. Cochrane Database Syst Rev.</w:t>
      </w:r>
      <w:r>
        <w:rPr>
          <w:spacing w:val="-8"/>
          <w:sz w:val="24"/>
        </w:rPr>
        <w:t> </w:t>
      </w:r>
      <w:r>
        <w:rPr>
          <w:sz w:val="24"/>
        </w:rPr>
        <w:t>2003(4):CD000518.</w:t>
      </w:r>
    </w:p>
    <w:p>
      <w:pPr>
        <w:pStyle w:val="ListParagraph"/>
        <w:numPr>
          <w:ilvl w:val="0"/>
          <w:numId w:val="32"/>
        </w:numPr>
        <w:tabs>
          <w:tab w:pos="1953" w:val="left" w:leader="none"/>
        </w:tabs>
        <w:spacing w:line="240" w:lineRule="auto" w:before="0" w:after="0"/>
        <w:ind w:left="112" w:right="124" w:firstLine="1419"/>
        <w:jc w:val="both"/>
        <w:rPr>
          <w:sz w:val="24"/>
        </w:rPr>
      </w:pPr>
      <w:r>
        <w:rPr>
          <w:sz w:val="24"/>
        </w:rPr>
        <w:t>Walach H. Homeopathy in rheumatoid arthritis - No evidence for its superiority to placebo. Forschende Komplementarmedizin und Klassische Naturheilkunde.</w:t>
      </w:r>
      <w:r>
        <w:rPr>
          <w:spacing w:val="-4"/>
          <w:sz w:val="24"/>
        </w:rPr>
        <w:t> </w:t>
      </w:r>
      <w:r>
        <w:rPr>
          <w:sz w:val="24"/>
        </w:rPr>
        <w:t>2002;9(6):363-5.</w:t>
      </w:r>
    </w:p>
    <w:p>
      <w:pPr>
        <w:pStyle w:val="ListParagraph"/>
        <w:numPr>
          <w:ilvl w:val="0"/>
          <w:numId w:val="32"/>
        </w:numPr>
        <w:tabs>
          <w:tab w:pos="1953" w:val="left" w:leader="none"/>
        </w:tabs>
        <w:spacing w:line="240" w:lineRule="auto" w:before="0" w:after="0"/>
        <w:ind w:left="112" w:right="126" w:firstLine="1419"/>
        <w:jc w:val="both"/>
        <w:rPr>
          <w:sz w:val="24"/>
        </w:rPr>
      </w:pPr>
      <w:r>
        <w:rPr>
          <w:sz w:val="24"/>
        </w:rPr>
        <w:t>van der Zant FM, Boer RO, Moolenburgh JD, Jahangier ZN, Bijlsma HJWJ, Jacobs HJWG. Radiation synovectomy with 90yttrium, 186rhenium and 169erbium: A systematic literature review with meta-analyses. Clinical and Experimental Rheumatology.</w:t>
      </w:r>
      <w:r>
        <w:rPr>
          <w:spacing w:val="-3"/>
          <w:sz w:val="24"/>
        </w:rPr>
        <w:t> </w:t>
      </w:r>
      <w:r>
        <w:rPr>
          <w:sz w:val="24"/>
        </w:rPr>
        <w:t>2009;27(1):130-9.</w:t>
      </w:r>
    </w:p>
    <w:p>
      <w:pPr>
        <w:pStyle w:val="ListParagraph"/>
        <w:numPr>
          <w:ilvl w:val="0"/>
          <w:numId w:val="32"/>
        </w:numPr>
        <w:tabs>
          <w:tab w:pos="1953" w:val="left" w:leader="none"/>
        </w:tabs>
        <w:spacing w:line="240" w:lineRule="auto" w:before="0" w:after="0"/>
        <w:ind w:left="112" w:right="128" w:firstLine="1419"/>
        <w:jc w:val="both"/>
        <w:rPr>
          <w:sz w:val="24"/>
        </w:rPr>
      </w:pPr>
      <w:r>
        <w:rPr>
          <w:sz w:val="24"/>
        </w:rPr>
        <w:t>Kampen WU, Voth M, Pinkert J, Krause A. Therapeutic status of radiosynoviorthesis of the knee with yttrium [90Y] colloid in rheumatoid arthritis and related indications. Rheumatology. 2007;46(1):16-24.</w:t>
      </w:r>
    </w:p>
    <w:p>
      <w:pPr>
        <w:pStyle w:val="ListParagraph"/>
        <w:numPr>
          <w:ilvl w:val="0"/>
          <w:numId w:val="32"/>
        </w:numPr>
        <w:tabs>
          <w:tab w:pos="1953" w:val="left" w:leader="none"/>
        </w:tabs>
        <w:spacing w:line="240" w:lineRule="auto" w:before="1" w:after="0"/>
        <w:ind w:left="112" w:right="133" w:firstLine="1419"/>
        <w:jc w:val="both"/>
        <w:rPr>
          <w:sz w:val="24"/>
        </w:rPr>
      </w:pPr>
      <w:r>
        <w:rPr>
          <w:sz w:val="24"/>
        </w:rPr>
        <w:t>Hagen KB, Byfuglien MG, Falzon L, Olsen SU, Smedslund G. Dietary interventions for rheumatoid arthritis. Cochrane Database Syst Rev.</w:t>
      </w:r>
      <w:r>
        <w:rPr>
          <w:spacing w:val="-3"/>
          <w:sz w:val="24"/>
        </w:rPr>
        <w:t> </w:t>
      </w:r>
      <w:r>
        <w:rPr>
          <w:sz w:val="24"/>
        </w:rPr>
        <w:t>2009(1):CD006400.</w:t>
      </w:r>
    </w:p>
    <w:p>
      <w:pPr>
        <w:pStyle w:val="ListParagraph"/>
        <w:numPr>
          <w:ilvl w:val="0"/>
          <w:numId w:val="32"/>
        </w:numPr>
        <w:tabs>
          <w:tab w:pos="1953" w:val="left" w:leader="none"/>
        </w:tabs>
        <w:spacing w:line="240" w:lineRule="auto" w:before="0" w:after="0"/>
        <w:ind w:left="112" w:right="123" w:firstLine="1419"/>
        <w:jc w:val="both"/>
        <w:rPr>
          <w:sz w:val="24"/>
        </w:rPr>
      </w:pPr>
      <w:r>
        <w:rPr>
          <w:sz w:val="24"/>
        </w:rPr>
        <w:t>Smolen JS, Landewe R, Breedveld FC, Dougados M, Emery P, Gaujoux-Viala C, et  al. EULAR recommendations for the management of rheumatoid arthritis with synthetic and biological disease-modifying antirheumatic drugs. Ann Rheum Dis. 2010</w:t>
      </w:r>
      <w:r>
        <w:rPr>
          <w:spacing w:val="-5"/>
          <w:sz w:val="24"/>
        </w:rPr>
        <w:t> </w:t>
      </w:r>
      <w:r>
        <w:rPr>
          <w:sz w:val="24"/>
        </w:rPr>
        <w:t>Jun;69(6):964-75.</w:t>
      </w:r>
    </w:p>
    <w:p>
      <w:pPr>
        <w:pStyle w:val="ListParagraph"/>
        <w:numPr>
          <w:ilvl w:val="0"/>
          <w:numId w:val="32"/>
        </w:numPr>
        <w:tabs>
          <w:tab w:pos="1953" w:val="left" w:leader="none"/>
        </w:tabs>
        <w:spacing w:line="240" w:lineRule="auto" w:before="0" w:after="0"/>
        <w:ind w:left="112" w:right="129" w:firstLine="1419"/>
        <w:jc w:val="both"/>
        <w:rPr>
          <w:sz w:val="24"/>
        </w:rPr>
      </w:pPr>
      <w:r>
        <w:rPr>
          <w:sz w:val="24"/>
        </w:rPr>
        <w:t>Furst DE, Keystone EC, Braun J, Breedveld FC, Burmester GR, De Benedetti F, et al. Updated consensus statement on biological agents for the treatment of rheumatic diseases, 2011. Ann Rheum Dis. 2012 Apr;71 Suppl</w:t>
      </w:r>
      <w:r>
        <w:rPr>
          <w:spacing w:val="-1"/>
          <w:sz w:val="24"/>
        </w:rPr>
        <w:t> </w:t>
      </w:r>
      <w:r>
        <w:rPr>
          <w:sz w:val="24"/>
        </w:rPr>
        <w:t>2:i2-45.</w:t>
      </w:r>
    </w:p>
    <w:p>
      <w:pPr>
        <w:pStyle w:val="ListParagraph"/>
        <w:numPr>
          <w:ilvl w:val="0"/>
          <w:numId w:val="32"/>
        </w:numPr>
        <w:tabs>
          <w:tab w:pos="1953" w:val="left" w:leader="none"/>
        </w:tabs>
        <w:spacing w:line="240" w:lineRule="auto" w:before="0" w:after="0"/>
        <w:ind w:left="112" w:right="121" w:firstLine="1419"/>
        <w:jc w:val="both"/>
        <w:rPr>
          <w:sz w:val="24"/>
        </w:rPr>
      </w:pPr>
      <w:r>
        <w:rPr>
          <w:sz w:val="24"/>
        </w:rPr>
        <w:t>Schoels M, Wong J, Scott DL, Zink A, Richards P, Landewe R, et al. Economic aspects of treatment options in rheumatoid arthritis: a systematic literature review informing the EULAR recommendations for the management of rheumatoid arthritis. Ann Rheum Dis. 2010 Jun;69(6):995- 1003.</w:t>
      </w:r>
    </w:p>
    <w:p>
      <w:pPr>
        <w:pStyle w:val="ListParagraph"/>
        <w:numPr>
          <w:ilvl w:val="0"/>
          <w:numId w:val="32"/>
        </w:numPr>
        <w:tabs>
          <w:tab w:pos="1953" w:val="left" w:leader="none"/>
        </w:tabs>
        <w:spacing w:line="240" w:lineRule="auto" w:before="0" w:after="0"/>
        <w:ind w:left="112" w:right="126" w:firstLine="1419"/>
        <w:jc w:val="both"/>
        <w:rPr>
          <w:sz w:val="24"/>
        </w:rPr>
      </w:pPr>
      <w:r>
        <w:rPr>
          <w:sz w:val="24"/>
        </w:rPr>
        <w:t>Hazlewood GS, Barnabe CCM, Tomlinson GA, Marshall D, Bombardier C. The comparative efficacy and toxicity of initial disease-modifying anti-rheumatic drug choices for patients with moderate-severe early rheumatoid arthritis: A bayesian network meta-analysis. Arthritis and Rheumatism.</w:t>
      </w:r>
      <w:r>
        <w:rPr>
          <w:spacing w:val="-1"/>
          <w:sz w:val="24"/>
        </w:rPr>
        <w:t> </w:t>
      </w:r>
      <w:r>
        <w:rPr>
          <w:sz w:val="24"/>
        </w:rPr>
        <w:t>2011;63(10).</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Fitzpatrick R, Buchan S. Optimising methotrexate therapy and reducing total treatment costs in rheumatoid arthritis. Rheumatology.</w:t>
      </w:r>
      <w:r>
        <w:rPr>
          <w:spacing w:val="-1"/>
          <w:sz w:val="24"/>
        </w:rPr>
        <w:t> </w:t>
      </w:r>
      <w:r>
        <w:rPr>
          <w:sz w:val="24"/>
        </w:rPr>
        <w:t>2011;50:iii66.</w:t>
      </w:r>
    </w:p>
    <w:p>
      <w:pPr>
        <w:pStyle w:val="ListParagraph"/>
        <w:numPr>
          <w:ilvl w:val="0"/>
          <w:numId w:val="32"/>
        </w:numPr>
        <w:tabs>
          <w:tab w:pos="1953" w:val="left" w:leader="none"/>
        </w:tabs>
        <w:spacing w:line="240" w:lineRule="auto" w:before="0" w:after="0"/>
        <w:ind w:left="112" w:right="126" w:firstLine="1419"/>
        <w:jc w:val="both"/>
        <w:rPr>
          <w:sz w:val="24"/>
        </w:rPr>
      </w:pPr>
      <w:r>
        <w:rPr>
          <w:sz w:val="24"/>
        </w:rPr>
        <w:t>Kuriya B, Arkema EV, Bykerk VP, Keystone EC. Efficacy of initial methotrexate monotherapy versus combination therapy with a biological agent in early rheumatoid arthritis: A meta- analysis of clinical and radiographic remission. Annals of the Rheumatic Diseases.</w:t>
      </w:r>
      <w:r>
        <w:rPr>
          <w:spacing w:val="-9"/>
          <w:sz w:val="24"/>
        </w:rPr>
        <w:t> </w:t>
      </w:r>
      <w:r>
        <w:rPr>
          <w:sz w:val="24"/>
        </w:rPr>
        <w:t>2010;69(7):1298-304.</w:t>
      </w:r>
    </w:p>
    <w:p>
      <w:pPr>
        <w:pStyle w:val="ListParagraph"/>
        <w:numPr>
          <w:ilvl w:val="0"/>
          <w:numId w:val="32"/>
        </w:numPr>
        <w:tabs>
          <w:tab w:pos="1953" w:val="left" w:leader="none"/>
        </w:tabs>
        <w:spacing w:line="240" w:lineRule="auto" w:before="0" w:after="0"/>
        <w:ind w:left="112" w:right="125" w:firstLine="1419"/>
        <w:jc w:val="both"/>
        <w:rPr>
          <w:sz w:val="24"/>
        </w:rPr>
      </w:pPr>
      <w:r>
        <w:rPr>
          <w:sz w:val="24"/>
        </w:rPr>
        <w:t>Knevel R, Schoels M, Huizinga TW, Aletaha D, Burmester GR, Combe B, et al. Current evidence for a strategic approach to the management of rheumatoid arthritis with disease- modifying antirheumatic drugs: a systematic literature review informing the EULAR recommendations for the management of rheumatoid arthritis. Ann Rheum Dis. 2010</w:t>
      </w:r>
      <w:r>
        <w:rPr>
          <w:spacing w:val="-4"/>
          <w:sz w:val="24"/>
        </w:rPr>
        <w:t> </w:t>
      </w:r>
      <w:r>
        <w:rPr>
          <w:sz w:val="24"/>
        </w:rPr>
        <w:t>Jun;69(6):987-94.</w:t>
      </w:r>
    </w:p>
    <w:p>
      <w:pPr>
        <w:pStyle w:val="ListParagraph"/>
        <w:numPr>
          <w:ilvl w:val="0"/>
          <w:numId w:val="32"/>
        </w:numPr>
        <w:tabs>
          <w:tab w:pos="1953" w:val="left" w:leader="none"/>
        </w:tabs>
        <w:spacing w:line="240" w:lineRule="auto" w:before="1" w:after="0"/>
        <w:ind w:left="112" w:right="122" w:firstLine="1419"/>
        <w:jc w:val="both"/>
        <w:rPr>
          <w:sz w:val="24"/>
        </w:rPr>
      </w:pPr>
      <w:r>
        <w:rPr>
          <w:sz w:val="24"/>
        </w:rPr>
        <w:t>Katchamart W, Trudeau J, Phumethum V, Bombardier C. Methotrexate monotherapy versus methotrexate combination therapy with non-biologic disease modifying anti-rheumatic drugs for rheumatoid arthritis. Cochrane Database Syst Rev.</w:t>
      </w:r>
      <w:r>
        <w:rPr>
          <w:spacing w:val="-1"/>
          <w:sz w:val="24"/>
        </w:rPr>
        <w:t> </w:t>
      </w:r>
      <w:r>
        <w:rPr>
          <w:sz w:val="24"/>
        </w:rPr>
        <w:t>2010(4):CD008495.</w:t>
      </w:r>
    </w:p>
    <w:p>
      <w:pPr>
        <w:pStyle w:val="ListParagraph"/>
        <w:numPr>
          <w:ilvl w:val="0"/>
          <w:numId w:val="32"/>
        </w:numPr>
        <w:tabs>
          <w:tab w:pos="1953" w:val="left" w:leader="none"/>
        </w:tabs>
        <w:spacing w:line="240" w:lineRule="auto" w:before="0" w:after="0"/>
        <w:ind w:left="112" w:right="127" w:firstLine="1419"/>
        <w:jc w:val="both"/>
        <w:rPr>
          <w:sz w:val="24"/>
        </w:rPr>
      </w:pPr>
      <w:r>
        <w:rPr>
          <w:sz w:val="24"/>
        </w:rPr>
        <w:t>Deighton C, O'Mahony R, Tosh J, Turner C, Rudolf M. Management of rheumatoid arthritis: summary of NICE guidance. BMJ.</w:t>
      </w:r>
      <w:r>
        <w:rPr>
          <w:spacing w:val="-5"/>
          <w:sz w:val="24"/>
        </w:rPr>
        <w:t> </w:t>
      </w:r>
      <w:r>
        <w:rPr>
          <w:sz w:val="24"/>
        </w:rPr>
        <w:t>2009;338:b702.</w:t>
      </w:r>
    </w:p>
    <w:p>
      <w:pPr>
        <w:pStyle w:val="ListParagraph"/>
        <w:numPr>
          <w:ilvl w:val="0"/>
          <w:numId w:val="32"/>
        </w:numPr>
        <w:tabs>
          <w:tab w:pos="1954" w:val="left" w:leader="none"/>
        </w:tabs>
        <w:spacing w:line="240" w:lineRule="auto" w:before="0" w:after="0"/>
        <w:ind w:left="112" w:right="124" w:firstLine="1419"/>
        <w:jc w:val="both"/>
        <w:rPr>
          <w:sz w:val="24"/>
        </w:rPr>
      </w:pPr>
      <w:r>
        <w:rPr>
          <w:sz w:val="24"/>
        </w:rPr>
        <w:t>Launois R, Le Moine JG, Huynh TMT. Mixed treatment comparison, cost- effectiveness analysis and budget impact model in the treatment of rheumatoid arthritis after failure of conventional DMARD therapy using comprehensive bayesian decision analytical modelling. Value in Health.</w:t>
      </w:r>
      <w:r>
        <w:rPr>
          <w:spacing w:val="-1"/>
          <w:sz w:val="24"/>
        </w:rPr>
        <w:t> </w:t>
      </w:r>
      <w:r>
        <w:rPr>
          <w:sz w:val="24"/>
        </w:rPr>
        <w:t>2012;15(4):A50.</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2"/>
        </w:numPr>
        <w:tabs>
          <w:tab w:pos="1953" w:val="left" w:leader="none"/>
        </w:tabs>
        <w:spacing w:line="240" w:lineRule="auto" w:before="90" w:after="0"/>
        <w:ind w:left="112" w:right="125" w:firstLine="1419"/>
        <w:jc w:val="both"/>
        <w:rPr>
          <w:sz w:val="24"/>
        </w:rPr>
      </w:pPr>
      <w:r>
        <w:rPr>
          <w:sz w:val="24"/>
        </w:rPr>
        <w:t>Katchamart W, Bombardier C. Systematic monitoring of disease activity using an outcome measure improves outcomes in rheumatoid arthritis. J Rheumatol. 2010</w:t>
      </w:r>
      <w:r>
        <w:rPr>
          <w:spacing w:val="-4"/>
          <w:sz w:val="24"/>
        </w:rPr>
        <w:t> </w:t>
      </w:r>
      <w:r>
        <w:rPr>
          <w:sz w:val="24"/>
        </w:rPr>
        <w:t>Jul;37(7):1411-5.</w:t>
      </w:r>
    </w:p>
    <w:p>
      <w:pPr>
        <w:pStyle w:val="ListParagraph"/>
        <w:numPr>
          <w:ilvl w:val="0"/>
          <w:numId w:val="32"/>
        </w:numPr>
        <w:tabs>
          <w:tab w:pos="1953" w:val="left" w:leader="none"/>
        </w:tabs>
        <w:spacing w:line="240" w:lineRule="auto" w:before="0" w:after="0"/>
        <w:ind w:left="112" w:right="126" w:firstLine="1419"/>
        <w:jc w:val="both"/>
        <w:rPr>
          <w:sz w:val="24"/>
        </w:rPr>
      </w:pPr>
      <w:r>
        <w:rPr>
          <w:sz w:val="24"/>
        </w:rPr>
        <w:t>Rubbert-Roth A, Finckh A. Treatment options in patients with rheumatoid arthritis failing initial TNF inhibitor therapy: a critical review. Arthritis Res Ther. 2009;11 Suppl</w:t>
      </w:r>
      <w:r>
        <w:rPr>
          <w:spacing w:val="-8"/>
          <w:sz w:val="24"/>
        </w:rPr>
        <w:t> </w:t>
      </w:r>
      <w:r>
        <w:rPr>
          <w:sz w:val="24"/>
        </w:rPr>
        <w:t>1:S1.</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Emery P. Optimizing outcomes in patients with rheumatoid arthritis and an inadequate response to anti-TNF treatment. Rheumatology (Oxford). 2012 Jul;51 Suppl</w:t>
      </w:r>
      <w:r>
        <w:rPr>
          <w:spacing w:val="-11"/>
          <w:sz w:val="24"/>
        </w:rPr>
        <w:t> </w:t>
      </w:r>
      <w:r>
        <w:rPr>
          <w:sz w:val="24"/>
        </w:rPr>
        <w:t>5:v22-30.</w:t>
      </w:r>
    </w:p>
    <w:p>
      <w:pPr>
        <w:pStyle w:val="ListParagraph"/>
        <w:numPr>
          <w:ilvl w:val="0"/>
          <w:numId w:val="32"/>
        </w:numPr>
        <w:tabs>
          <w:tab w:pos="1953" w:val="left" w:leader="none"/>
        </w:tabs>
        <w:spacing w:line="240" w:lineRule="auto" w:before="0" w:after="0"/>
        <w:ind w:left="112" w:right="123" w:firstLine="1419"/>
        <w:jc w:val="both"/>
        <w:rPr>
          <w:sz w:val="24"/>
        </w:rPr>
      </w:pPr>
      <w:r>
        <w:rPr>
          <w:sz w:val="24"/>
        </w:rPr>
        <w:t>Gaujoux-Viala C, Smolen JS, Landewe R, Dougados M, Kvien TK, Mola EM, et al. Current evidence for the management of rheumatoid arthritis with synthetic disease-modifying antirheumatic drugs: a systematic literature review informing the EULAR recommendations for the management of rheumatoid arthritis. Ann Rheum Dis. 2010 Jun;69(6):1004-9.</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Smolen JS, Emery P, Kalden JR, Van Riel PLCM, Dougados M, Strand CV, et al. The efficacy of leflunomide monotherapy in rheumatoid arthritis: Towards the goals of disease modifying antirheumatic drug therapy. Journal of Rheumatology. 2004;31(7 SUPPL.</w:t>
      </w:r>
      <w:r>
        <w:rPr>
          <w:spacing w:val="-3"/>
          <w:sz w:val="24"/>
        </w:rPr>
        <w:t> </w:t>
      </w:r>
      <w:r>
        <w:rPr>
          <w:sz w:val="24"/>
        </w:rPr>
        <w:t>1):13-20.</w:t>
      </w:r>
    </w:p>
    <w:p>
      <w:pPr>
        <w:pStyle w:val="ListParagraph"/>
        <w:numPr>
          <w:ilvl w:val="0"/>
          <w:numId w:val="32"/>
        </w:numPr>
        <w:tabs>
          <w:tab w:pos="1953" w:val="left" w:leader="none"/>
        </w:tabs>
        <w:spacing w:line="240" w:lineRule="auto" w:before="1" w:after="0"/>
        <w:ind w:left="1952" w:right="0" w:hanging="421"/>
        <w:jc w:val="left"/>
        <w:rPr>
          <w:sz w:val="24"/>
        </w:rPr>
      </w:pPr>
      <w:r>
        <w:rPr>
          <w:sz w:val="24"/>
        </w:rPr>
        <w:t>Osiri</w:t>
      </w:r>
      <w:r>
        <w:rPr>
          <w:spacing w:val="5"/>
          <w:sz w:val="24"/>
        </w:rPr>
        <w:t> </w:t>
      </w:r>
      <w:r>
        <w:rPr>
          <w:sz w:val="24"/>
        </w:rPr>
        <w:t>M,</w:t>
      </w:r>
      <w:r>
        <w:rPr>
          <w:spacing w:val="7"/>
          <w:sz w:val="24"/>
        </w:rPr>
        <w:t> </w:t>
      </w:r>
      <w:r>
        <w:rPr>
          <w:sz w:val="24"/>
        </w:rPr>
        <w:t>Shea</w:t>
      </w:r>
      <w:r>
        <w:rPr>
          <w:spacing w:val="9"/>
          <w:sz w:val="24"/>
        </w:rPr>
        <w:t> </w:t>
      </w:r>
      <w:r>
        <w:rPr>
          <w:sz w:val="24"/>
        </w:rPr>
        <w:t>B,</w:t>
      </w:r>
      <w:r>
        <w:rPr>
          <w:spacing w:val="9"/>
          <w:sz w:val="24"/>
        </w:rPr>
        <w:t> </w:t>
      </w:r>
      <w:r>
        <w:rPr>
          <w:sz w:val="24"/>
        </w:rPr>
        <w:t>Robinson</w:t>
      </w:r>
      <w:r>
        <w:rPr>
          <w:spacing w:val="5"/>
          <w:sz w:val="24"/>
        </w:rPr>
        <w:t> </w:t>
      </w:r>
      <w:r>
        <w:rPr>
          <w:sz w:val="24"/>
        </w:rPr>
        <w:t>V,</w:t>
      </w:r>
      <w:r>
        <w:rPr>
          <w:spacing w:val="6"/>
          <w:sz w:val="24"/>
        </w:rPr>
        <w:t> </w:t>
      </w:r>
      <w:r>
        <w:rPr>
          <w:sz w:val="24"/>
        </w:rPr>
        <w:t>Suarez-Almazor</w:t>
      </w:r>
      <w:r>
        <w:rPr>
          <w:spacing w:val="5"/>
          <w:sz w:val="24"/>
        </w:rPr>
        <w:t> </w:t>
      </w:r>
      <w:r>
        <w:rPr>
          <w:sz w:val="24"/>
        </w:rPr>
        <w:t>M,</w:t>
      </w:r>
      <w:r>
        <w:rPr>
          <w:spacing w:val="7"/>
          <w:sz w:val="24"/>
        </w:rPr>
        <w:t> </w:t>
      </w:r>
      <w:r>
        <w:rPr>
          <w:sz w:val="24"/>
        </w:rPr>
        <w:t>Strand</w:t>
      </w:r>
      <w:r>
        <w:rPr>
          <w:spacing w:val="8"/>
          <w:sz w:val="24"/>
        </w:rPr>
        <w:t> </w:t>
      </w:r>
      <w:r>
        <w:rPr>
          <w:sz w:val="24"/>
        </w:rPr>
        <w:t>V,</w:t>
      </w:r>
      <w:r>
        <w:rPr>
          <w:spacing w:val="6"/>
          <w:sz w:val="24"/>
        </w:rPr>
        <w:t> </w:t>
      </w:r>
      <w:r>
        <w:rPr>
          <w:sz w:val="24"/>
        </w:rPr>
        <w:t>Tugwell</w:t>
      </w:r>
      <w:r>
        <w:rPr>
          <w:spacing w:val="6"/>
          <w:sz w:val="24"/>
        </w:rPr>
        <w:t> </w:t>
      </w:r>
      <w:r>
        <w:rPr>
          <w:sz w:val="24"/>
        </w:rPr>
        <w:t>P,</w:t>
      </w:r>
      <w:r>
        <w:rPr>
          <w:spacing w:val="6"/>
          <w:sz w:val="24"/>
        </w:rPr>
        <w:t> </w:t>
      </w:r>
      <w:r>
        <w:rPr>
          <w:sz w:val="24"/>
        </w:rPr>
        <w:t>et</w:t>
      </w:r>
      <w:r>
        <w:rPr>
          <w:spacing w:val="9"/>
          <w:sz w:val="24"/>
        </w:rPr>
        <w:t> </w:t>
      </w:r>
      <w:r>
        <w:rPr>
          <w:sz w:val="24"/>
        </w:rPr>
        <w:t>al.</w:t>
      </w:r>
    </w:p>
    <w:p>
      <w:pPr>
        <w:pStyle w:val="BodyText"/>
      </w:pPr>
      <w:r>
        <w:rPr/>
        <w:t>Leflunomide for treating rheumatoid arthritis. Cochrane Database Syst Rev. 2003(1):CD002047.</w:t>
      </w:r>
    </w:p>
    <w:p>
      <w:pPr>
        <w:pStyle w:val="ListParagraph"/>
        <w:numPr>
          <w:ilvl w:val="0"/>
          <w:numId w:val="32"/>
        </w:numPr>
        <w:tabs>
          <w:tab w:pos="1953" w:val="left" w:leader="none"/>
        </w:tabs>
        <w:spacing w:line="240" w:lineRule="auto" w:before="0" w:after="0"/>
        <w:ind w:left="112" w:right="130" w:firstLine="1419"/>
        <w:jc w:val="both"/>
        <w:rPr>
          <w:sz w:val="24"/>
        </w:rPr>
      </w:pPr>
      <w:r>
        <w:rPr>
          <w:sz w:val="24"/>
        </w:rPr>
        <w:t>Suarez-Almazor ME, Belseck E, Shea B, Wells G, Tugwell P. Methotrexate for rheumatoid arthritis. Cochrane Database Syst Rev.</w:t>
      </w:r>
      <w:r>
        <w:rPr>
          <w:spacing w:val="-1"/>
          <w:sz w:val="24"/>
        </w:rPr>
        <w:t> </w:t>
      </w:r>
      <w:r>
        <w:rPr>
          <w:sz w:val="24"/>
        </w:rPr>
        <w:t>2000(2):CD000957.</w:t>
      </w:r>
    </w:p>
    <w:p>
      <w:pPr>
        <w:pStyle w:val="ListParagraph"/>
        <w:numPr>
          <w:ilvl w:val="0"/>
          <w:numId w:val="32"/>
        </w:numPr>
        <w:tabs>
          <w:tab w:pos="1953" w:val="left" w:leader="none"/>
        </w:tabs>
        <w:spacing w:line="240" w:lineRule="auto" w:before="0" w:after="0"/>
        <w:ind w:left="112" w:right="128" w:firstLine="1419"/>
        <w:jc w:val="both"/>
        <w:rPr>
          <w:sz w:val="24"/>
        </w:rPr>
      </w:pPr>
      <w:r>
        <w:rPr>
          <w:sz w:val="24"/>
        </w:rPr>
        <w:t>Miehle W, Tomiak C. Fixed sequential supplementation with folic acid during methotrexate therapy. Aktuelle Rheumatologie. 2005;30(4):254-65.</w:t>
      </w:r>
    </w:p>
    <w:p>
      <w:pPr>
        <w:pStyle w:val="ListParagraph"/>
        <w:numPr>
          <w:ilvl w:val="0"/>
          <w:numId w:val="32"/>
        </w:numPr>
        <w:tabs>
          <w:tab w:pos="1953" w:val="left" w:leader="none"/>
        </w:tabs>
        <w:spacing w:line="240" w:lineRule="auto" w:before="0" w:after="0"/>
        <w:ind w:left="112" w:right="130" w:firstLine="1419"/>
        <w:jc w:val="both"/>
        <w:rPr>
          <w:sz w:val="24"/>
        </w:rPr>
      </w:pPr>
      <w:r>
        <w:rPr>
          <w:sz w:val="24"/>
        </w:rPr>
        <w:t>Morgan SL, Baggott JE. Folate supplementation during Methotrexate therapy for rheumatoid arthritis. Clinical and Experimental Rheumatology. 2010;28(5 SUPPL.</w:t>
      </w:r>
      <w:r>
        <w:rPr>
          <w:spacing w:val="-3"/>
          <w:sz w:val="24"/>
        </w:rPr>
        <w:t> </w:t>
      </w:r>
      <w:r>
        <w:rPr>
          <w:sz w:val="24"/>
        </w:rPr>
        <w:t>61):S102-S9.</w:t>
      </w:r>
    </w:p>
    <w:p>
      <w:pPr>
        <w:pStyle w:val="ListParagraph"/>
        <w:numPr>
          <w:ilvl w:val="0"/>
          <w:numId w:val="32"/>
        </w:numPr>
        <w:tabs>
          <w:tab w:pos="1953" w:val="left" w:leader="none"/>
        </w:tabs>
        <w:spacing w:line="240" w:lineRule="auto" w:before="0" w:after="0"/>
        <w:ind w:left="112" w:right="123" w:firstLine="1419"/>
        <w:jc w:val="both"/>
        <w:rPr>
          <w:sz w:val="24"/>
        </w:rPr>
      </w:pPr>
      <w:r>
        <w:rPr>
          <w:sz w:val="24"/>
        </w:rPr>
        <w:t>Ortiz Z, Shea B, Suarez Almazor M, Moher D, Wells G, Tugwell P. Folic acid and folinic acid for reducing side effects in patients receiving methotrexate for rheumatoid arthritis. Cochrane Database Syst Rev.</w:t>
      </w:r>
      <w:r>
        <w:rPr>
          <w:spacing w:val="-2"/>
          <w:sz w:val="24"/>
        </w:rPr>
        <w:t> </w:t>
      </w:r>
      <w:r>
        <w:rPr>
          <w:sz w:val="24"/>
        </w:rPr>
        <w:t>2000(2):CD000951.</w:t>
      </w:r>
    </w:p>
    <w:p>
      <w:pPr>
        <w:pStyle w:val="ListParagraph"/>
        <w:numPr>
          <w:ilvl w:val="0"/>
          <w:numId w:val="32"/>
        </w:numPr>
        <w:tabs>
          <w:tab w:pos="1953" w:val="left" w:leader="none"/>
        </w:tabs>
        <w:spacing w:line="240" w:lineRule="auto" w:before="0" w:after="0"/>
        <w:ind w:left="112" w:right="131" w:firstLine="1419"/>
        <w:jc w:val="both"/>
        <w:rPr>
          <w:sz w:val="24"/>
        </w:rPr>
      </w:pPr>
      <w:r>
        <w:rPr>
          <w:sz w:val="24"/>
        </w:rPr>
        <w:t>Suarez-Almazor ME, Belseck E, Shea B, Wells G, Tugwell P. Sulfasalazine for rheumatoid arthritis. Cochrane Database Syst Rev. 2000(2):CD000958.</w:t>
      </w:r>
    </w:p>
    <w:p>
      <w:pPr>
        <w:pStyle w:val="ListParagraph"/>
        <w:numPr>
          <w:ilvl w:val="0"/>
          <w:numId w:val="32"/>
        </w:numPr>
        <w:tabs>
          <w:tab w:pos="1953" w:val="left" w:leader="none"/>
        </w:tabs>
        <w:spacing w:line="240" w:lineRule="auto" w:before="0" w:after="0"/>
        <w:ind w:left="112" w:right="130" w:firstLine="1419"/>
        <w:jc w:val="both"/>
        <w:rPr>
          <w:sz w:val="24"/>
        </w:rPr>
      </w:pPr>
      <w:r>
        <w:rPr>
          <w:sz w:val="24"/>
        </w:rPr>
        <w:t>Suarez-Almazor ME, Belseck E, Shea B, Homik J, Wells G, Tugwell P. Antimalarials for treating rheumatoid arthritis. Cochrane Database Syst Rev.</w:t>
      </w:r>
      <w:r>
        <w:rPr>
          <w:spacing w:val="-8"/>
          <w:sz w:val="24"/>
        </w:rPr>
        <w:t> </w:t>
      </w:r>
      <w:r>
        <w:rPr>
          <w:sz w:val="24"/>
        </w:rPr>
        <w:t>2000(4):CD000959.</w:t>
      </w:r>
    </w:p>
    <w:p>
      <w:pPr>
        <w:pStyle w:val="ListParagraph"/>
        <w:numPr>
          <w:ilvl w:val="0"/>
          <w:numId w:val="32"/>
        </w:numPr>
        <w:tabs>
          <w:tab w:pos="1953" w:val="left" w:leader="none"/>
        </w:tabs>
        <w:spacing w:line="240" w:lineRule="auto" w:before="0" w:after="0"/>
        <w:ind w:left="112" w:right="128" w:firstLine="1419"/>
        <w:jc w:val="both"/>
        <w:rPr>
          <w:sz w:val="24"/>
        </w:rPr>
      </w:pPr>
      <w:r>
        <w:rPr>
          <w:sz w:val="24"/>
        </w:rPr>
        <w:t>Scott DL. Biologics-based therapy for the treatment of rheumatoid arthritis. Clinical Pharmacology and Therapeutics.</w:t>
      </w:r>
      <w:r>
        <w:rPr>
          <w:spacing w:val="-6"/>
          <w:sz w:val="24"/>
        </w:rPr>
        <w:t> </w:t>
      </w:r>
      <w:r>
        <w:rPr>
          <w:sz w:val="24"/>
        </w:rPr>
        <w:t>2012;91(1):30-43.</w:t>
      </w:r>
    </w:p>
    <w:p>
      <w:pPr>
        <w:pStyle w:val="ListParagraph"/>
        <w:numPr>
          <w:ilvl w:val="0"/>
          <w:numId w:val="32"/>
        </w:numPr>
        <w:tabs>
          <w:tab w:pos="1954" w:val="left" w:leader="none"/>
        </w:tabs>
        <w:spacing w:line="240" w:lineRule="auto" w:before="0" w:after="0"/>
        <w:ind w:left="1954" w:right="0" w:hanging="423"/>
        <w:jc w:val="left"/>
        <w:rPr>
          <w:sz w:val="24"/>
        </w:rPr>
      </w:pPr>
      <w:r>
        <w:rPr>
          <w:sz w:val="24"/>
        </w:rPr>
        <w:t>Leff</w:t>
      </w:r>
      <w:r>
        <w:rPr>
          <w:spacing w:val="26"/>
          <w:sz w:val="24"/>
        </w:rPr>
        <w:t> </w:t>
      </w:r>
      <w:r>
        <w:rPr>
          <w:sz w:val="24"/>
        </w:rPr>
        <w:t>L.</w:t>
      </w:r>
      <w:r>
        <w:rPr>
          <w:spacing w:val="27"/>
          <w:sz w:val="24"/>
        </w:rPr>
        <w:t> </w:t>
      </w:r>
      <w:r>
        <w:rPr>
          <w:sz w:val="24"/>
        </w:rPr>
        <w:t>Emerging</w:t>
      </w:r>
      <w:r>
        <w:rPr>
          <w:spacing w:val="22"/>
          <w:sz w:val="24"/>
        </w:rPr>
        <w:t> </w:t>
      </w:r>
      <w:r>
        <w:rPr>
          <w:sz w:val="24"/>
        </w:rPr>
        <w:t>new</w:t>
      </w:r>
      <w:r>
        <w:rPr>
          <w:spacing w:val="24"/>
          <w:sz w:val="24"/>
        </w:rPr>
        <w:t> </w:t>
      </w:r>
      <w:r>
        <w:rPr>
          <w:sz w:val="24"/>
        </w:rPr>
        <w:t>therapies</w:t>
      </w:r>
      <w:r>
        <w:rPr>
          <w:spacing w:val="24"/>
          <w:sz w:val="24"/>
        </w:rPr>
        <w:t> </w:t>
      </w:r>
      <w:r>
        <w:rPr>
          <w:sz w:val="24"/>
        </w:rPr>
        <w:t>in</w:t>
      </w:r>
      <w:r>
        <w:rPr>
          <w:spacing w:val="25"/>
          <w:sz w:val="24"/>
        </w:rPr>
        <w:t> </w:t>
      </w:r>
      <w:r>
        <w:rPr>
          <w:sz w:val="24"/>
        </w:rPr>
        <w:t>rheumatoid</w:t>
      </w:r>
      <w:r>
        <w:rPr>
          <w:spacing w:val="25"/>
          <w:sz w:val="24"/>
        </w:rPr>
        <w:t> </w:t>
      </w:r>
      <w:r>
        <w:rPr>
          <w:sz w:val="24"/>
        </w:rPr>
        <w:t>arthritis:</w:t>
      </w:r>
      <w:r>
        <w:rPr>
          <w:spacing w:val="26"/>
          <w:sz w:val="24"/>
        </w:rPr>
        <w:t> </w:t>
      </w:r>
      <w:r>
        <w:rPr>
          <w:sz w:val="24"/>
        </w:rPr>
        <w:t>What's</w:t>
      </w:r>
      <w:r>
        <w:rPr>
          <w:spacing w:val="25"/>
          <w:sz w:val="24"/>
        </w:rPr>
        <w:t> </w:t>
      </w:r>
      <w:r>
        <w:rPr>
          <w:sz w:val="24"/>
        </w:rPr>
        <w:t>next</w:t>
      </w:r>
      <w:r>
        <w:rPr>
          <w:spacing w:val="25"/>
          <w:sz w:val="24"/>
        </w:rPr>
        <w:t> </w:t>
      </w:r>
      <w:r>
        <w:rPr>
          <w:sz w:val="24"/>
        </w:rPr>
        <w:t>for</w:t>
      </w:r>
      <w:r>
        <w:rPr>
          <w:spacing w:val="23"/>
          <w:sz w:val="24"/>
        </w:rPr>
        <w:t> </w:t>
      </w:r>
      <w:r>
        <w:rPr>
          <w:sz w:val="24"/>
        </w:rPr>
        <w:t>the</w:t>
      </w:r>
      <w:r>
        <w:rPr>
          <w:spacing w:val="24"/>
          <w:sz w:val="24"/>
        </w:rPr>
        <w:t> </w:t>
      </w:r>
      <w:r>
        <w:rPr>
          <w:sz w:val="24"/>
        </w:rPr>
        <w:t>patient?</w:t>
      </w:r>
    </w:p>
    <w:p>
      <w:pPr>
        <w:pStyle w:val="BodyText"/>
      </w:pPr>
      <w:r>
        <w:rPr/>
        <w:t>Journal of Infusion Nursing. 2006;29(6):326-37.</w:t>
      </w:r>
    </w:p>
    <w:p>
      <w:pPr>
        <w:pStyle w:val="ListParagraph"/>
        <w:numPr>
          <w:ilvl w:val="0"/>
          <w:numId w:val="32"/>
        </w:numPr>
        <w:tabs>
          <w:tab w:pos="1953" w:val="left" w:leader="none"/>
        </w:tabs>
        <w:spacing w:line="240" w:lineRule="auto" w:before="0" w:after="0"/>
        <w:ind w:left="112" w:right="125" w:firstLine="1419"/>
        <w:jc w:val="both"/>
        <w:rPr>
          <w:sz w:val="24"/>
        </w:rPr>
      </w:pPr>
      <w:r>
        <w:rPr>
          <w:sz w:val="24"/>
        </w:rPr>
        <w:t>Chauffier K, Salliot C, Berenbaum F, Sellam J. Effect of biotherapies on fatigue in rheumatoid arthritis: A systematic review of the literature and meta-analysis. Rheumatology. 2012;51(1):60-8.</w:t>
      </w:r>
    </w:p>
    <w:p>
      <w:pPr>
        <w:pStyle w:val="ListParagraph"/>
        <w:numPr>
          <w:ilvl w:val="0"/>
          <w:numId w:val="32"/>
        </w:numPr>
        <w:tabs>
          <w:tab w:pos="1953" w:val="left" w:leader="none"/>
        </w:tabs>
        <w:spacing w:line="240" w:lineRule="auto" w:before="0" w:after="0"/>
        <w:ind w:left="112" w:right="122" w:firstLine="1419"/>
        <w:jc w:val="both"/>
        <w:rPr>
          <w:sz w:val="24"/>
        </w:rPr>
      </w:pPr>
      <w:r>
        <w:rPr>
          <w:sz w:val="24"/>
        </w:rPr>
        <w:t>Ruiz Garcia V, Jobanputra P, Burls A, Cabello JB, Galvez Munoz JG, Saiz Cuenca ES, et al. Certolizumab pegol (CDP870) for rheumatoid arthritis in adults. Cochrane Database Syst Rev. 2011(2):CD007649.</w:t>
      </w:r>
    </w:p>
    <w:p>
      <w:pPr>
        <w:pStyle w:val="ListParagraph"/>
        <w:numPr>
          <w:ilvl w:val="0"/>
          <w:numId w:val="32"/>
        </w:numPr>
        <w:tabs>
          <w:tab w:pos="1953" w:val="left" w:leader="none"/>
        </w:tabs>
        <w:spacing w:line="240" w:lineRule="auto" w:before="1" w:after="0"/>
        <w:ind w:left="112" w:right="127" w:firstLine="1419"/>
        <w:jc w:val="both"/>
        <w:rPr>
          <w:sz w:val="24"/>
        </w:rPr>
      </w:pPr>
      <w:r>
        <w:rPr>
          <w:sz w:val="24"/>
        </w:rPr>
        <w:t>Singh JA, Noorbaloochi S, Singh G. Golimumab for rheumatoid arthritis. Cochrane Database Syst Rev.</w:t>
      </w:r>
      <w:r>
        <w:rPr>
          <w:spacing w:val="-2"/>
          <w:sz w:val="24"/>
        </w:rPr>
        <w:t> </w:t>
      </w:r>
      <w:r>
        <w:rPr>
          <w:sz w:val="24"/>
        </w:rPr>
        <w:t>2010(1):CD008341.</w:t>
      </w:r>
    </w:p>
    <w:p>
      <w:pPr>
        <w:pStyle w:val="ListParagraph"/>
        <w:numPr>
          <w:ilvl w:val="0"/>
          <w:numId w:val="32"/>
        </w:numPr>
        <w:tabs>
          <w:tab w:pos="1953" w:val="left" w:leader="none"/>
        </w:tabs>
        <w:spacing w:line="240" w:lineRule="auto" w:before="0" w:after="0"/>
        <w:ind w:left="112" w:right="129" w:firstLine="1419"/>
        <w:jc w:val="both"/>
        <w:rPr>
          <w:sz w:val="24"/>
        </w:rPr>
      </w:pPr>
      <w:r>
        <w:rPr>
          <w:sz w:val="24"/>
        </w:rPr>
        <w:t>Donahue KE, Jonas DE, Hansen RA, Roubey R, Jonas B, Lux LJ, et al. Drug Therapy for Rheumatoid Arthritis in Adults: An Update [Internet]. Comparative Effectiveness Reviews. 2012 Apr;55.</w:t>
      </w:r>
    </w:p>
    <w:p>
      <w:pPr>
        <w:pStyle w:val="ListParagraph"/>
        <w:numPr>
          <w:ilvl w:val="0"/>
          <w:numId w:val="32"/>
        </w:numPr>
        <w:tabs>
          <w:tab w:pos="1953" w:val="left" w:leader="none"/>
        </w:tabs>
        <w:spacing w:line="240" w:lineRule="auto" w:before="0" w:after="0"/>
        <w:ind w:left="112" w:right="123" w:firstLine="1419"/>
        <w:jc w:val="both"/>
        <w:rPr>
          <w:sz w:val="24"/>
        </w:rPr>
      </w:pPr>
      <w:r>
        <w:rPr>
          <w:sz w:val="24"/>
        </w:rPr>
        <w:t>Brodszky V. Efficacy of the biological treatments based on ACR70 response in rheumatoid arthritis: Indirect comparison and meta-regression using Bayes-model. Orvosi Hetilap. 2011;152(23):919-28.</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2"/>
        </w:numPr>
        <w:tabs>
          <w:tab w:pos="1953" w:val="left" w:leader="none"/>
        </w:tabs>
        <w:spacing w:line="240" w:lineRule="auto" w:before="90" w:after="0"/>
        <w:ind w:left="112" w:right="127" w:firstLine="1419"/>
        <w:jc w:val="both"/>
        <w:rPr>
          <w:sz w:val="24"/>
        </w:rPr>
      </w:pPr>
      <w:r>
        <w:rPr>
          <w:sz w:val="24"/>
        </w:rPr>
        <w:t>Pentek M, Gulacsi L, Ersek K, Baji P, Boncz </w:t>
      </w:r>
      <w:r>
        <w:rPr>
          <w:spacing w:val="-3"/>
          <w:sz w:val="24"/>
        </w:rPr>
        <w:t>I, </w:t>
      </w:r>
      <w:r>
        <w:rPr>
          <w:sz w:val="24"/>
        </w:rPr>
        <w:t>Orlewska E, et al. Comparison of recently registered biological drugs with available therapies in rheumatoid arthritis: Methodological issues to consider for meta-analysis. Value in Health.</w:t>
      </w:r>
      <w:r>
        <w:rPr>
          <w:spacing w:val="-6"/>
          <w:sz w:val="24"/>
        </w:rPr>
        <w:t> </w:t>
      </w:r>
      <w:r>
        <w:rPr>
          <w:sz w:val="24"/>
        </w:rPr>
        <w:t>2010;13(7):A303.</w:t>
      </w:r>
    </w:p>
    <w:p>
      <w:pPr>
        <w:pStyle w:val="ListParagraph"/>
        <w:numPr>
          <w:ilvl w:val="0"/>
          <w:numId w:val="32"/>
        </w:numPr>
        <w:tabs>
          <w:tab w:pos="1953" w:val="left" w:leader="none"/>
        </w:tabs>
        <w:spacing w:line="240" w:lineRule="auto" w:before="0" w:after="0"/>
        <w:ind w:left="112" w:right="122" w:firstLine="1419"/>
        <w:jc w:val="both"/>
        <w:rPr>
          <w:sz w:val="24"/>
        </w:rPr>
      </w:pPr>
      <w:r>
        <w:rPr>
          <w:sz w:val="24"/>
        </w:rPr>
        <w:t>Singh JA, Christensen R, Wells GA, Suarez-Almazor ME, Buchbinder R, Lopez-Olivo MA, et al. Biologics for rheumatoid arthritis: an overview of Cochrane reviews. Cochrane Database Syst Rev.</w:t>
      </w:r>
      <w:r>
        <w:rPr>
          <w:spacing w:val="-1"/>
          <w:sz w:val="24"/>
        </w:rPr>
        <w:t> </w:t>
      </w:r>
      <w:r>
        <w:rPr>
          <w:sz w:val="24"/>
        </w:rPr>
        <w:t>2009(4):CD007848.</w:t>
      </w:r>
    </w:p>
    <w:p>
      <w:pPr>
        <w:pStyle w:val="ListParagraph"/>
        <w:numPr>
          <w:ilvl w:val="0"/>
          <w:numId w:val="32"/>
        </w:numPr>
        <w:tabs>
          <w:tab w:pos="1953" w:val="left" w:leader="none"/>
        </w:tabs>
        <w:spacing w:line="240" w:lineRule="auto" w:before="0" w:after="0"/>
        <w:ind w:left="112" w:right="121" w:firstLine="1419"/>
        <w:jc w:val="both"/>
        <w:rPr>
          <w:sz w:val="24"/>
        </w:rPr>
      </w:pPr>
      <w:r>
        <w:rPr>
          <w:sz w:val="24"/>
        </w:rPr>
        <w:t>Orme ME, Fotheringham I, Mitchell SA, Spurden D, Bird A. Systematic review and network meta-analysis of combination therapy for methotrexate-experienced, rheumatoid arthritis patients: Analysis of american college of rheumatology criteria scores 20, 50 and 70. Arthritis and Rheumatism.</w:t>
      </w:r>
      <w:r>
        <w:rPr>
          <w:spacing w:val="-1"/>
          <w:sz w:val="24"/>
        </w:rPr>
        <w:t> </w:t>
      </w:r>
      <w:r>
        <w:rPr>
          <w:sz w:val="24"/>
        </w:rPr>
        <w:t>2011;63(10).</w:t>
      </w:r>
    </w:p>
    <w:p>
      <w:pPr>
        <w:pStyle w:val="ListParagraph"/>
        <w:numPr>
          <w:ilvl w:val="0"/>
          <w:numId w:val="32"/>
        </w:numPr>
        <w:tabs>
          <w:tab w:pos="1953" w:val="left" w:leader="none"/>
        </w:tabs>
        <w:spacing w:line="240" w:lineRule="auto" w:before="0" w:after="0"/>
        <w:ind w:left="112" w:right="127" w:firstLine="1419"/>
        <w:jc w:val="both"/>
        <w:rPr>
          <w:sz w:val="24"/>
        </w:rPr>
      </w:pPr>
      <w:r>
        <w:rPr>
          <w:sz w:val="24"/>
        </w:rPr>
        <w:t>Cormier H, Barnetche T, Schaeverbeke T. The risk of serious infection with and without anti-tnf therapy in rheumatoid arthritis and ankylosing spondylitis: A meta-analysis. Arthritis and Rheumatism.</w:t>
      </w:r>
      <w:r>
        <w:rPr>
          <w:spacing w:val="-1"/>
          <w:sz w:val="24"/>
        </w:rPr>
        <w:t> </w:t>
      </w:r>
      <w:r>
        <w:rPr>
          <w:sz w:val="24"/>
        </w:rPr>
        <w:t>2011;63(10).</w:t>
      </w:r>
    </w:p>
    <w:p>
      <w:pPr>
        <w:pStyle w:val="ListParagraph"/>
        <w:numPr>
          <w:ilvl w:val="0"/>
          <w:numId w:val="32"/>
        </w:numPr>
        <w:tabs>
          <w:tab w:pos="1953" w:val="left" w:leader="none"/>
        </w:tabs>
        <w:spacing w:line="240" w:lineRule="auto" w:before="1" w:after="0"/>
        <w:ind w:left="112" w:right="123" w:firstLine="1419"/>
        <w:jc w:val="both"/>
        <w:rPr>
          <w:sz w:val="24"/>
        </w:rPr>
      </w:pPr>
      <w:r>
        <w:rPr>
          <w:sz w:val="24"/>
        </w:rPr>
        <w:t>Nam JL, Winthrop KL, van Vollenhoven RF, Pavelka K, Valesini G, Hensor EM, et al. Current evidence for the management of rheumatoid arthritis with biological disease-modifying antirheumatic drugs: a systematic literature review informing the EULAR recommendations for the management of RA. Ann Rheum Dis. 2010 Jun;69(6):976-86.</w:t>
      </w:r>
    </w:p>
    <w:p>
      <w:pPr>
        <w:pStyle w:val="ListParagraph"/>
        <w:numPr>
          <w:ilvl w:val="0"/>
          <w:numId w:val="32"/>
        </w:numPr>
        <w:tabs>
          <w:tab w:pos="1953" w:val="left" w:leader="none"/>
        </w:tabs>
        <w:spacing w:line="240" w:lineRule="auto" w:before="0" w:after="0"/>
        <w:ind w:left="112" w:right="129" w:firstLine="1419"/>
        <w:jc w:val="both"/>
        <w:rPr>
          <w:sz w:val="24"/>
        </w:rPr>
      </w:pPr>
      <w:r>
        <w:rPr>
          <w:sz w:val="24"/>
        </w:rPr>
        <w:t>Bernatsky S, Habel Y, Rahme E. Observational studies of infections in rheumatoid arthritis: a metaanalysis of tumor necrosis factor antagonists. J Rheumatol. 2010</w:t>
      </w:r>
      <w:r>
        <w:rPr>
          <w:spacing w:val="-3"/>
          <w:sz w:val="24"/>
        </w:rPr>
        <w:t> </w:t>
      </w:r>
      <w:r>
        <w:rPr>
          <w:sz w:val="24"/>
        </w:rPr>
        <w:t>May;37(5):928-31.</w:t>
      </w:r>
    </w:p>
    <w:p>
      <w:pPr>
        <w:pStyle w:val="ListParagraph"/>
        <w:numPr>
          <w:ilvl w:val="0"/>
          <w:numId w:val="32"/>
        </w:numPr>
        <w:tabs>
          <w:tab w:pos="1953" w:val="left" w:leader="none"/>
        </w:tabs>
        <w:spacing w:line="240" w:lineRule="auto" w:before="0" w:after="0"/>
        <w:ind w:left="1952" w:right="0" w:hanging="421"/>
        <w:jc w:val="left"/>
        <w:rPr>
          <w:sz w:val="24"/>
        </w:rPr>
      </w:pPr>
      <w:r>
        <w:rPr>
          <w:sz w:val="24"/>
        </w:rPr>
        <w:t>Mealy NE, Bayes M. Infliximab. Drugs of the Future. 2005;30(8):845-6.</w:t>
      </w:r>
    </w:p>
    <w:p>
      <w:pPr>
        <w:pStyle w:val="ListParagraph"/>
        <w:numPr>
          <w:ilvl w:val="0"/>
          <w:numId w:val="32"/>
        </w:numPr>
        <w:tabs>
          <w:tab w:pos="1953" w:val="left" w:leader="none"/>
        </w:tabs>
        <w:spacing w:line="240" w:lineRule="auto" w:before="0" w:after="0"/>
        <w:ind w:left="112" w:right="122" w:firstLine="1419"/>
        <w:jc w:val="both"/>
        <w:rPr>
          <w:sz w:val="24"/>
        </w:rPr>
      </w:pPr>
      <w:r>
        <w:rPr>
          <w:sz w:val="24"/>
        </w:rPr>
        <w:t>Cunnane G, Doran M, Bresnihan B. Infections and biological therapy in rheumatoid arthritis. Best Practice and Research: Clinical Rheumatology.</w:t>
      </w:r>
      <w:r>
        <w:rPr>
          <w:spacing w:val="-3"/>
          <w:sz w:val="24"/>
        </w:rPr>
        <w:t> </w:t>
      </w:r>
      <w:r>
        <w:rPr>
          <w:sz w:val="24"/>
        </w:rPr>
        <w:t>2003;17(2):345-63.</w:t>
      </w:r>
    </w:p>
    <w:p>
      <w:pPr>
        <w:pStyle w:val="ListParagraph"/>
        <w:numPr>
          <w:ilvl w:val="0"/>
          <w:numId w:val="32"/>
        </w:numPr>
        <w:tabs>
          <w:tab w:pos="1953" w:val="left" w:leader="none"/>
        </w:tabs>
        <w:spacing w:line="240" w:lineRule="auto" w:before="0" w:after="0"/>
        <w:ind w:left="112" w:right="125" w:firstLine="1419"/>
        <w:jc w:val="both"/>
        <w:rPr>
          <w:sz w:val="24"/>
        </w:rPr>
      </w:pPr>
      <w:r>
        <w:rPr>
          <w:sz w:val="24"/>
        </w:rPr>
        <w:t>Turkstra E, Ng SK, Scuffham PA. A mixed treatment comparison of the short-term efficacy of biologic disease modifying anti-rheumatic drugs in established rheumatoid arthritis. Curr Med Res Opin. 2011</w:t>
      </w:r>
      <w:r>
        <w:rPr>
          <w:spacing w:val="-1"/>
          <w:sz w:val="24"/>
        </w:rPr>
        <w:t> </w:t>
      </w:r>
      <w:r>
        <w:rPr>
          <w:sz w:val="24"/>
        </w:rPr>
        <w:t>Oct;27(10):1885-97.</w:t>
      </w:r>
    </w:p>
    <w:p>
      <w:pPr>
        <w:pStyle w:val="ListParagraph"/>
        <w:numPr>
          <w:ilvl w:val="0"/>
          <w:numId w:val="32"/>
        </w:numPr>
        <w:tabs>
          <w:tab w:pos="1953" w:val="left" w:leader="none"/>
        </w:tabs>
        <w:spacing w:line="240" w:lineRule="auto" w:before="0" w:after="0"/>
        <w:ind w:left="112" w:right="127" w:firstLine="1419"/>
        <w:jc w:val="both"/>
        <w:rPr>
          <w:sz w:val="24"/>
        </w:rPr>
      </w:pPr>
      <w:r>
        <w:rPr>
          <w:sz w:val="24"/>
        </w:rPr>
        <w:t>Singh JA, Wells GA, Christensen R, Tanjong Ghogomu E, Maxwell L, Macdonald JK, et al. Adverse effects of biologics: a network meta-analysis and Cochrane overview. Cochrane Database Syst Rev.</w:t>
      </w:r>
      <w:r>
        <w:rPr>
          <w:spacing w:val="-1"/>
          <w:sz w:val="24"/>
        </w:rPr>
        <w:t> </w:t>
      </w:r>
      <w:r>
        <w:rPr>
          <w:sz w:val="24"/>
        </w:rPr>
        <w:t>2011(2):CD008794.</w:t>
      </w:r>
    </w:p>
    <w:p>
      <w:pPr>
        <w:pStyle w:val="ListParagraph"/>
        <w:numPr>
          <w:ilvl w:val="0"/>
          <w:numId w:val="32"/>
        </w:numPr>
        <w:tabs>
          <w:tab w:pos="1953" w:val="left" w:leader="none"/>
        </w:tabs>
        <w:spacing w:line="240" w:lineRule="auto" w:before="0" w:after="0"/>
        <w:ind w:left="112" w:right="128" w:firstLine="1419"/>
        <w:jc w:val="both"/>
        <w:rPr>
          <w:sz w:val="24"/>
        </w:rPr>
      </w:pPr>
      <w:r>
        <w:rPr>
          <w:sz w:val="24"/>
        </w:rPr>
        <w:t>Devine EB, Alfonso-Cristancho R, Sullivan SD. Effectiveness of biologic therapies for rheumatoid arthritis: an indirect comparisons approach. Pharmacotherapy. 2011</w:t>
      </w:r>
      <w:r>
        <w:rPr>
          <w:spacing w:val="-1"/>
          <w:sz w:val="24"/>
        </w:rPr>
        <w:t> </w:t>
      </w:r>
      <w:r>
        <w:rPr>
          <w:sz w:val="24"/>
        </w:rPr>
        <w:t>Jan;31(1):39-51.</w:t>
      </w:r>
    </w:p>
    <w:p>
      <w:pPr>
        <w:pStyle w:val="ListParagraph"/>
        <w:numPr>
          <w:ilvl w:val="0"/>
          <w:numId w:val="32"/>
        </w:numPr>
        <w:tabs>
          <w:tab w:pos="1953" w:val="left" w:leader="none"/>
        </w:tabs>
        <w:spacing w:line="240" w:lineRule="auto" w:before="0" w:after="0"/>
        <w:ind w:left="112" w:right="124" w:firstLine="1419"/>
        <w:jc w:val="both"/>
        <w:rPr>
          <w:sz w:val="24"/>
        </w:rPr>
      </w:pPr>
      <w:r>
        <w:rPr>
          <w:sz w:val="24"/>
        </w:rPr>
        <w:t>Malottki K, Barton P, Tsourapas A, Uthman AO, Liu Z, Routh K, et al. Adalimumab, etanercept, infiximab, rituximab and abatacept for the treatment of rheumatoid arthritis after the failure of a tumour necrosis factor inhibitor: A systematic review and economic evaluation. Health Technology Assessment.</w:t>
      </w:r>
      <w:r>
        <w:rPr>
          <w:spacing w:val="-1"/>
          <w:sz w:val="24"/>
        </w:rPr>
        <w:t> </w:t>
      </w:r>
      <w:r>
        <w:rPr>
          <w:sz w:val="24"/>
        </w:rPr>
        <w:t>2011;15(14):1-300.</w:t>
      </w:r>
    </w:p>
    <w:p>
      <w:pPr>
        <w:pStyle w:val="ListParagraph"/>
        <w:numPr>
          <w:ilvl w:val="0"/>
          <w:numId w:val="32"/>
        </w:numPr>
        <w:tabs>
          <w:tab w:pos="1953" w:val="left" w:leader="none"/>
        </w:tabs>
        <w:spacing w:line="240" w:lineRule="auto" w:before="0" w:after="0"/>
        <w:ind w:left="112" w:right="123" w:firstLine="1419"/>
        <w:jc w:val="both"/>
        <w:rPr>
          <w:sz w:val="24"/>
        </w:rPr>
      </w:pPr>
      <w:r>
        <w:rPr>
          <w:sz w:val="24"/>
        </w:rPr>
        <w:t>Mercer LK, Galloway JB, Low ASL, Watson KD, Lunt M, Dixon WG. The risk of solid cancer in patients receiving anti-tumour necrosis factor therapy for rheumatoid arthritis for up to 5 years: Results from the british society for rheumatology biologics register. Arthritis and Rheumatism. 2011;63(10).</w:t>
      </w:r>
    </w:p>
    <w:p>
      <w:pPr>
        <w:pStyle w:val="ListParagraph"/>
        <w:numPr>
          <w:ilvl w:val="0"/>
          <w:numId w:val="32"/>
        </w:numPr>
        <w:tabs>
          <w:tab w:pos="1953" w:val="left" w:leader="none"/>
        </w:tabs>
        <w:spacing w:line="240" w:lineRule="auto" w:before="1" w:after="0"/>
        <w:ind w:left="112" w:right="125" w:firstLine="1419"/>
        <w:jc w:val="both"/>
        <w:rPr>
          <w:sz w:val="24"/>
        </w:rPr>
      </w:pPr>
      <w:r>
        <w:rPr>
          <w:sz w:val="24"/>
        </w:rPr>
        <w:t>Novikova DS, Popkova TV, Nasonov EL. The effect of anti-B-cell therapy on the development of atherosclerosis in patients with rheumatoid arthritis. Current Pharmaceutical Design. 2012;18(11):1512-8.</w:t>
      </w:r>
    </w:p>
    <w:p>
      <w:pPr>
        <w:pStyle w:val="ListParagraph"/>
        <w:numPr>
          <w:ilvl w:val="0"/>
          <w:numId w:val="32"/>
        </w:numPr>
        <w:tabs>
          <w:tab w:pos="1953" w:val="left" w:leader="none"/>
        </w:tabs>
        <w:spacing w:line="240" w:lineRule="auto" w:before="0" w:after="0"/>
        <w:ind w:left="112" w:right="133" w:firstLine="1419"/>
        <w:jc w:val="both"/>
        <w:rPr>
          <w:sz w:val="24"/>
        </w:rPr>
      </w:pPr>
      <w:r>
        <w:rPr>
          <w:sz w:val="24"/>
        </w:rPr>
        <w:t>Maxwell </w:t>
      </w:r>
      <w:r>
        <w:rPr>
          <w:spacing w:val="-3"/>
          <w:sz w:val="24"/>
        </w:rPr>
        <w:t>L, </w:t>
      </w:r>
      <w:r>
        <w:rPr>
          <w:sz w:val="24"/>
        </w:rPr>
        <w:t>Singh JA. Abatacept for rheumatoid arthritis. Cochrane Database Syst Rev.</w:t>
      </w:r>
      <w:r>
        <w:rPr>
          <w:spacing w:val="-1"/>
          <w:sz w:val="24"/>
        </w:rPr>
        <w:t> </w:t>
      </w:r>
      <w:r>
        <w:rPr>
          <w:sz w:val="24"/>
        </w:rPr>
        <w:t>2009(4):CD007277.</w:t>
      </w:r>
    </w:p>
    <w:p>
      <w:pPr>
        <w:pStyle w:val="ListParagraph"/>
        <w:numPr>
          <w:ilvl w:val="0"/>
          <w:numId w:val="32"/>
        </w:numPr>
        <w:tabs>
          <w:tab w:pos="1953" w:val="left" w:leader="none"/>
        </w:tabs>
        <w:spacing w:line="240" w:lineRule="auto" w:before="0" w:after="0"/>
        <w:ind w:left="112" w:right="124" w:firstLine="1419"/>
        <w:jc w:val="both"/>
        <w:rPr>
          <w:sz w:val="24"/>
        </w:rPr>
      </w:pPr>
      <w:r>
        <w:rPr>
          <w:sz w:val="24"/>
        </w:rPr>
        <w:t>Parchamazad P, Ghazvini P, Honeywell M, Treadwell P. Abatacept (CTLA4-Ig, Orencia): An investigational biological compound for the treatment of rheumatoid arthritis. P and T. 2005;30(11):633-8+43+69.</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2"/>
        </w:numPr>
        <w:tabs>
          <w:tab w:pos="1953" w:val="left" w:leader="none"/>
        </w:tabs>
        <w:spacing w:line="240" w:lineRule="auto" w:before="90" w:after="0"/>
        <w:ind w:left="112" w:right="128" w:firstLine="1419"/>
        <w:jc w:val="both"/>
        <w:rPr>
          <w:sz w:val="24"/>
        </w:rPr>
      </w:pPr>
      <w:r>
        <w:rPr>
          <w:sz w:val="24"/>
        </w:rPr>
        <w:t>Singh JA, Beg S, Lopez-Olivo MA. Tocilizumab for rheumatoid arthritis. Cochrane Database Syst Rev.</w:t>
      </w:r>
      <w:r>
        <w:rPr>
          <w:spacing w:val="-2"/>
          <w:sz w:val="24"/>
        </w:rPr>
        <w:t> </w:t>
      </w:r>
      <w:r>
        <w:rPr>
          <w:sz w:val="24"/>
        </w:rPr>
        <w:t>2010(7):CD008331.</w:t>
      </w:r>
    </w:p>
    <w:p>
      <w:pPr>
        <w:pStyle w:val="ListParagraph"/>
        <w:numPr>
          <w:ilvl w:val="0"/>
          <w:numId w:val="32"/>
        </w:numPr>
        <w:tabs>
          <w:tab w:pos="1953" w:val="left" w:leader="none"/>
        </w:tabs>
        <w:spacing w:line="240" w:lineRule="auto" w:before="0" w:after="0"/>
        <w:ind w:left="112" w:right="127" w:firstLine="1419"/>
        <w:jc w:val="both"/>
        <w:rPr>
          <w:sz w:val="24"/>
        </w:rPr>
      </w:pPr>
      <w:r>
        <w:rPr>
          <w:sz w:val="24"/>
        </w:rPr>
        <w:t>Nishimoto N, Ito K, Takagi N. Safety and efficacy profiles of tocilizumab monotherapy in Japanese patients with rheumatoid arthritis: meta-analysis of six initial trials and five long-term extensions. Mod Rheumatol. 2010</w:t>
      </w:r>
      <w:r>
        <w:rPr>
          <w:spacing w:val="-1"/>
          <w:sz w:val="24"/>
        </w:rPr>
        <w:t> </w:t>
      </w:r>
      <w:r>
        <w:rPr>
          <w:sz w:val="24"/>
        </w:rPr>
        <w:t>Jun;20(3):222-32.</w:t>
      </w:r>
    </w:p>
    <w:p>
      <w:pPr>
        <w:pStyle w:val="ListParagraph"/>
        <w:numPr>
          <w:ilvl w:val="0"/>
          <w:numId w:val="32"/>
        </w:numPr>
        <w:tabs>
          <w:tab w:pos="2012" w:val="left" w:leader="none"/>
        </w:tabs>
        <w:spacing w:line="240" w:lineRule="auto" w:before="0" w:after="0"/>
        <w:ind w:left="2011" w:right="0" w:hanging="480"/>
        <w:jc w:val="left"/>
        <w:rPr>
          <w:sz w:val="24"/>
        </w:rPr>
      </w:pPr>
      <w:r>
        <w:rPr>
          <w:sz w:val="24"/>
        </w:rPr>
        <w:t>Tofacitinibe: Bula Profissional de Saúde.</w:t>
      </w:r>
      <w:r>
        <w:rPr>
          <w:spacing w:val="-2"/>
          <w:sz w:val="24"/>
        </w:rPr>
        <w:t> </w:t>
      </w:r>
      <w:r>
        <w:rPr>
          <w:sz w:val="24"/>
        </w:rPr>
        <w:t>2014.</w:t>
      </w:r>
    </w:p>
    <w:p>
      <w:pPr>
        <w:pStyle w:val="BodyText"/>
        <w:spacing w:line="276" w:lineRule="auto" w:before="2"/>
        <w:ind w:right="123" w:firstLine="1658"/>
        <w:jc w:val="both"/>
      </w:pPr>
      <w:r>
        <w:rPr/>
        <w:t>156 .Singh JA, Hossain A, Tanjong Ghogomu E, Kotb A, Christensen R, Mudano AS,Maxwell LJ, Shah NP, Tugwell P, Wells GA. Biologics or tofacitinib for rheumatoidarthritis in incomplete responders to methotrexate or other traditionaldisease-modifying anti-rheumatic drugs: a systematic review and networkmeta-analysis. Cochrane Database Syst Rev. 2016 May 13;(5):CD012183. doi:10.1002/14651858.CD012183.</w:t>
      </w:r>
    </w:p>
    <w:p>
      <w:pPr>
        <w:pStyle w:val="ListParagraph"/>
        <w:numPr>
          <w:ilvl w:val="1"/>
          <w:numId w:val="32"/>
        </w:numPr>
        <w:tabs>
          <w:tab w:pos="2249" w:val="left" w:leader="none"/>
        </w:tabs>
        <w:spacing w:line="276" w:lineRule="auto" w:before="0" w:after="0"/>
        <w:ind w:left="112" w:right="124" w:firstLine="1599"/>
        <w:jc w:val="both"/>
        <w:rPr>
          <w:sz w:val="24"/>
        </w:rPr>
      </w:pPr>
      <w:r>
        <w:rPr>
          <w:sz w:val="24"/>
        </w:rPr>
        <w:t>Buckley F, Finckh A, Huizinga TW, Dejonckheere F, Jansen JP. Comparative Efficacy of Novel DMARDs as Monotherapy and in Combination with Methotrexate in Rheumatoid Arthritis Patients with Inadequate Response to Conventional DMARDs: A Network Meta-Analysis. J Manag Care Spec Pharm. 2015</w:t>
      </w:r>
      <w:r>
        <w:rPr>
          <w:spacing w:val="-6"/>
          <w:sz w:val="24"/>
        </w:rPr>
        <w:t> </w:t>
      </w:r>
      <w:r>
        <w:rPr>
          <w:sz w:val="24"/>
        </w:rPr>
        <w:t>May;21(5):409-23.</w:t>
      </w:r>
    </w:p>
    <w:p>
      <w:pPr>
        <w:pStyle w:val="ListParagraph"/>
        <w:numPr>
          <w:ilvl w:val="1"/>
          <w:numId w:val="32"/>
        </w:numPr>
        <w:tabs>
          <w:tab w:pos="2211" w:val="left" w:leader="none"/>
        </w:tabs>
        <w:spacing w:line="276" w:lineRule="auto" w:before="0" w:after="0"/>
        <w:ind w:left="112" w:right="125" w:firstLine="1599"/>
        <w:jc w:val="both"/>
        <w:rPr>
          <w:sz w:val="24"/>
        </w:rPr>
      </w:pPr>
      <w:r>
        <w:rPr>
          <w:sz w:val="24"/>
        </w:rPr>
        <w:t>Lee YH, Bae SC, Song GG. Comparative efficacy and safety of tofacitinib, withor without methotrexate, in patients with active rheumatoid arthritis: a Bayesiannetwork meta-analysis of randomized controlled trials. Rheumatol Int. 2015Dec;35(12):1965-74. doi:</w:t>
      </w:r>
      <w:r>
        <w:rPr>
          <w:spacing w:val="-7"/>
          <w:sz w:val="24"/>
        </w:rPr>
        <w:t> </w:t>
      </w:r>
      <w:r>
        <w:rPr>
          <w:sz w:val="24"/>
        </w:rPr>
        <w:t>10.1007/s00296-015-3291-4.</w:t>
      </w:r>
    </w:p>
    <w:p>
      <w:pPr>
        <w:pStyle w:val="ListParagraph"/>
        <w:numPr>
          <w:ilvl w:val="1"/>
          <w:numId w:val="32"/>
        </w:numPr>
        <w:tabs>
          <w:tab w:pos="2264" w:val="left" w:leader="none"/>
        </w:tabs>
        <w:spacing w:line="276" w:lineRule="auto" w:before="1" w:after="0"/>
        <w:ind w:left="112" w:right="124" w:firstLine="1599"/>
        <w:jc w:val="both"/>
        <w:rPr>
          <w:sz w:val="24"/>
        </w:rPr>
      </w:pPr>
      <w:r>
        <w:rPr>
          <w:sz w:val="24"/>
        </w:rPr>
        <w:t>Zhang X, Liang F, Yin X, Xiao X, Shi P, Wei D, Yao </w:t>
      </w:r>
      <w:r>
        <w:rPr>
          <w:spacing w:val="-3"/>
          <w:sz w:val="24"/>
        </w:rPr>
        <w:t>L, </w:t>
      </w:r>
      <w:r>
        <w:rPr>
          <w:sz w:val="24"/>
        </w:rPr>
        <w:t>Wang Q, Chen Y.Tofacitinib for acute rheumatoid arthritis patients who have had an inadequate response to disease- modifying antirheumatic drug (DMARD): a systematic review andmeta-analysis. Clin Rheumatol. 2014 Feb;33(2):165-73. doi:10.1007/s10067-013-2452- 7.</w:t>
      </w:r>
    </w:p>
    <w:p>
      <w:pPr>
        <w:pStyle w:val="BodyText"/>
        <w:spacing w:line="276" w:lineRule="auto" w:before="1"/>
        <w:ind w:right="124" w:firstLine="1598"/>
        <w:jc w:val="both"/>
      </w:pPr>
      <w:r>
        <w:rPr/>
        <w:t>160..Kaur K, Kalra S, Kaushal S. Systematic review of tofacitinib: a new drug forthe management of rheumatoid arthritis. Clin Ther. 2014 Jul 1;36(7):1074-86. doi:10.1016/j.clinthera.2014.06.018.</w:t>
      </w:r>
    </w:p>
    <w:p>
      <w:pPr>
        <w:pStyle w:val="BodyText"/>
        <w:spacing w:line="276" w:lineRule="auto"/>
        <w:ind w:right="125" w:firstLine="1598"/>
        <w:jc w:val="both"/>
      </w:pPr>
      <w:r>
        <w:rPr/>
        <w:t>161.Kawalec P, Mikrut A, Wiśniewska N, Pilc A. The effectiveness of tofacitinib, anovel Janus kinase inhibitor, in the treatment of rheumatoid arthritis: asystematic review and meta-analysis. Clin Rheumatol. 2013 Oct;32(10):1415-24.doi:</w:t>
      </w:r>
      <w:r>
        <w:rPr>
          <w:spacing w:val="-1"/>
        </w:rPr>
        <w:t> </w:t>
      </w:r>
      <w:r>
        <w:rPr/>
        <w:t>10.1007/s10067-013-2329-9.</w:t>
      </w:r>
    </w:p>
    <w:p>
      <w:pPr>
        <w:pStyle w:val="BodyText"/>
        <w:spacing w:line="276" w:lineRule="auto"/>
        <w:ind w:right="130" w:firstLine="1598"/>
        <w:jc w:val="both"/>
      </w:pPr>
      <w:r>
        <w:rPr/>
        <w:t>162..He Y, Wong AYS, Chan EW, Lau WCY, Man KKC, Chui CSL, et al. Efficacy and safety of tofacitinib in the treatment of rheumatoid arthritis: a systematic review and metaanalysis. BMC Musculoskelet Disord. 2013;14(1):298.</w:t>
      </w:r>
    </w:p>
    <w:p>
      <w:pPr>
        <w:pStyle w:val="ListParagraph"/>
        <w:numPr>
          <w:ilvl w:val="0"/>
          <w:numId w:val="33"/>
        </w:numPr>
        <w:tabs>
          <w:tab w:pos="2133" w:val="left" w:leader="none"/>
        </w:tabs>
        <w:spacing w:line="276" w:lineRule="auto" w:before="0" w:after="0"/>
        <w:ind w:left="112" w:right="124" w:firstLine="1599"/>
        <w:jc w:val="both"/>
        <w:rPr>
          <w:sz w:val="24"/>
        </w:rPr>
      </w:pPr>
      <w:r>
        <w:rPr>
          <w:sz w:val="24"/>
        </w:rPr>
        <w:t>Berhan A. Efficacy, safety and tolerability of tofacitinib in patients with an inadequate response to disease modifying anti-rheumatic drugs: a meta-analysis of randomized double- blind controlled studies. BMC Musculoskelet Disord. 2013;14:332.</w:t>
      </w:r>
    </w:p>
    <w:p>
      <w:pPr>
        <w:pStyle w:val="ListParagraph"/>
        <w:numPr>
          <w:ilvl w:val="0"/>
          <w:numId w:val="33"/>
        </w:numPr>
        <w:tabs>
          <w:tab w:pos="2226" w:val="left" w:leader="none"/>
        </w:tabs>
        <w:spacing w:line="276" w:lineRule="auto" w:before="1" w:after="0"/>
        <w:ind w:left="112" w:right="122" w:firstLine="1599"/>
        <w:jc w:val="both"/>
        <w:rPr>
          <w:sz w:val="24"/>
        </w:rPr>
      </w:pPr>
      <w:r>
        <w:rPr>
          <w:sz w:val="24"/>
        </w:rPr>
        <w:t>Souto A1, Salgado E, Maneiro JR, Mera A, Carmona L, Gómez-Reino JJ. Lipid profile changes in patients with chronic inflammatory arthritis treated with biologic agents and tofacitinib in randomized clinical trials: a systematic review and meta-analysis. Arthritis Rheumatol. 2015 Jan;67(1):117-27. doi:</w:t>
      </w:r>
      <w:r>
        <w:rPr>
          <w:spacing w:val="-1"/>
          <w:sz w:val="24"/>
        </w:rPr>
        <w:t> </w:t>
      </w:r>
      <w:r>
        <w:rPr>
          <w:sz w:val="24"/>
        </w:rPr>
        <w:t>10.1002/art.38894.</w:t>
      </w:r>
    </w:p>
    <w:p>
      <w:pPr>
        <w:pStyle w:val="ListParagraph"/>
        <w:numPr>
          <w:ilvl w:val="0"/>
          <w:numId w:val="33"/>
        </w:numPr>
        <w:tabs>
          <w:tab w:pos="2133" w:val="left" w:leader="none"/>
        </w:tabs>
        <w:spacing w:line="276" w:lineRule="auto" w:before="0" w:after="0"/>
        <w:ind w:left="112" w:right="126" w:firstLine="1599"/>
        <w:jc w:val="both"/>
        <w:rPr>
          <w:sz w:val="24"/>
        </w:rPr>
      </w:pPr>
      <w:r>
        <w:rPr>
          <w:sz w:val="24"/>
        </w:rPr>
        <w:t>Curtis JR, Xie F, Yun H, Bernatsky S, Winthrop KL. Real-world comparative risks of herpes virus infections in tofacitinib and biologic-trated patients with rheumatoid arthritis. Ann Rheum Dis 2016a; 75:</w:t>
      </w:r>
      <w:r>
        <w:rPr>
          <w:spacing w:val="-1"/>
          <w:sz w:val="24"/>
        </w:rPr>
        <w:t> </w:t>
      </w:r>
      <w:r>
        <w:rPr>
          <w:sz w:val="24"/>
        </w:rPr>
        <w:t>1843-1847.</w:t>
      </w:r>
    </w:p>
    <w:p>
      <w:pPr>
        <w:spacing w:after="0" w:line="276"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19"/>
        </w:rPr>
      </w:pPr>
    </w:p>
    <w:p>
      <w:pPr>
        <w:pStyle w:val="ListParagraph"/>
        <w:numPr>
          <w:ilvl w:val="0"/>
          <w:numId w:val="33"/>
        </w:numPr>
        <w:tabs>
          <w:tab w:pos="2073" w:val="left" w:leader="none"/>
        </w:tabs>
        <w:spacing w:line="276" w:lineRule="auto" w:before="90" w:after="0"/>
        <w:ind w:left="112" w:right="121" w:firstLine="1539"/>
        <w:jc w:val="both"/>
        <w:rPr>
          <w:sz w:val="24"/>
        </w:rPr>
      </w:pPr>
      <w:r>
        <w:rPr>
          <w:sz w:val="24"/>
        </w:rPr>
        <w:t>Curtis JR, Lee EB, Kaplan IV, Kwok K, Geier J, Benda B, Soma K, Wang L, RieseR. Tofacitinib, an oral Janus kinase inhibitor: analysis of malignancies acrossthe rheumatoid arthritis clinical development programme. Ann Rheum Dis. 2016May;75(5):831-41. doi: 10.1136/annrheumdis-2014- 205847.</w:t>
      </w:r>
    </w:p>
    <w:p>
      <w:pPr>
        <w:pStyle w:val="ListParagraph"/>
        <w:numPr>
          <w:ilvl w:val="0"/>
          <w:numId w:val="33"/>
        </w:numPr>
        <w:tabs>
          <w:tab w:pos="2073" w:val="left" w:leader="none"/>
        </w:tabs>
        <w:spacing w:line="276" w:lineRule="auto" w:before="0" w:after="0"/>
        <w:ind w:left="112" w:right="126" w:firstLine="1539"/>
        <w:jc w:val="both"/>
        <w:rPr>
          <w:sz w:val="24"/>
        </w:rPr>
      </w:pPr>
      <w:r>
        <w:rPr>
          <w:sz w:val="24"/>
        </w:rPr>
        <w:t>Harnett J, Curtis JR, Gerber R, Gruben D, Koening A. Inicial experience with tofacitinib in clinical practice: treatment patterns and costs of tofacitinib administered as monotherapy or in combination with conventional synthetic DMARDs in 2 UH health care claims databases. Clinical Therapeutics, 2016 (article in</w:t>
      </w:r>
      <w:r>
        <w:rPr>
          <w:spacing w:val="-1"/>
          <w:sz w:val="24"/>
        </w:rPr>
        <w:t> </w:t>
      </w:r>
      <w:r>
        <w:rPr>
          <w:sz w:val="24"/>
        </w:rPr>
        <w:t>press).</w:t>
      </w:r>
    </w:p>
    <w:p>
      <w:pPr>
        <w:pStyle w:val="ListParagraph"/>
        <w:numPr>
          <w:ilvl w:val="0"/>
          <w:numId w:val="33"/>
        </w:numPr>
        <w:tabs>
          <w:tab w:pos="2133" w:val="left" w:leader="none"/>
        </w:tabs>
        <w:spacing w:line="276" w:lineRule="auto" w:before="1" w:after="0"/>
        <w:ind w:left="112" w:right="123" w:firstLine="1599"/>
        <w:jc w:val="both"/>
        <w:rPr>
          <w:sz w:val="24"/>
        </w:rPr>
      </w:pPr>
      <w:r>
        <w:rPr>
          <w:sz w:val="24"/>
        </w:rPr>
        <w:t>Xie F, Yun H, Bernatsky S, Curtis JR. Risk for Gastrointestinal Perforation among Rheumatoid Arthritis Patients receiving Tofacitinib, Tocilizumab, or other Biologics. Arthritis Rheumatol. 2016 May 23. doi:</w:t>
      </w:r>
      <w:r>
        <w:rPr>
          <w:spacing w:val="-5"/>
          <w:sz w:val="24"/>
        </w:rPr>
        <w:t> </w:t>
      </w:r>
      <w:r>
        <w:rPr>
          <w:sz w:val="24"/>
        </w:rPr>
        <w:t>10.1002/art.39761.</w:t>
      </w:r>
    </w:p>
    <w:p>
      <w:pPr>
        <w:pStyle w:val="ListParagraph"/>
        <w:numPr>
          <w:ilvl w:val="0"/>
          <w:numId w:val="33"/>
        </w:numPr>
        <w:tabs>
          <w:tab w:pos="2193" w:val="left" w:leader="none"/>
        </w:tabs>
        <w:spacing w:line="276" w:lineRule="auto" w:before="1" w:after="0"/>
        <w:ind w:left="112" w:right="124" w:firstLine="1659"/>
        <w:jc w:val="both"/>
        <w:rPr>
          <w:sz w:val="24"/>
        </w:rPr>
      </w:pPr>
      <w:r>
        <w:rPr>
          <w:sz w:val="24"/>
        </w:rPr>
        <w:t>Winthrop KL, Park SH, Gul A, Cardiel MH, Gomez-Reino JJ, Tanaka Y, Kwok K,Lukic T, Mortensen E, Ponce de Leon D, Riese R, Valdez H. Tuberculosis and otheropportunistic infections in tofacitinib-treated patients with rheumatoidarthritis. Ann Rheum Dis. 2016 Jun;75(6):1133- 8.</w:t>
      </w:r>
      <w:r>
        <w:rPr>
          <w:spacing w:val="-1"/>
          <w:sz w:val="24"/>
        </w:rPr>
        <w:t> </w:t>
      </w:r>
      <w:r>
        <w:rPr>
          <w:sz w:val="24"/>
        </w:rPr>
        <w:t>doi:10.1136/annrheumdis-2015-207319.</w:t>
      </w:r>
    </w:p>
    <w:p>
      <w:pPr>
        <w:pStyle w:val="ListParagraph"/>
        <w:numPr>
          <w:ilvl w:val="0"/>
          <w:numId w:val="33"/>
        </w:numPr>
        <w:tabs>
          <w:tab w:pos="1953" w:val="left" w:leader="none"/>
        </w:tabs>
        <w:spacing w:line="274" w:lineRule="exact" w:before="0" w:after="0"/>
        <w:ind w:left="1952" w:right="0" w:hanging="421"/>
        <w:jc w:val="left"/>
        <w:rPr>
          <w:sz w:val="24"/>
        </w:rPr>
      </w:pPr>
      <w:r>
        <w:rPr>
          <w:sz w:val="24"/>
        </w:rPr>
        <w:t>Mertens M, Singh JA. Anakinra for rheumatoid arthritis. Cochrane Database Syst</w:t>
      </w:r>
      <w:r>
        <w:rPr>
          <w:spacing w:val="11"/>
          <w:sz w:val="24"/>
        </w:rPr>
        <w:t> </w:t>
      </w:r>
      <w:r>
        <w:rPr>
          <w:sz w:val="24"/>
        </w:rPr>
        <w:t>Rev.</w:t>
      </w:r>
    </w:p>
    <w:p>
      <w:pPr>
        <w:pStyle w:val="BodyText"/>
      </w:pPr>
      <w:r>
        <w:rPr/>
        <w:t>2009(1):CD005121.</w:t>
      </w:r>
    </w:p>
    <w:p>
      <w:pPr>
        <w:pStyle w:val="ListParagraph"/>
        <w:numPr>
          <w:ilvl w:val="0"/>
          <w:numId w:val="33"/>
        </w:numPr>
        <w:tabs>
          <w:tab w:pos="1953" w:val="left" w:leader="none"/>
        </w:tabs>
        <w:spacing w:line="240" w:lineRule="auto" w:before="0" w:after="0"/>
        <w:ind w:left="112" w:right="130" w:firstLine="1419"/>
        <w:jc w:val="both"/>
        <w:rPr>
          <w:sz w:val="24"/>
        </w:rPr>
      </w:pPr>
      <w:r>
        <w:rPr>
          <w:sz w:val="24"/>
        </w:rPr>
        <w:t>Clark P, Tugwell P, Bennet K, Bombardier C, Shea B, Wells G, et al. Injectable gold for rheumatoid arthritis. Cochrane Database Syst Rev.</w:t>
      </w:r>
      <w:r>
        <w:rPr>
          <w:spacing w:val="-3"/>
          <w:sz w:val="24"/>
        </w:rPr>
        <w:t> </w:t>
      </w:r>
      <w:r>
        <w:rPr>
          <w:sz w:val="24"/>
        </w:rPr>
        <w:t>2000(2):CD000520.</w:t>
      </w:r>
    </w:p>
    <w:p>
      <w:pPr>
        <w:pStyle w:val="ListParagraph"/>
        <w:numPr>
          <w:ilvl w:val="0"/>
          <w:numId w:val="33"/>
        </w:numPr>
        <w:tabs>
          <w:tab w:pos="1953" w:val="left" w:leader="none"/>
        </w:tabs>
        <w:spacing w:line="240" w:lineRule="auto" w:before="0" w:after="0"/>
        <w:ind w:left="112" w:right="131" w:firstLine="1419"/>
        <w:jc w:val="both"/>
        <w:rPr>
          <w:sz w:val="24"/>
        </w:rPr>
      </w:pPr>
      <w:r>
        <w:rPr>
          <w:sz w:val="24"/>
        </w:rPr>
        <w:t>Suarez-Almazor ME, Spooner CH, Belseck E, Shea B. Auranofin versus placebo in rheumatoid arthritis. Cochrane Database Syst Rev.</w:t>
      </w:r>
      <w:r>
        <w:rPr>
          <w:spacing w:val="-1"/>
          <w:sz w:val="24"/>
        </w:rPr>
        <w:t> </w:t>
      </w:r>
      <w:r>
        <w:rPr>
          <w:sz w:val="24"/>
        </w:rPr>
        <w:t>2000(2):CD002048.</w:t>
      </w:r>
    </w:p>
    <w:p>
      <w:pPr>
        <w:pStyle w:val="ListParagraph"/>
        <w:numPr>
          <w:ilvl w:val="0"/>
          <w:numId w:val="33"/>
        </w:numPr>
        <w:tabs>
          <w:tab w:pos="1953" w:val="left" w:leader="none"/>
        </w:tabs>
        <w:spacing w:line="240" w:lineRule="auto" w:before="0" w:after="0"/>
        <w:ind w:left="112" w:right="131" w:firstLine="1419"/>
        <w:jc w:val="both"/>
        <w:rPr>
          <w:sz w:val="24"/>
        </w:rPr>
      </w:pPr>
      <w:r>
        <w:rPr>
          <w:sz w:val="24"/>
        </w:rPr>
        <w:t>Suarez-Almazor ME, Spooner C, Belseck E. Penicillamine for treating rheumatoid arthritis. Cochrane Database Syst Rev.</w:t>
      </w:r>
      <w:r>
        <w:rPr>
          <w:spacing w:val="-3"/>
          <w:sz w:val="24"/>
        </w:rPr>
        <w:t> </w:t>
      </w:r>
      <w:r>
        <w:rPr>
          <w:sz w:val="24"/>
        </w:rPr>
        <w:t>2000(4):CD001460.</w:t>
      </w:r>
    </w:p>
    <w:p>
      <w:pPr>
        <w:pStyle w:val="ListParagraph"/>
        <w:numPr>
          <w:ilvl w:val="0"/>
          <w:numId w:val="33"/>
        </w:numPr>
        <w:tabs>
          <w:tab w:pos="1954" w:val="left" w:leader="none"/>
        </w:tabs>
        <w:spacing w:line="240" w:lineRule="auto" w:before="0" w:after="0"/>
        <w:ind w:left="112" w:right="128" w:firstLine="1419"/>
        <w:jc w:val="both"/>
        <w:rPr>
          <w:sz w:val="24"/>
        </w:rPr>
      </w:pPr>
      <w:r>
        <w:rPr>
          <w:sz w:val="24"/>
        </w:rPr>
        <w:t>Lee YH, Woo JH, Choi SJ, Ji JD, Bae SC, Song GG. Tacrolimus for the treatment of active rheumatoid arthritis: a systematic review and meta-analysis of randomized controlled trials. Scand J Rheumatol. 2010</w:t>
      </w:r>
      <w:r>
        <w:rPr>
          <w:spacing w:val="1"/>
          <w:sz w:val="24"/>
        </w:rPr>
        <w:t> </w:t>
      </w:r>
      <w:r>
        <w:rPr>
          <w:sz w:val="24"/>
        </w:rPr>
        <w:t>Aug;39(4):271-8.</w:t>
      </w:r>
    </w:p>
    <w:p>
      <w:pPr>
        <w:pStyle w:val="ListParagraph"/>
        <w:numPr>
          <w:ilvl w:val="0"/>
          <w:numId w:val="33"/>
        </w:numPr>
        <w:tabs>
          <w:tab w:pos="1953" w:val="left" w:leader="none"/>
        </w:tabs>
        <w:spacing w:line="240" w:lineRule="auto" w:before="0" w:after="0"/>
        <w:ind w:left="112" w:right="132" w:firstLine="1419"/>
        <w:jc w:val="both"/>
        <w:rPr>
          <w:sz w:val="24"/>
        </w:rPr>
      </w:pPr>
      <w:r>
        <w:rPr>
          <w:sz w:val="24"/>
        </w:rPr>
        <w:t>Richards BL, Whittle SL, Buchbinder R. Neuromodulators for pain management in rheumatoid arthritis. Cochrane Database Syst Rev.</w:t>
      </w:r>
      <w:r>
        <w:rPr>
          <w:spacing w:val="1"/>
          <w:sz w:val="24"/>
        </w:rPr>
        <w:t> </w:t>
      </w:r>
      <w:r>
        <w:rPr>
          <w:sz w:val="24"/>
        </w:rPr>
        <w:t>2012;1:CD008921.</w:t>
      </w:r>
    </w:p>
    <w:p>
      <w:pPr>
        <w:pStyle w:val="ListParagraph"/>
        <w:numPr>
          <w:ilvl w:val="0"/>
          <w:numId w:val="33"/>
        </w:numPr>
        <w:tabs>
          <w:tab w:pos="1954" w:val="left" w:leader="none"/>
        </w:tabs>
        <w:spacing w:line="240" w:lineRule="auto" w:before="0" w:after="0"/>
        <w:ind w:left="112" w:right="124" w:firstLine="1419"/>
        <w:jc w:val="both"/>
        <w:rPr>
          <w:sz w:val="24"/>
        </w:rPr>
      </w:pPr>
      <w:r>
        <w:rPr>
          <w:sz w:val="24"/>
        </w:rPr>
        <w:t>Ichim TE, Zheng X, Suzuki M, Kubo N, Zhang X, Min LR, et al. Antigen-specific therapy of rheumatoid arthritis. Expert Opinion on Biological Therapy.</w:t>
      </w:r>
      <w:r>
        <w:rPr>
          <w:spacing w:val="-9"/>
          <w:sz w:val="24"/>
        </w:rPr>
        <w:t> </w:t>
      </w:r>
      <w:r>
        <w:rPr>
          <w:sz w:val="24"/>
        </w:rPr>
        <w:t>2008;8(2):191-9.</w:t>
      </w:r>
    </w:p>
    <w:p>
      <w:pPr>
        <w:pStyle w:val="ListParagraph"/>
        <w:numPr>
          <w:ilvl w:val="0"/>
          <w:numId w:val="33"/>
        </w:numPr>
        <w:tabs>
          <w:tab w:pos="1953" w:val="left" w:leader="none"/>
        </w:tabs>
        <w:spacing w:line="240" w:lineRule="auto" w:before="0" w:after="0"/>
        <w:ind w:left="1952" w:right="0" w:hanging="421"/>
        <w:jc w:val="left"/>
        <w:rPr>
          <w:sz w:val="24"/>
        </w:rPr>
      </w:pPr>
      <w:r>
        <w:rPr>
          <w:sz w:val="24"/>
        </w:rPr>
        <w:t>Bijlsma JWJ. Disease control with glucocorticoid therapy in rheumatoid</w:t>
      </w:r>
      <w:r>
        <w:rPr>
          <w:spacing w:val="11"/>
          <w:sz w:val="24"/>
        </w:rPr>
        <w:t> </w:t>
      </w:r>
      <w:r>
        <w:rPr>
          <w:sz w:val="24"/>
        </w:rPr>
        <w:t>arthritis.</w:t>
      </w:r>
    </w:p>
    <w:p>
      <w:pPr>
        <w:pStyle w:val="BodyText"/>
      </w:pPr>
      <w:r>
        <w:rPr/>
        <w:t>Rheumatology (United Kingdom). 2012;51(SUPPL.4):iv9-iv13.</w:t>
      </w:r>
    </w:p>
    <w:p>
      <w:pPr>
        <w:pStyle w:val="ListParagraph"/>
        <w:numPr>
          <w:ilvl w:val="0"/>
          <w:numId w:val="33"/>
        </w:numPr>
        <w:tabs>
          <w:tab w:pos="1953" w:val="left" w:leader="none"/>
        </w:tabs>
        <w:spacing w:line="240" w:lineRule="auto" w:before="0" w:after="0"/>
        <w:ind w:left="112" w:right="124" w:firstLine="1419"/>
        <w:jc w:val="both"/>
        <w:rPr>
          <w:sz w:val="24"/>
        </w:rPr>
      </w:pPr>
      <w:r>
        <w:rPr>
          <w:sz w:val="24"/>
        </w:rPr>
        <w:t>Gorter SL, Bijlsma JW, Cutolo M, Gomez-Reino J, Kouloumas M, Smolen JS, et al. Current evidence for the management of rheumatoid arthritis with glucocorticoids: a systematic literature review informing the EULAR recommendations for the management of rheumatoid arthritis. Ann Rheum Dis. 2010</w:t>
      </w:r>
      <w:r>
        <w:rPr>
          <w:spacing w:val="-1"/>
          <w:sz w:val="24"/>
        </w:rPr>
        <w:t> </w:t>
      </w:r>
      <w:r>
        <w:rPr>
          <w:sz w:val="24"/>
        </w:rPr>
        <w:t>Jun;69(6):1010-4.</w:t>
      </w:r>
    </w:p>
    <w:p>
      <w:pPr>
        <w:pStyle w:val="ListParagraph"/>
        <w:numPr>
          <w:ilvl w:val="0"/>
          <w:numId w:val="33"/>
        </w:numPr>
        <w:tabs>
          <w:tab w:pos="1953" w:val="left" w:leader="none"/>
        </w:tabs>
        <w:spacing w:line="240" w:lineRule="auto" w:before="1" w:after="0"/>
        <w:ind w:left="112" w:right="128" w:firstLine="1419"/>
        <w:jc w:val="both"/>
        <w:rPr>
          <w:sz w:val="24"/>
        </w:rPr>
      </w:pPr>
      <w:r>
        <w:rPr>
          <w:sz w:val="24"/>
        </w:rPr>
        <w:t>Dernis E, Ruyssen-Witrand A, Mouterde G, Maillefert JF, Tebib J, Cantagrel A, et al. Use of glucocorticoids in rheumatoid arthritis - Pratical modalities of glucocorticoid therapy: Recommendations for clinical practice based on data from the literature and expert opinion. Joint Bone Spine.</w:t>
      </w:r>
      <w:r>
        <w:rPr>
          <w:spacing w:val="-1"/>
          <w:sz w:val="24"/>
        </w:rPr>
        <w:t> </w:t>
      </w:r>
      <w:r>
        <w:rPr>
          <w:sz w:val="24"/>
        </w:rPr>
        <w:t>2010;77(5):451-7.</w:t>
      </w:r>
    </w:p>
    <w:p>
      <w:pPr>
        <w:pStyle w:val="ListParagraph"/>
        <w:numPr>
          <w:ilvl w:val="0"/>
          <w:numId w:val="33"/>
        </w:numPr>
        <w:tabs>
          <w:tab w:pos="1953" w:val="left" w:leader="none"/>
        </w:tabs>
        <w:spacing w:line="240" w:lineRule="auto" w:before="0" w:after="0"/>
        <w:ind w:left="112" w:right="127" w:firstLine="1419"/>
        <w:jc w:val="both"/>
        <w:rPr>
          <w:sz w:val="24"/>
        </w:rPr>
      </w:pPr>
      <w:r>
        <w:rPr>
          <w:sz w:val="24"/>
        </w:rPr>
        <w:t>Kirwan JR, Bijlsma JW, Boers M, Shea BJ. Effects of glucocorticoids on radiological progression in rheumatoid arthritis. Cochrane Database Syst Rev.</w:t>
      </w:r>
      <w:r>
        <w:rPr>
          <w:spacing w:val="-4"/>
          <w:sz w:val="24"/>
        </w:rPr>
        <w:t> </w:t>
      </w:r>
      <w:r>
        <w:rPr>
          <w:sz w:val="24"/>
        </w:rPr>
        <w:t>2007(1):CD006356.</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3"/>
        </w:numPr>
        <w:tabs>
          <w:tab w:pos="1953" w:val="left" w:leader="none"/>
        </w:tabs>
        <w:spacing w:line="240" w:lineRule="auto" w:before="90" w:after="0"/>
        <w:ind w:left="112" w:right="126" w:firstLine="1419"/>
        <w:jc w:val="both"/>
        <w:rPr>
          <w:sz w:val="24"/>
        </w:rPr>
      </w:pPr>
      <w:r>
        <w:rPr>
          <w:sz w:val="24"/>
        </w:rPr>
        <w:t>Wallen M, Gillies D. Intra-articular steroids and splints/rest for children with juvenile idiopathic arthritis and adults with rheumatoid arthritis. Cochrane Database Syst Rev.  2006(1):CD002824.</w:t>
      </w:r>
    </w:p>
    <w:p>
      <w:pPr>
        <w:pStyle w:val="ListParagraph"/>
        <w:numPr>
          <w:ilvl w:val="0"/>
          <w:numId w:val="33"/>
        </w:numPr>
        <w:tabs>
          <w:tab w:pos="1953" w:val="left" w:leader="none"/>
        </w:tabs>
        <w:spacing w:line="240" w:lineRule="auto" w:before="0" w:after="0"/>
        <w:ind w:left="112" w:right="127" w:firstLine="1419"/>
        <w:jc w:val="both"/>
        <w:rPr>
          <w:sz w:val="24"/>
        </w:rPr>
      </w:pPr>
      <w:r>
        <w:rPr>
          <w:sz w:val="24"/>
        </w:rPr>
        <w:t>Gotzsche PC, Johansen HK. Short-term low-dose corticosteroids vs placebo and nonsteroidal antiinflammatory drugs in rheumatoid arthritis. Cochrane Database Syst Rev. 2004(3):CD000189.</w:t>
      </w:r>
    </w:p>
    <w:p>
      <w:pPr>
        <w:pStyle w:val="ListParagraph"/>
        <w:numPr>
          <w:ilvl w:val="0"/>
          <w:numId w:val="33"/>
        </w:numPr>
        <w:tabs>
          <w:tab w:pos="1953" w:val="left" w:leader="none"/>
        </w:tabs>
        <w:spacing w:line="240" w:lineRule="auto" w:before="0" w:after="0"/>
        <w:ind w:left="112" w:right="126" w:firstLine="1419"/>
        <w:jc w:val="both"/>
        <w:rPr>
          <w:sz w:val="24"/>
        </w:rPr>
      </w:pPr>
      <w:r>
        <w:rPr>
          <w:sz w:val="24"/>
        </w:rPr>
        <w:t>Wienecke T, Gotzsche PC. Paracetamol versus nonsteroidal anti-inflammatory drugs for rheumatoid arthritis. Cochrane Database Syst Rev.</w:t>
      </w:r>
      <w:r>
        <w:rPr>
          <w:spacing w:val="-3"/>
          <w:sz w:val="24"/>
        </w:rPr>
        <w:t> </w:t>
      </w:r>
      <w:r>
        <w:rPr>
          <w:sz w:val="24"/>
        </w:rPr>
        <w:t>2004(1):CD003789.</w:t>
      </w:r>
    </w:p>
    <w:p>
      <w:pPr>
        <w:pStyle w:val="ListParagraph"/>
        <w:numPr>
          <w:ilvl w:val="0"/>
          <w:numId w:val="33"/>
        </w:numPr>
        <w:tabs>
          <w:tab w:pos="1953" w:val="left" w:leader="none"/>
        </w:tabs>
        <w:spacing w:line="240" w:lineRule="auto" w:before="0" w:after="0"/>
        <w:ind w:left="112" w:right="130" w:firstLine="1419"/>
        <w:jc w:val="both"/>
        <w:rPr>
          <w:sz w:val="24"/>
        </w:rPr>
      </w:pPr>
      <w:r>
        <w:rPr>
          <w:sz w:val="24"/>
        </w:rPr>
        <w:t>Radner H, Ramiro S, Buchbinder R, Landewe RB, van der Heijde D, Aletaha D. Pain management for inflammatory arthritis (rheumatoid arthritis, psoriatic arthritis, ankylosing spondylitis and other spondylarthritis) and gastrointestinal or liver comorbidity. Cochrane Database Syst Rev. 2012;1:CD008951.</w:t>
      </w:r>
    </w:p>
    <w:p>
      <w:pPr>
        <w:pStyle w:val="ListParagraph"/>
        <w:numPr>
          <w:ilvl w:val="0"/>
          <w:numId w:val="33"/>
        </w:numPr>
        <w:tabs>
          <w:tab w:pos="1953" w:val="left" w:leader="none"/>
        </w:tabs>
        <w:spacing w:line="240" w:lineRule="auto" w:before="1" w:after="0"/>
        <w:ind w:left="112" w:right="120" w:firstLine="1419"/>
        <w:jc w:val="both"/>
        <w:rPr>
          <w:sz w:val="24"/>
        </w:rPr>
      </w:pPr>
      <w:r>
        <w:rPr>
          <w:sz w:val="24"/>
        </w:rPr>
        <w:t>Colebatch AN, Marks JL, Edwards CJ. Safety of non-steroidal anti-inflammatory drugs, including aspirin and paracetamol (acetaminophen) in people receiving methotrexate for inflammatory arthritis (rheumatoid arthritis, ankylosing spondylitis, psoriatic arthritis, other spondyloarthritis). Cochrane Database Syst Rev. 2011(11):CD008872.</w:t>
      </w:r>
    </w:p>
    <w:p>
      <w:pPr>
        <w:pStyle w:val="ListParagraph"/>
        <w:numPr>
          <w:ilvl w:val="0"/>
          <w:numId w:val="33"/>
        </w:numPr>
        <w:tabs>
          <w:tab w:pos="1953" w:val="left" w:leader="none"/>
        </w:tabs>
        <w:spacing w:line="240" w:lineRule="auto" w:before="0" w:after="0"/>
        <w:ind w:left="112" w:right="128" w:firstLine="1419"/>
        <w:jc w:val="both"/>
        <w:rPr>
          <w:sz w:val="24"/>
        </w:rPr>
      </w:pPr>
      <w:r>
        <w:rPr>
          <w:sz w:val="24"/>
        </w:rPr>
        <w:t>Garner S, Fidan D, Frankish R, Judd M, Shea B, Towheed T, et al. Celecoxib for rheumatoid arthritis. Cochrane Database Syst Rev.</w:t>
      </w:r>
      <w:r>
        <w:rPr>
          <w:spacing w:val="-1"/>
          <w:sz w:val="24"/>
        </w:rPr>
        <w:t> </w:t>
      </w:r>
      <w:r>
        <w:rPr>
          <w:sz w:val="24"/>
        </w:rPr>
        <w:t>2002(4):CD003831.</w:t>
      </w:r>
    </w:p>
    <w:p>
      <w:pPr>
        <w:pStyle w:val="ListParagraph"/>
        <w:numPr>
          <w:ilvl w:val="0"/>
          <w:numId w:val="33"/>
        </w:numPr>
        <w:tabs>
          <w:tab w:pos="1953" w:val="left" w:leader="none"/>
        </w:tabs>
        <w:spacing w:line="240" w:lineRule="auto" w:before="0" w:after="0"/>
        <w:ind w:left="112" w:right="130" w:firstLine="1419"/>
        <w:jc w:val="both"/>
        <w:rPr>
          <w:sz w:val="24"/>
        </w:rPr>
      </w:pPr>
      <w:r>
        <w:rPr>
          <w:sz w:val="24"/>
        </w:rPr>
        <w:t>Marks JL, Colebatch AN, Buchbinder R, Edwards CJ. Pain management for rheumatoid arthritis and cardiovascular or renal comorbidity. Cochrane Database Syst Rev. 2011(10):CD008952.</w:t>
      </w:r>
    </w:p>
    <w:p>
      <w:pPr>
        <w:pStyle w:val="ListParagraph"/>
        <w:numPr>
          <w:ilvl w:val="0"/>
          <w:numId w:val="33"/>
        </w:numPr>
        <w:tabs>
          <w:tab w:pos="1953" w:val="left" w:leader="none"/>
        </w:tabs>
        <w:spacing w:line="240" w:lineRule="auto" w:before="0" w:after="0"/>
        <w:ind w:left="112" w:right="124" w:firstLine="1419"/>
        <w:jc w:val="both"/>
        <w:rPr>
          <w:sz w:val="24"/>
        </w:rPr>
      </w:pPr>
      <w:r>
        <w:rPr>
          <w:sz w:val="24"/>
        </w:rPr>
        <w:t>Ramiro S, Radner H, van der Heijde D, van Tubergen A, Buchbinder R, Aletaha D, et al. Combination therapy for pain management in inflammatory arthritis (rheumatoid arthritis, ankylosing spondylitis, psoriatic arthritis, other spondyloarthritis). Cochrane Database Syst Rev. 2011(10):CD008886.</w:t>
      </w:r>
    </w:p>
    <w:p>
      <w:pPr>
        <w:pStyle w:val="ListParagraph"/>
        <w:numPr>
          <w:ilvl w:val="0"/>
          <w:numId w:val="33"/>
        </w:numPr>
        <w:tabs>
          <w:tab w:pos="1953" w:val="left" w:leader="none"/>
        </w:tabs>
        <w:spacing w:line="240" w:lineRule="auto" w:before="0" w:after="0"/>
        <w:ind w:left="112" w:right="132" w:firstLine="1419"/>
        <w:jc w:val="both"/>
        <w:rPr>
          <w:sz w:val="24"/>
        </w:rPr>
      </w:pPr>
      <w:r>
        <w:rPr>
          <w:sz w:val="24"/>
        </w:rPr>
        <w:t>Richards BL, Whittle SL, Buchbinder R. Antidepressants for pain management in rheumatoid arthritis. Cochrane Database Syst Rev.</w:t>
      </w:r>
      <w:r>
        <w:rPr>
          <w:spacing w:val="1"/>
          <w:sz w:val="24"/>
        </w:rPr>
        <w:t> </w:t>
      </w:r>
      <w:r>
        <w:rPr>
          <w:sz w:val="24"/>
        </w:rPr>
        <w:t>2011(11):CD008920.</w:t>
      </w:r>
    </w:p>
    <w:p>
      <w:pPr>
        <w:pStyle w:val="BodyText"/>
        <w:ind w:right="132" w:firstLine="1418"/>
        <w:jc w:val="both"/>
      </w:pPr>
      <w:r>
        <w:rPr/>
        <w:t>190..Richards BL, Whittle SL, Buchbinder R. Muscle relaxants for pain management in rheumatoid arthritis. Cochrane Database Syst Rev. 2012;1:CD008922.</w:t>
      </w:r>
    </w:p>
    <w:p>
      <w:pPr>
        <w:pStyle w:val="ListParagraph"/>
        <w:numPr>
          <w:ilvl w:val="0"/>
          <w:numId w:val="34"/>
        </w:numPr>
        <w:tabs>
          <w:tab w:pos="1953" w:val="left" w:leader="none"/>
        </w:tabs>
        <w:spacing w:line="240" w:lineRule="auto" w:before="0" w:after="0"/>
        <w:ind w:left="112" w:right="123" w:firstLine="1419"/>
        <w:jc w:val="both"/>
        <w:rPr>
          <w:sz w:val="24"/>
        </w:rPr>
      </w:pPr>
      <w:r>
        <w:rPr>
          <w:sz w:val="24"/>
        </w:rPr>
        <w:t>Whittle SL, Richards BL, Husni E, Buchbinder R. Opioid therapy for treating rheumatoid arthritis pain. Cochrane Database Syst Rev. 2011(11):CD003113.</w:t>
      </w:r>
    </w:p>
    <w:p>
      <w:pPr>
        <w:pStyle w:val="ListParagraph"/>
        <w:numPr>
          <w:ilvl w:val="0"/>
          <w:numId w:val="34"/>
        </w:numPr>
        <w:tabs>
          <w:tab w:pos="1953" w:val="left" w:leader="none"/>
        </w:tabs>
        <w:spacing w:line="240" w:lineRule="auto" w:before="0" w:after="0"/>
        <w:ind w:left="112" w:right="125" w:firstLine="1419"/>
        <w:jc w:val="both"/>
        <w:rPr>
          <w:sz w:val="24"/>
        </w:rPr>
      </w:pPr>
      <w:r>
        <w:rPr>
          <w:sz w:val="24"/>
        </w:rPr>
        <w:t>Wells G, Haguenauer D, Shea B, Suarez-Almazor ME, Welch VA, Tugwell P. Cyclosporine for rheumatoid arthritis. Cochrane Database Syst Rev.</w:t>
      </w:r>
      <w:r>
        <w:rPr>
          <w:spacing w:val="-6"/>
          <w:sz w:val="24"/>
        </w:rPr>
        <w:t> </w:t>
      </w:r>
      <w:r>
        <w:rPr>
          <w:sz w:val="24"/>
        </w:rPr>
        <w:t>2000(2):CD001083.</w:t>
      </w:r>
    </w:p>
    <w:p>
      <w:pPr>
        <w:pStyle w:val="ListParagraph"/>
        <w:numPr>
          <w:ilvl w:val="0"/>
          <w:numId w:val="34"/>
        </w:numPr>
        <w:tabs>
          <w:tab w:pos="1953" w:val="left" w:leader="none"/>
        </w:tabs>
        <w:spacing w:line="240" w:lineRule="auto" w:before="0" w:after="0"/>
        <w:ind w:left="112" w:right="128" w:firstLine="1419"/>
        <w:jc w:val="both"/>
        <w:rPr>
          <w:sz w:val="24"/>
        </w:rPr>
      </w:pPr>
      <w:r>
        <w:rPr>
          <w:sz w:val="24"/>
        </w:rPr>
        <w:t>Suarez-Almazor ME, Spooner C, Belseck E. Azathioprine for treating rheumatoid arthritis. Cochrane Database Syst Rev.</w:t>
      </w:r>
      <w:r>
        <w:rPr>
          <w:spacing w:val="-3"/>
          <w:sz w:val="24"/>
        </w:rPr>
        <w:t> </w:t>
      </w:r>
      <w:r>
        <w:rPr>
          <w:sz w:val="24"/>
        </w:rPr>
        <w:t>2000(4):CD001461.</w:t>
      </w:r>
    </w:p>
    <w:p>
      <w:pPr>
        <w:pStyle w:val="ListParagraph"/>
        <w:numPr>
          <w:ilvl w:val="0"/>
          <w:numId w:val="34"/>
        </w:numPr>
        <w:tabs>
          <w:tab w:pos="1953" w:val="left" w:leader="none"/>
        </w:tabs>
        <w:spacing w:line="240" w:lineRule="auto" w:before="0" w:after="0"/>
        <w:ind w:left="112" w:right="131" w:firstLine="1419"/>
        <w:jc w:val="both"/>
        <w:rPr>
          <w:sz w:val="24"/>
        </w:rPr>
      </w:pPr>
      <w:r>
        <w:rPr>
          <w:sz w:val="24"/>
        </w:rPr>
        <w:t>Whelan P, Atone J. Treatment of rheumatoid vasculitis. UpToDate [serial on the Internet].</w:t>
      </w:r>
      <w:r>
        <w:rPr>
          <w:spacing w:val="-1"/>
          <w:sz w:val="24"/>
        </w:rPr>
        <w:t> </w:t>
      </w:r>
      <w:r>
        <w:rPr>
          <w:sz w:val="24"/>
        </w:rPr>
        <w:t>2012.</w:t>
      </w:r>
    </w:p>
    <w:p>
      <w:pPr>
        <w:pStyle w:val="ListParagraph"/>
        <w:numPr>
          <w:ilvl w:val="0"/>
          <w:numId w:val="34"/>
        </w:numPr>
        <w:tabs>
          <w:tab w:pos="1954" w:val="left" w:leader="none"/>
        </w:tabs>
        <w:spacing w:line="240" w:lineRule="auto" w:before="1" w:after="0"/>
        <w:ind w:left="112" w:right="129" w:firstLine="1419"/>
        <w:jc w:val="both"/>
        <w:rPr>
          <w:sz w:val="24"/>
        </w:rPr>
      </w:pPr>
      <w:r>
        <w:rPr>
          <w:sz w:val="24"/>
        </w:rPr>
        <w:t>Lake F. Interstitial lung disease in rheumatoid arthritis. UpToDate [serial on the Internet].</w:t>
      </w:r>
      <w:r>
        <w:rPr>
          <w:spacing w:val="-1"/>
          <w:sz w:val="24"/>
        </w:rPr>
        <w:t> </w:t>
      </w:r>
      <w:r>
        <w:rPr>
          <w:sz w:val="24"/>
        </w:rPr>
        <w:t>2012.</w:t>
      </w:r>
    </w:p>
    <w:p>
      <w:pPr>
        <w:pStyle w:val="ListParagraph"/>
        <w:numPr>
          <w:ilvl w:val="0"/>
          <w:numId w:val="34"/>
        </w:numPr>
        <w:tabs>
          <w:tab w:pos="1953" w:val="left" w:leader="none"/>
        </w:tabs>
        <w:spacing w:line="240" w:lineRule="auto" w:before="0" w:after="0"/>
        <w:ind w:left="112" w:right="131" w:firstLine="1419"/>
        <w:jc w:val="both"/>
        <w:rPr>
          <w:sz w:val="24"/>
        </w:rPr>
      </w:pPr>
      <w:r>
        <w:rPr>
          <w:sz w:val="24"/>
        </w:rPr>
        <w:t>Suarez-Almazor ME, Belseck E, Shea B, Wells G, Tugwell P. Cyclophosphamide for treating rheumatoid arthritis. Cochrane Database Syst Rev.</w:t>
      </w:r>
      <w:r>
        <w:rPr>
          <w:spacing w:val="-3"/>
          <w:sz w:val="24"/>
        </w:rPr>
        <w:t> </w:t>
      </w:r>
      <w:r>
        <w:rPr>
          <w:sz w:val="24"/>
        </w:rPr>
        <w:t>2000(4):CD001157.</w:t>
      </w:r>
    </w:p>
    <w:p>
      <w:pPr>
        <w:pStyle w:val="ListParagraph"/>
        <w:numPr>
          <w:ilvl w:val="0"/>
          <w:numId w:val="34"/>
        </w:numPr>
        <w:tabs>
          <w:tab w:pos="1954" w:val="left" w:leader="none"/>
        </w:tabs>
        <w:spacing w:line="240" w:lineRule="auto" w:before="0" w:after="0"/>
        <w:ind w:left="112" w:right="130" w:firstLine="1419"/>
        <w:jc w:val="both"/>
        <w:rPr>
          <w:sz w:val="24"/>
        </w:rPr>
      </w:pPr>
      <w:r>
        <w:rPr>
          <w:spacing w:val="-3"/>
          <w:sz w:val="24"/>
        </w:rPr>
        <w:t>Li </w:t>
      </w:r>
      <w:r>
        <w:rPr>
          <w:sz w:val="24"/>
        </w:rPr>
        <w:t>RHW, Gebbie AE, Wong RWS, Ng EHY, Glasier AF, Ho PC. The use of sex hormones in women with rheumatological diseases. Hong Kong Medical Journal.</w:t>
      </w:r>
      <w:r>
        <w:rPr>
          <w:spacing w:val="-8"/>
          <w:sz w:val="24"/>
        </w:rPr>
        <w:t> </w:t>
      </w:r>
      <w:r>
        <w:rPr>
          <w:sz w:val="24"/>
        </w:rPr>
        <w:t>2011;17(6):487-91.</w:t>
      </w:r>
    </w:p>
    <w:p>
      <w:pPr>
        <w:pStyle w:val="ListParagraph"/>
        <w:numPr>
          <w:ilvl w:val="0"/>
          <w:numId w:val="34"/>
        </w:numPr>
        <w:tabs>
          <w:tab w:pos="1953" w:val="left" w:leader="none"/>
        </w:tabs>
        <w:spacing w:line="240" w:lineRule="auto" w:before="0" w:after="0"/>
        <w:ind w:left="112" w:right="129" w:firstLine="1419"/>
        <w:jc w:val="both"/>
        <w:rPr>
          <w:sz w:val="24"/>
        </w:rPr>
      </w:pPr>
      <w:r>
        <w:rPr>
          <w:sz w:val="24"/>
        </w:rPr>
        <w:t>Farr SL, Folger SG, Paulen ME, Curtis KM. Safety of contraceptive methods for women with rheumatoid arthritis: a systematic review. Contraception. 2010;82(1):64-71.</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4"/>
        </w:numPr>
        <w:tabs>
          <w:tab w:pos="1953" w:val="left" w:leader="none"/>
        </w:tabs>
        <w:spacing w:line="240" w:lineRule="auto" w:before="90" w:after="0"/>
        <w:ind w:left="112" w:right="125" w:firstLine="1419"/>
        <w:jc w:val="both"/>
        <w:rPr>
          <w:sz w:val="24"/>
        </w:rPr>
      </w:pPr>
      <w:r>
        <w:rPr>
          <w:sz w:val="24"/>
        </w:rPr>
        <w:t>Sikora A. Efficacy of vaccination in connective tissue diseases: Systemic lupus erythematosus (SLE) and rheumatoid arthritis (RA) - Review of the literature. Central-European Journal of Immunology.</w:t>
      </w:r>
      <w:r>
        <w:rPr>
          <w:spacing w:val="1"/>
          <w:sz w:val="24"/>
        </w:rPr>
        <w:t> </w:t>
      </w:r>
      <w:r>
        <w:rPr>
          <w:sz w:val="24"/>
        </w:rPr>
        <w:t>2004;29(1):35-8.</w:t>
      </w:r>
    </w:p>
    <w:p>
      <w:pPr>
        <w:pStyle w:val="BodyText"/>
        <w:ind w:left="1531"/>
      </w:pPr>
      <w:r>
        <w:rPr/>
        <w:t>200..Bermas B. Rheumatoid arthritis and pregnancy. UpToDate2012.</w:t>
      </w:r>
    </w:p>
    <w:p>
      <w:pPr>
        <w:pStyle w:val="ListParagraph"/>
        <w:numPr>
          <w:ilvl w:val="0"/>
          <w:numId w:val="35"/>
        </w:numPr>
        <w:tabs>
          <w:tab w:pos="1953" w:val="left" w:leader="none"/>
        </w:tabs>
        <w:spacing w:line="240" w:lineRule="auto" w:before="0" w:after="0"/>
        <w:ind w:left="112" w:right="124" w:firstLine="1419"/>
        <w:jc w:val="both"/>
        <w:rPr>
          <w:sz w:val="24"/>
        </w:rPr>
      </w:pPr>
      <w:r>
        <w:rPr>
          <w:sz w:val="24"/>
        </w:rPr>
        <w:t>Finckh A, Ciurea A, Brulhart L, Moller B, Walker UA, Courvoisier D, et al. Which subgroup of patients with rheumatoid arthritis benefits from switching to rituximab versus alternative anti-tumour necrosis factor (TNF) agents after previous failure of an anti-TNF agent? Ann Rheum Dis. 2010</w:t>
      </w:r>
      <w:r>
        <w:rPr>
          <w:spacing w:val="-1"/>
          <w:sz w:val="24"/>
        </w:rPr>
        <w:t> </w:t>
      </w:r>
      <w:r>
        <w:rPr>
          <w:sz w:val="24"/>
        </w:rPr>
        <w:t>Feb;69(2):387-93.</w:t>
      </w:r>
    </w:p>
    <w:p>
      <w:pPr>
        <w:pStyle w:val="ListParagraph"/>
        <w:numPr>
          <w:ilvl w:val="0"/>
          <w:numId w:val="35"/>
        </w:numPr>
        <w:tabs>
          <w:tab w:pos="1953" w:val="left" w:leader="none"/>
        </w:tabs>
        <w:spacing w:line="240" w:lineRule="auto" w:before="0" w:after="0"/>
        <w:ind w:left="112" w:right="125" w:firstLine="1419"/>
        <w:jc w:val="both"/>
        <w:rPr>
          <w:sz w:val="24"/>
        </w:rPr>
      </w:pPr>
      <w:r>
        <w:rPr>
          <w:sz w:val="24"/>
        </w:rPr>
        <w:t>Hyrich KL, Lunt M, Watson KD, Symmons DP, Silman AJ. Outcomes after switching from one anti-tumor necrosis factor alpha agent to a second anti-tumor necrosis factor alpha agent in patients with rheumatoid arthritis: results from a large UK national cohort study. Arthritis Rheum. 2007 Jan;56(1):13-20.</w:t>
      </w:r>
    </w:p>
    <w:p>
      <w:pPr>
        <w:pStyle w:val="ListParagraph"/>
        <w:numPr>
          <w:ilvl w:val="0"/>
          <w:numId w:val="35"/>
        </w:numPr>
        <w:tabs>
          <w:tab w:pos="1953" w:val="left" w:leader="none"/>
        </w:tabs>
        <w:spacing w:line="240" w:lineRule="auto" w:before="1" w:after="0"/>
        <w:ind w:left="112" w:right="125" w:firstLine="1419"/>
        <w:jc w:val="both"/>
        <w:rPr>
          <w:sz w:val="24"/>
        </w:rPr>
      </w:pPr>
      <w:r>
        <w:rPr>
          <w:sz w:val="24"/>
        </w:rPr>
        <w:t>Karlsson JA, Kristensen LE, Kapetanovic MC, Gulfe A, Saxne T, Geborek P. Treatment response to a second or third TNF-inhibitor in RA: results from the South Swedish Arthritis Treatment Group Register. Rheumatology (Oxford). 2008</w:t>
      </w:r>
      <w:r>
        <w:rPr>
          <w:spacing w:val="-6"/>
          <w:sz w:val="24"/>
        </w:rPr>
        <w:t> </w:t>
      </w:r>
      <w:r>
        <w:rPr>
          <w:sz w:val="24"/>
        </w:rPr>
        <w:t>Apr;47(4):507-13.</w:t>
      </w:r>
    </w:p>
    <w:p>
      <w:pPr>
        <w:pStyle w:val="ListParagraph"/>
        <w:numPr>
          <w:ilvl w:val="0"/>
          <w:numId w:val="35"/>
        </w:numPr>
        <w:tabs>
          <w:tab w:pos="1953" w:val="left" w:leader="none"/>
        </w:tabs>
        <w:spacing w:line="240" w:lineRule="auto" w:before="0" w:after="0"/>
        <w:ind w:left="112" w:right="121" w:firstLine="1419"/>
        <w:jc w:val="both"/>
        <w:rPr>
          <w:sz w:val="24"/>
        </w:rPr>
      </w:pPr>
      <w:r>
        <w:rPr>
          <w:sz w:val="24"/>
        </w:rPr>
        <w:t>Smolen JS, Kay J, Doyle MK, Landewe R, Matteson EL, Wollenhaupt J, et al. Golimumab in patients with active rheumatoid arthritis after treatment with tumour necrosis factor alpha inhibitors (GO-AFTER study): a multicentre, randomised, double-blind, placebo-controlled, phase III trial. Lancet. 2009 Jul</w:t>
      </w:r>
      <w:r>
        <w:rPr>
          <w:spacing w:val="1"/>
          <w:sz w:val="24"/>
        </w:rPr>
        <w:t> </w:t>
      </w:r>
      <w:r>
        <w:rPr>
          <w:sz w:val="24"/>
        </w:rPr>
        <w:t>18;374(9685):210-21.</w:t>
      </w:r>
    </w:p>
    <w:p>
      <w:pPr>
        <w:pStyle w:val="ListParagraph"/>
        <w:numPr>
          <w:ilvl w:val="0"/>
          <w:numId w:val="35"/>
        </w:numPr>
        <w:tabs>
          <w:tab w:pos="1953" w:val="left" w:leader="none"/>
        </w:tabs>
        <w:spacing w:line="240" w:lineRule="auto" w:before="0" w:after="0"/>
        <w:ind w:left="112" w:right="127" w:firstLine="1419"/>
        <w:jc w:val="both"/>
        <w:rPr>
          <w:sz w:val="24"/>
        </w:rPr>
      </w:pPr>
      <w:r>
        <w:rPr>
          <w:sz w:val="24"/>
        </w:rPr>
        <w:t>Barton JL, Criswell LA, Kaiser R, Chen YH, Schillinger D. Systematic review and metaanalysis of patient self-report versus trained assessor joint counts in rheumatoid arthritis. Journal of Rheumatology.</w:t>
      </w:r>
      <w:r>
        <w:rPr>
          <w:spacing w:val="-1"/>
          <w:sz w:val="24"/>
        </w:rPr>
        <w:t> </w:t>
      </w:r>
      <w:r>
        <w:rPr>
          <w:sz w:val="24"/>
        </w:rPr>
        <w:t>2009;36(12):2635-41.</w:t>
      </w:r>
    </w:p>
    <w:p>
      <w:pPr>
        <w:pStyle w:val="ListParagraph"/>
        <w:numPr>
          <w:ilvl w:val="0"/>
          <w:numId w:val="35"/>
        </w:numPr>
        <w:tabs>
          <w:tab w:pos="1953" w:val="left" w:leader="none"/>
        </w:tabs>
        <w:spacing w:line="240" w:lineRule="auto" w:before="0" w:after="0"/>
        <w:ind w:left="112" w:right="124" w:firstLine="1419"/>
        <w:jc w:val="both"/>
        <w:rPr>
          <w:sz w:val="24"/>
        </w:rPr>
      </w:pPr>
      <w:r>
        <w:rPr>
          <w:sz w:val="24"/>
        </w:rPr>
        <w:t>Ferraz MB, Oliveira LM, Araujo PM, Atra E, Tugwell P. Crosscultural reliability of the physical ability dimension of the health assessment questionnaire. J Rheumatol. 1990 Jun;17(6):813- 7.</w:t>
      </w:r>
    </w:p>
    <w:p>
      <w:pPr>
        <w:pStyle w:val="ListParagraph"/>
        <w:numPr>
          <w:ilvl w:val="0"/>
          <w:numId w:val="35"/>
        </w:numPr>
        <w:tabs>
          <w:tab w:pos="1954" w:val="left" w:leader="none"/>
        </w:tabs>
        <w:spacing w:line="240" w:lineRule="auto" w:before="0" w:after="0"/>
        <w:ind w:left="112" w:right="125" w:firstLine="1419"/>
        <w:jc w:val="both"/>
        <w:rPr>
          <w:sz w:val="24"/>
        </w:rPr>
      </w:pPr>
      <w:r>
        <w:rPr>
          <w:spacing w:val="-3"/>
          <w:sz w:val="24"/>
        </w:rPr>
        <w:t>Len </w:t>
      </w:r>
      <w:r>
        <w:rPr>
          <w:sz w:val="24"/>
        </w:rPr>
        <w:t>C, Goldenberg J, Ferraz MB, Hilario MO, Oliveira LM, Sacchetti S. Crosscultural reliability of the Childhood Health Assessment Questionnaire. J Rheumatol. 1994</w:t>
      </w:r>
      <w:r>
        <w:rPr>
          <w:spacing w:val="-7"/>
          <w:sz w:val="24"/>
        </w:rPr>
        <w:t> </w:t>
      </w:r>
      <w:r>
        <w:rPr>
          <w:sz w:val="24"/>
        </w:rPr>
        <w:t>Dec;21(12):2349-52.</w:t>
      </w:r>
    </w:p>
    <w:p>
      <w:pPr>
        <w:pStyle w:val="ListParagraph"/>
        <w:numPr>
          <w:ilvl w:val="0"/>
          <w:numId w:val="35"/>
        </w:numPr>
        <w:tabs>
          <w:tab w:pos="1953" w:val="left" w:leader="none"/>
        </w:tabs>
        <w:spacing w:line="240" w:lineRule="auto" w:before="0" w:after="0"/>
        <w:ind w:left="112" w:right="0" w:firstLine="1419"/>
        <w:jc w:val="left"/>
        <w:rPr>
          <w:sz w:val="24"/>
        </w:rPr>
      </w:pPr>
      <w:r>
        <w:rPr>
          <w:sz w:val="24"/>
        </w:rPr>
        <w:t>Venables P, Maini R. Disease outcome and functional capacity in rheumatoid</w:t>
      </w:r>
      <w:r>
        <w:rPr>
          <w:spacing w:val="35"/>
          <w:sz w:val="24"/>
        </w:rPr>
        <w:t> </w:t>
      </w:r>
      <w:r>
        <w:rPr>
          <w:sz w:val="24"/>
        </w:rPr>
        <w:t>arthritis.</w:t>
      </w:r>
    </w:p>
    <w:p>
      <w:pPr>
        <w:pStyle w:val="BodyText"/>
      </w:pPr>
      <w:r>
        <w:rPr/>
        <w:t>UpToDate. Oct, 2012 ed.</w:t>
      </w:r>
    </w:p>
    <w:p>
      <w:pPr>
        <w:pStyle w:val="ListParagraph"/>
        <w:numPr>
          <w:ilvl w:val="0"/>
          <w:numId w:val="35"/>
        </w:numPr>
        <w:tabs>
          <w:tab w:pos="1953" w:val="left" w:leader="none"/>
        </w:tabs>
        <w:spacing w:line="240" w:lineRule="auto" w:before="0" w:after="0"/>
        <w:ind w:left="112" w:right="126" w:firstLine="1419"/>
        <w:jc w:val="both"/>
        <w:rPr>
          <w:sz w:val="24"/>
        </w:rPr>
      </w:pPr>
      <w:r>
        <w:rPr>
          <w:sz w:val="24"/>
        </w:rPr>
        <w:t>Peters MJ, Symmons DP, McCarey D, Dijkmans BA, Nicola P, Kvien TK, et al. EULAR evidence-based recommendations for cardiovascular risk management in patients with rheumatoid arthritis and other forms of inflammatory arthritis. Ann Rheum Dis. 2010</w:t>
      </w:r>
      <w:r>
        <w:rPr>
          <w:spacing w:val="-8"/>
          <w:sz w:val="24"/>
        </w:rPr>
        <w:t> </w:t>
      </w:r>
      <w:r>
        <w:rPr>
          <w:sz w:val="24"/>
        </w:rPr>
        <w:t>Feb;69(2):325-31.</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left="2235" w:right="2249"/>
        <w:jc w:val="center"/>
      </w:pPr>
      <w:r>
        <w:rPr/>
        <w:t>APÊNDICE 1</w:t>
      </w:r>
    </w:p>
    <w:p>
      <w:pPr>
        <w:pStyle w:val="BodyText"/>
        <w:ind w:left="2013"/>
      </w:pPr>
      <w:r>
        <w:rPr/>
        <w:t>ÍNDICES COMPOSTOS DA ATIVIDADE DE DOENÇA (ICAD)</w:t>
      </w:r>
    </w:p>
    <w:p>
      <w:pPr>
        <w:pStyle w:val="BodyText"/>
        <w:ind w:left="0"/>
      </w:pPr>
    </w:p>
    <w:p>
      <w:pPr>
        <w:pStyle w:val="BodyText"/>
        <w:ind w:left="2513"/>
      </w:pPr>
      <w:r>
        <w:rPr/>
        <w:t>DAS 28: Disease Activity Score, 28 joints (0,49 a 9,07).</w:t>
      </w:r>
    </w:p>
    <w:p>
      <w:pPr>
        <w:pStyle w:val="BodyText"/>
        <w:ind w:left="0"/>
      </w:pPr>
    </w:p>
    <w:p>
      <w:pPr>
        <w:pStyle w:val="BodyText"/>
        <w:ind w:right="125" w:firstLine="1418"/>
        <w:jc w:val="both"/>
      </w:pPr>
      <w:r>
        <w:rPr/>
        <w:t>O DAS 28 é um ICAD calculado a partir de quatro variáveis: (1) número de articulações dolorosas entre 28 pré-estabelecidas (dolorosas28: interfalangianas proximais, metacarpofalangianas, punhos, cotovelos, ombros e joelhos), (2) número de articulações edemaciadas entre 28 pré-estabelecidas (edemaciadas28: interfalangianas proximais, metacarpofalangianas, punhos, cotovelos, ombros e joelhos),</w:t>
      </w:r>
    </w:p>
    <w:p>
      <w:pPr>
        <w:pStyle w:val="ListParagraph"/>
        <w:numPr>
          <w:ilvl w:val="0"/>
          <w:numId w:val="36"/>
        </w:numPr>
        <w:tabs>
          <w:tab w:pos="454" w:val="left" w:leader="none"/>
          <w:tab w:pos="8694" w:val="left" w:leader="none"/>
        </w:tabs>
        <w:spacing w:line="240" w:lineRule="auto" w:before="0" w:after="0"/>
        <w:ind w:left="453" w:right="0" w:hanging="341"/>
        <w:jc w:val="left"/>
        <w:rPr>
          <w:sz w:val="24"/>
        </w:rPr>
      </w:pPr>
      <w:r>
        <w:rPr/>
        <w:drawing>
          <wp:anchor distT="0" distB="0" distL="0" distR="0" allowOverlap="1" layoutInCell="1" locked="0" behindDoc="1" simplePos="0" relativeHeight="268333367">
            <wp:simplePos x="0" y="0"/>
            <wp:positionH relativeFrom="page">
              <wp:posOffset>6010402</wp:posOffset>
            </wp:positionH>
            <wp:positionV relativeFrom="paragraph">
              <wp:posOffset>5119</wp:posOffset>
            </wp:positionV>
            <wp:extent cx="237744" cy="16916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37744" cy="169164"/>
                    </a:xfrm>
                    <a:prstGeom prst="rect">
                      <a:avLst/>
                    </a:prstGeom>
                  </pic:spPr>
                </pic:pic>
              </a:graphicData>
            </a:graphic>
          </wp:anchor>
        </w:drawing>
      </w:r>
      <w:r>
        <w:rPr>
          <w:sz w:val="24"/>
        </w:rPr>
        <w:t>velocidade de hemossedimentação - VHS ou velocidade de</w:t>
      </w:r>
      <w:r>
        <w:rPr>
          <w:spacing w:val="6"/>
          <w:sz w:val="24"/>
        </w:rPr>
        <w:t> </w:t>
      </w:r>
      <w:r>
        <w:rPr>
          <w:sz w:val="24"/>
        </w:rPr>
        <w:t>sedimentação</w:t>
      </w:r>
      <w:r>
        <w:rPr>
          <w:spacing w:val="1"/>
          <w:sz w:val="24"/>
        </w:rPr>
        <w:t> </w:t>
      </w:r>
      <w:r>
        <w:rPr>
          <w:sz w:val="24"/>
        </w:rPr>
        <w:t>globular</w:t>
        <w:tab/>
        <w:t>VSG em mm/h</w:t>
      </w:r>
      <w:r>
        <w:rPr>
          <w:spacing w:val="5"/>
          <w:sz w:val="24"/>
        </w:rPr>
        <w:t> </w:t>
      </w:r>
      <w:r>
        <w:rPr>
          <w:sz w:val="24"/>
        </w:rPr>
        <w:t>e</w:t>
      </w:r>
    </w:p>
    <w:p>
      <w:pPr>
        <w:pStyle w:val="ListParagraph"/>
        <w:numPr>
          <w:ilvl w:val="0"/>
          <w:numId w:val="36"/>
        </w:numPr>
        <w:tabs>
          <w:tab w:pos="452" w:val="left" w:leader="none"/>
        </w:tabs>
        <w:spacing w:line="240" w:lineRule="auto" w:before="0" w:after="0"/>
        <w:ind w:left="451" w:right="0" w:hanging="339"/>
        <w:jc w:val="left"/>
        <w:rPr>
          <w:sz w:val="24"/>
        </w:rPr>
      </w:pPr>
      <w:r>
        <w:rPr>
          <w:sz w:val="24"/>
        </w:rPr>
        <w:t>Escala Visual Analógica de Saúde Global segundo o paciente (EVAp: 0 a 100</w:t>
      </w:r>
      <w:r>
        <w:rPr>
          <w:spacing w:val="-5"/>
          <w:sz w:val="24"/>
        </w:rPr>
        <w:t> </w:t>
      </w:r>
      <w:r>
        <w:rPr>
          <w:sz w:val="24"/>
        </w:rPr>
        <w:t>mm).</w:t>
      </w:r>
    </w:p>
    <w:p>
      <w:pPr>
        <w:pStyle w:val="BodyText"/>
        <w:ind w:right="128" w:firstLine="1418"/>
        <w:jc w:val="both"/>
      </w:pPr>
      <w:r>
        <w:rPr/>
        <w:t>A fórmula do DAS 28 é: 0,56 x raiz quadrada(dolorosas28) + 0,28 x raiz quadrada(edemaciadas28) + 0,70 x ln(VHS) + 0,014 x EVAp.</w:t>
      </w:r>
    </w:p>
    <w:p>
      <w:pPr>
        <w:pStyle w:val="BodyText"/>
        <w:spacing w:before="1"/>
        <w:ind w:left="1531"/>
      </w:pPr>
      <w:r>
        <w:rPr/>
        <w:t>SDAI: Simplified Disease Activity Score (0,1 a 86)</w:t>
      </w:r>
    </w:p>
    <w:p>
      <w:pPr>
        <w:pStyle w:val="BodyText"/>
        <w:ind w:right="125" w:firstLine="1418"/>
        <w:jc w:val="both"/>
      </w:pPr>
      <w:r>
        <w:rPr/>
        <w:t>O SDAI é um ICAD calculado a partir de cinco variáveis: (1) número de articulações dolorosas entre 28 pré-estabelecidas (interfalangianas proximais, metacarpofalangianas, punhos, cotovelos, ombros e joelhos), (2) número de articulações edemaciadas entre 28 pré-estabelecidas (interfalangianas proximais, metacarpofalangianas, punhos, cotovelos, ombros e joelhos), (3) proteína C reativa (PCR de 0,1 a 10 mg/dl), (4) Escala Visual Analógica de Atividade de Doença segundo o paciente (EVAp: 0 a 10 cm) e (5) Escala Visual Analógica de Atividade de Doença segundo o médico (EVAm: 0 a 10 cm).</w:t>
      </w:r>
    </w:p>
    <w:p>
      <w:pPr>
        <w:pStyle w:val="BodyText"/>
        <w:ind w:left="1531" w:right="1238"/>
      </w:pPr>
      <w:r>
        <w:rPr/>
        <w:t>A fórmula do SDAI é: dolorosas28 + edemaciadas28 + PCR + EVAp + EVAm. CDAI: Clinical Disease Activity Score (0 a 76)</w:t>
      </w:r>
    </w:p>
    <w:p>
      <w:pPr>
        <w:pStyle w:val="BodyText"/>
        <w:ind w:right="125" w:firstLine="1418"/>
        <w:jc w:val="both"/>
      </w:pPr>
      <w:r>
        <w:rPr/>
        <w:t>O CDAI é um ICAD calculado a partir de quatro variáveis: (1) número de articulações dolorosas entre 28 pré-estabelecidas (interfalangianas proximais, metacarpofalangianas, punhos, cotovelos, ombros e joelhos), (2) número de articulações edemaciadas entre 28 pré-estabelecidas (interfalangianas proximais, metacarpofalangianas, punhos, cotovelos, ombros e joelhos), (3) Escala Visual Analógica de Atividade de Doença segundo o paciente (EVAp: 0 a 10 cm) e (4) Escala Visual Analógica de Atividade de Doença segundo o médico (EVAm: 0 a 10 cm).</w:t>
      </w:r>
    </w:p>
    <w:p>
      <w:pPr>
        <w:pStyle w:val="BodyText"/>
        <w:ind w:left="1531"/>
      </w:pPr>
      <w:r>
        <w:rPr/>
        <w:t>A fórmula do CDAI é: dolorosas28 + edemaciadas28 + EVAp + EVAm.</w:t>
      </w:r>
    </w:p>
    <w:p>
      <w:pPr>
        <w:pStyle w:val="BodyText"/>
        <w:ind w:left="0"/>
        <w:rPr>
          <w:sz w:val="26"/>
        </w:rPr>
      </w:pPr>
    </w:p>
    <w:p>
      <w:pPr>
        <w:pStyle w:val="BodyText"/>
        <w:ind w:left="0"/>
        <w:rPr>
          <w:sz w:val="22"/>
        </w:rPr>
      </w:pPr>
    </w:p>
    <w:p>
      <w:pPr>
        <w:pStyle w:val="BodyText"/>
        <w:ind w:left="2235" w:right="2249"/>
        <w:jc w:val="center"/>
      </w:pPr>
      <w:r>
        <w:rPr/>
        <w:t>APÊNDICE 2</w:t>
      </w:r>
    </w:p>
    <w:p>
      <w:pPr>
        <w:pStyle w:val="BodyText"/>
        <w:ind w:left="2236" w:right="2248"/>
        <w:jc w:val="center"/>
      </w:pPr>
      <w:r>
        <w:rPr/>
        <w:t>AVALIAÇÃO DE CAPACIDADE FUNCIONAL</w:t>
      </w:r>
    </w:p>
    <w:p>
      <w:pPr>
        <w:pStyle w:val="BodyText"/>
        <w:ind w:left="2235" w:right="2249"/>
        <w:jc w:val="center"/>
      </w:pPr>
      <w:r>
        <w:rPr/>
        <w:t>Health Assessment Questionnaire - HAQ (0 a 3)</w:t>
      </w:r>
    </w:p>
    <w:p>
      <w:pPr>
        <w:pStyle w:val="BodyText"/>
        <w:spacing w:before="8" w:after="1"/>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323"/>
        <w:gridCol w:w="1852"/>
        <w:gridCol w:w="2683"/>
        <w:gridCol w:w="1022"/>
        <w:gridCol w:w="1245"/>
      </w:tblGrid>
      <w:tr>
        <w:trPr>
          <w:trHeight w:val="1104" w:hRule="atLeast"/>
        </w:trPr>
        <w:tc>
          <w:tcPr>
            <w:tcW w:w="1080" w:type="dxa"/>
          </w:tcPr>
          <w:p>
            <w:pPr>
              <w:pStyle w:val="TableParagraph"/>
              <w:rPr>
                <w:sz w:val="24"/>
              </w:rPr>
            </w:pPr>
          </w:p>
        </w:tc>
        <w:tc>
          <w:tcPr>
            <w:tcW w:w="2323" w:type="dxa"/>
          </w:tcPr>
          <w:p>
            <w:pPr>
              <w:pStyle w:val="TableParagraph"/>
              <w:spacing w:before="5"/>
              <w:rPr>
                <w:sz w:val="35"/>
              </w:rPr>
            </w:pPr>
          </w:p>
          <w:p>
            <w:pPr>
              <w:pStyle w:val="TableParagraph"/>
              <w:ind w:left="93" w:right="82"/>
              <w:jc w:val="center"/>
              <w:rPr>
                <w:sz w:val="24"/>
              </w:rPr>
            </w:pPr>
            <w:r>
              <w:rPr>
                <w:sz w:val="24"/>
              </w:rPr>
              <w:t>Atividade</w:t>
            </w:r>
          </w:p>
        </w:tc>
        <w:tc>
          <w:tcPr>
            <w:tcW w:w="1852" w:type="dxa"/>
          </w:tcPr>
          <w:p>
            <w:pPr>
              <w:pStyle w:val="TableParagraph"/>
              <w:spacing w:before="5"/>
              <w:rPr>
                <w:sz w:val="35"/>
              </w:rPr>
            </w:pPr>
          </w:p>
          <w:p>
            <w:pPr>
              <w:pStyle w:val="TableParagraph"/>
              <w:ind w:left="166"/>
              <w:rPr>
                <w:sz w:val="24"/>
              </w:rPr>
            </w:pPr>
            <w:r>
              <w:rPr>
                <w:sz w:val="24"/>
              </w:rPr>
              <w:t>Sem dificuldade</w:t>
            </w:r>
          </w:p>
        </w:tc>
        <w:tc>
          <w:tcPr>
            <w:tcW w:w="2683" w:type="dxa"/>
          </w:tcPr>
          <w:p>
            <w:pPr>
              <w:pStyle w:val="TableParagraph"/>
              <w:spacing w:before="3"/>
              <w:rPr>
                <w:sz w:val="23"/>
              </w:rPr>
            </w:pPr>
          </w:p>
          <w:p>
            <w:pPr>
              <w:pStyle w:val="TableParagraph"/>
              <w:spacing w:before="1"/>
              <w:ind w:left="415" w:right="393" w:firstLine="691"/>
              <w:rPr>
                <w:sz w:val="24"/>
              </w:rPr>
            </w:pPr>
            <w:r>
              <w:rPr>
                <w:sz w:val="24"/>
              </w:rPr>
              <w:t>Com alguma dificuldade</w:t>
            </w:r>
          </w:p>
        </w:tc>
        <w:tc>
          <w:tcPr>
            <w:tcW w:w="1022" w:type="dxa"/>
          </w:tcPr>
          <w:p>
            <w:pPr>
              <w:pStyle w:val="TableParagraph"/>
              <w:ind w:left="23" w:right="13"/>
              <w:jc w:val="center"/>
              <w:rPr>
                <w:sz w:val="24"/>
              </w:rPr>
            </w:pPr>
            <w:r>
              <w:rPr>
                <w:sz w:val="24"/>
              </w:rPr>
              <w:t>Com muita</w:t>
            </w:r>
          </w:p>
          <w:p>
            <w:pPr>
              <w:pStyle w:val="TableParagraph"/>
              <w:spacing w:line="270" w:lineRule="atLeast"/>
              <w:ind w:left="23" w:right="13"/>
              <w:jc w:val="center"/>
              <w:rPr>
                <w:sz w:val="24"/>
              </w:rPr>
            </w:pPr>
            <w:r>
              <w:rPr>
                <w:sz w:val="24"/>
              </w:rPr>
              <w:t>dificuldad e</w:t>
            </w:r>
          </w:p>
        </w:tc>
        <w:tc>
          <w:tcPr>
            <w:tcW w:w="1245" w:type="dxa"/>
          </w:tcPr>
          <w:p>
            <w:pPr>
              <w:pStyle w:val="TableParagraph"/>
              <w:spacing w:before="3"/>
              <w:rPr>
                <w:sz w:val="23"/>
              </w:rPr>
            </w:pPr>
          </w:p>
          <w:p>
            <w:pPr>
              <w:pStyle w:val="TableParagraph"/>
              <w:spacing w:before="1"/>
              <w:ind w:left="382" w:right="74" w:hanging="274"/>
              <w:rPr>
                <w:sz w:val="24"/>
              </w:rPr>
            </w:pPr>
            <w:r>
              <w:rPr>
                <w:sz w:val="24"/>
              </w:rPr>
              <w:t>Incapaz de fazer</w:t>
            </w:r>
          </w:p>
        </w:tc>
      </w:tr>
      <w:tr>
        <w:trPr>
          <w:trHeight w:val="272" w:hRule="atLeast"/>
        </w:trPr>
        <w:tc>
          <w:tcPr>
            <w:tcW w:w="1080" w:type="dxa"/>
            <w:vMerge w:val="restart"/>
          </w:tcPr>
          <w:p>
            <w:pPr>
              <w:pStyle w:val="TableParagraph"/>
              <w:rPr>
                <w:sz w:val="26"/>
              </w:rPr>
            </w:pPr>
          </w:p>
          <w:p>
            <w:pPr>
              <w:pStyle w:val="TableParagraph"/>
              <w:spacing w:before="1"/>
              <w:rPr>
                <w:sz w:val="22"/>
              </w:rPr>
            </w:pPr>
          </w:p>
          <w:p>
            <w:pPr>
              <w:pStyle w:val="TableParagraph"/>
              <w:ind w:left="703"/>
              <w:rPr>
                <w:sz w:val="24"/>
              </w:rPr>
            </w:pPr>
            <w:r>
              <w:rPr>
                <w:sz w:val="24"/>
              </w:rPr>
              <w:t>01</w:t>
            </w:r>
          </w:p>
        </w:tc>
        <w:tc>
          <w:tcPr>
            <w:tcW w:w="2323" w:type="dxa"/>
            <w:tcBorders>
              <w:bottom w:val="nil"/>
            </w:tcBorders>
          </w:tcPr>
          <w:p>
            <w:pPr>
              <w:pStyle w:val="TableParagraph"/>
              <w:spacing w:line="253" w:lineRule="exact"/>
              <w:ind w:left="93" w:right="85"/>
              <w:jc w:val="center"/>
              <w:rPr>
                <w:sz w:val="24"/>
              </w:rPr>
            </w:pPr>
            <w:r>
              <w:rPr>
                <w:sz w:val="24"/>
              </w:rPr>
              <w:t>Vestir-se, inclusive</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551"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71" w:lineRule="exact"/>
              <w:ind w:left="93" w:right="84"/>
              <w:jc w:val="center"/>
              <w:rPr>
                <w:sz w:val="24"/>
              </w:rPr>
            </w:pPr>
            <w:r>
              <w:rPr>
                <w:sz w:val="24"/>
              </w:rPr>
              <w:t>amarrar os cordões</w:t>
            </w:r>
          </w:p>
          <w:p>
            <w:pPr>
              <w:pStyle w:val="TableParagraph"/>
              <w:spacing w:line="261" w:lineRule="exact"/>
              <w:ind w:left="93" w:right="83"/>
              <w:jc w:val="center"/>
              <w:rPr>
                <w:sz w:val="24"/>
              </w:rPr>
            </w:pPr>
            <w:r>
              <w:rPr>
                <w:sz w:val="24"/>
              </w:rPr>
              <w:t>dos seus</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4" w:hRule="atLeast"/>
        </w:trPr>
        <w:tc>
          <w:tcPr>
            <w:tcW w:w="1080" w:type="dxa"/>
            <w:vMerge/>
            <w:tcBorders>
              <w:top w:val="nil"/>
            </w:tcBorders>
          </w:tcPr>
          <w:p>
            <w:pPr>
              <w:rPr>
                <w:sz w:val="2"/>
                <w:szCs w:val="2"/>
              </w:rPr>
            </w:pPr>
          </w:p>
        </w:tc>
        <w:tc>
          <w:tcPr>
            <w:tcW w:w="2323" w:type="dxa"/>
            <w:tcBorders>
              <w:top w:val="nil"/>
            </w:tcBorders>
          </w:tcPr>
          <w:p>
            <w:pPr>
              <w:pStyle w:val="TableParagraph"/>
              <w:spacing w:line="271" w:lineRule="exact"/>
              <w:ind w:left="93" w:right="83"/>
              <w:jc w:val="center"/>
              <w:rPr>
                <w:sz w:val="24"/>
              </w:rPr>
            </w:pPr>
            <w:r>
              <w:rPr>
                <w:sz w:val="24"/>
              </w:rPr>
              <w:t>sapatos, abotoar as</w:t>
            </w:r>
          </w:p>
          <w:p>
            <w:pPr>
              <w:pStyle w:val="TableParagraph"/>
              <w:spacing w:line="264" w:lineRule="exact"/>
              <w:ind w:left="93" w:right="85"/>
              <w:jc w:val="center"/>
              <w:rPr>
                <w:sz w:val="24"/>
              </w:rPr>
            </w:pPr>
            <w:r>
              <w:rPr>
                <w:sz w:val="24"/>
              </w:rPr>
              <w:t>suas roupas?</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7" w:hRule="atLeast"/>
        </w:trPr>
        <w:tc>
          <w:tcPr>
            <w:tcW w:w="1080" w:type="dxa"/>
          </w:tcPr>
          <w:p>
            <w:pPr>
              <w:pStyle w:val="TableParagraph"/>
              <w:spacing w:line="258" w:lineRule="exact"/>
              <w:ind w:left="703"/>
              <w:rPr>
                <w:sz w:val="24"/>
              </w:rPr>
            </w:pPr>
            <w:r>
              <w:rPr>
                <w:sz w:val="24"/>
              </w:rPr>
              <w:t>02</w:t>
            </w:r>
          </w:p>
        </w:tc>
        <w:tc>
          <w:tcPr>
            <w:tcW w:w="2323" w:type="dxa"/>
            <w:tcBorders>
              <w:bottom w:val="nil"/>
            </w:tcBorders>
          </w:tcPr>
          <w:p>
            <w:pPr>
              <w:pStyle w:val="TableParagraph"/>
              <w:spacing w:line="258" w:lineRule="exact"/>
              <w:ind w:left="93" w:right="87"/>
              <w:jc w:val="center"/>
              <w:rPr>
                <w:sz w:val="24"/>
              </w:rPr>
            </w:pPr>
            <w:r>
              <w:rPr>
                <w:sz w:val="24"/>
              </w:rPr>
              <w:t>Lavar sua cabeça e os</w:t>
            </w:r>
          </w:p>
        </w:tc>
        <w:tc>
          <w:tcPr>
            <w:tcW w:w="1852" w:type="dxa"/>
            <w:tcBorders>
              <w:bottom w:val="nil"/>
            </w:tcBorders>
          </w:tcPr>
          <w:p>
            <w:pPr>
              <w:pStyle w:val="TableParagraph"/>
              <w:rPr>
                <w:sz w:val="20"/>
              </w:rPr>
            </w:pPr>
          </w:p>
        </w:tc>
        <w:tc>
          <w:tcPr>
            <w:tcW w:w="2683" w:type="dxa"/>
          </w:tcPr>
          <w:p>
            <w:pPr>
              <w:pStyle w:val="TableParagraph"/>
              <w:rPr>
                <w:sz w:val="20"/>
              </w:rPr>
            </w:pPr>
          </w:p>
        </w:tc>
        <w:tc>
          <w:tcPr>
            <w:tcW w:w="1022" w:type="dxa"/>
          </w:tcPr>
          <w:p>
            <w:pPr>
              <w:pStyle w:val="TableParagraph"/>
              <w:rPr>
                <w:sz w:val="20"/>
              </w:rPr>
            </w:pPr>
          </w:p>
        </w:tc>
        <w:tc>
          <w:tcPr>
            <w:tcW w:w="1245" w:type="dxa"/>
          </w:tcPr>
          <w:p>
            <w:pPr>
              <w:pStyle w:val="TableParagraph"/>
              <w:rPr>
                <w:sz w:val="20"/>
              </w:rPr>
            </w:pPr>
          </w:p>
        </w:tc>
      </w:tr>
    </w:tbl>
    <w:p>
      <w:pPr>
        <w:spacing w:after="0"/>
        <w:rPr>
          <w:sz w:val="20"/>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323"/>
        <w:gridCol w:w="1852"/>
        <w:gridCol w:w="2683"/>
        <w:gridCol w:w="1022"/>
        <w:gridCol w:w="1245"/>
      </w:tblGrid>
      <w:tr>
        <w:trPr>
          <w:trHeight w:val="275" w:hRule="atLeast"/>
        </w:trPr>
        <w:tc>
          <w:tcPr>
            <w:tcW w:w="1080" w:type="dxa"/>
          </w:tcPr>
          <w:p>
            <w:pPr>
              <w:pStyle w:val="TableParagraph"/>
              <w:rPr>
                <w:sz w:val="20"/>
              </w:rPr>
            </w:pPr>
          </w:p>
        </w:tc>
        <w:tc>
          <w:tcPr>
            <w:tcW w:w="2323" w:type="dxa"/>
            <w:tcBorders>
              <w:top w:val="nil"/>
            </w:tcBorders>
          </w:tcPr>
          <w:p>
            <w:pPr>
              <w:pStyle w:val="TableParagraph"/>
              <w:spacing w:line="256" w:lineRule="exact"/>
              <w:ind w:left="92" w:right="87"/>
              <w:jc w:val="center"/>
              <w:rPr>
                <w:sz w:val="24"/>
              </w:rPr>
            </w:pPr>
            <w:r>
              <w:rPr>
                <w:sz w:val="24"/>
              </w:rPr>
              <w:t>seus cabelos?</w:t>
            </w:r>
          </w:p>
        </w:tc>
        <w:tc>
          <w:tcPr>
            <w:tcW w:w="1852" w:type="dxa"/>
            <w:tcBorders>
              <w:top w:val="nil"/>
            </w:tcBorders>
          </w:tcPr>
          <w:p>
            <w:pPr>
              <w:pStyle w:val="TableParagraph"/>
              <w:rPr>
                <w:sz w:val="20"/>
              </w:rPr>
            </w:pPr>
          </w:p>
        </w:tc>
        <w:tc>
          <w:tcPr>
            <w:tcW w:w="2683" w:type="dxa"/>
          </w:tcPr>
          <w:p>
            <w:pPr>
              <w:pStyle w:val="TableParagraph"/>
              <w:rPr>
                <w:sz w:val="20"/>
              </w:rPr>
            </w:pPr>
          </w:p>
        </w:tc>
        <w:tc>
          <w:tcPr>
            <w:tcW w:w="1022" w:type="dxa"/>
          </w:tcPr>
          <w:p>
            <w:pPr>
              <w:pStyle w:val="TableParagraph"/>
              <w:rPr>
                <w:sz w:val="20"/>
              </w:rPr>
            </w:pPr>
          </w:p>
        </w:tc>
        <w:tc>
          <w:tcPr>
            <w:tcW w:w="1245" w:type="dxa"/>
          </w:tcPr>
          <w:p>
            <w:pPr>
              <w:pStyle w:val="TableParagraph"/>
              <w:rPr>
                <w:sz w:val="20"/>
              </w:rPr>
            </w:pPr>
          </w:p>
        </w:tc>
      </w:tr>
      <w:tr>
        <w:trPr>
          <w:trHeight w:val="275" w:hRule="atLeast"/>
        </w:trPr>
        <w:tc>
          <w:tcPr>
            <w:tcW w:w="1080" w:type="dxa"/>
            <w:vMerge w:val="restart"/>
          </w:tcPr>
          <w:p>
            <w:pPr>
              <w:pStyle w:val="TableParagraph"/>
              <w:rPr>
                <w:sz w:val="26"/>
              </w:rPr>
            </w:pPr>
          </w:p>
          <w:p>
            <w:pPr>
              <w:pStyle w:val="TableParagraph"/>
              <w:spacing w:before="8"/>
              <w:rPr>
                <w:sz w:val="22"/>
              </w:rPr>
            </w:pPr>
          </w:p>
          <w:p>
            <w:pPr>
              <w:pStyle w:val="TableParagraph"/>
              <w:ind w:left="703"/>
              <w:rPr>
                <w:sz w:val="24"/>
              </w:rPr>
            </w:pPr>
            <w:r>
              <w:rPr>
                <w:sz w:val="24"/>
              </w:rPr>
              <w:t>03</w:t>
            </w:r>
          </w:p>
        </w:tc>
        <w:tc>
          <w:tcPr>
            <w:tcW w:w="2323" w:type="dxa"/>
            <w:tcBorders>
              <w:bottom w:val="nil"/>
            </w:tcBorders>
          </w:tcPr>
          <w:p>
            <w:pPr>
              <w:pStyle w:val="TableParagraph"/>
              <w:spacing w:line="255" w:lineRule="exact"/>
              <w:ind w:left="93" w:right="82"/>
              <w:jc w:val="center"/>
              <w:rPr>
                <w:sz w:val="24"/>
              </w:rPr>
            </w:pPr>
            <w:r>
              <w:rPr>
                <w:sz w:val="24"/>
              </w:rPr>
              <w:t>Levantar-se de uma</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275"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56" w:lineRule="exact"/>
              <w:ind w:left="93" w:right="83"/>
              <w:jc w:val="center"/>
              <w:rPr>
                <w:sz w:val="24"/>
              </w:rPr>
            </w:pPr>
            <w:r>
              <w:rPr>
                <w:sz w:val="24"/>
              </w:rPr>
              <w:t>maneira ereta de</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1"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71" w:lineRule="exact"/>
              <w:ind w:left="93" w:right="82"/>
              <w:jc w:val="center"/>
              <w:rPr>
                <w:sz w:val="24"/>
              </w:rPr>
            </w:pPr>
            <w:r>
              <w:rPr>
                <w:sz w:val="24"/>
              </w:rPr>
              <w:t>uma cadeira de</w:t>
            </w:r>
          </w:p>
          <w:p>
            <w:pPr>
              <w:pStyle w:val="TableParagraph"/>
              <w:spacing w:line="261" w:lineRule="exact"/>
              <w:ind w:left="93" w:right="86"/>
              <w:jc w:val="center"/>
              <w:rPr>
                <w:sz w:val="24"/>
              </w:rPr>
            </w:pPr>
            <w:r>
              <w:rPr>
                <w:sz w:val="24"/>
              </w:rPr>
              <w:t>encosto</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8" w:hRule="atLeast"/>
        </w:trPr>
        <w:tc>
          <w:tcPr>
            <w:tcW w:w="1080" w:type="dxa"/>
            <w:vMerge/>
            <w:tcBorders>
              <w:top w:val="nil"/>
            </w:tcBorders>
          </w:tcPr>
          <w:p>
            <w:pPr>
              <w:rPr>
                <w:sz w:val="2"/>
                <w:szCs w:val="2"/>
              </w:rPr>
            </w:pPr>
          </w:p>
        </w:tc>
        <w:tc>
          <w:tcPr>
            <w:tcW w:w="2323" w:type="dxa"/>
            <w:tcBorders>
              <w:top w:val="nil"/>
            </w:tcBorders>
          </w:tcPr>
          <w:p>
            <w:pPr>
              <w:pStyle w:val="TableParagraph"/>
              <w:spacing w:line="259" w:lineRule="exact"/>
              <w:ind w:left="93" w:right="87"/>
              <w:jc w:val="center"/>
              <w:rPr>
                <w:sz w:val="24"/>
              </w:rPr>
            </w:pPr>
            <w:r>
              <w:rPr>
                <w:sz w:val="24"/>
              </w:rPr>
              <w:t>reto e sem braços?</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1" w:hRule="atLeast"/>
        </w:trPr>
        <w:tc>
          <w:tcPr>
            <w:tcW w:w="1080" w:type="dxa"/>
          </w:tcPr>
          <w:p>
            <w:pPr>
              <w:pStyle w:val="TableParagraph"/>
              <w:spacing w:before="131"/>
              <w:ind w:right="124"/>
              <w:jc w:val="right"/>
              <w:rPr>
                <w:sz w:val="24"/>
              </w:rPr>
            </w:pPr>
            <w:r>
              <w:rPr>
                <w:sz w:val="24"/>
              </w:rPr>
              <w:t>04</w:t>
            </w:r>
          </w:p>
        </w:tc>
        <w:tc>
          <w:tcPr>
            <w:tcW w:w="2323" w:type="dxa"/>
          </w:tcPr>
          <w:p>
            <w:pPr>
              <w:pStyle w:val="TableParagraph"/>
              <w:spacing w:line="268" w:lineRule="exact"/>
              <w:ind w:left="93" w:right="84"/>
              <w:jc w:val="center"/>
              <w:rPr>
                <w:sz w:val="24"/>
              </w:rPr>
            </w:pPr>
            <w:r>
              <w:rPr>
                <w:sz w:val="24"/>
              </w:rPr>
              <w:t>Deitar-se e levantar-</w:t>
            </w:r>
          </w:p>
          <w:p>
            <w:pPr>
              <w:pStyle w:val="TableParagraph"/>
              <w:spacing w:line="264" w:lineRule="exact"/>
              <w:ind w:left="93" w:right="87"/>
              <w:jc w:val="center"/>
              <w:rPr>
                <w:sz w:val="24"/>
              </w:rPr>
            </w:pPr>
            <w:r>
              <w:rPr>
                <w:sz w:val="24"/>
              </w:rPr>
              <w:t>se da cama?</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272" w:hRule="atLeast"/>
        </w:trPr>
        <w:tc>
          <w:tcPr>
            <w:tcW w:w="1080" w:type="dxa"/>
            <w:vMerge w:val="restart"/>
          </w:tcPr>
          <w:p>
            <w:pPr>
              <w:pStyle w:val="TableParagraph"/>
              <w:spacing w:before="135"/>
              <w:ind w:left="703"/>
              <w:rPr>
                <w:sz w:val="24"/>
              </w:rPr>
            </w:pPr>
            <w:r>
              <w:rPr>
                <w:sz w:val="24"/>
              </w:rPr>
              <w:t>05</w:t>
            </w:r>
          </w:p>
        </w:tc>
        <w:tc>
          <w:tcPr>
            <w:tcW w:w="2323" w:type="dxa"/>
            <w:tcBorders>
              <w:bottom w:val="nil"/>
            </w:tcBorders>
          </w:tcPr>
          <w:p>
            <w:pPr>
              <w:pStyle w:val="TableParagraph"/>
              <w:spacing w:line="253" w:lineRule="exact"/>
              <w:ind w:left="93" w:right="83"/>
              <w:jc w:val="center"/>
              <w:rPr>
                <w:sz w:val="24"/>
              </w:rPr>
            </w:pPr>
            <w:r>
              <w:rPr>
                <w:sz w:val="24"/>
              </w:rPr>
              <w:t>Cortar um</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278" w:hRule="atLeast"/>
        </w:trPr>
        <w:tc>
          <w:tcPr>
            <w:tcW w:w="1080" w:type="dxa"/>
            <w:vMerge/>
            <w:tcBorders>
              <w:top w:val="nil"/>
            </w:tcBorders>
          </w:tcPr>
          <w:p>
            <w:pPr>
              <w:rPr>
                <w:sz w:val="2"/>
                <w:szCs w:val="2"/>
              </w:rPr>
            </w:pPr>
          </w:p>
        </w:tc>
        <w:tc>
          <w:tcPr>
            <w:tcW w:w="2323" w:type="dxa"/>
            <w:tcBorders>
              <w:top w:val="nil"/>
            </w:tcBorders>
          </w:tcPr>
          <w:p>
            <w:pPr>
              <w:pStyle w:val="TableParagraph"/>
              <w:spacing w:line="259" w:lineRule="exact"/>
              <w:ind w:left="93" w:right="85"/>
              <w:jc w:val="center"/>
              <w:rPr>
                <w:sz w:val="24"/>
              </w:rPr>
            </w:pPr>
            <w:r>
              <w:rPr>
                <w:sz w:val="24"/>
              </w:rPr>
              <w:t>pedaço de carne?</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5" w:hRule="atLeast"/>
        </w:trPr>
        <w:tc>
          <w:tcPr>
            <w:tcW w:w="1080" w:type="dxa"/>
            <w:vMerge w:val="restart"/>
          </w:tcPr>
          <w:p>
            <w:pPr>
              <w:pStyle w:val="TableParagraph"/>
              <w:spacing w:before="2"/>
              <w:rPr>
                <w:sz w:val="36"/>
              </w:rPr>
            </w:pPr>
          </w:p>
          <w:p>
            <w:pPr>
              <w:pStyle w:val="TableParagraph"/>
              <w:ind w:left="703"/>
              <w:rPr>
                <w:sz w:val="24"/>
              </w:rPr>
            </w:pPr>
            <w:r>
              <w:rPr>
                <w:sz w:val="24"/>
              </w:rPr>
              <w:t>06</w:t>
            </w:r>
          </w:p>
        </w:tc>
        <w:tc>
          <w:tcPr>
            <w:tcW w:w="2323" w:type="dxa"/>
            <w:tcBorders>
              <w:bottom w:val="nil"/>
            </w:tcBorders>
          </w:tcPr>
          <w:p>
            <w:pPr>
              <w:pStyle w:val="TableParagraph"/>
              <w:spacing w:line="255" w:lineRule="exact"/>
              <w:ind w:left="93" w:right="84"/>
              <w:jc w:val="center"/>
              <w:rPr>
                <w:sz w:val="24"/>
              </w:rPr>
            </w:pPr>
            <w:r>
              <w:rPr>
                <w:sz w:val="24"/>
              </w:rPr>
              <w:t>Levar à boca um</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275"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56" w:lineRule="exact"/>
              <w:ind w:left="93" w:right="84"/>
              <w:jc w:val="center"/>
              <w:rPr>
                <w:sz w:val="24"/>
              </w:rPr>
            </w:pPr>
            <w:r>
              <w:rPr>
                <w:sz w:val="24"/>
              </w:rPr>
              <w:t>copo ou uma xícara</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4" w:hRule="atLeast"/>
        </w:trPr>
        <w:tc>
          <w:tcPr>
            <w:tcW w:w="1080" w:type="dxa"/>
            <w:vMerge/>
            <w:tcBorders>
              <w:top w:val="nil"/>
            </w:tcBorders>
          </w:tcPr>
          <w:p>
            <w:pPr>
              <w:rPr>
                <w:sz w:val="2"/>
                <w:szCs w:val="2"/>
              </w:rPr>
            </w:pPr>
          </w:p>
        </w:tc>
        <w:tc>
          <w:tcPr>
            <w:tcW w:w="2323" w:type="dxa"/>
            <w:tcBorders>
              <w:top w:val="nil"/>
            </w:tcBorders>
          </w:tcPr>
          <w:p>
            <w:pPr>
              <w:pStyle w:val="TableParagraph"/>
              <w:spacing w:line="271" w:lineRule="exact"/>
              <w:ind w:left="93" w:right="83"/>
              <w:jc w:val="center"/>
              <w:rPr>
                <w:sz w:val="24"/>
              </w:rPr>
            </w:pPr>
            <w:r>
              <w:rPr>
                <w:sz w:val="24"/>
              </w:rPr>
              <w:t>cheia de café, leite ou</w:t>
            </w:r>
          </w:p>
          <w:p>
            <w:pPr>
              <w:pStyle w:val="TableParagraph"/>
              <w:spacing w:line="264" w:lineRule="exact"/>
              <w:ind w:left="93" w:right="87"/>
              <w:jc w:val="center"/>
              <w:rPr>
                <w:sz w:val="24"/>
              </w:rPr>
            </w:pPr>
            <w:r>
              <w:rPr>
                <w:sz w:val="24"/>
              </w:rPr>
              <w:t>água?</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1" w:hRule="atLeast"/>
        </w:trPr>
        <w:tc>
          <w:tcPr>
            <w:tcW w:w="1080" w:type="dxa"/>
          </w:tcPr>
          <w:p>
            <w:pPr>
              <w:pStyle w:val="TableParagraph"/>
              <w:spacing w:before="131"/>
              <w:ind w:right="124"/>
              <w:jc w:val="right"/>
              <w:rPr>
                <w:sz w:val="24"/>
              </w:rPr>
            </w:pPr>
            <w:r>
              <w:rPr>
                <w:sz w:val="24"/>
              </w:rPr>
              <w:t>07</w:t>
            </w:r>
          </w:p>
        </w:tc>
        <w:tc>
          <w:tcPr>
            <w:tcW w:w="2323" w:type="dxa"/>
          </w:tcPr>
          <w:p>
            <w:pPr>
              <w:pStyle w:val="TableParagraph"/>
              <w:spacing w:line="268" w:lineRule="exact"/>
              <w:ind w:left="93" w:right="85"/>
              <w:jc w:val="center"/>
              <w:rPr>
                <w:sz w:val="24"/>
              </w:rPr>
            </w:pPr>
            <w:r>
              <w:rPr>
                <w:sz w:val="24"/>
              </w:rPr>
              <w:t>Abrir um saco de</w:t>
            </w:r>
          </w:p>
          <w:p>
            <w:pPr>
              <w:pStyle w:val="TableParagraph"/>
              <w:spacing w:line="264" w:lineRule="exact"/>
              <w:ind w:left="93" w:right="87"/>
              <w:jc w:val="center"/>
              <w:rPr>
                <w:sz w:val="24"/>
              </w:rPr>
            </w:pPr>
            <w:r>
              <w:rPr>
                <w:sz w:val="24"/>
              </w:rPr>
              <w:t>leite comum?</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551" w:hRule="atLeast"/>
        </w:trPr>
        <w:tc>
          <w:tcPr>
            <w:tcW w:w="1080" w:type="dxa"/>
          </w:tcPr>
          <w:p>
            <w:pPr>
              <w:pStyle w:val="TableParagraph"/>
              <w:spacing w:before="131"/>
              <w:ind w:right="124"/>
              <w:jc w:val="right"/>
              <w:rPr>
                <w:sz w:val="24"/>
              </w:rPr>
            </w:pPr>
            <w:r>
              <w:rPr>
                <w:sz w:val="24"/>
              </w:rPr>
              <w:t>08</w:t>
            </w:r>
          </w:p>
        </w:tc>
        <w:tc>
          <w:tcPr>
            <w:tcW w:w="2323" w:type="dxa"/>
          </w:tcPr>
          <w:p>
            <w:pPr>
              <w:pStyle w:val="TableParagraph"/>
              <w:spacing w:line="268" w:lineRule="exact"/>
              <w:ind w:left="93" w:right="84"/>
              <w:jc w:val="center"/>
              <w:rPr>
                <w:sz w:val="24"/>
              </w:rPr>
            </w:pPr>
            <w:r>
              <w:rPr>
                <w:sz w:val="24"/>
              </w:rPr>
              <w:t>Caminhar em lugares</w:t>
            </w:r>
          </w:p>
          <w:p>
            <w:pPr>
              <w:pStyle w:val="TableParagraph"/>
              <w:spacing w:line="264" w:lineRule="exact"/>
              <w:ind w:left="93" w:right="87"/>
              <w:jc w:val="center"/>
              <w:rPr>
                <w:sz w:val="24"/>
              </w:rPr>
            </w:pPr>
            <w:r>
              <w:rPr>
                <w:sz w:val="24"/>
              </w:rPr>
              <w:t>planos?</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275" w:hRule="atLeast"/>
        </w:trPr>
        <w:tc>
          <w:tcPr>
            <w:tcW w:w="1080" w:type="dxa"/>
          </w:tcPr>
          <w:p>
            <w:pPr>
              <w:pStyle w:val="TableParagraph"/>
              <w:spacing w:line="256" w:lineRule="exact"/>
              <w:ind w:right="124"/>
              <w:jc w:val="right"/>
              <w:rPr>
                <w:sz w:val="24"/>
              </w:rPr>
            </w:pPr>
            <w:r>
              <w:rPr>
                <w:sz w:val="24"/>
              </w:rPr>
              <w:t>09</w:t>
            </w:r>
          </w:p>
        </w:tc>
        <w:tc>
          <w:tcPr>
            <w:tcW w:w="2323" w:type="dxa"/>
          </w:tcPr>
          <w:p>
            <w:pPr>
              <w:pStyle w:val="TableParagraph"/>
              <w:spacing w:line="256" w:lineRule="exact"/>
              <w:ind w:left="90" w:right="87"/>
              <w:jc w:val="center"/>
              <w:rPr>
                <w:sz w:val="24"/>
              </w:rPr>
            </w:pPr>
            <w:r>
              <w:rPr>
                <w:sz w:val="24"/>
              </w:rPr>
              <w:t>Subir cinco degraus?</w:t>
            </w:r>
          </w:p>
        </w:tc>
        <w:tc>
          <w:tcPr>
            <w:tcW w:w="1852" w:type="dxa"/>
          </w:tcPr>
          <w:p>
            <w:pPr>
              <w:pStyle w:val="TableParagraph"/>
              <w:rPr>
                <w:sz w:val="20"/>
              </w:rPr>
            </w:pPr>
          </w:p>
        </w:tc>
        <w:tc>
          <w:tcPr>
            <w:tcW w:w="2683" w:type="dxa"/>
          </w:tcPr>
          <w:p>
            <w:pPr>
              <w:pStyle w:val="TableParagraph"/>
              <w:rPr>
                <w:sz w:val="20"/>
              </w:rPr>
            </w:pPr>
          </w:p>
        </w:tc>
        <w:tc>
          <w:tcPr>
            <w:tcW w:w="1022" w:type="dxa"/>
          </w:tcPr>
          <w:p>
            <w:pPr>
              <w:pStyle w:val="TableParagraph"/>
              <w:rPr>
                <w:sz w:val="20"/>
              </w:rPr>
            </w:pPr>
          </w:p>
        </w:tc>
        <w:tc>
          <w:tcPr>
            <w:tcW w:w="1245" w:type="dxa"/>
          </w:tcPr>
          <w:p>
            <w:pPr>
              <w:pStyle w:val="TableParagraph"/>
              <w:rPr>
                <w:sz w:val="20"/>
              </w:rPr>
            </w:pPr>
          </w:p>
        </w:tc>
      </w:tr>
      <w:tr>
        <w:trPr>
          <w:trHeight w:val="551" w:hRule="atLeast"/>
        </w:trPr>
        <w:tc>
          <w:tcPr>
            <w:tcW w:w="1080" w:type="dxa"/>
            <w:vMerge w:val="restart"/>
          </w:tcPr>
          <w:p>
            <w:pPr>
              <w:pStyle w:val="TableParagraph"/>
              <w:spacing w:before="9"/>
              <w:rPr>
                <w:sz w:val="35"/>
              </w:rPr>
            </w:pPr>
          </w:p>
          <w:p>
            <w:pPr>
              <w:pStyle w:val="TableParagraph"/>
              <w:ind w:left="643"/>
              <w:rPr>
                <w:sz w:val="24"/>
              </w:rPr>
            </w:pPr>
            <w:r>
              <w:rPr>
                <w:sz w:val="24"/>
              </w:rPr>
              <w:t>110</w:t>
            </w:r>
          </w:p>
        </w:tc>
        <w:tc>
          <w:tcPr>
            <w:tcW w:w="2323" w:type="dxa"/>
            <w:tcBorders>
              <w:bottom w:val="nil"/>
            </w:tcBorders>
          </w:tcPr>
          <w:p>
            <w:pPr>
              <w:pStyle w:val="TableParagraph"/>
              <w:spacing w:line="270" w:lineRule="exact"/>
              <w:ind w:left="93" w:right="85"/>
              <w:jc w:val="center"/>
              <w:rPr>
                <w:sz w:val="24"/>
              </w:rPr>
            </w:pPr>
            <w:r>
              <w:rPr>
                <w:sz w:val="24"/>
              </w:rPr>
              <w:t>Lavar seu corpo</w:t>
            </w:r>
          </w:p>
          <w:p>
            <w:pPr>
              <w:pStyle w:val="TableParagraph"/>
              <w:spacing w:line="261" w:lineRule="exact"/>
              <w:ind w:left="93" w:right="82"/>
              <w:jc w:val="center"/>
              <w:rPr>
                <w:sz w:val="24"/>
              </w:rPr>
            </w:pPr>
            <w:r>
              <w:rPr>
                <w:sz w:val="24"/>
              </w:rPr>
              <w:t>inteiro e</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554" w:hRule="atLeast"/>
        </w:trPr>
        <w:tc>
          <w:tcPr>
            <w:tcW w:w="1080" w:type="dxa"/>
            <w:vMerge/>
            <w:tcBorders>
              <w:top w:val="nil"/>
            </w:tcBorders>
          </w:tcPr>
          <w:p>
            <w:pPr>
              <w:rPr>
                <w:sz w:val="2"/>
                <w:szCs w:val="2"/>
              </w:rPr>
            </w:pPr>
          </w:p>
        </w:tc>
        <w:tc>
          <w:tcPr>
            <w:tcW w:w="2323" w:type="dxa"/>
            <w:tcBorders>
              <w:top w:val="nil"/>
            </w:tcBorders>
          </w:tcPr>
          <w:p>
            <w:pPr>
              <w:pStyle w:val="TableParagraph"/>
              <w:spacing w:line="271" w:lineRule="exact"/>
              <w:ind w:left="93" w:right="83"/>
              <w:jc w:val="center"/>
              <w:rPr>
                <w:sz w:val="24"/>
              </w:rPr>
            </w:pPr>
            <w:r>
              <w:rPr>
                <w:sz w:val="24"/>
              </w:rPr>
              <w:t>secá-lo após o</w:t>
            </w:r>
          </w:p>
          <w:p>
            <w:pPr>
              <w:pStyle w:val="TableParagraph"/>
              <w:spacing w:line="264" w:lineRule="exact"/>
              <w:ind w:left="93" w:right="87"/>
              <w:jc w:val="center"/>
              <w:rPr>
                <w:sz w:val="24"/>
              </w:rPr>
            </w:pPr>
            <w:r>
              <w:rPr>
                <w:sz w:val="24"/>
              </w:rPr>
              <w:t>banho?</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1" w:hRule="atLeast"/>
        </w:trPr>
        <w:tc>
          <w:tcPr>
            <w:tcW w:w="1080" w:type="dxa"/>
          </w:tcPr>
          <w:p>
            <w:pPr>
              <w:pStyle w:val="TableParagraph"/>
              <w:spacing w:before="128"/>
              <w:ind w:right="64"/>
              <w:jc w:val="right"/>
              <w:rPr>
                <w:sz w:val="24"/>
              </w:rPr>
            </w:pPr>
            <w:r>
              <w:rPr>
                <w:sz w:val="24"/>
              </w:rPr>
              <w:t>111</w:t>
            </w:r>
          </w:p>
        </w:tc>
        <w:tc>
          <w:tcPr>
            <w:tcW w:w="2323" w:type="dxa"/>
          </w:tcPr>
          <w:p>
            <w:pPr>
              <w:pStyle w:val="TableParagraph"/>
              <w:spacing w:line="268" w:lineRule="exact"/>
              <w:ind w:left="93" w:right="84"/>
              <w:jc w:val="center"/>
              <w:rPr>
                <w:sz w:val="24"/>
              </w:rPr>
            </w:pPr>
            <w:r>
              <w:rPr>
                <w:sz w:val="24"/>
              </w:rPr>
              <w:t>Tomar um banho de</w:t>
            </w:r>
          </w:p>
          <w:p>
            <w:pPr>
              <w:pStyle w:val="TableParagraph"/>
              <w:spacing w:line="264" w:lineRule="exact"/>
              <w:ind w:left="93" w:right="84"/>
              <w:jc w:val="center"/>
              <w:rPr>
                <w:sz w:val="24"/>
              </w:rPr>
            </w:pPr>
            <w:r>
              <w:rPr>
                <w:sz w:val="24"/>
              </w:rPr>
              <w:t>chuveiro?</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548" w:hRule="atLeast"/>
        </w:trPr>
        <w:tc>
          <w:tcPr>
            <w:tcW w:w="1080" w:type="dxa"/>
            <w:vMerge w:val="restart"/>
          </w:tcPr>
          <w:p>
            <w:pPr>
              <w:pStyle w:val="TableParagraph"/>
              <w:spacing w:before="8"/>
              <w:rPr>
                <w:sz w:val="23"/>
              </w:rPr>
            </w:pPr>
          </w:p>
          <w:p>
            <w:pPr>
              <w:pStyle w:val="TableParagraph"/>
              <w:ind w:left="643"/>
              <w:rPr>
                <w:sz w:val="24"/>
              </w:rPr>
            </w:pPr>
            <w:r>
              <w:rPr>
                <w:sz w:val="24"/>
              </w:rPr>
              <w:t>112</w:t>
            </w:r>
          </w:p>
        </w:tc>
        <w:tc>
          <w:tcPr>
            <w:tcW w:w="2323" w:type="dxa"/>
            <w:tcBorders>
              <w:bottom w:val="nil"/>
            </w:tcBorders>
          </w:tcPr>
          <w:p>
            <w:pPr>
              <w:pStyle w:val="TableParagraph"/>
              <w:spacing w:line="268" w:lineRule="exact"/>
              <w:ind w:left="93" w:right="84"/>
              <w:jc w:val="center"/>
              <w:rPr>
                <w:sz w:val="24"/>
              </w:rPr>
            </w:pPr>
            <w:r>
              <w:rPr>
                <w:sz w:val="24"/>
              </w:rPr>
              <w:t>Sentar-se e levantar-</w:t>
            </w:r>
          </w:p>
          <w:p>
            <w:pPr>
              <w:pStyle w:val="TableParagraph"/>
              <w:spacing w:line="261" w:lineRule="exact"/>
              <w:ind w:left="93" w:right="85"/>
              <w:jc w:val="center"/>
              <w:rPr>
                <w:sz w:val="24"/>
              </w:rPr>
            </w:pPr>
            <w:r>
              <w:rPr>
                <w:sz w:val="24"/>
              </w:rPr>
              <w:t>se</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278" w:hRule="atLeast"/>
        </w:trPr>
        <w:tc>
          <w:tcPr>
            <w:tcW w:w="1080" w:type="dxa"/>
            <w:vMerge/>
            <w:tcBorders>
              <w:top w:val="nil"/>
            </w:tcBorders>
          </w:tcPr>
          <w:p>
            <w:pPr>
              <w:rPr>
                <w:sz w:val="2"/>
                <w:szCs w:val="2"/>
              </w:rPr>
            </w:pPr>
          </w:p>
        </w:tc>
        <w:tc>
          <w:tcPr>
            <w:tcW w:w="2323" w:type="dxa"/>
            <w:tcBorders>
              <w:top w:val="nil"/>
            </w:tcBorders>
          </w:tcPr>
          <w:p>
            <w:pPr>
              <w:pStyle w:val="TableParagraph"/>
              <w:spacing w:line="259" w:lineRule="exact"/>
              <w:ind w:left="93" w:right="86"/>
              <w:jc w:val="center"/>
              <w:rPr>
                <w:sz w:val="24"/>
              </w:rPr>
            </w:pPr>
            <w:r>
              <w:rPr>
                <w:sz w:val="24"/>
              </w:rPr>
              <w:t>de um vaso sanitário?</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2" w:hRule="atLeast"/>
        </w:trPr>
        <w:tc>
          <w:tcPr>
            <w:tcW w:w="1080" w:type="dxa"/>
            <w:vMerge w:val="restart"/>
          </w:tcPr>
          <w:p>
            <w:pPr>
              <w:pStyle w:val="TableParagraph"/>
              <w:rPr>
                <w:sz w:val="26"/>
              </w:rPr>
            </w:pPr>
          </w:p>
          <w:p>
            <w:pPr>
              <w:pStyle w:val="TableParagraph"/>
              <w:rPr>
                <w:sz w:val="26"/>
              </w:rPr>
            </w:pPr>
          </w:p>
          <w:p>
            <w:pPr>
              <w:pStyle w:val="TableParagraph"/>
              <w:spacing w:before="1"/>
              <w:rPr>
                <w:sz w:val="21"/>
              </w:rPr>
            </w:pPr>
          </w:p>
          <w:p>
            <w:pPr>
              <w:pStyle w:val="TableParagraph"/>
              <w:spacing w:before="1"/>
              <w:ind w:left="643"/>
              <w:rPr>
                <w:sz w:val="24"/>
              </w:rPr>
            </w:pPr>
            <w:r>
              <w:rPr>
                <w:sz w:val="24"/>
              </w:rPr>
              <w:t>113</w:t>
            </w:r>
          </w:p>
        </w:tc>
        <w:tc>
          <w:tcPr>
            <w:tcW w:w="2323" w:type="dxa"/>
            <w:tcBorders>
              <w:bottom w:val="nil"/>
            </w:tcBorders>
          </w:tcPr>
          <w:p>
            <w:pPr>
              <w:pStyle w:val="TableParagraph"/>
              <w:spacing w:line="253" w:lineRule="exact"/>
              <w:ind w:left="93" w:right="83"/>
              <w:jc w:val="center"/>
              <w:rPr>
                <w:sz w:val="24"/>
              </w:rPr>
            </w:pPr>
            <w:r>
              <w:rPr>
                <w:sz w:val="24"/>
              </w:rPr>
              <w:t>Levantar os braços e</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276"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57" w:lineRule="exact"/>
              <w:ind w:left="93" w:right="82"/>
              <w:jc w:val="center"/>
              <w:rPr>
                <w:sz w:val="24"/>
              </w:rPr>
            </w:pPr>
            <w:r>
              <w:rPr>
                <w:sz w:val="24"/>
              </w:rPr>
              <w:t>pegar um objeto de</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2"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72" w:lineRule="exact"/>
              <w:ind w:left="93" w:right="83"/>
              <w:jc w:val="center"/>
              <w:rPr>
                <w:sz w:val="24"/>
              </w:rPr>
            </w:pPr>
            <w:r>
              <w:rPr>
                <w:sz w:val="24"/>
              </w:rPr>
              <w:t>mais ou menos 2,5</w:t>
            </w:r>
          </w:p>
          <w:p>
            <w:pPr>
              <w:pStyle w:val="TableParagraph"/>
              <w:spacing w:line="261" w:lineRule="exact"/>
              <w:ind w:left="93" w:right="85"/>
              <w:jc w:val="center"/>
              <w:rPr>
                <w:sz w:val="24"/>
              </w:rPr>
            </w:pPr>
            <w:r>
              <w:rPr>
                <w:sz w:val="24"/>
              </w:rPr>
              <w:t>quilos, que</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1"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71" w:lineRule="exact"/>
              <w:ind w:left="93" w:right="84"/>
              <w:jc w:val="center"/>
              <w:rPr>
                <w:sz w:val="24"/>
              </w:rPr>
            </w:pPr>
            <w:r>
              <w:rPr>
                <w:sz w:val="24"/>
              </w:rPr>
              <w:t>está posicionado um</w:t>
            </w:r>
          </w:p>
          <w:p>
            <w:pPr>
              <w:pStyle w:val="TableParagraph"/>
              <w:spacing w:line="261" w:lineRule="exact"/>
              <w:ind w:left="93" w:right="83"/>
              <w:jc w:val="center"/>
              <w:rPr>
                <w:sz w:val="24"/>
              </w:rPr>
            </w:pPr>
            <w:r>
              <w:rPr>
                <w:sz w:val="24"/>
              </w:rPr>
              <w:t>pouco</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8" w:hRule="atLeast"/>
        </w:trPr>
        <w:tc>
          <w:tcPr>
            <w:tcW w:w="1080" w:type="dxa"/>
            <w:vMerge/>
            <w:tcBorders>
              <w:top w:val="nil"/>
            </w:tcBorders>
          </w:tcPr>
          <w:p>
            <w:pPr>
              <w:rPr>
                <w:sz w:val="2"/>
                <w:szCs w:val="2"/>
              </w:rPr>
            </w:pPr>
          </w:p>
        </w:tc>
        <w:tc>
          <w:tcPr>
            <w:tcW w:w="2323" w:type="dxa"/>
            <w:tcBorders>
              <w:top w:val="nil"/>
            </w:tcBorders>
          </w:tcPr>
          <w:p>
            <w:pPr>
              <w:pStyle w:val="TableParagraph"/>
              <w:spacing w:line="259" w:lineRule="exact"/>
              <w:ind w:left="92" w:right="87"/>
              <w:jc w:val="center"/>
              <w:rPr>
                <w:sz w:val="24"/>
              </w:rPr>
            </w:pPr>
            <w:r>
              <w:rPr>
                <w:sz w:val="24"/>
              </w:rPr>
              <w:t>acima de sua cabeça?</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2" w:hRule="atLeast"/>
        </w:trPr>
        <w:tc>
          <w:tcPr>
            <w:tcW w:w="1080" w:type="dxa"/>
          </w:tcPr>
          <w:p>
            <w:pPr>
              <w:pStyle w:val="TableParagraph"/>
              <w:spacing w:before="131"/>
              <w:ind w:right="64"/>
              <w:jc w:val="right"/>
              <w:rPr>
                <w:sz w:val="24"/>
              </w:rPr>
            </w:pPr>
            <w:r>
              <w:rPr>
                <w:sz w:val="24"/>
              </w:rPr>
              <w:t>114</w:t>
            </w:r>
          </w:p>
        </w:tc>
        <w:tc>
          <w:tcPr>
            <w:tcW w:w="2323" w:type="dxa"/>
          </w:tcPr>
          <w:p>
            <w:pPr>
              <w:pStyle w:val="TableParagraph"/>
              <w:spacing w:line="268" w:lineRule="exact"/>
              <w:ind w:left="156"/>
              <w:rPr>
                <w:sz w:val="24"/>
              </w:rPr>
            </w:pPr>
            <w:r>
              <w:rPr>
                <w:sz w:val="24"/>
              </w:rPr>
              <w:t>Curvar-se para</w:t>
            </w:r>
            <w:r>
              <w:rPr>
                <w:spacing w:val="-8"/>
                <w:sz w:val="24"/>
              </w:rPr>
              <w:t> </w:t>
            </w:r>
            <w:r>
              <w:rPr>
                <w:sz w:val="24"/>
              </w:rPr>
              <w:t>pegar</w:t>
            </w:r>
          </w:p>
          <w:p>
            <w:pPr>
              <w:pStyle w:val="TableParagraph"/>
              <w:spacing w:line="264" w:lineRule="exact"/>
              <w:ind w:left="144"/>
              <w:rPr>
                <w:sz w:val="24"/>
              </w:rPr>
            </w:pPr>
            <w:r>
              <w:rPr>
                <w:sz w:val="24"/>
              </w:rPr>
              <w:t>suas roupas no</w:t>
            </w:r>
            <w:r>
              <w:rPr>
                <w:spacing w:val="-4"/>
                <w:sz w:val="24"/>
              </w:rPr>
              <w:t> </w:t>
            </w:r>
            <w:r>
              <w:rPr>
                <w:sz w:val="24"/>
              </w:rPr>
              <w:t>chão?</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551" w:hRule="atLeast"/>
        </w:trPr>
        <w:tc>
          <w:tcPr>
            <w:tcW w:w="1080" w:type="dxa"/>
          </w:tcPr>
          <w:p>
            <w:pPr>
              <w:pStyle w:val="TableParagraph"/>
              <w:spacing w:before="131"/>
              <w:ind w:right="64"/>
              <w:jc w:val="right"/>
              <w:rPr>
                <w:sz w:val="24"/>
              </w:rPr>
            </w:pPr>
            <w:r>
              <w:rPr>
                <w:sz w:val="24"/>
              </w:rPr>
              <w:t>115</w:t>
            </w:r>
          </w:p>
        </w:tc>
        <w:tc>
          <w:tcPr>
            <w:tcW w:w="2323" w:type="dxa"/>
          </w:tcPr>
          <w:p>
            <w:pPr>
              <w:pStyle w:val="TableParagraph"/>
              <w:spacing w:line="268" w:lineRule="exact"/>
              <w:ind w:left="180"/>
              <w:rPr>
                <w:sz w:val="24"/>
              </w:rPr>
            </w:pPr>
            <w:r>
              <w:rPr>
                <w:sz w:val="24"/>
              </w:rPr>
              <w:t>Segurar-se em pé</w:t>
            </w:r>
            <w:r>
              <w:rPr>
                <w:spacing w:val="-7"/>
                <w:sz w:val="24"/>
              </w:rPr>
              <w:t> </w:t>
            </w:r>
            <w:r>
              <w:rPr>
                <w:sz w:val="24"/>
              </w:rPr>
              <w:t>no</w:t>
            </w:r>
          </w:p>
          <w:p>
            <w:pPr>
              <w:pStyle w:val="TableParagraph"/>
              <w:spacing w:line="264" w:lineRule="exact"/>
              <w:ind w:left="177"/>
              <w:rPr>
                <w:sz w:val="24"/>
              </w:rPr>
            </w:pPr>
            <w:r>
              <w:rPr>
                <w:sz w:val="24"/>
              </w:rPr>
              <w:t>ônibus ou no</w:t>
            </w:r>
            <w:r>
              <w:rPr>
                <w:spacing w:val="-7"/>
                <w:sz w:val="24"/>
              </w:rPr>
              <w:t> </w:t>
            </w:r>
            <w:r>
              <w:rPr>
                <w:sz w:val="24"/>
              </w:rPr>
              <w:t>metrô?</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549" w:hRule="atLeast"/>
        </w:trPr>
        <w:tc>
          <w:tcPr>
            <w:tcW w:w="1080" w:type="dxa"/>
            <w:vMerge w:val="restart"/>
          </w:tcPr>
          <w:p>
            <w:pPr>
              <w:pStyle w:val="TableParagraph"/>
              <w:rPr>
                <w:sz w:val="26"/>
              </w:rPr>
            </w:pPr>
          </w:p>
          <w:p>
            <w:pPr>
              <w:pStyle w:val="TableParagraph"/>
              <w:spacing w:before="3"/>
              <w:rPr>
                <w:sz w:val="22"/>
              </w:rPr>
            </w:pPr>
          </w:p>
          <w:p>
            <w:pPr>
              <w:pStyle w:val="TableParagraph"/>
              <w:ind w:left="643"/>
              <w:rPr>
                <w:sz w:val="24"/>
              </w:rPr>
            </w:pPr>
            <w:r>
              <w:rPr>
                <w:sz w:val="24"/>
              </w:rPr>
              <w:t>116</w:t>
            </w:r>
          </w:p>
        </w:tc>
        <w:tc>
          <w:tcPr>
            <w:tcW w:w="2323" w:type="dxa"/>
            <w:tcBorders>
              <w:bottom w:val="nil"/>
            </w:tcBorders>
          </w:tcPr>
          <w:p>
            <w:pPr>
              <w:pStyle w:val="TableParagraph"/>
              <w:spacing w:line="268" w:lineRule="exact"/>
              <w:ind w:left="93" w:right="82"/>
              <w:jc w:val="center"/>
              <w:rPr>
                <w:sz w:val="24"/>
              </w:rPr>
            </w:pPr>
            <w:r>
              <w:rPr>
                <w:sz w:val="24"/>
              </w:rPr>
              <w:t>Abrir potes ou vidros</w:t>
            </w:r>
          </w:p>
          <w:p>
            <w:pPr>
              <w:pStyle w:val="TableParagraph"/>
              <w:spacing w:line="262" w:lineRule="exact"/>
              <w:ind w:left="93" w:right="82"/>
              <w:jc w:val="center"/>
              <w:rPr>
                <w:sz w:val="24"/>
              </w:rPr>
            </w:pPr>
            <w:r>
              <w:rPr>
                <w:sz w:val="24"/>
              </w:rPr>
              <w:t>de</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552"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72" w:lineRule="exact"/>
              <w:ind w:left="93" w:right="86"/>
              <w:jc w:val="center"/>
              <w:rPr>
                <w:sz w:val="24"/>
              </w:rPr>
            </w:pPr>
            <w:r>
              <w:rPr>
                <w:sz w:val="24"/>
              </w:rPr>
              <w:t>conserva que tenham</w:t>
            </w:r>
          </w:p>
          <w:p>
            <w:pPr>
              <w:pStyle w:val="TableParagraph"/>
              <w:spacing w:line="261" w:lineRule="exact"/>
              <w:ind w:left="93" w:right="86"/>
              <w:jc w:val="center"/>
              <w:rPr>
                <w:sz w:val="24"/>
              </w:rPr>
            </w:pPr>
            <w:r>
              <w:rPr>
                <w:sz w:val="24"/>
              </w:rPr>
              <w:t>sido</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8" w:hRule="atLeast"/>
        </w:trPr>
        <w:tc>
          <w:tcPr>
            <w:tcW w:w="1080" w:type="dxa"/>
            <w:vMerge/>
            <w:tcBorders>
              <w:top w:val="nil"/>
            </w:tcBorders>
          </w:tcPr>
          <w:p>
            <w:pPr>
              <w:rPr>
                <w:sz w:val="2"/>
                <w:szCs w:val="2"/>
              </w:rPr>
            </w:pPr>
          </w:p>
        </w:tc>
        <w:tc>
          <w:tcPr>
            <w:tcW w:w="2323" w:type="dxa"/>
            <w:tcBorders>
              <w:top w:val="nil"/>
            </w:tcBorders>
          </w:tcPr>
          <w:p>
            <w:pPr>
              <w:pStyle w:val="TableParagraph"/>
              <w:spacing w:line="259" w:lineRule="exact"/>
              <w:ind w:left="93" w:right="85"/>
              <w:jc w:val="center"/>
              <w:rPr>
                <w:sz w:val="24"/>
              </w:rPr>
            </w:pPr>
            <w:r>
              <w:rPr>
                <w:sz w:val="24"/>
              </w:rPr>
              <w:t>previamente abertos?</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275" w:hRule="atLeast"/>
        </w:trPr>
        <w:tc>
          <w:tcPr>
            <w:tcW w:w="1080" w:type="dxa"/>
          </w:tcPr>
          <w:p>
            <w:pPr>
              <w:pStyle w:val="TableParagraph"/>
              <w:spacing w:line="256" w:lineRule="exact"/>
              <w:ind w:right="64"/>
              <w:jc w:val="right"/>
              <w:rPr>
                <w:sz w:val="24"/>
              </w:rPr>
            </w:pPr>
            <w:r>
              <w:rPr>
                <w:sz w:val="24"/>
              </w:rPr>
              <w:t>117</w:t>
            </w:r>
          </w:p>
        </w:tc>
        <w:tc>
          <w:tcPr>
            <w:tcW w:w="2323" w:type="dxa"/>
          </w:tcPr>
          <w:p>
            <w:pPr>
              <w:pStyle w:val="TableParagraph"/>
              <w:spacing w:line="256" w:lineRule="exact"/>
              <w:ind w:left="93" w:right="83"/>
              <w:jc w:val="center"/>
              <w:rPr>
                <w:sz w:val="24"/>
              </w:rPr>
            </w:pPr>
            <w:r>
              <w:rPr>
                <w:sz w:val="24"/>
              </w:rPr>
              <w:t>Abrir e fechar</w:t>
            </w:r>
          </w:p>
        </w:tc>
        <w:tc>
          <w:tcPr>
            <w:tcW w:w="1852" w:type="dxa"/>
          </w:tcPr>
          <w:p>
            <w:pPr>
              <w:pStyle w:val="TableParagraph"/>
              <w:rPr>
                <w:sz w:val="20"/>
              </w:rPr>
            </w:pPr>
          </w:p>
        </w:tc>
        <w:tc>
          <w:tcPr>
            <w:tcW w:w="2683" w:type="dxa"/>
          </w:tcPr>
          <w:p>
            <w:pPr>
              <w:pStyle w:val="TableParagraph"/>
              <w:rPr>
                <w:sz w:val="20"/>
              </w:rPr>
            </w:pPr>
          </w:p>
        </w:tc>
        <w:tc>
          <w:tcPr>
            <w:tcW w:w="1022" w:type="dxa"/>
          </w:tcPr>
          <w:p>
            <w:pPr>
              <w:pStyle w:val="TableParagraph"/>
              <w:rPr>
                <w:sz w:val="20"/>
              </w:rPr>
            </w:pPr>
          </w:p>
        </w:tc>
        <w:tc>
          <w:tcPr>
            <w:tcW w:w="1245" w:type="dxa"/>
          </w:tcPr>
          <w:p>
            <w:pPr>
              <w:pStyle w:val="TableParagraph"/>
              <w:rPr>
                <w:sz w:val="20"/>
              </w:rPr>
            </w:pPr>
          </w:p>
        </w:tc>
      </w:tr>
    </w:tbl>
    <w:p>
      <w:pPr>
        <w:spacing w:after="0"/>
        <w:rPr>
          <w:sz w:val="20"/>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2323"/>
        <w:gridCol w:w="1852"/>
        <w:gridCol w:w="2683"/>
        <w:gridCol w:w="1022"/>
        <w:gridCol w:w="1245"/>
      </w:tblGrid>
      <w:tr>
        <w:trPr>
          <w:trHeight w:val="275" w:hRule="atLeast"/>
        </w:trPr>
        <w:tc>
          <w:tcPr>
            <w:tcW w:w="1080" w:type="dxa"/>
          </w:tcPr>
          <w:p>
            <w:pPr>
              <w:pStyle w:val="TableParagraph"/>
              <w:rPr>
                <w:sz w:val="20"/>
              </w:rPr>
            </w:pPr>
          </w:p>
        </w:tc>
        <w:tc>
          <w:tcPr>
            <w:tcW w:w="2323" w:type="dxa"/>
          </w:tcPr>
          <w:p>
            <w:pPr>
              <w:pStyle w:val="TableParagraph"/>
              <w:spacing w:line="256" w:lineRule="exact"/>
              <w:ind w:left="93" w:right="85"/>
              <w:jc w:val="center"/>
              <w:rPr>
                <w:sz w:val="24"/>
              </w:rPr>
            </w:pPr>
            <w:r>
              <w:rPr>
                <w:sz w:val="24"/>
              </w:rPr>
              <w:t>torneiras?</w:t>
            </w:r>
          </w:p>
        </w:tc>
        <w:tc>
          <w:tcPr>
            <w:tcW w:w="1852" w:type="dxa"/>
          </w:tcPr>
          <w:p>
            <w:pPr>
              <w:pStyle w:val="TableParagraph"/>
              <w:rPr>
                <w:sz w:val="20"/>
              </w:rPr>
            </w:pPr>
          </w:p>
        </w:tc>
        <w:tc>
          <w:tcPr>
            <w:tcW w:w="2683" w:type="dxa"/>
          </w:tcPr>
          <w:p>
            <w:pPr>
              <w:pStyle w:val="TableParagraph"/>
              <w:rPr>
                <w:sz w:val="20"/>
              </w:rPr>
            </w:pPr>
          </w:p>
        </w:tc>
        <w:tc>
          <w:tcPr>
            <w:tcW w:w="1022" w:type="dxa"/>
          </w:tcPr>
          <w:p>
            <w:pPr>
              <w:pStyle w:val="TableParagraph"/>
              <w:rPr>
                <w:sz w:val="20"/>
              </w:rPr>
            </w:pPr>
          </w:p>
        </w:tc>
        <w:tc>
          <w:tcPr>
            <w:tcW w:w="1245" w:type="dxa"/>
          </w:tcPr>
          <w:p>
            <w:pPr>
              <w:pStyle w:val="TableParagraph"/>
              <w:rPr>
                <w:sz w:val="20"/>
              </w:rPr>
            </w:pPr>
          </w:p>
        </w:tc>
      </w:tr>
      <w:tr>
        <w:trPr>
          <w:trHeight w:val="275" w:hRule="atLeast"/>
        </w:trPr>
        <w:tc>
          <w:tcPr>
            <w:tcW w:w="1080" w:type="dxa"/>
            <w:vMerge w:val="restart"/>
          </w:tcPr>
          <w:p>
            <w:pPr>
              <w:pStyle w:val="TableParagraph"/>
              <w:spacing w:before="10"/>
              <w:rPr>
                <w:sz w:val="23"/>
              </w:rPr>
            </w:pPr>
          </w:p>
          <w:p>
            <w:pPr>
              <w:pStyle w:val="TableParagraph"/>
              <w:ind w:left="643"/>
              <w:rPr>
                <w:sz w:val="24"/>
              </w:rPr>
            </w:pPr>
            <w:r>
              <w:rPr>
                <w:sz w:val="24"/>
              </w:rPr>
              <w:t>118</w:t>
            </w:r>
          </w:p>
        </w:tc>
        <w:tc>
          <w:tcPr>
            <w:tcW w:w="2323" w:type="dxa"/>
            <w:tcBorders>
              <w:bottom w:val="nil"/>
            </w:tcBorders>
          </w:tcPr>
          <w:p>
            <w:pPr>
              <w:pStyle w:val="TableParagraph"/>
              <w:spacing w:line="255" w:lineRule="exact"/>
              <w:ind w:left="93" w:right="83"/>
              <w:jc w:val="center"/>
              <w:rPr>
                <w:sz w:val="24"/>
              </w:rPr>
            </w:pPr>
            <w:r>
              <w:rPr>
                <w:sz w:val="24"/>
              </w:rPr>
              <w:t>Fazer compras na</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554" w:hRule="atLeast"/>
        </w:trPr>
        <w:tc>
          <w:tcPr>
            <w:tcW w:w="1080" w:type="dxa"/>
            <w:vMerge/>
            <w:tcBorders>
              <w:top w:val="nil"/>
            </w:tcBorders>
          </w:tcPr>
          <w:p>
            <w:pPr>
              <w:rPr>
                <w:sz w:val="2"/>
                <w:szCs w:val="2"/>
              </w:rPr>
            </w:pPr>
          </w:p>
        </w:tc>
        <w:tc>
          <w:tcPr>
            <w:tcW w:w="2323" w:type="dxa"/>
            <w:tcBorders>
              <w:top w:val="nil"/>
            </w:tcBorders>
          </w:tcPr>
          <w:p>
            <w:pPr>
              <w:pStyle w:val="TableParagraph"/>
              <w:spacing w:line="271" w:lineRule="exact"/>
              <w:ind w:left="93" w:right="85"/>
              <w:jc w:val="center"/>
              <w:rPr>
                <w:sz w:val="24"/>
              </w:rPr>
            </w:pPr>
            <w:r>
              <w:rPr>
                <w:sz w:val="24"/>
              </w:rPr>
              <w:t>redondeza onde</w:t>
            </w:r>
          </w:p>
          <w:p>
            <w:pPr>
              <w:pStyle w:val="TableParagraph"/>
              <w:spacing w:line="264" w:lineRule="exact"/>
              <w:ind w:left="93" w:right="84"/>
              <w:jc w:val="center"/>
              <w:rPr>
                <w:sz w:val="24"/>
              </w:rPr>
            </w:pPr>
            <w:r>
              <w:rPr>
                <w:sz w:val="24"/>
              </w:rPr>
              <w:t>mora?</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1" w:hRule="atLeast"/>
        </w:trPr>
        <w:tc>
          <w:tcPr>
            <w:tcW w:w="1080" w:type="dxa"/>
          </w:tcPr>
          <w:p>
            <w:pPr>
              <w:pStyle w:val="TableParagraph"/>
              <w:spacing w:before="128"/>
              <w:ind w:left="643"/>
              <w:rPr>
                <w:sz w:val="24"/>
              </w:rPr>
            </w:pPr>
            <w:r>
              <w:rPr>
                <w:sz w:val="24"/>
              </w:rPr>
              <w:t>119</w:t>
            </w:r>
          </w:p>
        </w:tc>
        <w:tc>
          <w:tcPr>
            <w:tcW w:w="2323" w:type="dxa"/>
          </w:tcPr>
          <w:p>
            <w:pPr>
              <w:pStyle w:val="TableParagraph"/>
              <w:spacing w:line="268" w:lineRule="exact"/>
              <w:ind w:left="93" w:right="84"/>
              <w:jc w:val="center"/>
              <w:rPr>
                <w:sz w:val="24"/>
              </w:rPr>
            </w:pPr>
            <w:r>
              <w:rPr>
                <w:sz w:val="24"/>
              </w:rPr>
              <w:t>Entrar e sair de um</w:t>
            </w:r>
          </w:p>
          <w:p>
            <w:pPr>
              <w:pStyle w:val="TableParagraph"/>
              <w:spacing w:line="264" w:lineRule="exact"/>
              <w:ind w:left="93" w:right="87"/>
              <w:jc w:val="center"/>
              <w:rPr>
                <w:sz w:val="24"/>
              </w:rPr>
            </w:pPr>
            <w:r>
              <w:rPr>
                <w:sz w:val="24"/>
              </w:rPr>
              <w:t>ônibus?</w:t>
            </w:r>
          </w:p>
        </w:tc>
        <w:tc>
          <w:tcPr>
            <w:tcW w:w="1852" w:type="dxa"/>
          </w:tcPr>
          <w:p>
            <w:pPr>
              <w:pStyle w:val="TableParagraph"/>
              <w:rPr>
                <w:sz w:val="24"/>
              </w:rPr>
            </w:pPr>
          </w:p>
        </w:tc>
        <w:tc>
          <w:tcPr>
            <w:tcW w:w="2683" w:type="dxa"/>
          </w:tcPr>
          <w:p>
            <w:pPr>
              <w:pStyle w:val="TableParagraph"/>
              <w:rPr>
                <w:sz w:val="24"/>
              </w:rPr>
            </w:pPr>
          </w:p>
        </w:tc>
        <w:tc>
          <w:tcPr>
            <w:tcW w:w="1022" w:type="dxa"/>
          </w:tcPr>
          <w:p>
            <w:pPr>
              <w:pStyle w:val="TableParagraph"/>
              <w:rPr>
                <w:sz w:val="24"/>
              </w:rPr>
            </w:pPr>
          </w:p>
        </w:tc>
        <w:tc>
          <w:tcPr>
            <w:tcW w:w="1245" w:type="dxa"/>
          </w:tcPr>
          <w:p>
            <w:pPr>
              <w:pStyle w:val="TableParagraph"/>
              <w:rPr>
                <w:sz w:val="24"/>
              </w:rPr>
            </w:pPr>
          </w:p>
        </w:tc>
      </w:tr>
      <w:tr>
        <w:trPr>
          <w:trHeight w:val="272" w:hRule="atLeast"/>
        </w:trPr>
        <w:tc>
          <w:tcPr>
            <w:tcW w:w="1080" w:type="dxa"/>
            <w:vMerge w:val="restart"/>
          </w:tcPr>
          <w:p>
            <w:pPr>
              <w:pStyle w:val="TableParagraph"/>
              <w:spacing w:before="2"/>
              <w:rPr>
                <w:sz w:val="36"/>
              </w:rPr>
            </w:pPr>
          </w:p>
          <w:p>
            <w:pPr>
              <w:pStyle w:val="TableParagraph"/>
              <w:ind w:left="643"/>
              <w:rPr>
                <w:sz w:val="24"/>
              </w:rPr>
            </w:pPr>
            <w:r>
              <w:rPr>
                <w:sz w:val="24"/>
              </w:rPr>
              <w:t>220</w:t>
            </w:r>
          </w:p>
        </w:tc>
        <w:tc>
          <w:tcPr>
            <w:tcW w:w="2323" w:type="dxa"/>
            <w:tcBorders>
              <w:bottom w:val="nil"/>
            </w:tcBorders>
          </w:tcPr>
          <w:p>
            <w:pPr>
              <w:pStyle w:val="TableParagraph"/>
              <w:spacing w:line="253" w:lineRule="exact"/>
              <w:ind w:left="93" w:right="85"/>
              <w:jc w:val="center"/>
              <w:rPr>
                <w:sz w:val="24"/>
              </w:rPr>
            </w:pPr>
            <w:r>
              <w:rPr>
                <w:sz w:val="24"/>
              </w:rPr>
              <w:t>Realizar tarefas tais</w:t>
            </w:r>
          </w:p>
        </w:tc>
        <w:tc>
          <w:tcPr>
            <w:tcW w:w="1852" w:type="dxa"/>
            <w:vMerge w:val="restart"/>
          </w:tcPr>
          <w:p>
            <w:pPr>
              <w:pStyle w:val="TableParagraph"/>
              <w:rPr>
                <w:sz w:val="24"/>
              </w:rPr>
            </w:pPr>
          </w:p>
        </w:tc>
        <w:tc>
          <w:tcPr>
            <w:tcW w:w="2683" w:type="dxa"/>
            <w:vMerge w:val="restart"/>
          </w:tcPr>
          <w:p>
            <w:pPr>
              <w:pStyle w:val="TableParagraph"/>
              <w:rPr>
                <w:sz w:val="24"/>
              </w:rPr>
            </w:pPr>
          </w:p>
        </w:tc>
        <w:tc>
          <w:tcPr>
            <w:tcW w:w="1022" w:type="dxa"/>
            <w:vMerge w:val="restart"/>
          </w:tcPr>
          <w:p>
            <w:pPr>
              <w:pStyle w:val="TableParagraph"/>
              <w:rPr>
                <w:sz w:val="24"/>
              </w:rPr>
            </w:pPr>
          </w:p>
        </w:tc>
        <w:tc>
          <w:tcPr>
            <w:tcW w:w="1245" w:type="dxa"/>
            <w:vMerge w:val="restart"/>
          </w:tcPr>
          <w:p>
            <w:pPr>
              <w:pStyle w:val="TableParagraph"/>
              <w:rPr>
                <w:sz w:val="24"/>
              </w:rPr>
            </w:pPr>
          </w:p>
        </w:tc>
      </w:tr>
      <w:tr>
        <w:trPr>
          <w:trHeight w:val="275" w:hRule="atLeast"/>
        </w:trPr>
        <w:tc>
          <w:tcPr>
            <w:tcW w:w="1080" w:type="dxa"/>
            <w:vMerge/>
            <w:tcBorders>
              <w:top w:val="nil"/>
            </w:tcBorders>
          </w:tcPr>
          <w:p>
            <w:pPr>
              <w:rPr>
                <w:sz w:val="2"/>
                <w:szCs w:val="2"/>
              </w:rPr>
            </w:pPr>
          </w:p>
        </w:tc>
        <w:tc>
          <w:tcPr>
            <w:tcW w:w="2323" w:type="dxa"/>
            <w:tcBorders>
              <w:top w:val="nil"/>
              <w:bottom w:val="nil"/>
            </w:tcBorders>
          </w:tcPr>
          <w:p>
            <w:pPr>
              <w:pStyle w:val="TableParagraph"/>
              <w:spacing w:line="256" w:lineRule="exact"/>
              <w:ind w:left="93" w:right="85"/>
              <w:jc w:val="center"/>
              <w:rPr>
                <w:sz w:val="24"/>
              </w:rPr>
            </w:pPr>
            <w:r>
              <w:rPr>
                <w:sz w:val="24"/>
              </w:rPr>
              <w:t>como usar a vassoura</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r>
        <w:trPr>
          <w:trHeight w:val="555" w:hRule="atLeast"/>
        </w:trPr>
        <w:tc>
          <w:tcPr>
            <w:tcW w:w="1080" w:type="dxa"/>
            <w:vMerge/>
            <w:tcBorders>
              <w:top w:val="nil"/>
            </w:tcBorders>
          </w:tcPr>
          <w:p>
            <w:pPr>
              <w:rPr>
                <w:sz w:val="2"/>
                <w:szCs w:val="2"/>
              </w:rPr>
            </w:pPr>
          </w:p>
        </w:tc>
        <w:tc>
          <w:tcPr>
            <w:tcW w:w="2323" w:type="dxa"/>
            <w:tcBorders>
              <w:top w:val="nil"/>
            </w:tcBorders>
          </w:tcPr>
          <w:p>
            <w:pPr>
              <w:pStyle w:val="TableParagraph"/>
              <w:spacing w:line="271" w:lineRule="exact"/>
              <w:ind w:left="93" w:right="86"/>
              <w:jc w:val="center"/>
              <w:rPr>
                <w:sz w:val="24"/>
              </w:rPr>
            </w:pPr>
            <w:r>
              <w:rPr>
                <w:sz w:val="24"/>
              </w:rPr>
              <w:t>para varrer e o rodo</w:t>
            </w:r>
          </w:p>
          <w:p>
            <w:pPr>
              <w:pStyle w:val="TableParagraph"/>
              <w:spacing w:line="264" w:lineRule="exact"/>
              <w:ind w:left="92" w:right="87"/>
              <w:jc w:val="center"/>
              <w:rPr>
                <w:sz w:val="24"/>
              </w:rPr>
            </w:pPr>
            <w:r>
              <w:rPr>
                <w:sz w:val="24"/>
              </w:rPr>
              <w:t>para puxar água?</w:t>
            </w:r>
          </w:p>
        </w:tc>
        <w:tc>
          <w:tcPr>
            <w:tcW w:w="1852" w:type="dxa"/>
            <w:vMerge/>
            <w:tcBorders>
              <w:top w:val="nil"/>
            </w:tcBorders>
          </w:tcPr>
          <w:p>
            <w:pPr>
              <w:rPr>
                <w:sz w:val="2"/>
                <w:szCs w:val="2"/>
              </w:rPr>
            </w:pPr>
          </w:p>
        </w:tc>
        <w:tc>
          <w:tcPr>
            <w:tcW w:w="2683" w:type="dxa"/>
            <w:vMerge/>
            <w:tcBorders>
              <w:top w:val="nil"/>
            </w:tcBorders>
          </w:tcPr>
          <w:p>
            <w:pPr>
              <w:rPr>
                <w:sz w:val="2"/>
                <w:szCs w:val="2"/>
              </w:rPr>
            </w:pPr>
          </w:p>
        </w:tc>
        <w:tc>
          <w:tcPr>
            <w:tcW w:w="1022" w:type="dxa"/>
            <w:vMerge/>
            <w:tcBorders>
              <w:top w:val="nil"/>
            </w:tcBorders>
          </w:tcPr>
          <w:p>
            <w:pPr>
              <w:rPr>
                <w:sz w:val="2"/>
                <w:szCs w:val="2"/>
              </w:rPr>
            </w:pPr>
          </w:p>
        </w:tc>
        <w:tc>
          <w:tcPr>
            <w:tcW w:w="1245" w:type="dxa"/>
            <w:vMerge/>
            <w:tcBorders>
              <w:top w:val="nil"/>
            </w:tcBorders>
          </w:tcPr>
          <w:p>
            <w:pPr>
              <w:rPr>
                <w:sz w:val="2"/>
                <w:szCs w:val="2"/>
              </w:rPr>
            </w:pPr>
          </w:p>
        </w:tc>
      </w:tr>
    </w:tbl>
    <w:p>
      <w:pPr>
        <w:pStyle w:val="BodyText"/>
        <w:spacing w:before="5"/>
        <w:ind w:left="0"/>
        <w:rPr>
          <w:sz w:val="15"/>
        </w:rPr>
      </w:pPr>
    </w:p>
    <w:p>
      <w:pPr>
        <w:pStyle w:val="BodyText"/>
        <w:spacing w:before="90"/>
        <w:ind w:left="2236" w:right="2246"/>
        <w:jc w:val="center"/>
      </w:pPr>
      <w:r>
        <w:rPr/>
        <w:t>Avaliação dos Escores do HAQ:</w:t>
      </w:r>
    </w:p>
    <w:p>
      <w:pPr>
        <w:pStyle w:val="BodyText"/>
        <w:ind w:left="2333"/>
      </w:pPr>
      <w:r>
        <w:rPr/>
        <w:t>(média aritmética dos maiores escores de cada componente)</w:t>
      </w:r>
    </w:p>
    <w:p>
      <w:pPr>
        <w:pStyle w:val="BodyText"/>
        <w:spacing w:before="8"/>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0"/>
        <w:gridCol w:w="3232"/>
        <w:gridCol w:w="2029"/>
      </w:tblGrid>
      <w:tr>
        <w:trPr>
          <w:trHeight w:val="277" w:hRule="atLeast"/>
        </w:trPr>
        <w:tc>
          <w:tcPr>
            <w:tcW w:w="4950" w:type="dxa"/>
          </w:tcPr>
          <w:p>
            <w:pPr>
              <w:pStyle w:val="TableParagraph"/>
              <w:spacing w:line="258" w:lineRule="exact"/>
              <w:ind w:left="759" w:right="751"/>
              <w:jc w:val="center"/>
              <w:rPr>
                <w:sz w:val="24"/>
              </w:rPr>
            </w:pPr>
            <w:r>
              <w:rPr>
                <w:sz w:val="24"/>
              </w:rPr>
              <w:t>Componentes</w:t>
            </w:r>
          </w:p>
        </w:tc>
        <w:tc>
          <w:tcPr>
            <w:tcW w:w="3232" w:type="dxa"/>
          </w:tcPr>
          <w:p>
            <w:pPr>
              <w:pStyle w:val="TableParagraph"/>
              <w:spacing w:line="258" w:lineRule="exact"/>
              <w:ind w:left="525" w:right="520"/>
              <w:jc w:val="center"/>
              <w:rPr>
                <w:sz w:val="24"/>
              </w:rPr>
            </w:pPr>
            <w:r>
              <w:rPr>
                <w:sz w:val="24"/>
              </w:rPr>
              <w:t>Perguntas</w:t>
            </w:r>
          </w:p>
        </w:tc>
        <w:tc>
          <w:tcPr>
            <w:tcW w:w="2029" w:type="dxa"/>
          </w:tcPr>
          <w:p>
            <w:pPr>
              <w:pStyle w:val="TableParagraph"/>
              <w:spacing w:line="258" w:lineRule="exact"/>
              <w:ind w:left="382"/>
              <w:rPr>
                <w:sz w:val="24"/>
              </w:rPr>
            </w:pPr>
            <w:r>
              <w:rPr>
                <w:sz w:val="24"/>
              </w:rPr>
              <w:t>Maior escore</w:t>
            </w:r>
          </w:p>
        </w:tc>
      </w:tr>
      <w:tr>
        <w:trPr>
          <w:trHeight w:val="275" w:hRule="atLeast"/>
        </w:trPr>
        <w:tc>
          <w:tcPr>
            <w:tcW w:w="4950" w:type="dxa"/>
          </w:tcPr>
          <w:p>
            <w:pPr>
              <w:pStyle w:val="TableParagraph"/>
              <w:spacing w:line="256" w:lineRule="exact"/>
              <w:ind w:left="759" w:right="752"/>
              <w:jc w:val="center"/>
              <w:rPr>
                <w:sz w:val="24"/>
              </w:rPr>
            </w:pPr>
            <w:r>
              <w:rPr>
                <w:sz w:val="24"/>
              </w:rPr>
              <w:t>Componente 1 (vestir-se).</w:t>
            </w:r>
          </w:p>
        </w:tc>
        <w:tc>
          <w:tcPr>
            <w:tcW w:w="3232" w:type="dxa"/>
          </w:tcPr>
          <w:p>
            <w:pPr>
              <w:pStyle w:val="TableParagraph"/>
              <w:spacing w:line="256" w:lineRule="exact"/>
              <w:ind w:left="528" w:right="520"/>
              <w:jc w:val="center"/>
              <w:rPr>
                <w:sz w:val="24"/>
              </w:rPr>
            </w:pPr>
            <w:r>
              <w:rPr>
                <w:sz w:val="24"/>
              </w:rPr>
              <w:t>Perguntas 1 e 2.</w:t>
            </w:r>
          </w:p>
        </w:tc>
        <w:tc>
          <w:tcPr>
            <w:tcW w:w="2029" w:type="dxa"/>
          </w:tcPr>
          <w:p>
            <w:pPr>
              <w:pStyle w:val="TableParagraph"/>
              <w:rPr>
                <w:sz w:val="20"/>
              </w:rPr>
            </w:pPr>
          </w:p>
        </w:tc>
      </w:tr>
      <w:tr>
        <w:trPr>
          <w:trHeight w:val="275" w:hRule="atLeast"/>
        </w:trPr>
        <w:tc>
          <w:tcPr>
            <w:tcW w:w="4950" w:type="dxa"/>
          </w:tcPr>
          <w:p>
            <w:pPr>
              <w:pStyle w:val="TableParagraph"/>
              <w:spacing w:line="256" w:lineRule="exact"/>
              <w:ind w:left="759" w:right="752"/>
              <w:jc w:val="center"/>
              <w:rPr>
                <w:sz w:val="24"/>
              </w:rPr>
            </w:pPr>
            <w:r>
              <w:rPr>
                <w:sz w:val="24"/>
              </w:rPr>
              <w:t>Componente 2 (levantar-se).</w:t>
            </w:r>
          </w:p>
        </w:tc>
        <w:tc>
          <w:tcPr>
            <w:tcW w:w="3232" w:type="dxa"/>
          </w:tcPr>
          <w:p>
            <w:pPr>
              <w:pStyle w:val="TableParagraph"/>
              <w:spacing w:line="256" w:lineRule="exact"/>
              <w:ind w:left="528" w:right="520"/>
              <w:jc w:val="center"/>
              <w:rPr>
                <w:sz w:val="24"/>
              </w:rPr>
            </w:pPr>
            <w:r>
              <w:rPr>
                <w:sz w:val="24"/>
              </w:rPr>
              <w:t>Perguntas 3 e 4.</w:t>
            </w:r>
          </w:p>
        </w:tc>
        <w:tc>
          <w:tcPr>
            <w:tcW w:w="2029" w:type="dxa"/>
          </w:tcPr>
          <w:p>
            <w:pPr>
              <w:pStyle w:val="TableParagraph"/>
              <w:rPr>
                <w:sz w:val="20"/>
              </w:rPr>
            </w:pPr>
          </w:p>
        </w:tc>
      </w:tr>
      <w:tr>
        <w:trPr>
          <w:trHeight w:val="275" w:hRule="atLeast"/>
        </w:trPr>
        <w:tc>
          <w:tcPr>
            <w:tcW w:w="4950" w:type="dxa"/>
          </w:tcPr>
          <w:p>
            <w:pPr>
              <w:pStyle w:val="TableParagraph"/>
              <w:spacing w:line="256" w:lineRule="exact"/>
              <w:ind w:left="759" w:right="754"/>
              <w:jc w:val="center"/>
              <w:rPr>
                <w:sz w:val="24"/>
              </w:rPr>
            </w:pPr>
            <w:r>
              <w:rPr>
                <w:sz w:val="24"/>
              </w:rPr>
              <w:t>Componente 3 (alimentar-se).</w:t>
            </w:r>
          </w:p>
        </w:tc>
        <w:tc>
          <w:tcPr>
            <w:tcW w:w="3232" w:type="dxa"/>
          </w:tcPr>
          <w:p>
            <w:pPr>
              <w:pStyle w:val="TableParagraph"/>
              <w:spacing w:line="256" w:lineRule="exact"/>
              <w:ind w:left="528" w:right="520"/>
              <w:jc w:val="center"/>
              <w:rPr>
                <w:sz w:val="24"/>
              </w:rPr>
            </w:pPr>
            <w:r>
              <w:rPr>
                <w:sz w:val="24"/>
              </w:rPr>
              <w:t>Perguntas 5, 6 e 7.</w:t>
            </w:r>
          </w:p>
        </w:tc>
        <w:tc>
          <w:tcPr>
            <w:tcW w:w="2029" w:type="dxa"/>
          </w:tcPr>
          <w:p>
            <w:pPr>
              <w:pStyle w:val="TableParagraph"/>
              <w:rPr>
                <w:sz w:val="20"/>
              </w:rPr>
            </w:pPr>
          </w:p>
        </w:tc>
      </w:tr>
      <w:tr>
        <w:trPr>
          <w:trHeight w:val="275" w:hRule="atLeast"/>
        </w:trPr>
        <w:tc>
          <w:tcPr>
            <w:tcW w:w="4950" w:type="dxa"/>
          </w:tcPr>
          <w:p>
            <w:pPr>
              <w:pStyle w:val="TableParagraph"/>
              <w:spacing w:line="256" w:lineRule="exact"/>
              <w:ind w:left="759" w:right="750"/>
              <w:jc w:val="center"/>
              <w:rPr>
                <w:sz w:val="24"/>
              </w:rPr>
            </w:pPr>
            <w:r>
              <w:rPr>
                <w:sz w:val="24"/>
              </w:rPr>
              <w:t>Componente 4 (caminhar).</w:t>
            </w:r>
          </w:p>
        </w:tc>
        <w:tc>
          <w:tcPr>
            <w:tcW w:w="3232" w:type="dxa"/>
          </w:tcPr>
          <w:p>
            <w:pPr>
              <w:pStyle w:val="TableParagraph"/>
              <w:spacing w:line="256" w:lineRule="exact"/>
              <w:ind w:left="528" w:right="520"/>
              <w:jc w:val="center"/>
              <w:rPr>
                <w:sz w:val="24"/>
              </w:rPr>
            </w:pPr>
            <w:r>
              <w:rPr>
                <w:sz w:val="24"/>
              </w:rPr>
              <w:t>Perguntas 8 e 9.</w:t>
            </w:r>
          </w:p>
        </w:tc>
        <w:tc>
          <w:tcPr>
            <w:tcW w:w="2029" w:type="dxa"/>
          </w:tcPr>
          <w:p>
            <w:pPr>
              <w:pStyle w:val="TableParagraph"/>
              <w:rPr>
                <w:sz w:val="20"/>
              </w:rPr>
            </w:pPr>
          </w:p>
        </w:tc>
      </w:tr>
      <w:tr>
        <w:trPr>
          <w:trHeight w:val="275" w:hRule="atLeast"/>
        </w:trPr>
        <w:tc>
          <w:tcPr>
            <w:tcW w:w="4950" w:type="dxa"/>
          </w:tcPr>
          <w:p>
            <w:pPr>
              <w:pStyle w:val="TableParagraph"/>
              <w:spacing w:line="256" w:lineRule="exact"/>
              <w:ind w:left="759" w:right="754"/>
              <w:jc w:val="center"/>
              <w:rPr>
                <w:sz w:val="24"/>
              </w:rPr>
            </w:pPr>
            <w:r>
              <w:rPr>
                <w:sz w:val="24"/>
              </w:rPr>
              <w:t>Componente 5 (higiene pessoal).</w:t>
            </w:r>
          </w:p>
        </w:tc>
        <w:tc>
          <w:tcPr>
            <w:tcW w:w="3232" w:type="dxa"/>
          </w:tcPr>
          <w:p>
            <w:pPr>
              <w:pStyle w:val="TableParagraph"/>
              <w:spacing w:line="256" w:lineRule="exact"/>
              <w:ind w:left="528" w:right="520"/>
              <w:jc w:val="center"/>
              <w:rPr>
                <w:sz w:val="24"/>
              </w:rPr>
            </w:pPr>
            <w:r>
              <w:rPr>
                <w:sz w:val="24"/>
              </w:rPr>
              <w:t>Perguntas 10, 11 e 12.</w:t>
            </w:r>
          </w:p>
        </w:tc>
        <w:tc>
          <w:tcPr>
            <w:tcW w:w="2029" w:type="dxa"/>
          </w:tcPr>
          <w:p>
            <w:pPr>
              <w:pStyle w:val="TableParagraph"/>
              <w:rPr>
                <w:sz w:val="20"/>
              </w:rPr>
            </w:pPr>
          </w:p>
        </w:tc>
      </w:tr>
      <w:tr>
        <w:trPr>
          <w:trHeight w:val="277" w:hRule="atLeast"/>
        </w:trPr>
        <w:tc>
          <w:tcPr>
            <w:tcW w:w="4950" w:type="dxa"/>
          </w:tcPr>
          <w:p>
            <w:pPr>
              <w:pStyle w:val="TableParagraph"/>
              <w:spacing w:line="258" w:lineRule="exact"/>
              <w:ind w:left="759" w:right="752"/>
              <w:jc w:val="center"/>
              <w:rPr>
                <w:sz w:val="24"/>
              </w:rPr>
            </w:pPr>
            <w:r>
              <w:rPr>
                <w:sz w:val="24"/>
              </w:rPr>
              <w:t>Componente 6 (alcançar objetos).</w:t>
            </w:r>
          </w:p>
        </w:tc>
        <w:tc>
          <w:tcPr>
            <w:tcW w:w="3232" w:type="dxa"/>
          </w:tcPr>
          <w:p>
            <w:pPr>
              <w:pStyle w:val="TableParagraph"/>
              <w:spacing w:line="258" w:lineRule="exact"/>
              <w:ind w:left="528" w:right="520"/>
              <w:jc w:val="center"/>
              <w:rPr>
                <w:sz w:val="24"/>
              </w:rPr>
            </w:pPr>
            <w:r>
              <w:rPr>
                <w:sz w:val="24"/>
              </w:rPr>
              <w:t>Perguntas 13 e 14.</w:t>
            </w:r>
          </w:p>
        </w:tc>
        <w:tc>
          <w:tcPr>
            <w:tcW w:w="2029" w:type="dxa"/>
          </w:tcPr>
          <w:p>
            <w:pPr>
              <w:pStyle w:val="TableParagraph"/>
              <w:rPr>
                <w:sz w:val="20"/>
              </w:rPr>
            </w:pPr>
          </w:p>
        </w:tc>
      </w:tr>
      <w:tr>
        <w:trPr>
          <w:trHeight w:val="275" w:hRule="atLeast"/>
        </w:trPr>
        <w:tc>
          <w:tcPr>
            <w:tcW w:w="4950" w:type="dxa"/>
          </w:tcPr>
          <w:p>
            <w:pPr>
              <w:pStyle w:val="TableParagraph"/>
              <w:spacing w:line="256" w:lineRule="exact"/>
              <w:ind w:left="759" w:right="754"/>
              <w:jc w:val="center"/>
              <w:rPr>
                <w:sz w:val="24"/>
              </w:rPr>
            </w:pPr>
            <w:r>
              <w:rPr>
                <w:sz w:val="24"/>
              </w:rPr>
              <w:t>Componente 7 (apreender objetos).</w:t>
            </w:r>
          </w:p>
        </w:tc>
        <w:tc>
          <w:tcPr>
            <w:tcW w:w="3232" w:type="dxa"/>
          </w:tcPr>
          <w:p>
            <w:pPr>
              <w:pStyle w:val="TableParagraph"/>
              <w:spacing w:line="256" w:lineRule="exact"/>
              <w:ind w:left="528" w:right="520"/>
              <w:jc w:val="center"/>
              <w:rPr>
                <w:sz w:val="24"/>
              </w:rPr>
            </w:pPr>
            <w:r>
              <w:rPr>
                <w:sz w:val="24"/>
              </w:rPr>
              <w:t>Perguntas 15, 16 e 17.</w:t>
            </w:r>
          </w:p>
        </w:tc>
        <w:tc>
          <w:tcPr>
            <w:tcW w:w="2029" w:type="dxa"/>
          </w:tcPr>
          <w:p>
            <w:pPr>
              <w:pStyle w:val="TableParagraph"/>
              <w:rPr>
                <w:sz w:val="20"/>
              </w:rPr>
            </w:pPr>
          </w:p>
        </w:tc>
      </w:tr>
      <w:tr>
        <w:trPr>
          <w:trHeight w:val="275" w:hRule="atLeast"/>
        </w:trPr>
        <w:tc>
          <w:tcPr>
            <w:tcW w:w="4950" w:type="dxa"/>
          </w:tcPr>
          <w:p>
            <w:pPr>
              <w:pStyle w:val="TableParagraph"/>
              <w:spacing w:line="256" w:lineRule="exact"/>
              <w:ind w:left="759" w:right="752"/>
              <w:jc w:val="center"/>
              <w:rPr>
                <w:sz w:val="24"/>
              </w:rPr>
            </w:pPr>
            <w:r>
              <w:rPr>
                <w:sz w:val="24"/>
              </w:rPr>
              <w:t>Componente 8 (outras atividades).</w:t>
            </w:r>
          </w:p>
        </w:tc>
        <w:tc>
          <w:tcPr>
            <w:tcW w:w="3232" w:type="dxa"/>
          </w:tcPr>
          <w:p>
            <w:pPr>
              <w:pStyle w:val="TableParagraph"/>
              <w:spacing w:line="256" w:lineRule="exact"/>
              <w:ind w:left="528" w:right="520"/>
              <w:jc w:val="center"/>
              <w:rPr>
                <w:sz w:val="24"/>
              </w:rPr>
            </w:pPr>
            <w:r>
              <w:rPr>
                <w:sz w:val="24"/>
              </w:rPr>
              <w:t>Perguntas 18, 19 e 20.</w:t>
            </w:r>
          </w:p>
        </w:tc>
        <w:tc>
          <w:tcPr>
            <w:tcW w:w="2029" w:type="dxa"/>
          </w:tcPr>
          <w:p>
            <w:pPr>
              <w:pStyle w:val="TableParagraph"/>
              <w:rPr>
                <w:sz w:val="20"/>
              </w:rPr>
            </w:pPr>
          </w:p>
        </w:tc>
      </w:tr>
    </w:tbl>
    <w:p>
      <w:pPr>
        <w:pStyle w:val="BodyText"/>
        <w:spacing w:before="3"/>
        <w:ind w:left="0"/>
        <w:rPr>
          <w:sz w:val="23"/>
        </w:rPr>
      </w:pPr>
    </w:p>
    <w:p>
      <w:pPr>
        <w:pStyle w:val="BodyText"/>
        <w:ind w:right="124" w:firstLine="1418"/>
        <w:jc w:val="both"/>
      </w:pPr>
      <w:r>
        <w:rPr/>
        <w:t>A fórmula do HAQ é calculada a partir dos maiores escores de cada componente: somatório dos maiores escores de cada componente (o maior escore do componente 1 mais o maior  escore do componente 2 mais o maior escore do componente 3 mais o maior escore do componente 4 mais o maior escore do componente 5 mais o maior escore do componente 6 mais o maior escore do componente 7 mais o maior escore do componente 8) dividido por</w:t>
      </w:r>
      <w:r>
        <w:rPr>
          <w:spacing w:val="-3"/>
        </w:rPr>
        <w:t> </w:t>
      </w:r>
      <w:r>
        <w:rPr/>
        <w:t>8.</w:t>
      </w:r>
    </w:p>
    <w:p>
      <w:pPr>
        <w:pStyle w:val="BodyText"/>
        <w:ind w:left="0"/>
      </w:pPr>
    </w:p>
    <w:p>
      <w:pPr>
        <w:pStyle w:val="BodyText"/>
        <w:ind w:left="2236" w:right="2248"/>
        <w:jc w:val="center"/>
      </w:pPr>
      <w:r>
        <w:rPr/>
        <w:t>Childhood Assessment Questionnaire - CHAQ (0 a 3)</w:t>
      </w:r>
    </w:p>
    <w:p>
      <w:pPr>
        <w:pStyle w:val="BodyText"/>
        <w:spacing w:before="8"/>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
        <w:gridCol w:w="2770"/>
        <w:gridCol w:w="1382"/>
        <w:gridCol w:w="1913"/>
        <w:gridCol w:w="1961"/>
        <w:gridCol w:w="1548"/>
      </w:tblGrid>
      <w:tr>
        <w:trPr>
          <w:trHeight w:val="827" w:hRule="atLeast"/>
        </w:trPr>
        <w:tc>
          <w:tcPr>
            <w:tcW w:w="634" w:type="dxa"/>
          </w:tcPr>
          <w:p>
            <w:pPr>
              <w:pStyle w:val="TableParagraph"/>
              <w:spacing w:before="4"/>
              <w:rPr>
                <w:sz w:val="35"/>
              </w:rPr>
            </w:pPr>
          </w:p>
          <w:p>
            <w:pPr>
              <w:pStyle w:val="TableParagraph"/>
              <w:ind w:left="10"/>
              <w:jc w:val="center"/>
              <w:rPr>
                <w:sz w:val="24"/>
              </w:rPr>
            </w:pPr>
            <w:r>
              <w:rPr>
                <w:w w:val="99"/>
                <w:sz w:val="24"/>
              </w:rPr>
              <w:t>N</w:t>
            </w:r>
          </w:p>
        </w:tc>
        <w:tc>
          <w:tcPr>
            <w:tcW w:w="2770" w:type="dxa"/>
          </w:tcPr>
          <w:p>
            <w:pPr>
              <w:pStyle w:val="TableParagraph"/>
              <w:spacing w:before="3"/>
              <w:rPr>
                <w:sz w:val="23"/>
              </w:rPr>
            </w:pPr>
          </w:p>
          <w:p>
            <w:pPr>
              <w:pStyle w:val="TableParagraph"/>
              <w:ind w:left="914"/>
              <w:rPr>
                <w:sz w:val="24"/>
              </w:rPr>
            </w:pPr>
            <w:r>
              <w:rPr>
                <w:sz w:val="24"/>
              </w:rPr>
              <w:t>Atividade</w:t>
            </w:r>
          </w:p>
        </w:tc>
        <w:tc>
          <w:tcPr>
            <w:tcW w:w="1382" w:type="dxa"/>
          </w:tcPr>
          <w:p>
            <w:pPr>
              <w:pStyle w:val="TableParagraph"/>
              <w:spacing w:before="131"/>
              <w:ind w:left="151" w:right="121" w:firstLine="326"/>
              <w:rPr>
                <w:sz w:val="24"/>
              </w:rPr>
            </w:pPr>
            <w:r>
              <w:rPr>
                <w:sz w:val="24"/>
              </w:rPr>
              <w:t>Sem dificuldade</w:t>
            </w:r>
          </w:p>
        </w:tc>
        <w:tc>
          <w:tcPr>
            <w:tcW w:w="1913" w:type="dxa"/>
          </w:tcPr>
          <w:p>
            <w:pPr>
              <w:pStyle w:val="TableParagraph"/>
              <w:ind w:left="605" w:right="592" w:hanging="1"/>
              <w:jc w:val="center"/>
              <w:rPr>
                <w:sz w:val="24"/>
              </w:rPr>
            </w:pPr>
            <w:r>
              <w:rPr>
                <w:sz w:val="24"/>
              </w:rPr>
              <w:t>Com </w:t>
            </w:r>
            <w:r>
              <w:rPr>
                <w:spacing w:val="-1"/>
                <w:sz w:val="24"/>
              </w:rPr>
              <w:t>alguma</w:t>
            </w:r>
          </w:p>
          <w:p>
            <w:pPr>
              <w:pStyle w:val="TableParagraph"/>
              <w:spacing w:line="264" w:lineRule="exact"/>
              <w:ind w:left="395" w:right="388"/>
              <w:jc w:val="center"/>
              <w:rPr>
                <w:sz w:val="24"/>
              </w:rPr>
            </w:pPr>
            <w:r>
              <w:rPr>
                <w:sz w:val="24"/>
              </w:rPr>
              <w:t>dificuldade</w:t>
            </w:r>
          </w:p>
        </w:tc>
        <w:tc>
          <w:tcPr>
            <w:tcW w:w="1961" w:type="dxa"/>
          </w:tcPr>
          <w:p>
            <w:pPr>
              <w:pStyle w:val="TableParagraph"/>
              <w:ind w:left="706" w:right="695" w:firstLine="1"/>
              <w:jc w:val="center"/>
              <w:rPr>
                <w:sz w:val="24"/>
              </w:rPr>
            </w:pPr>
            <w:r>
              <w:rPr>
                <w:sz w:val="24"/>
              </w:rPr>
              <w:t>Com muita</w:t>
            </w:r>
          </w:p>
          <w:p>
            <w:pPr>
              <w:pStyle w:val="TableParagraph"/>
              <w:spacing w:line="264" w:lineRule="exact"/>
              <w:ind w:left="419" w:right="412"/>
              <w:jc w:val="center"/>
              <w:rPr>
                <w:sz w:val="24"/>
              </w:rPr>
            </w:pPr>
            <w:r>
              <w:rPr>
                <w:sz w:val="24"/>
              </w:rPr>
              <w:t>dificuldade</w:t>
            </w:r>
          </w:p>
        </w:tc>
        <w:tc>
          <w:tcPr>
            <w:tcW w:w="1548" w:type="dxa"/>
          </w:tcPr>
          <w:p>
            <w:pPr>
              <w:pStyle w:val="TableParagraph"/>
              <w:spacing w:before="131"/>
              <w:ind w:left="533" w:right="226" w:hanging="274"/>
              <w:rPr>
                <w:sz w:val="24"/>
              </w:rPr>
            </w:pPr>
            <w:r>
              <w:rPr>
                <w:sz w:val="24"/>
              </w:rPr>
              <w:t>Incapaz de fazer</w:t>
            </w:r>
          </w:p>
        </w:tc>
      </w:tr>
      <w:tr>
        <w:trPr>
          <w:trHeight w:val="272" w:hRule="atLeast"/>
        </w:trPr>
        <w:tc>
          <w:tcPr>
            <w:tcW w:w="634" w:type="dxa"/>
            <w:vMerge w:val="restart"/>
          </w:tcPr>
          <w:p>
            <w:pPr>
              <w:pStyle w:val="TableParagraph"/>
              <w:spacing w:line="268" w:lineRule="exact"/>
              <w:ind w:left="197"/>
              <w:rPr>
                <w:sz w:val="24"/>
              </w:rPr>
            </w:pPr>
            <w:r>
              <w:rPr>
                <w:sz w:val="24"/>
              </w:rPr>
              <w:t>01</w:t>
            </w:r>
          </w:p>
        </w:tc>
        <w:tc>
          <w:tcPr>
            <w:tcW w:w="2770" w:type="dxa"/>
            <w:tcBorders>
              <w:bottom w:val="nil"/>
            </w:tcBorders>
          </w:tcPr>
          <w:p>
            <w:pPr>
              <w:pStyle w:val="TableParagraph"/>
              <w:spacing w:line="253" w:lineRule="exact"/>
              <w:ind w:left="460"/>
              <w:rPr>
                <w:sz w:val="24"/>
              </w:rPr>
            </w:pPr>
            <w:r>
              <w:rPr>
                <w:sz w:val="24"/>
              </w:rPr>
              <w:t>Vestir-se, inclusive</w:t>
            </w:r>
          </w:p>
        </w:tc>
        <w:tc>
          <w:tcPr>
            <w:tcW w:w="1382"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7" w:hRule="atLeast"/>
        </w:trPr>
        <w:tc>
          <w:tcPr>
            <w:tcW w:w="634" w:type="dxa"/>
            <w:vMerge/>
            <w:tcBorders>
              <w:top w:val="nil"/>
            </w:tcBorders>
          </w:tcPr>
          <w:p>
            <w:pPr>
              <w:rPr>
                <w:sz w:val="2"/>
                <w:szCs w:val="2"/>
              </w:rPr>
            </w:pPr>
          </w:p>
        </w:tc>
        <w:tc>
          <w:tcPr>
            <w:tcW w:w="2770" w:type="dxa"/>
            <w:tcBorders>
              <w:top w:val="nil"/>
              <w:bottom w:val="nil"/>
            </w:tcBorders>
          </w:tcPr>
          <w:p>
            <w:pPr>
              <w:pStyle w:val="TableParagraph"/>
              <w:spacing w:line="257" w:lineRule="exact"/>
              <w:ind w:right="265"/>
              <w:jc w:val="right"/>
              <w:rPr>
                <w:sz w:val="24"/>
              </w:rPr>
            </w:pPr>
            <w:r>
              <w:rPr>
                <w:sz w:val="24"/>
              </w:rPr>
              <w:t>amarrar os cordões dos</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555" w:hRule="atLeast"/>
        </w:trPr>
        <w:tc>
          <w:tcPr>
            <w:tcW w:w="634" w:type="dxa"/>
            <w:vMerge/>
            <w:tcBorders>
              <w:top w:val="nil"/>
            </w:tcBorders>
          </w:tcPr>
          <w:p>
            <w:pPr>
              <w:rPr>
                <w:sz w:val="2"/>
                <w:szCs w:val="2"/>
              </w:rPr>
            </w:pPr>
          </w:p>
        </w:tc>
        <w:tc>
          <w:tcPr>
            <w:tcW w:w="2770" w:type="dxa"/>
            <w:tcBorders>
              <w:top w:val="nil"/>
            </w:tcBorders>
          </w:tcPr>
          <w:p>
            <w:pPr>
              <w:pStyle w:val="TableParagraph"/>
              <w:spacing w:line="272" w:lineRule="exact"/>
              <w:ind w:left="225" w:right="214"/>
              <w:jc w:val="center"/>
              <w:rPr>
                <w:sz w:val="24"/>
              </w:rPr>
            </w:pPr>
            <w:r>
              <w:rPr>
                <w:sz w:val="24"/>
              </w:rPr>
              <w:t>seus sapatos, abotoar as</w:t>
            </w:r>
          </w:p>
          <w:p>
            <w:pPr>
              <w:pStyle w:val="TableParagraph"/>
              <w:spacing w:line="264" w:lineRule="exact"/>
              <w:ind w:left="225" w:right="213"/>
              <w:jc w:val="center"/>
              <w:rPr>
                <w:sz w:val="24"/>
              </w:rPr>
            </w:pPr>
            <w:r>
              <w:rPr>
                <w:sz w:val="24"/>
              </w:rPr>
              <w:t>suas roupas?</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2" w:hRule="atLeast"/>
        </w:trPr>
        <w:tc>
          <w:tcPr>
            <w:tcW w:w="634" w:type="dxa"/>
            <w:vMerge w:val="restart"/>
          </w:tcPr>
          <w:p>
            <w:pPr>
              <w:pStyle w:val="TableParagraph"/>
              <w:spacing w:line="268" w:lineRule="exact"/>
              <w:ind w:left="197"/>
              <w:rPr>
                <w:sz w:val="24"/>
              </w:rPr>
            </w:pPr>
            <w:r>
              <w:rPr>
                <w:sz w:val="24"/>
              </w:rPr>
              <w:t>02</w:t>
            </w:r>
          </w:p>
        </w:tc>
        <w:tc>
          <w:tcPr>
            <w:tcW w:w="2770" w:type="dxa"/>
            <w:tcBorders>
              <w:bottom w:val="nil"/>
            </w:tcBorders>
          </w:tcPr>
          <w:p>
            <w:pPr>
              <w:pStyle w:val="TableParagraph"/>
              <w:spacing w:line="253" w:lineRule="exact"/>
              <w:ind w:right="246"/>
              <w:jc w:val="right"/>
              <w:rPr>
                <w:sz w:val="24"/>
              </w:rPr>
            </w:pPr>
            <w:r>
              <w:rPr>
                <w:sz w:val="24"/>
              </w:rPr>
              <w:t>Lavar a sua cabeça e os</w:t>
            </w:r>
          </w:p>
        </w:tc>
        <w:tc>
          <w:tcPr>
            <w:tcW w:w="1382"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4" w:type="dxa"/>
            <w:vMerge/>
            <w:tcBorders>
              <w:top w:val="nil"/>
            </w:tcBorders>
          </w:tcPr>
          <w:p>
            <w:pPr>
              <w:rPr>
                <w:sz w:val="2"/>
                <w:szCs w:val="2"/>
              </w:rPr>
            </w:pPr>
          </w:p>
        </w:tc>
        <w:tc>
          <w:tcPr>
            <w:tcW w:w="2770" w:type="dxa"/>
            <w:tcBorders>
              <w:top w:val="nil"/>
            </w:tcBorders>
          </w:tcPr>
          <w:p>
            <w:pPr>
              <w:pStyle w:val="TableParagraph"/>
              <w:spacing w:line="259" w:lineRule="exact"/>
              <w:ind w:left="736"/>
              <w:rPr>
                <w:sz w:val="24"/>
              </w:rPr>
            </w:pPr>
            <w:r>
              <w:rPr>
                <w:sz w:val="24"/>
              </w:rPr>
              <w:t>seus cabelos?</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5" w:hRule="atLeast"/>
        </w:trPr>
        <w:tc>
          <w:tcPr>
            <w:tcW w:w="634" w:type="dxa"/>
          </w:tcPr>
          <w:p>
            <w:pPr>
              <w:pStyle w:val="TableParagraph"/>
              <w:spacing w:line="256" w:lineRule="exact"/>
              <w:ind w:left="177" w:right="167"/>
              <w:jc w:val="center"/>
              <w:rPr>
                <w:sz w:val="24"/>
              </w:rPr>
            </w:pPr>
            <w:r>
              <w:rPr>
                <w:sz w:val="24"/>
              </w:rPr>
              <w:t>03</w:t>
            </w:r>
          </w:p>
        </w:tc>
        <w:tc>
          <w:tcPr>
            <w:tcW w:w="2770" w:type="dxa"/>
          </w:tcPr>
          <w:p>
            <w:pPr>
              <w:pStyle w:val="TableParagraph"/>
              <w:spacing w:line="256" w:lineRule="exact"/>
              <w:ind w:left="558"/>
              <w:rPr>
                <w:sz w:val="24"/>
              </w:rPr>
            </w:pPr>
            <w:r>
              <w:rPr>
                <w:sz w:val="24"/>
              </w:rPr>
              <w:t>Retirar as meias?</w:t>
            </w:r>
          </w:p>
        </w:tc>
        <w:tc>
          <w:tcPr>
            <w:tcW w:w="1382"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275" w:hRule="atLeast"/>
        </w:trPr>
        <w:tc>
          <w:tcPr>
            <w:tcW w:w="634" w:type="dxa"/>
          </w:tcPr>
          <w:p>
            <w:pPr>
              <w:pStyle w:val="TableParagraph"/>
              <w:spacing w:line="256" w:lineRule="exact"/>
              <w:ind w:left="177" w:right="167"/>
              <w:jc w:val="center"/>
              <w:rPr>
                <w:sz w:val="24"/>
              </w:rPr>
            </w:pPr>
            <w:r>
              <w:rPr>
                <w:sz w:val="24"/>
              </w:rPr>
              <w:t>04</w:t>
            </w:r>
          </w:p>
        </w:tc>
        <w:tc>
          <w:tcPr>
            <w:tcW w:w="2770" w:type="dxa"/>
          </w:tcPr>
          <w:p>
            <w:pPr>
              <w:pStyle w:val="TableParagraph"/>
              <w:spacing w:line="256" w:lineRule="exact"/>
              <w:ind w:left="110"/>
              <w:rPr>
                <w:sz w:val="24"/>
              </w:rPr>
            </w:pPr>
            <w:r>
              <w:rPr>
                <w:sz w:val="24"/>
              </w:rPr>
              <w:t>Cortas as unhas?</w:t>
            </w:r>
          </w:p>
        </w:tc>
        <w:tc>
          <w:tcPr>
            <w:tcW w:w="1382"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551" w:hRule="atLeast"/>
        </w:trPr>
        <w:tc>
          <w:tcPr>
            <w:tcW w:w="634" w:type="dxa"/>
          </w:tcPr>
          <w:p>
            <w:pPr>
              <w:pStyle w:val="TableParagraph"/>
              <w:spacing w:line="268" w:lineRule="exact"/>
              <w:ind w:left="177" w:right="167"/>
              <w:jc w:val="center"/>
              <w:rPr>
                <w:sz w:val="24"/>
              </w:rPr>
            </w:pPr>
            <w:r>
              <w:rPr>
                <w:sz w:val="24"/>
              </w:rPr>
              <w:t>05</w:t>
            </w:r>
          </w:p>
        </w:tc>
        <w:tc>
          <w:tcPr>
            <w:tcW w:w="2770" w:type="dxa"/>
            <w:tcBorders>
              <w:bottom w:val="nil"/>
            </w:tcBorders>
          </w:tcPr>
          <w:p>
            <w:pPr>
              <w:pStyle w:val="TableParagraph"/>
              <w:spacing w:line="268" w:lineRule="exact"/>
              <w:ind w:left="110"/>
              <w:rPr>
                <w:sz w:val="24"/>
              </w:rPr>
            </w:pPr>
            <w:r>
              <w:rPr>
                <w:sz w:val="24"/>
              </w:rPr>
              <w:t>Levantar-se de uma</w:t>
            </w:r>
          </w:p>
          <w:p>
            <w:pPr>
              <w:pStyle w:val="TableParagraph"/>
              <w:spacing w:line="264" w:lineRule="exact"/>
              <w:ind w:left="110"/>
              <w:rPr>
                <w:sz w:val="24"/>
              </w:rPr>
            </w:pPr>
            <w:r>
              <w:rPr>
                <w:sz w:val="24"/>
              </w:rPr>
              <w:t>cadeira</w:t>
            </w:r>
          </w:p>
        </w:tc>
        <w:tc>
          <w:tcPr>
            <w:tcW w:w="1382" w:type="dxa"/>
            <w:tcBorders>
              <w:bottom w:val="nil"/>
            </w:tcBorders>
          </w:tcPr>
          <w:p>
            <w:pPr>
              <w:pStyle w:val="TableParagraph"/>
              <w:rPr>
                <w:sz w:val="24"/>
              </w:rPr>
            </w:pPr>
          </w:p>
        </w:tc>
        <w:tc>
          <w:tcPr>
            <w:tcW w:w="1913" w:type="dxa"/>
          </w:tcPr>
          <w:p>
            <w:pPr>
              <w:pStyle w:val="TableParagraph"/>
              <w:rPr>
                <w:sz w:val="24"/>
              </w:rPr>
            </w:pPr>
          </w:p>
        </w:tc>
        <w:tc>
          <w:tcPr>
            <w:tcW w:w="1961" w:type="dxa"/>
          </w:tcPr>
          <w:p>
            <w:pPr>
              <w:pStyle w:val="TableParagraph"/>
              <w:rPr>
                <w:sz w:val="24"/>
              </w:rPr>
            </w:pPr>
          </w:p>
        </w:tc>
        <w:tc>
          <w:tcPr>
            <w:tcW w:w="1548" w:type="dxa"/>
          </w:tcPr>
          <w:p>
            <w:pPr>
              <w:pStyle w:val="TableParagraph"/>
              <w:rPr>
                <w:sz w:val="24"/>
              </w:rPr>
            </w:pPr>
          </w:p>
        </w:tc>
      </w:tr>
    </w:tbl>
    <w:p>
      <w:pPr>
        <w:spacing w:after="0"/>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2775"/>
        <w:gridCol w:w="1380"/>
        <w:gridCol w:w="1913"/>
        <w:gridCol w:w="1961"/>
        <w:gridCol w:w="1548"/>
      </w:tblGrid>
      <w:tr>
        <w:trPr>
          <w:trHeight w:val="275" w:hRule="atLeast"/>
        </w:trPr>
        <w:tc>
          <w:tcPr>
            <w:tcW w:w="632" w:type="dxa"/>
          </w:tcPr>
          <w:p>
            <w:pPr>
              <w:pStyle w:val="TableParagraph"/>
              <w:rPr>
                <w:sz w:val="20"/>
              </w:rPr>
            </w:pPr>
          </w:p>
        </w:tc>
        <w:tc>
          <w:tcPr>
            <w:tcW w:w="2775" w:type="dxa"/>
            <w:tcBorders>
              <w:top w:val="nil"/>
            </w:tcBorders>
          </w:tcPr>
          <w:p>
            <w:pPr>
              <w:pStyle w:val="TableParagraph"/>
              <w:spacing w:line="256" w:lineRule="exact"/>
              <w:ind w:left="112"/>
              <w:rPr>
                <w:sz w:val="24"/>
              </w:rPr>
            </w:pPr>
            <w:r>
              <w:rPr>
                <w:sz w:val="24"/>
              </w:rPr>
              <w:t>baixa ou do chão?</w:t>
            </w:r>
          </w:p>
        </w:tc>
        <w:tc>
          <w:tcPr>
            <w:tcW w:w="1380" w:type="dxa"/>
            <w:tcBorders>
              <w:top w:val="nil"/>
            </w:tcBorders>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551" w:hRule="atLeast"/>
        </w:trPr>
        <w:tc>
          <w:tcPr>
            <w:tcW w:w="632" w:type="dxa"/>
            <w:vMerge w:val="restart"/>
          </w:tcPr>
          <w:p>
            <w:pPr>
              <w:pStyle w:val="TableParagraph"/>
              <w:spacing w:line="270" w:lineRule="exact"/>
              <w:ind w:left="197"/>
              <w:rPr>
                <w:sz w:val="24"/>
              </w:rPr>
            </w:pPr>
            <w:r>
              <w:rPr>
                <w:sz w:val="24"/>
              </w:rPr>
              <w:t>06</w:t>
            </w:r>
          </w:p>
        </w:tc>
        <w:tc>
          <w:tcPr>
            <w:tcW w:w="2775" w:type="dxa"/>
            <w:tcBorders>
              <w:bottom w:val="nil"/>
            </w:tcBorders>
          </w:tcPr>
          <w:p>
            <w:pPr>
              <w:pStyle w:val="TableParagraph"/>
              <w:spacing w:line="270" w:lineRule="exact"/>
              <w:ind w:left="112"/>
              <w:rPr>
                <w:sz w:val="24"/>
              </w:rPr>
            </w:pPr>
            <w:r>
              <w:rPr>
                <w:sz w:val="24"/>
              </w:rPr>
              <w:t>Entrar e sair da cama ou</w:t>
            </w:r>
          </w:p>
          <w:p>
            <w:pPr>
              <w:pStyle w:val="TableParagraph"/>
              <w:spacing w:line="261" w:lineRule="exact"/>
              <w:ind w:left="112"/>
              <w:rPr>
                <w:sz w:val="24"/>
              </w:rPr>
            </w:pPr>
            <w:r>
              <w:rPr>
                <w:sz w:val="24"/>
              </w:rPr>
              <w:t>ficar</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em pé em um berço?</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5" w:hRule="atLeast"/>
        </w:trPr>
        <w:tc>
          <w:tcPr>
            <w:tcW w:w="632" w:type="dxa"/>
          </w:tcPr>
          <w:p>
            <w:pPr>
              <w:pStyle w:val="TableParagraph"/>
              <w:spacing w:line="256" w:lineRule="exact"/>
              <w:ind w:left="117" w:right="105"/>
              <w:jc w:val="center"/>
              <w:rPr>
                <w:sz w:val="24"/>
              </w:rPr>
            </w:pPr>
            <w:r>
              <w:rPr>
                <w:sz w:val="24"/>
              </w:rPr>
              <w:t>07</w:t>
            </w:r>
          </w:p>
        </w:tc>
        <w:tc>
          <w:tcPr>
            <w:tcW w:w="2775" w:type="dxa"/>
          </w:tcPr>
          <w:p>
            <w:pPr>
              <w:pStyle w:val="TableParagraph"/>
              <w:spacing w:line="256" w:lineRule="exact"/>
              <w:ind w:left="112"/>
              <w:rPr>
                <w:sz w:val="24"/>
              </w:rPr>
            </w:pPr>
            <w:r>
              <w:rPr>
                <w:sz w:val="24"/>
              </w:rPr>
              <w:t>Cortar sua própria carne?</w:t>
            </w:r>
          </w:p>
        </w:tc>
        <w:tc>
          <w:tcPr>
            <w:tcW w:w="1380"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272" w:hRule="atLeast"/>
        </w:trPr>
        <w:tc>
          <w:tcPr>
            <w:tcW w:w="632" w:type="dxa"/>
            <w:vMerge w:val="restart"/>
          </w:tcPr>
          <w:p>
            <w:pPr>
              <w:pStyle w:val="TableParagraph"/>
              <w:spacing w:line="268" w:lineRule="exact"/>
              <w:ind w:left="197"/>
              <w:rPr>
                <w:sz w:val="24"/>
              </w:rPr>
            </w:pPr>
            <w:r>
              <w:rPr>
                <w:sz w:val="24"/>
              </w:rPr>
              <w:t>08</w:t>
            </w:r>
          </w:p>
        </w:tc>
        <w:tc>
          <w:tcPr>
            <w:tcW w:w="2775" w:type="dxa"/>
            <w:tcBorders>
              <w:bottom w:val="nil"/>
            </w:tcBorders>
          </w:tcPr>
          <w:p>
            <w:pPr>
              <w:pStyle w:val="TableParagraph"/>
              <w:spacing w:line="253" w:lineRule="exact"/>
              <w:ind w:left="112"/>
              <w:rPr>
                <w:sz w:val="24"/>
              </w:rPr>
            </w:pPr>
            <w:r>
              <w:rPr>
                <w:sz w:val="24"/>
              </w:rPr>
              <w:t>Levar uma xícara ou um</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copo até a boca?</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551" w:hRule="atLeast"/>
        </w:trPr>
        <w:tc>
          <w:tcPr>
            <w:tcW w:w="632" w:type="dxa"/>
          </w:tcPr>
          <w:p>
            <w:pPr>
              <w:pStyle w:val="TableParagraph"/>
              <w:spacing w:line="268" w:lineRule="exact"/>
              <w:ind w:left="117" w:right="105"/>
              <w:jc w:val="center"/>
              <w:rPr>
                <w:sz w:val="24"/>
              </w:rPr>
            </w:pPr>
            <w:r>
              <w:rPr>
                <w:sz w:val="24"/>
              </w:rPr>
              <w:t>09</w:t>
            </w:r>
          </w:p>
        </w:tc>
        <w:tc>
          <w:tcPr>
            <w:tcW w:w="2775" w:type="dxa"/>
          </w:tcPr>
          <w:p>
            <w:pPr>
              <w:pStyle w:val="TableParagraph"/>
              <w:spacing w:line="268" w:lineRule="exact"/>
              <w:ind w:left="112"/>
              <w:rPr>
                <w:sz w:val="24"/>
              </w:rPr>
            </w:pPr>
            <w:r>
              <w:rPr>
                <w:sz w:val="24"/>
              </w:rPr>
              <w:t>Abrir uma caixa nova de</w:t>
            </w:r>
          </w:p>
          <w:p>
            <w:pPr>
              <w:pStyle w:val="TableParagraph"/>
              <w:spacing w:line="264" w:lineRule="exact"/>
              <w:ind w:left="112"/>
              <w:rPr>
                <w:sz w:val="24"/>
              </w:rPr>
            </w:pPr>
            <w:r>
              <w:rPr>
                <w:sz w:val="24"/>
              </w:rPr>
              <w:t>cereais?</w:t>
            </w:r>
          </w:p>
        </w:tc>
        <w:tc>
          <w:tcPr>
            <w:tcW w:w="1380" w:type="dxa"/>
          </w:tcPr>
          <w:p>
            <w:pPr>
              <w:pStyle w:val="TableParagraph"/>
              <w:rPr>
                <w:sz w:val="24"/>
              </w:rPr>
            </w:pPr>
          </w:p>
        </w:tc>
        <w:tc>
          <w:tcPr>
            <w:tcW w:w="1913" w:type="dxa"/>
          </w:tcPr>
          <w:p>
            <w:pPr>
              <w:pStyle w:val="TableParagraph"/>
              <w:rPr>
                <w:sz w:val="24"/>
              </w:rPr>
            </w:pPr>
          </w:p>
        </w:tc>
        <w:tc>
          <w:tcPr>
            <w:tcW w:w="1961" w:type="dxa"/>
          </w:tcPr>
          <w:p>
            <w:pPr>
              <w:pStyle w:val="TableParagraph"/>
              <w:rPr>
                <w:sz w:val="24"/>
              </w:rPr>
            </w:pPr>
          </w:p>
        </w:tc>
        <w:tc>
          <w:tcPr>
            <w:tcW w:w="1548" w:type="dxa"/>
          </w:tcPr>
          <w:p>
            <w:pPr>
              <w:pStyle w:val="TableParagraph"/>
              <w:rPr>
                <w:sz w:val="24"/>
              </w:rPr>
            </w:pPr>
          </w:p>
        </w:tc>
      </w:tr>
      <w:tr>
        <w:trPr>
          <w:trHeight w:val="552" w:hRule="atLeast"/>
        </w:trPr>
        <w:tc>
          <w:tcPr>
            <w:tcW w:w="632" w:type="dxa"/>
          </w:tcPr>
          <w:p>
            <w:pPr>
              <w:pStyle w:val="TableParagraph"/>
              <w:spacing w:line="268" w:lineRule="exact"/>
              <w:ind w:left="117" w:right="105"/>
              <w:jc w:val="center"/>
              <w:rPr>
                <w:sz w:val="24"/>
              </w:rPr>
            </w:pPr>
            <w:r>
              <w:rPr>
                <w:sz w:val="24"/>
              </w:rPr>
              <w:t>110</w:t>
            </w:r>
          </w:p>
        </w:tc>
        <w:tc>
          <w:tcPr>
            <w:tcW w:w="2775" w:type="dxa"/>
          </w:tcPr>
          <w:p>
            <w:pPr>
              <w:pStyle w:val="TableParagraph"/>
              <w:spacing w:line="268" w:lineRule="exact"/>
              <w:ind w:left="112"/>
              <w:rPr>
                <w:sz w:val="24"/>
              </w:rPr>
            </w:pPr>
            <w:r>
              <w:rPr>
                <w:sz w:val="24"/>
              </w:rPr>
              <w:t>Caminhar em lugares</w:t>
            </w:r>
          </w:p>
          <w:p>
            <w:pPr>
              <w:pStyle w:val="TableParagraph"/>
              <w:spacing w:line="264" w:lineRule="exact"/>
              <w:ind w:left="112"/>
              <w:rPr>
                <w:sz w:val="24"/>
              </w:rPr>
            </w:pPr>
            <w:r>
              <w:rPr>
                <w:sz w:val="24"/>
              </w:rPr>
              <w:t>planos?</w:t>
            </w:r>
          </w:p>
        </w:tc>
        <w:tc>
          <w:tcPr>
            <w:tcW w:w="1380" w:type="dxa"/>
          </w:tcPr>
          <w:p>
            <w:pPr>
              <w:pStyle w:val="TableParagraph"/>
              <w:rPr>
                <w:sz w:val="24"/>
              </w:rPr>
            </w:pPr>
          </w:p>
        </w:tc>
        <w:tc>
          <w:tcPr>
            <w:tcW w:w="1913" w:type="dxa"/>
          </w:tcPr>
          <w:p>
            <w:pPr>
              <w:pStyle w:val="TableParagraph"/>
              <w:rPr>
                <w:sz w:val="24"/>
              </w:rPr>
            </w:pPr>
          </w:p>
        </w:tc>
        <w:tc>
          <w:tcPr>
            <w:tcW w:w="1961" w:type="dxa"/>
          </w:tcPr>
          <w:p>
            <w:pPr>
              <w:pStyle w:val="TableParagraph"/>
              <w:rPr>
                <w:sz w:val="24"/>
              </w:rPr>
            </w:pPr>
          </w:p>
        </w:tc>
        <w:tc>
          <w:tcPr>
            <w:tcW w:w="1548" w:type="dxa"/>
          </w:tcPr>
          <w:p>
            <w:pPr>
              <w:pStyle w:val="TableParagraph"/>
              <w:rPr>
                <w:sz w:val="24"/>
              </w:rPr>
            </w:pPr>
          </w:p>
        </w:tc>
      </w:tr>
      <w:tr>
        <w:trPr>
          <w:trHeight w:val="277" w:hRule="atLeast"/>
        </w:trPr>
        <w:tc>
          <w:tcPr>
            <w:tcW w:w="632" w:type="dxa"/>
          </w:tcPr>
          <w:p>
            <w:pPr>
              <w:pStyle w:val="TableParagraph"/>
              <w:spacing w:line="258" w:lineRule="exact"/>
              <w:ind w:left="117" w:right="105"/>
              <w:jc w:val="center"/>
              <w:rPr>
                <w:sz w:val="24"/>
              </w:rPr>
            </w:pPr>
            <w:r>
              <w:rPr>
                <w:sz w:val="24"/>
              </w:rPr>
              <w:t>111</w:t>
            </w:r>
          </w:p>
        </w:tc>
        <w:tc>
          <w:tcPr>
            <w:tcW w:w="2775" w:type="dxa"/>
          </w:tcPr>
          <w:p>
            <w:pPr>
              <w:pStyle w:val="TableParagraph"/>
              <w:spacing w:line="258" w:lineRule="exact"/>
              <w:ind w:left="112"/>
              <w:rPr>
                <w:sz w:val="24"/>
              </w:rPr>
            </w:pPr>
            <w:r>
              <w:rPr>
                <w:sz w:val="24"/>
              </w:rPr>
              <w:t>Subir cinco degraus?</w:t>
            </w:r>
          </w:p>
        </w:tc>
        <w:tc>
          <w:tcPr>
            <w:tcW w:w="1380"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548" w:hRule="atLeast"/>
        </w:trPr>
        <w:tc>
          <w:tcPr>
            <w:tcW w:w="632" w:type="dxa"/>
            <w:vMerge w:val="restart"/>
          </w:tcPr>
          <w:p>
            <w:pPr>
              <w:pStyle w:val="TableParagraph"/>
              <w:spacing w:line="268" w:lineRule="exact"/>
              <w:ind w:left="137"/>
              <w:rPr>
                <w:sz w:val="24"/>
              </w:rPr>
            </w:pPr>
            <w:r>
              <w:rPr>
                <w:sz w:val="24"/>
              </w:rPr>
              <w:t>112</w:t>
            </w:r>
          </w:p>
        </w:tc>
        <w:tc>
          <w:tcPr>
            <w:tcW w:w="2775" w:type="dxa"/>
            <w:tcBorders>
              <w:bottom w:val="nil"/>
            </w:tcBorders>
          </w:tcPr>
          <w:p>
            <w:pPr>
              <w:pStyle w:val="TableParagraph"/>
              <w:spacing w:line="268" w:lineRule="exact"/>
              <w:ind w:left="112"/>
              <w:rPr>
                <w:sz w:val="24"/>
              </w:rPr>
            </w:pPr>
            <w:r>
              <w:rPr>
                <w:sz w:val="24"/>
              </w:rPr>
              <w:t>Lavar o corpo inteiro e</w:t>
            </w:r>
          </w:p>
          <w:p>
            <w:pPr>
              <w:pStyle w:val="TableParagraph"/>
              <w:spacing w:line="261" w:lineRule="exact"/>
              <w:ind w:left="112"/>
              <w:rPr>
                <w:sz w:val="24"/>
              </w:rPr>
            </w:pPr>
            <w:r>
              <w:rPr>
                <w:sz w:val="24"/>
              </w:rPr>
              <w:t>secá-</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lo após o banho?</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2" w:hRule="atLeast"/>
        </w:trPr>
        <w:tc>
          <w:tcPr>
            <w:tcW w:w="632" w:type="dxa"/>
            <w:vMerge w:val="restart"/>
          </w:tcPr>
          <w:p>
            <w:pPr>
              <w:pStyle w:val="TableParagraph"/>
              <w:spacing w:line="268" w:lineRule="exact"/>
              <w:ind w:left="137"/>
              <w:rPr>
                <w:sz w:val="24"/>
              </w:rPr>
            </w:pPr>
            <w:r>
              <w:rPr>
                <w:sz w:val="24"/>
              </w:rPr>
              <w:t>113</w:t>
            </w:r>
          </w:p>
        </w:tc>
        <w:tc>
          <w:tcPr>
            <w:tcW w:w="2775" w:type="dxa"/>
            <w:tcBorders>
              <w:bottom w:val="nil"/>
            </w:tcBorders>
          </w:tcPr>
          <w:p>
            <w:pPr>
              <w:pStyle w:val="TableParagraph"/>
              <w:spacing w:line="253" w:lineRule="exact"/>
              <w:ind w:left="112"/>
              <w:rPr>
                <w:sz w:val="24"/>
              </w:rPr>
            </w:pPr>
            <w:r>
              <w:rPr>
                <w:sz w:val="24"/>
              </w:rPr>
              <w:t>Tomar um banho de</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banheira – entrar e sair?</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3" w:hRule="atLeast"/>
        </w:trPr>
        <w:tc>
          <w:tcPr>
            <w:tcW w:w="632" w:type="dxa"/>
            <w:vMerge w:val="restart"/>
          </w:tcPr>
          <w:p>
            <w:pPr>
              <w:pStyle w:val="TableParagraph"/>
              <w:spacing w:line="268" w:lineRule="exact"/>
              <w:ind w:left="137"/>
              <w:rPr>
                <w:sz w:val="24"/>
              </w:rPr>
            </w:pPr>
            <w:r>
              <w:rPr>
                <w:sz w:val="24"/>
              </w:rPr>
              <w:t>114</w:t>
            </w:r>
          </w:p>
        </w:tc>
        <w:tc>
          <w:tcPr>
            <w:tcW w:w="2775" w:type="dxa"/>
            <w:tcBorders>
              <w:bottom w:val="nil"/>
            </w:tcBorders>
          </w:tcPr>
          <w:p>
            <w:pPr>
              <w:pStyle w:val="TableParagraph"/>
              <w:spacing w:line="254" w:lineRule="exact"/>
              <w:ind w:left="112"/>
              <w:rPr>
                <w:sz w:val="24"/>
              </w:rPr>
            </w:pPr>
            <w:r>
              <w:rPr>
                <w:sz w:val="24"/>
              </w:rPr>
              <w:t>Sentar-se e levantar-se de</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555" w:hRule="atLeast"/>
        </w:trPr>
        <w:tc>
          <w:tcPr>
            <w:tcW w:w="632" w:type="dxa"/>
            <w:vMerge/>
            <w:tcBorders>
              <w:top w:val="nil"/>
            </w:tcBorders>
          </w:tcPr>
          <w:p>
            <w:pPr>
              <w:rPr>
                <w:sz w:val="2"/>
                <w:szCs w:val="2"/>
              </w:rPr>
            </w:pPr>
          </w:p>
        </w:tc>
        <w:tc>
          <w:tcPr>
            <w:tcW w:w="2775" w:type="dxa"/>
            <w:tcBorders>
              <w:top w:val="nil"/>
            </w:tcBorders>
          </w:tcPr>
          <w:p>
            <w:pPr>
              <w:pStyle w:val="TableParagraph"/>
              <w:spacing w:line="272" w:lineRule="exact"/>
              <w:ind w:left="112"/>
              <w:rPr>
                <w:sz w:val="24"/>
              </w:rPr>
            </w:pPr>
            <w:r>
              <w:rPr>
                <w:sz w:val="24"/>
              </w:rPr>
              <w:t>um vaso sanitário ou de</w:t>
            </w:r>
          </w:p>
          <w:p>
            <w:pPr>
              <w:pStyle w:val="TableParagraph"/>
              <w:spacing w:line="264" w:lineRule="exact"/>
              <w:ind w:left="112"/>
              <w:rPr>
                <w:sz w:val="24"/>
              </w:rPr>
            </w:pPr>
            <w:r>
              <w:rPr>
                <w:sz w:val="24"/>
              </w:rPr>
              <w:t>um penico?</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5" w:hRule="atLeast"/>
        </w:trPr>
        <w:tc>
          <w:tcPr>
            <w:tcW w:w="632" w:type="dxa"/>
          </w:tcPr>
          <w:p>
            <w:pPr>
              <w:pStyle w:val="TableParagraph"/>
              <w:spacing w:line="256" w:lineRule="exact"/>
              <w:ind w:left="117" w:right="105"/>
              <w:jc w:val="center"/>
              <w:rPr>
                <w:sz w:val="24"/>
              </w:rPr>
            </w:pPr>
            <w:r>
              <w:rPr>
                <w:sz w:val="24"/>
              </w:rPr>
              <w:t>115</w:t>
            </w:r>
          </w:p>
        </w:tc>
        <w:tc>
          <w:tcPr>
            <w:tcW w:w="2775" w:type="dxa"/>
          </w:tcPr>
          <w:p>
            <w:pPr>
              <w:pStyle w:val="TableParagraph"/>
              <w:spacing w:line="256" w:lineRule="exact"/>
              <w:ind w:left="112"/>
              <w:rPr>
                <w:sz w:val="24"/>
              </w:rPr>
            </w:pPr>
            <w:r>
              <w:rPr>
                <w:sz w:val="24"/>
              </w:rPr>
              <w:t>Escovar os dentes?</w:t>
            </w:r>
          </w:p>
        </w:tc>
        <w:tc>
          <w:tcPr>
            <w:tcW w:w="1380"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275" w:hRule="atLeast"/>
        </w:trPr>
        <w:tc>
          <w:tcPr>
            <w:tcW w:w="632" w:type="dxa"/>
          </w:tcPr>
          <w:p>
            <w:pPr>
              <w:pStyle w:val="TableParagraph"/>
              <w:spacing w:line="256" w:lineRule="exact"/>
              <w:ind w:left="117" w:right="105"/>
              <w:jc w:val="center"/>
              <w:rPr>
                <w:sz w:val="24"/>
              </w:rPr>
            </w:pPr>
            <w:r>
              <w:rPr>
                <w:sz w:val="24"/>
              </w:rPr>
              <w:t>116</w:t>
            </w:r>
          </w:p>
        </w:tc>
        <w:tc>
          <w:tcPr>
            <w:tcW w:w="2775" w:type="dxa"/>
          </w:tcPr>
          <w:p>
            <w:pPr>
              <w:pStyle w:val="TableParagraph"/>
              <w:spacing w:line="256" w:lineRule="exact"/>
              <w:ind w:left="112"/>
              <w:rPr>
                <w:sz w:val="24"/>
              </w:rPr>
            </w:pPr>
            <w:r>
              <w:rPr>
                <w:sz w:val="24"/>
              </w:rPr>
              <w:t>Pentear/escovar o cabelo?</w:t>
            </w:r>
          </w:p>
        </w:tc>
        <w:tc>
          <w:tcPr>
            <w:tcW w:w="1380"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549" w:hRule="atLeast"/>
        </w:trPr>
        <w:tc>
          <w:tcPr>
            <w:tcW w:w="632" w:type="dxa"/>
            <w:vMerge w:val="restart"/>
          </w:tcPr>
          <w:p>
            <w:pPr>
              <w:pStyle w:val="TableParagraph"/>
              <w:spacing w:line="268" w:lineRule="exact"/>
              <w:ind w:left="137"/>
              <w:rPr>
                <w:sz w:val="24"/>
              </w:rPr>
            </w:pPr>
            <w:r>
              <w:rPr>
                <w:sz w:val="24"/>
              </w:rPr>
              <w:t>117</w:t>
            </w:r>
          </w:p>
        </w:tc>
        <w:tc>
          <w:tcPr>
            <w:tcW w:w="2775" w:type="dxa"/>
            <w:tcBorders>
              <w:bottom w:val="nil"/>
            </w:tcBorders>
          </w:tcPr>
          <w:p>
            <w:pPr>
              <w:pStyle w:val="TableParagraph"/>
              <w:spacing w:line="268" w:lineRule="exact"/>
              <w:ind w:left="112"/>
              <w:rPr>
                <w:sz w:val="24"/>
              </w:rPr>
            </w:pPr>
            <w:r>
              <w:rPr>
                <w:sz w:val="24"/>
              </w:rPr>
              <w:t>Levantar os braços e</w:t>
            </w:r>
          </w:p>
          <w:p>
            <w:pPr>
              <w:pStyle w:val="TableParagraph"/>
              <w:spacing w:line="261" w:lineRule="exact"/>
              <w:ind w:left="112"/>
              <w:rPr>
                <w:sz w:val="24"/>
              </w:rPr>
            </w:pPr>
            <w:r>
              <w:rPr>
                <w:sz w:val="24"/>
              </w:rPr>
              <w:t>pegar um objeto</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551" w:hRule="atLeast"/>
        </w:trPr>
        <w:tc>
          <w:tcPr>
            <w:tcW w:w="632" w:type="dxa"/>
            <w:vMerge/>
            <w:tcBorders>
              <w:top w:val="nil"/>
            </w:tcBorders>
          </w:tcPr>
          <w:p>
            <w:pPr>
              <w:rPr>
                <w:sz w:val="2"/>
                <w:szCs w:val="2"/>
              </w:rPr>
            </w:pPr>
          </w:p>
        </w:tc>
        <w:tc>
          <w:tcPr>
            <w:tcW w:w="2775" w:type="dxa"/>
            <w:tcBorders>
              <w:top w:val="nil"/>
              <w:bottom w:val="nil"/>
            </w:tcBorders>
          </w:tcPr>
          <w:p>
            <w:pPr>
              <w:pStyle w:val="TableParagraph"/>
              <w:spacing w:line="271" w:lineRule="exact"/>
              <w:ind w:left="112"/>
              <w:rPr>
                <w:sz w:val="24"/>
              </w:rPr>
            </w:pPr>
            <w:r>
              <w:rPr>
                <w:sz w:val="24"/>
              </w:rPr>
              <w:t>como um jogo grande ou</w:t>
            </w:r>
          </w:p>
          <w:p>
            <w:pPr>
              <w:pStyle w:val="TableParagraph"/>
              <w:spacing w:line="261" w:lineRule="exact"/>
              <w:ind w:left="112"/>
              <w:rPr>
                <w:sz w:val="24"/>
              </w:rPr>
            </w:pPr>
            <w:r>
              <w:rPr>
                <w:sz w:val="24"/>
              </w:rPr>
              <w:t>livros</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554" w:hRule="atLeast"/>
        </w:trPr>
        <w:tc>
          <w:tcPr>
            <w:tcW w:w="632" w:type="dxa"/>
            <w:vMerge/>
            <w:tcBorders>
              <w:top w:val="nil"/>
            </w:tcBorders>
          </w:tcPr>
          <w:p>
            <w:pPr>
              <w:rPr>
                <w:sz w:val="2"/>
                <w:szCs w:val="2"/>
              </w:rPr>
            </w:pPr>
          </w:p>
        </w:tc>
        <w:tc>
          <w:tcPr>
            <w:tcW w:w="2775" w:type="dxa"/>
            <w:tcBorders>
              <w:top w:val="nil"/>
            </w:tcBorders>
          </w:tcPr>
          <w:p>
            <w:pPr>
              <w:pStyle w:val="TableParagraph"/>
              <w:spacing w:line="271" w:lineRule="exact"/>
              <w:ind w:left="112"/>
              <w:rPr>
                <w:sz w:val="24"/>
              </w:rPr>
            </w:pPr>
            <w:r>
              <w:rPr>
                <w:sz w:val="24"/>
              </w:rPr>
              <w:t>posicionados pouco acima</w:t>
            </w:r>
          </w:p>
          <w:p>
            <w:pPr>
              <w:pStyle w:val="TableParagraph"/>
              <w:spacing w:line="264" w:lineRule="exact"/>
              <w:ind w:left="112"/>
              <w:rPr>
                <w:sz w:val="24"/>
              </w:rPr>
            </w:pPr>
            <w:r>
              <w:rPr>
                <w:sz w:val="24"/>
              </w:rPr>
              <w:t>da cabeça?</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3" w:hRule="atLeast"/>
        </w:trPr>
        <w:tc>
          <w:tcPr>
            <w:tcW w:w="632" w:type="dxa"/>
            <w:vMerge w:val="restart"/>
          </w:tcPr>
          <w:p>
            <w:pPr>
              <w:pStyle w:val="TableParagraph"/>
              <w:spacing w:line="268" w:lineRule="exact"/>
              <w:ind w:left="137"/>
              <w:rPr>
                <w:sz w:val="24"/>
              </w:rPr>
            </w:pPr>
            <w:r>
              <w:rPr>
                <w:sz w:val="24"/>
              </w:rPr>
              <w:t>118</w:t>
            </w:r>
          </w:p>
        </w:tc>
        <w:tc>
          <w:tcPr>
            <w:tcW w:w="2775" w:type="dxa"/>
            <w:tcBorders>
              <w:bottom w:val="nil"/>
            </w:tcBorders>
          </w:tcPr>
          <w:p>
            <w:pPr>
              <w:pStyle w:val="TableParagraph"/>
              <w:spacing w:line="254" w:lineRule="exact"/>
              <w:ind w:left="112"/>
              <w:rPr>
                <w:sz w:val="24"/>
              </w:rPr>
            </w:pPr>
            <w:r>
              <w:rPr>
                <w:sz w:val="24"/>
              </w:rPr>
              <w:t>Curvar-se para pegar suas</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555" w:hRule="atLeast"/>
        </w:trPr>
        <w:tc>
          <w:tcPr>
            <w:tcW w:w="632" w:type="dxa"/>
            <w:vMerge/>
            <w:tcBorders>
              <w:top w:val="nil"/>
            </w:tcBorders>
          </w:tcPr>
          <w:p>
            <w:pPr>
              <w:rPr>
                <w:sz w:val="2"/>
                <w:szCs w:val="2"/>
              </w:rPr>
            </w:pPr>
          </w:p>
        </w:tc>
        <w:tc>
          <w:tcPr>
            <w:tcW w:w="2775" w:type="dxa"/>
            <w:tcBorders>
              <w:top w:val="nil"/>
            </w:tcBorders>
          </w:tcPr>
          <w:p>
            <w:pPr>
              <w:pStyle w:val="TableParagraph"/>
              <w:spacing w:line="272" w:lineRule="exact"/>
              <w:ind w:left="112"/>
              <w:rPr>
                <w:sz w:val="24"/>
              </w:rPr>
            </w:pPr>
            <w:r>
              <w:rPr>
                <w:sz w:val="24"/>
              </w:rPr>
              <w:t>roupas ou um pedaço de</w:t>
            </w:r>
          </w:p>
          <w:p>
            <w:pPr>
              <w:pStyle w:val="TableParagraph"/>
              <w:spacing w:line="264" w:lineRule="exact"/>
              <w:ind w:left="112"/>
              <w:rPr>
                <w:sz w:val="24"/>
              </w:rPr>
            </w:pPr>
            <w:r>
              <w:rPr>
                <w:sz w:val="24"/>
              </w:rPr>
              <w:t>papel no chão?</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551" w:hRule="atLeast"/>
        </w:trPr>
        <w:tc>
          <w:tcPr>
            <w:tcW w:w="632" w:type="dxa"/>
          </w:tcPr>
          <w:p>
            <w:pPr>
              <w:pStyle w:val="TableParagraph"/>
              <w:spacing w:line="268" w:lineRule="exact"/>
              <w:ind w:left="117" w:right="105"/>
              <w:jc w:val="center"/>
              <w:rPr>
                <w:sz w:val="24"/>
              </w:rPr>
            </w:pPr>
            <w:r>
              <w:rPr>
                <w:sz w:val="24"/>
              </w:rPr>
              <w:t>119</w:t>
            </w:r>
          </w:p>
        </w:tc>
        <w:tc>
          <w:tcPr>
            <w:tcW w:w="2775" w:type="dxa"/>
          </w:tcPr>
          <w:p>
            <w:pPr>
              <w:pStyle w:val="TableParagraph"/>
              <w:spacing w:line="268" w:lineRule="exact"/>
              <w:ind w:left="112"/>
              <w:rPr>
                <w:sz w:val="24"/>
              </w:rPr>
            </w:pPr>
            <w:r>
              <w:rPr>
                <w:sz w:val="24"/>
              </w:rPr>
              <w:t>Vestir uma malha por</w:t>
            </w:r>
          </w:p>
          <w:p>
            <w:pPr>
              <w:pStyle w:val="TableParagraph"/>
              <w:spacing w:line="264" w:lineRule="exact"/>
              <w:ind w:left="112"/>
              <w:rPr>
                <w:sz w:val="24"/>
              </w:rPr>
            </w:pPr>
            <w:r>
              <w:rPr>
                <w:sz w:val="24"/>
              </w:rPr>
              <w:t>cima da cabeça?</w:t>
            </w:r>
          </w:p>
        </w:tc>
        <w:tc>
          <w:tcPr>
            <w:tcW w:w="1380" w:type="dxa"/>
          </w:tcPr>
          <w:p>
            <w:pPr>
              <w:pStyle w:val="TableParagraph"/>
              <w:rPr>
                <w:sz w:val="24"/>
              </w:rPr>
            </w:pPr>
          </w:p>
        </w:tc>
        <w:tc>
          <w:tcPr>
            <w:tcW w:w="1913" w:type="dxa"/>
          </w:tcPr>
          <w:p>
            <w:pPr>
              <w:pStyle w:val="TableParagraph"/>
              <w:rPr>
                <w:sz w:val="24"/>
              </w:rPr>
            </w:pPr>
          </w:p>
        </w:tc>
        <w:tc>
          <w:tcPr>
            <w:tcW w:w="1961" w:type="dxa"/>
          </w:tcPr>
          <w:p>
            <w:pPr>
              <w:pStyle w:val="TableParagraph"/>
              <w:rPr>
                <w:sz w:val="24"/>
              </w:rPr>
            </w:pPr>
          </w:p>
        </w:tc>
        <w:tc>
          <w:tcPr>
            <w:tcW w:w="1548" w:type="dxa"/>
          </w:tcPr>
          <w:p>
            <w:pPr>
              <w:pStyle w:val="TableParagraph"/>
              <w:rPr>
                <w:sz w:val="24"/>
              </w:rPr>
            </w:pPr>
          </w:p>
        </w:tc>
      </w:tr>
      <w:tr>
        <w:trPr>
          <w:trHeight w:val="551" w:hRule="atLeast"/>
        </w:trPr>
        <w:tc>
          <w:tcPr>
            <w:tcW w:w="632" w:type="dxa"/>
          </w:tcPr>
          <w:p>
            <w:pPr>
              <w:pStyle w:val="TableParagraph"/>
              <w:spacing w:line="268" w:lineRule="exact"/>
              <w:ind w:left="117" w:right="105"/>
              <w:jc w:val="center"/>
              <w:rPr>
                <w:sz w:val="24"/>
              </w:rPr>
            </w:pPr>
            <w:r>
              <w:rPr>
                <w:sz w:val="24"/>
              </w:rPr>
              <w:t>220</w:t>
            </w:r>
          </w:p>
        </w:tc>
        <w:tc>
          <w:tcPr>
            <w:tcW w:w="2775" w:type="dxa"/>
          </w:tcPr>
          <w:p>
            <w:pPr>
              <w:pStyle w:val="TableParagraph"/>
              <w:spacing w:line="268" w:lineRule="exact"/>
              <w:ind w:left="112"/>
              <w:rPr>
                <w:sz w:val="24"/>
              </w:rPr>
            </w:pPr>
            <w:r>
              <w:rPr>
                <w:sz w:val="24"/>
              </w:rPr>
              <w:t>Virar a cabeça e olhar</w:t>
            </w:r>
          </w:p>
          <w:p>
            <w:pPr>
              <w:pStyle w:val="TableParagraph"/>
              <w:spacing w:line="264" w:lineRule="exact"/>
              <w:ind w:left="112"/>
              <w:rPr>
                <w:sz w:val="24"/>
              </w:rPr>
            </w:pPr>
            <w:r>
              <w:rPr>
                <w:sz w:val="24"/>
              </w:rPr>
              <w:t>sobre o ombro?</w:t>
            </w:r>
          </w:p>
        </w:tc>
        <w:tc>
          <w:tcPr>
            <w:tcW w:w="1380" w:type="dxa"/>
          </w:tcPr>
          <w:p>
            <w:pPr>
              <w:pStyle w:val="TableParagraph"/>
              <w:rPr>
                <w:sz w:val="24"/>
              </w:rPr>
            </w:pPr>
          </w:p>
        </w:tc>
        <w:tc>
          <w:tcPr>
            <w:tcW w:w="1913" w:type="dxa"/>
          </w:tcPr>
          <w:p>
            <w:pPr>
              <w:pStyle w:val="TableParagraph"/>
              <w:rPr>
                <w:sz w:val="24"/>
              </w:rPr>
            </w:pPr>
          </w:p>
        </w:tc>
        <w:tc>
          <w:tcPr>
            <w:tcW w:w="1961" w:type="dxa"/>
          </w:tcPr>
          <w:p>
            <w:pPr>
              <w:pStyle w:val="TableParagraph"/>
              <w:rPr>
                <w:sz w:val="24"/>
              </w:rPr>
            </w:pPr>
          </w:p>
        </w:tc>
        <w:tc>
          <w:tcPr>
            <w:tcW w:w="1548" w:type="dxa"/>
          </w:tcPr>
          <w:p>
            <w:pPr>
              <w:pStyle w:val="TableParagraph"/>
              <w:rPr>
                <w:sz w:val="24"/>
              </w:rPr>
            </w:pPr>
          </w:p>
        </w:tc>
      </w:tr>
      <w:tr>
        <w:trPr>
          <w:trHeight w:val="272" w:hRule="atLeast"/>
        </w:trPr>
        <w:tc>
          <w:tcPr>
            <w:tcW w:w="632" w:type="dxa"/>
            <w:vMerge w:val="restart"/>
          </w:tcPr>
          <w:p>
            <w:pPr>
              <w:pStyle w:val="TableParagraph"/>
              <w:spacing w:line="268" w:lineRule="exact"/>
              <w:ind w:left="137"/>
              <w:rPr>
                <w:sz w:val="24"/>
              </w:rPr>
            </w:pPr>
            <w:r>
              <w:rPr>
                <w:sz w:val="24"/>
              </w:rPr>
              <w:t>221</w:t>
            </w:r>
          </w:p>
        </w:tc>
        <w:tc>
          <w:tcPr>
            <w:tcW w:w="2775" w:type="dxa"/>
            <w:tcBorders>
              <w:bottom w:val="nil"/>
            </w:tcBorders>
          </w:tcPr>
          <w:p>
            <w:pPr>
              <w:pStyle w:val="TableParagraph"/>
              <w:spacing w:line="253" w:lineRule="exact"/>
              <w:ind w:left="112"/>
              <w:rPr>
                <w:sz w:val="24"/>
              </w:rPr>
            </w:pPr>
            <w:r>
              <w:rPr>
                <w:sz w:val="24"/>
              </w:rPr>
              <w:t>Escrever ou desenhar com</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uma caneta ou um lápis?</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551" w:hRule="atLeast"/>
        </w:trPr>
        <w:tc>
          <w:tcPr>
            <w:tcW w:w="632" w:type="dxa"/>
          </w:tcPr>
          <w:p>
            <w:pPr>
              <w:pStyle w:val="TableParagraph"/>
              <w:spacing w:line="268" w:lineRule="exact"/>
              <w:ind w:left="117" w:right="105"/>
              <w:jc w:val="center"/>
              <w:rPr>
                <w:sz w:val="24"/>
              </w:rPr>
            </w:pPr>
            <w:r>
              <w:rPr>
                <w:sz w:val="24"/>
              </w:rPr>
              <w:t>222</w:t>
            </w:r>
          </w:p>
        </w:tc>
        <w:tc>
          <w:tcPr>
            <w:tcW w:w="2775" w:type="dxa"/>
          </w:tcPr>
          <w:p>
            <w:pPr>
              <w:pStyle w:val="TableParagraph"/>
              <w:spacing w:line="268" w:lineRule="exact"/>
              <w:ind w:left="112"/>
              <w:rPr>
                <w:sz w:val="24"/>
              </w:rPr>
            </w:pPr>
            <w:r>
              <w:rPr>
                <w:sz w:val="24"/>
              </w:rPr>
              <w:t>Abrir as portas de um</w:t>
            </w:r>
          </w:p>
          <w:p>
            <w:pPr>
              <w:pStyle w:val="TableParagraph"/>
              <w:spacing w:line="264" w:lineRule="exact"/>
              <w:ind w:left="112"/>
              <w:rPr>
                <w:sz w:val="24"/>
              </w:rPr>
            </w:pPr>
            <w:r>
              <w:rPr>
                <w:sz w:val="24"/>
              </w:rPr>
              <w:t>carro?</w:t>
            </w:r>
          </w:p>
        </w:tc>
        <w:tc>
          <w:tcPr>
            <w:tcW w:w="1380" w:type="dxa"/>
          </w:tcPr>
          <w:p>
            <w:pPr>
              <w:pStyle w:val="TableParagraph"/>
              <w:rPr>
                <w:sz w:val="24"/>
              </w:rPr>
            </w:pPr>
          </w:p>
        </w:tc>
        <w:tc>
          <w:tcPr>
            <w:tcW w:w="1913" w:type="dxa"/>
          </w:tcPr>
          <w:p>
            <w:pPr>
              <w:pStyle w:val="TableParagraph"/>
              <w:rPr>
                <w:sz w:val="24"/>
              </w:rPr>
            </w:pPr>
          </w:p>
        </w:tc>
        <w:tc>
          <w:tcPr>
            <w:tcW w:w="1961" w:type="dxa"/>
          </w:tcPr>
          <w:p>
            <w:pPr>
              <w:pStyle w:val="TableParagraph"/>
              <w:rPr>
                <w:sz w:val="24"/>
              </w:rPr>
            </w:pPr>
          </w:p>
        </w:tc>
        <w:tc>
          <w:tcPr>
            <w:tcW w:w="1548" w:type="dxa"/>
          </w:tcPr>
          <w:p>
            <w:pPr>
              <w:pStyle w:val="TableParagraph"/>
              <w:rPr>
                <w:sz w:val="24"/>
              </w:rPr>
            </w:pPr>
          </w:p>
        </w:tc>
      </w:tr>
      <w:tr>
        <w:trPr>
          <w:trHeight w:val="275" w:hRule="atLeast"/>
        </w:trPr>
        <w:tc>
          <w:tcPr>
            <w:tcW w:w="632" w:type="dxa"/>
            <w:vMerge w:val="restart"/>
          </w:tcPr>
          <w:p>
            <w:pPr>
              <w:pStyle w:val="TableParagraph"/>
              <w:spacing w:line="270" w:lineRule="exact"/>
              <w:ind w:left="137"/>
              <w:rPr>
                <w:sz w:val="24"/>
              </w:rPr>
            </w:pPr>
            <w:r>
              <w:rPr>
                <w:sz w:val="24"/>
              </w:rPr>
              <w:t>223</w:t>
            </w:r>
          </w:p>
        </w:tc>
        <w:tc>
          <w:tcPr>
            <w:tcW w:w="2775" w:type="dxa"/>
            <w:tcBorders>
              <w:bottom w:val="nil"/>
            </w:tcBorders>
          </w:tcPr>
          <w:p>
            <w:pPr>
              <w:pStyle w:val="TableParagraph"/>
              <w:spacing w:line="255" w:lineRule="exact"/>
              <w:ind w:left="112"/>
              <w:rPr>
                <w:sz w:val="24"/>
              </w:rPr>
            </w:pPr>
            <w:r>
              <w:rPr>
                <w:sz w:val="24"/>
              </w:rPr>
              <w:t>Abrirtampas de rosca de</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potes já abertos antes?</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5" w:hRule="atLeast"/>
        </w:trPr>
        <w:tc>
          <w:tcPr>
            <w:tcW w:w="632" w:type="dxa"/>
          </w:tcPr>
          <w:p>
            <w:pPr>
              <w:pStyle w:val="TableParagraph"/>
              <w:spacing w:line="256" w:lineRule="exact"/>
              <w:ind w:left="117" w:right="105"/>
              <w:jc w:val="center"/>
              <w:rPr>
                <w:sz w:val="24"/>
              </w:rPr>
            </w:pPr>
            <w:r>
              <w:rPr>
                <w:sz w:val="24"/>
              </w:rPr>
              <w:t>224</w:t>
            </w:r>
          </w:p>
        </w:tc>
        <w:tc>
          <w:tcPr>
            <w:tcW w:w="2775" w:type="dxa"/>
          </w:tcPr>
          <w:p>
            <w:pPr>
              <w:pStyle w:val="TableParagraph"/>
              <w:spacing w:line="256" w:lineRule="exact"/>
              <w:ind w:left="112"/>
              <w:rPr>
                <w:sz w:val="24"/>
              </w:rPr>
            </w:pPr>
            <w:r>
              <w:rPr>
                <w:sz w:val="24"/>
              </w:rPr>
              <w:t>Abrir e fechar torneiras?</w:t>
            </w:r>
          </w:p>
        </w:tc>
        <w:tc>
          <w:tcPr>
            <w:tcW w:w="1380"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r>
        <w:trPr>
          <w:trHeight w:val="272" w:hRule="atLeast"/>
        </w:trPr>
        <w:tc>
          <w:tcPr>
            <w:tcW w:w="632" w:type="dxa"/>
            <w:vMerge w:val="restart"/>
          </w:tcPr>
          <w:p>
            <w:pPr>
              <w:pStyle w:val="TableParagraph"/>
              <w:spacing w:line="268" w:lineRule="exact"/>
              <w:ind w:left="137"/>
              <w:rPr>
                <w:sz w:val="24"/>
              </w:rPr>
            </w:pPr>
            <w:r>
              <w:rPr>
                <w:sz w:val="24"/>
              </w:rPr>
              <w:t>225</w:t>
            </w:r>
          </w:p>
        </w:tc>
        <w:tc>
          <w:tcPr>
            <w:tcW w:w="2775" w:type="dxa"/>
            <w:tcBorders>
              <w:bottom w:val="nil"/>
            </w:tcBorders>
          </w:tcPr>
          <w:p>
            <w:pPr>
              <w:pStyle w:val="TableParagraph"/>
              <w:spacing w:line="253" w:lineRule="exact"/>
              <w:ind w:left="112"/>
              <w:rPr>
                <w:sz w:val="24"/>
              </w:rPr>
            </w:pPr>
            <w:r>
              <w:rPr>
                <w:sz w:val="24"/>
              </w:rPr>
              <w:t>Abrir portas quando tem</w:t>
            </w:r>
          </w:p>
        </w:tc>
        <w:tc>
          <w:tcPr>
            <w:tcW w:w="1380"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2" w:type="dxa"/>
            <w:vMerge/>
            <w:tcBorders>
              <w:top w:val="nil"/>
            </w:tcBorders>
          </w:tcPr>
          <w:p>
            <w:pPr>
              <w:rPr>
                <w:sz w:val="2"/>
                <w:szCs w:val="2"/>
              </w:rPr>
            </w:pPr>
          </w:p>
        </w:tc>
        <w:tc>
          <w:tcPr>
            <w:tcW w:w="2775" w:type="dxa"/>
            <w:tcBorders>
              <w:top w:val="nil"/>
            </w:tcBorders>
          </w:tcPr>
          <w:p>
            <w:pPr>
              <w:pStyle w:val="TableParagraph"/>
              <w:spacing w:line="259" w:lineRule="exact"/>
              <w:ind w:left="112"/>
              <w:rPr>
                <w:sz w:val="24"/>
              </w:rPr>
            </w:pPr>
            <w:r>
              <w:rPr>
                <w:sz w:val="24"/>
              </w:rPr>
              <w:t>que virar a maçaneta?</w:t>
            </w:r>
          </w:p>
        </w:tc>
        <w:tc>
          <w:tcPr>
            <w:tcW w:w="1380"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5" w:hRule="atLeast"/>
        </w:trPr>
        <w:tc>
          <w:tcPr>
            <w:tcW w:w="632" w:type="dxa"/>
          </w:tcPr>
          <w:p>
            <w:pPr>
              <w:pStyle w:val="TableParagraph"/>
              <w:spacing w:line="256" w:lineRule="exact"/>
              <w:ind w:left="117" w:right="105"/>
              <w:jc w:val="center"/>
              <w:rPr>
                <w:sz w:val="24"/>
              </w:rPr>
            </w:pPr>
            <w:r>
              <w:rPr>
                <w:sz w:val="24"/>
              </w:rPr>
              <w:t>226</w:t>
            </w:r>
          </w:p>
        </w:tc>
        <w:tc>
          <w:tcPr>
            <w:tcW w:w="2775" w:type="dxa"/>
            <w:tcBorders>
              <w:bottom w:val="nil"/>
            </w:tcBorders>
          </w:tcPr>
          <w:p>
            <w:pPr>
              <w:pStyle w:val="TableParagraph"/>
              <w:spacing w:line="256" w:lineRule="exact"/>
              <w:ind w:left="112"/>
              <w:rPr>
                <w:sz w:val="24"/>
              </w:rPr>
            </w:pPr>
            <w:r>
              <w:rPr>
                <w:sz w:val="24"/>
              </w:rPr>
              <w:t>Levar recados e fazer</w:t>
            </w:r>
          </w:p>
        </w:tc>
        <w:tc>
          <w:tcPr>
            <w:tcW w:w="1380"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bl>
    <w:p>
      <w:pPr>
        <w:spacing w:after="0"/>
        <w:rPr>
          <w:sz w:val="20"/>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
        <w:gridCol w:w="2770"/>
        <w:gridCol w:w="1382"/>
        <w:gridCol w:w="1913"/>
        <w:gridCol w:w="1961"/>
        <w:gridCol w:w="1548"/>
      </w:tblGrid>
      <w:tr>
        <w:trPr>
          <w:trHeight w:val="273" w:hRule="atLeast"/>
        </w:trPr>
        <w:tc>
          <w:tcPr>
            <w:tcW w:w="634" w:type="dxa"/>
            <w:vMerge w:val="restart"/>
          </w:tcPr>
          <w:p>
            <w:pPr>
              <w:pStyle w:val="TableParagraph"/>
              <w:rPr>
                <w:sz w:val="24"/>
              </w:rPr>
            </w:pPr>
          </w:p>
        </w:tc>
        <w:tc>
          <w:tcPr>
            <w:tcW w:w="2770" w:type="dxa"/>
            <w:tcBorders>
              <w:bottom w:val="nil"/>
            </w:tcBorders>
          </w:tcPr>
          <w:p>
            <w:pPr>
              <w:pStyle w:val="TableParagraph"/>
              <w:spacing w:line="254" w:lineRule="exact"/>
              <w:ind w:left="110"/>
              <w:rPr>
                <w:sz w:val="24"/>
              </w:rPr>
            </w:pPr>
            <w:r>
              <w:rPr>
                <w:sz w:val="24"/>
              </w:rPr>
              <w:t>compras</w:t>
            </w:r>
          </w:p>
        </w:tc>
        <w:tc>
          <w:tcPr>
            <w:tcW w:w="1382"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555" w:hRule="atLeast"/>
        </w:trPr>
        <w:tc>
          <w:tcPr>
            <w:tcW w:w="634" w:type="dxa"/>
            <w:vMerge/>
            <w:tcBorders>
              <w:top w:val="nil"/>
            </w:tcBorders>
          </w:tcPr>
          <w:p>
            <w:pPr>
              <w:rPr>
                <w:sz w:val="2"/>
                <w:szCs w:val="2"/>
              </w:rPr>
            </w:pPr>
          </w:p>
        </w:tc>
        <w:tc>
          <w:tcPr>
            <w:tcW w:w="2770" w:type="dxa"/>
            <w:tcBorders>
              <w:top w:val="nil"/>
            </w:tcBorders>
          </w:tcPr>
          <w:p>
            <w:pPr>
              <w:pStyle w:val="TableParagraph"/>
              <w:spacing w:line="272" w:lineRule="exact"/>
              <w:ind w:left="110"/>
              <w:rPr>
                <w:sz w:val="24"/>
              </w:rPr>
            </w:pPr>
            <w:r>
              <w:rPr>
                <w:sz w:val="24"/>
              </w:rPr>
              <w:t>nas redondezas de onde</w:t>
            </w:r>
          </w:p>
          <w:p>
            <w:pPr>
              <w:pStyle w:val="TableParagraph"/>
              <w:spacing w:line="264" w:lineRule="exact"/>
              <w:ind w:left="110"/>
              <w:rPr>
                <w:sz w:val="24"/>
              </w:rPr>
            </w:pPr>
            <w:r>
              <w:rPr>
                <w:sz w:val="24"/>
              </w:rPr>
              <w:t>mora?</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548" w:hRule="atLeast"/>
        </w:trPr>
        <w:tc>
          <w:tcPr>
            <w:tcW w:w="634" w:type="dxa"/>
            <w:vMerge w:val="restart"/>
          </w:tcPr>
          <w:p>
            <w:pPr>
              <w:pStyle w:val="TableParagraph"/>
              <w:spacing w:line="268" w:lineRule="exact"/>
              <w:ind w:left="137"/>
              <w:rPr>
                <w:sz w:val="24"/>
              </w:rPr>
            </w:pPr>
            <w:r>
              <w:rPr>
                <w:sz w:val="24"/>
              </w:rPr>
              <w:t>227</w:t>
            </w:r>
          </w:p>
        </w:tc>
        <w:tc>
          <w:tcPr>
            <w:tcW w:w="2770" w:type="dxa"/>
            <w:tcBorders>
              <w:bottom w:val="nil"/>
            </w:tcBorders>
          </w:tcPr>
          <w:p>
            <w:pPr>
              <w:pStyle w:val="TableParagraph"/>
              <w:spacing w:line="268" w:lineRule="exact"/>
              <w:ind w:left="110"/>
              <w:rPr>
                <w:sz w:val="24"/>
              </w:rPr>
            </w:pPr>
            <w:r>
              <w:rPr>
                <w:sz w:val="24"/>
              </w:rPr>
              <w:t>Entrar e sair de um carro,</w:t>
            </w:r>
          </w:p>
          <w:p>
            <w:pPr>
              <w:pStyle w:val="TableParagraph"/>
              <w:spacing w:line="261" w:lineRule="exact"/>
              <w:ind w:left="110"/>
              <w:rPr>
                <w:sz w:val="24"/>
              </w:rPr>
            </w:pPr>
            <w:r>
              <w:rPr>
                <w:sz w:val="24"/>
              </w:rPr>
              <w:t>carro</w:t>
            </w:r>
          </w:p>
        </w:tc>
        <w:tc>
          <w:tcPr>
            <w:tcW w:w="1382"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554" w:hRule="atLeast"/>
        </w:trPr>
        <w:tc>
          <w:tcPr>
            <w:tcW w:w="634" w:type="dxa"/>
            <w:vMerge/>
            <w:tcBorders>
              <w:top w:val="nil"/>
            </w:tcBorders>
          </w:tcPr>
          <w:p>
            <w:pPr>
              <w:rPr>
                <w:sz w:val="2"/>
                <w:szCs w:val="2"/>
              </w:rPr>
            </w:pPr>
          </w:p>
        </w:tc>
        <w:tc>
          <w:tcPr>
            <w:tcW w:w="2770" w:type="dxa"/>
            <w:tcBorders>
              <w:top w:val="nil"/>
            </w:tcBorders>
          </w:tcPr>
          <w:p>
            <w:pPr>
              <w:pStyle w:val="TableParagraph"/>
              <w:spacing w:line="271" w:lineRule="exact"/>
              <w:ind w:left="110"/>
              <w:rPr>
                <w:sz w:val="24"/>
              </w:rPr>
            </w:pPr>
            <w:r>
              <w:rPr>
                <w:sz w:val="24"/>
              </w:rPr>
              <w:t>de brinquedo ou ônibus</w:t>
            </w:r>
          </w:p>
          <w:p>
            <w:pPr>
              <w:pStyle w:val="TableParagraph"/>
              <w:spacing w:line="264" w:lineRule="exact"/>
              <w:ind w:left="110"/>
              <w:rPr>
                <w:sz w:val="24"/>
              </w:rPr>
            </w:pPr>
            <w:r>
              <w:rPr>
                <w:sz w:val="24"/>
              </w:rPr>
              <w:t>escolar?</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2" w:hRule="atLeast"/>
        </w:trPr>
        <w:tc>
          <w:tcPr>
            <w:tcW w:w="634" w:type="dxa"/>
            <w:vMerge w:val="restart"/>
          </w:tcPr>
          <w:p>
            <w:pPr>
              <w:pStyle w:val="TableParagraph"/>
              <w:spacing w:line="268" w:lineRule="exact"/>
              <w:ind w:left="137"/>
              <w:rPr>
                <w:sz w:val="24"/>
              </w:rPr>
            </w:pPr>
            <w:r>
              <w:rPr>
                <w:sz w:val="24"/>
              </w:rPr>
              <w:t>228</w:t>
            </w:r>
          </w:p>
        </w:tc>
        <w:tc>
          <w:tcPr>
            <w:tcW w:w="2770" w:type="dxa"/>
            <w:tcBorders>
              <w:bottom w:val="nil"/>
            </w:tcBorders>
          </w:tcPr>
          <w:p>
            <w:pPr>
              <w:pStyle w:val="TableParagraph"/>
              <w:spacing w:line="253" w:lineRule="exact"/>
              <w:ind w:left="110"/>
              <w:rPr>
                <w:sz w:val="24"/>
              </w:rPr>
            </w:pPr>
            <w:r>
              <w:rPr>
                <w:sz w:val="24"/>
              </w:rPr>
              <w:t>Andar de bicicleta ou</w:t>
            </w:r>
          </w:p>
        </w:tc>
        <w:tc>
          <w:tcPr>
            <w:tcW w:w="1382"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278" w:hRule="atLeast"/>
        </w:trPr>
        <w:tc>
          <w:tcPr>
            <w:tcW w:w="634" w:type="dxa"/>
            <w:vMerge/>
            <w:tcBorders>
              <w:top w:val="nil"/>
            </w:tcBorders>
          </w:tcPr>
          <w:p>
            <w:pPr>
              <w:rPr>
                <w:sz w:val="2"/>
                <w:szCs w:val="2"/>
              </w:rPr>
            </w:pPr>
          </w:p>
        </w:tc>
        <w:tc>
          <w:tcPr>
            <w:tcW w:w="2770" w:type="dxa"/>
            <w:tcBorders>
              <w:top w:val="nil"/>
            </w:tcBorders>
          </w:tcPr>
          <w:p>
            <w:pPr>
              <w:pStyle w:val="TableParagraph"/>
              <w:spacing w:line="259" w:lineRule="exact"/>
              <w:ind w:left="110"/>
              <w:rPr>
                <w:sz w:val="24"/>
              </w:rPr>
            </w:pPr>
            <w:r>
              <w:rPr>
                <w:sz w:val="24"/>
              </w:rPr>
              <w:t>triciclo?</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3" w:hRule="atLeast"/>
        </w:trPr>
        <w:tc>
          <w:tcPr>
            <w:tcW w:w="634" w:type="dxa"/>
            <w:vMerge w:val="restart"/>
          </w:tcPr>
          <w:p>
            <w:pPr>
              <w:pStyle w:val="TableParagraph"/>
              <w:spacing w:line="268" w:lineRule="exact"/>
              <w:ind w:left="137"/>
              <w:rPr>
                <w:sz w:val="24"/>
              </w:rPr>
            </w:pPr>
            <w:r>
              <w:rPr>
                <w:sz w:val="24"/>
              </w:rPr>
              <w:t>229</w:t>
            </w:r>
          </w:p>
        </w:tc>
        <w:tc>
          <w:tcPr>
            <w:tcW w:w="2770" w:type="dxa"/>
            <w:tcBorders>
              <w:bottom w:val="nil"/>
            </w:tcBorders>
          </w:tcPr>
          <w:p>
            <w:pPr>
              <w:pStyle w:val="TableParagraph"/>
              <w:spacing w:line="253" w:lineRule="exact"/>
              <w:ind w:left="110"/>
              <w:rPr>
                <w:sz w:val="24"/>
              </w:rPr>
            </w:pPr>
            <w:r>
              <w:rPr>
                <w:sz w:val="24"/>
              </w:rPr>
              <w:t>Ajudar em tarefas caseiras</w:t>
            </w:r>
          </w:p>
        </w:tc>
        <w:tc>
          <w:tcPr>
            <w:tcW w:w="1382" w:type="dxa"/>
            <w:vMerge w:val="restart"/>
          </w:tcPr>
          <w:p>
            <w:pPr>
              <w:pStyle w:val="TableParagraph"/>
              <w:rPr>
                <w:sz w:val="24"/>
              </w:rPr>
            </w:pPr>
          </w:p>
        </w:tc>
        <w:tc>
          <w:tcPr>
            <w:tcW w:w="1913" w:type="dxa"/>
            <w:vMerge w:val="restart"/>
          </w:tcPr>
          <w:p>
            <w:pPr>
              <w:pStyle w:val="TableParagraph"/>
              <w:rPr>
                <w:sz w:val="24"/>
              </w:rPr>
            </w:pPr>
          </w:p>
        </w:tc>
        <w:tc>
          <w:tcPr>
            <w:tcW w:w="1961" w:type="dxa"/>
            <w:vMerge w:val="restart"/>
          </w:tcPr>
          <w:p>
            <w:pPr>
              <w:pStyle w:val="TableParagraph"/>
              <w:rPr>
                <w:sz w:val="24"/>
              </w:rPr>
            </w:pPr>
          </w:p>
        </w:tc>
        <w:tc>
          <w:tcPr>
            <w:tcW w:w="1548" w:type="dxa"/>
            <w:vMerge w:val="restart"/>
          </w:tcPr>
          <w:p>
            <w:pPr>
              <w:pStyle w:val="TableParagraph"/>
              <w:rPr>
                <w:sz w:val="24"/>
              </w:rPr>
            </w:pPr>
          </w:p>
        </w:tc>
      </w:tr>
      <w:tr>
        <w:trPr>
          <w:trHeight w:val="552" w:hRule="atLeast"/>
        </w:trPr>
        <w:tc>
          <w:tcPr>
            <w:tcW w:w="634" w:type="dxa"/>
            <w:vMerge/>
            <w:tcBorders>
              <w:top w:val="nil"/>
            </w:tcBorders>
          </w:tcPr>
          <w:p>
            <w:pPr>
              <w:rPr>
                <w:sz w:val="2"/>
                <w:szCs w:val="2"/>
              </w:rPr>
            </w:pPr>
          </w:p>
        </w:tc>
        <w:tc>
          <w:tcPr>
            <w:tcW w:w="2770" w:type="dxa"/>
            <w:tcBorders>
              <w:top w:val="nil"/>
              <w:bottom w:val="nil"/>
            </w:tcBorders>
          </w:tcPr>
          <w:p>
            <w:pPr>
              <w:pStyle w:val="TableParagraph"/>
              <w:spacing w:line="271" w:lineRule="exact"/>
              <w:ind w:left="170"/>
              <w:rPr>
                <w:sz w:val="24"/>
              </w:rPr>
            </w:pPr>
            <w:r>
              <w:rPr>
                <w:sz w:val="24"/>
              </w:rPr>
              <w:t>(lavar pratos, retirar o</w:t>
            </w:r>
          </w:p>
          <w:p>
            <w:pPr>
              <w:pStyle w:val="TableParagraph"/>
              <w:spacing w:line="262" w:lineRule="exact"/>
              <w:ind w:left="110"/>
              <w:rPr>
                <w:sz w:val="24"/>
              </w:rPr>
            </w:pPr>
            <w:r>
              <w:rPr>
                <w:sz w:val="24"/>
              </w:rPr>
              <w:t>lixo, aspirar, limpar</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841" w:hRule="atLeast"/>
        </w:trPr>
        <w:tc>
          <w:tcPr>
            <w:tcW w:w="634" w:type="dxa"/>
            <w:vMerge/>
            <w:tcBorders>
              <w:top w:val="nil"/>
            </w:tcBorders>
          </w:tcPr>
          <w:p>
            <w:pPr>
              <w:rPr>
                <w:sz w:val="2"/>
                <w:szCs w:val="2"/>
              </w:rPr>
            </w:pPr>
          </w:p>
        </w:tc>
        <w:tc>
          <w:tcPr>
            <w:tcW w:w="2770" w:type="dxa"/>
            <w:tcBorders>
              <w:top w:val="nil"/>
            </w:tcBorders>
          </w:tcPr>
          <w:p>
            <w:pPr>
              <w:pStyle w:val="TableParagraph"/>
              <w:ind w:left="110" w:right="391"/>
              <w:rPr>
                <w:sz w:val="24"/>
              </w:rPr>
            </w:pPr>
            <w:r>
              <w:rPr>
                <w:sz w:val="24"/>
              </w:rPr>
              <w:t>o quintal, fazer a cama, limpar o quarto)?</w:t>
            </w:r>
          </w:p>
        </w:tc>
        <w:tc>
          <w:tcPr>
            <w:tcW w:w="1382" w:type="dxa"/>
            <w:vMerge/>
            <w:tcBorders>
              <w:top w:val="nil"/>
            </w:tcBorders>
          </w:tcPr>
          <w:p>
            <w:pPr>
              <w:rPr>
                <w:sz w:val="2"/>
                <w:szCs w:val="2"/>
              </w:rPr>
            </w:pPr>
          </w:p>
        </w:tc>
        <w:tc>
          <w:tcPr>
            <w:tcW w:w="1913" w:type="dxa"/>
            <w:vMerge/>
            <w:tcBorders>
              <w:top w:val="nil"/>
            </w:tcBorders>
          </w:tcPr>
          <w:p>
            <w:pPr>
              <w:rPr>
                <w:sz w:val="2"/>
                <w:szCs w:val="2"/>
              </w:rPr>
            </w:pPr>
          </w:p>
        </w:tc>
        <w:tc>
          <w:tcPr>
            <w:tcW w:w="1961" w:type="dxa"/>
            <w:vMerge/>
            <w:tcBorders>
              <w:top w:val="nil"/>
            </w:tcBorders>
          </w:tcPr>
          <w:p>
            <w:pPr>
              <w:rPr>
                <w:sz w:val="2"/>
                <w:szCs w:val="2"/>
              </w:rPr>
            </w:pPr>
          </w:p>
        </w:tc>
        <w:tc>
          <w:tcPr>
            <w:tcW w:w="1548" w:type="dxa"/>
            <w:vMerge/>
            <w:tcBorders>
              <w:top w:val="nil"/>
            </w:tcBorders>
          </w:tcPr>
          <w:p>
            <w:pPr>
              <w:rPr>
                <w:sz w:val="2"/>
                <w:szCs w:val="2"/>
              </w:rPr>
            </w:pPr>
          </w:p>
        </w:tc>
      </w:tr>
      <w:tr>
        <w:trPr>
          <w:trHeight w:val="275" w:hRule="atLeast"/>
        </w:trPr>
        <w:tc>
          <w:tcPr>
            <w:tcW w:w="634" w:type="dxa"/>
          </w:tcPr>
          <w:p>
            <w:pPr>
              <w:pStyle w:val="TableParagraph"/>
              <w:spacing w:line="256" w:lineRule="exact"/>
              <w:ind w:left="137"/>
              <w:rPr>
                <w:sz w:val="24"/>
              </w:rPr>
            </w:pPr>
            <w:r>
              <w:rPr>
                <w:sz w:val="24"/>
              </w:rPr>
              <w:t>330</w:t>
            </w:r>
          </w:p>
        </w:tc>
        <w:tc>
          <w:tcPr>
            <w:tcW w:w="2770" w:type="dxa"/>
          </w:tcPr>
          <w:p>
            <w:pPr>
              <w:pStyle w:val="TableParagraph"/>
              <w:spacing w:line="256" w:lineRule="exact"/>
              <w:ind w:left="110"/>
              <w:rPr>
                <w:sz w:val="24"/>
              </w:rPr>
            </w:pPr>
            <w:r>
              <w:rPr>
                <w:sz w:val="24"/>
              </w:rPr>
              <w:t>Correr e brincar?</w:t>
            </w:r>
          </w:p>
        </w:tc>
        <w:tc>
          <w:tcPr>
            <w:tcW w:w="1382" w:type="dxa"/>
          </w:tcPr>
          <w:p>
            <w:pPr>
              <w:pStyle w:val="TableParagraph"/>
              <w:rPr>
                <w:sz w:val="20"/>
              </w:rPr>
            </w:pPr>
          </w:p>
        </w:tc>
        <w:tc>
          <w:tcPr>
            <w:tcW w:w="1913" w:type="dxa"/>
          </w:tcPr>
          <w:p>
            <w:pPr>
              <w:pStyle w:val="TableParagraph"/>
              <w:rPr>
                <w:sz w:val="20"/>
              </w:rPr>
            </w:pPr>
          </w:p>
        </w:tc>
        <w:tc>
          <w:tcPr>
            <w:tcW w:w="1961" w:type="dxa"/>
          </w:tcPr>
          <w:p>
            <w:pPr>
              <w:pStyle w:val="TableParagraph"/>
              <w:rPr>
                <w:sz w:val="20"/>
              </w:rPr>
            </w:pPr>
          </w:p>
        </w:tc>
        <w:tc>
          <w:tcPr>
            <w:tcW w:w="1548" w:type="dxa"/>
          </w:tcPr>
          <w:p>
            <w:pPr>
              <w:pStyle w:val="TableParagraph"/>
              <w:rPr>
                <w:sz w:val="20"/>
              </w:rPr>
            </w:pPr>
          </w:p>
        </w:tc>
      </w:tr>
    </w:tbl>
    <w:p>
      <w:pPr>
        <w:pStyle w:val="BodyText"/>
        <w:spacing w:before="5"/>
        <w:ind w:left="0"/>
        <w:rPr>
          <w:sz w:val="15"/>
        </w:rPr>
      </w:pPr>
    </w:p>
    <w:p>
      <w:pPr>
        <w:pStyle w:val="BodyText"/>
        <w:spacing w:before="90"/>
        <w:ind w:left="2236" w:right="2249"/>
        <w:jc w:val="center"/>
      </w:pPr>
      <w:r>
        <w:rPr/>
        <w:t>Avaliação dos Escores do CHAQ:</w:t>
      </w:r>
    </w:p>
    <w:p>
      <w:pPr>
        <w:pStyle w:val="BodyText"/>
        <w:ind w:left="2333"/>
      </w:pPr>
      <w:r>
        <w:rPr/>
        <w:t>(média aritmética dos maiores escores de cada componente)</w:t>
      </w:r>
    </w:p>
    <w:p>
      <w:pPr>
        <w:pStyle w:val="BodyText"/>
        <w:spacing w:before="8"/>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2"/>
        <w:gridCol w:w="2876"/>
        <w:gridCol w:w="2132"/>
      </w:tblGrid>
      <w:tr>
        <w:trPr>
          <w:trHeight w:val="275" w:hRule="atLeast"/>
        </w:trPr>
        <w:tc>
          <w:tcPr>
            <w:tcW w:w="5202" w:type="dxa"/>
          </w:tcPr>
          <w:p>
            <w:pPr>
              <w:pStyle w:val="TableParagraph"/>
              <w:spacing w:line="256" w:lineRule="exact"/>
              <w:ind w:left="886" w:right="877"/>
              <w:jc w:val="center"/>
              <w:rPr>
                <w:sz w:val="24"/>
              </w:rPr>
            </w:pPr>
            <w:r>
              <w:rPr>
                <w:sz w:val="24"/>
              </w:rPr>
              <w:t>Componente</w:t>
            </w:r>
          </w:p>
        </w:tc>
        <w:tc>
          <w:tcPr>
            <w:tcW w:w="2876" w:type="dxa"/>
          </w:tcPr>
          <w:p>
            <w:pPr>
              <w:pStyle w:val="TableParagraph"/>
              <w:spacing w:line="256" w:lineRule="exact"/>
              <w:ind w:left="527" w:right="521"/>
              <w:jc w:val="center"/>
              <w:rPr>
                <w:sz w:val="24"/>
              </w:rPr>
            </w:pPr>
            <w:r>
              <w:rPr>
                <w:sz w:val="24"/>
              </w:rPr>
              <w:t>Perguntas</w:t>
            </w:r>
          </w:p>
        </w:tc>
        <w:tc>
          <w:tcPr>
            <w:tcW w:w="2132" w:type="dxa"/>
          </w:tcPr>
          <w:p>
            <w:pPr>
              <w:pStyle w:val="TableParagraph"/>
              <w:spacing w:line="256" w:lineRule="exact"/>
              <w:ind w:left="434"/>
              <w:rPr>
                <w:sz w:val="24"/>
              </w:rPr>
            </w:pPr>
            <w:r>
              <w:rPr>
                <w:sz w:val="24"/>
              </w:rPr>
              <w:t>Maior escore</w:t>
            </w:r>
          </w:p>
        </w:tc>
      </w:tr>
      <w:tr>
        <w:trPr>
          <w:trHeight w:val="275" w:hRule="atLeast"/>
        </w:trPr>
        <w:tc>
          <w:tcPr>
            <w:tcW w:w="5202" w:type="dxa"/>
          </w:tcPr>
          <w:p>
            <w:pPr>
              <w:pStyle w:val="TableParagraph"/>
              <w:spacing w:line="256" w:lineRule="exact"/>
              <w:ind w:left="886" w:right="877"/>
              <w:jc w:val="center"/>
              <w:rPr>
                <w:sz w:val="24"/>
              </w:rPr>
            </w:pPr>
            <w:r>
              <w:rPr>
                <w:sz w:val="24"/>
              </w:rPr>
              <w:t>Componente 1 (vestir-se).</w:t>
            </w:r>
          </w:p>
        </w:tc>
        <w:tc>
          <w:tcPr>
            <w:tcW w:w="2876" w:type="dxa"/>
          </w:tcPr>
          <w:p>
            <w:pPr>
              <w:pStyle w:val="TableParagraph"/>
              <w:spacing w:line="256" w:lineRule="exact"/>
              <w:ind w:left="530" w:right="521"/>
              <w:jc w:val="center"/>
              <w:rPr>
                <w:sz w:val="24"/>
              </w:rPr>
            </w:pPr>
            <w:r>
              <w:rPr>
                <w:sz w:val="24"/>
              </w:rPr>
              <w:t>Perguntas 1 a 4.</w:t>
            </w:r>
          </w:p>
        </w:tc>
        <w:tc>
          <w:tcPr>
            <w:tcW w:w="2132" w:type="dxa"/>
          </w:tcPr>
          <w:p>
            <w:pPr>
              <w:pStyle w:val="TableParagraph"/>
              <w:rPr>
                <w:sz w:val="20"/>
              </w:rPr>
            </w:pPr>
          </w:p>
        </w:tc>
      </w:tr>
      <w:tr>
        <w:trPr>
          <w:trHeight w:val="278" w:hRule="atLeast"/>
        </w:trPr>
        <w:tc>
          <w:tcPr>
            <w:tcW w:w="5202" w:type="dxa"/>
          </w:tcPr>
          <w:p>
            <w:pPr>
              <w:pStyle w:val="TableParagraph"/>
              <w:spacing w:line="258" w:lineRule="exact"/>
              <w:ind w:left="884" w:right="879"/>
              <w:jc w:val="center"/>
              <w:rPr>
                <w:sz w:val="24"/>
              </w:rPr>
            </w:pPr>
            <w:r>
              <w:rPr>
                <w:sz w:val="24"/>
              </w:rPr>
              <w:t>Componente 2 (levantar-se).</w:t>
            </w:r>
          </w:p>
        </w:tc>
        <w:tc>
          <w:tcPr>
            <w:tcW w:w="2876" w:type="dxa"/>
          </w:tcPr>
          <w:p>
            <w:pPr>
              <w:pStyle w:val="TableParagraph"/>
              <w:spacing w:line="258" w:lineRule="exact"/>
              <w:ind w:left="530" w:right="521"/>
              <w:jc w:val="center"/>
              <w:rPr>
                <w:sz w:val="24"/>
              </w:rPr>
            </w:pPr>
            <w:r>
              <w:rPr>
                <w:sz w:val="24"/>
              </w:rPr>
              <w:t>Perguntas 5 e 6.</w:t>
            </w:r>
          </w:p>
        </w:tc>
        <w:tc>
          <w:tcPr>
            <w:tcW w:w="2132" w:type="dxa"/>
          </w:tcPr>
          <w:p>
            <w:pPr>
              <w:pStyle w:val="TableParagraph"/>
              <w:rPr>
                <w:sz w:val="20"/>
              </w:rPr>
            </w:pPr>
          </w:p>
        </w:tc>
      </w:tr>
      <w:tr>
        <w:trPr>
          <w:trHeight w:val="275" w:hRule="atLeast"/>
        </w:trPr>
        <w:tc>
          <w:tcPr>
            <w:tcW w:w="5202" w:type="dxa"/>
          </w:tcPr>
          <w:p>
            <w:pPr>
              <w:pStyle w:val="TableParagraph"/>
              <w:spacing w:line="256" w:lineRule="exact"/>
              <w:ind w:left="886" w:right="879"/>
              <w:jc w:val="center"/>
              <w:rPr>
                <w:sz w:val="24"/>
              </w:rPr>
            </w:pPr>
            <w:r>
              <w:rPr>
                <w:sz w:val="24"/>
              </w:rPr>
              <w:t>Componente 3 (alimentar-se).</w:t>
            </w:r>
          </w:p>
        </w:tc>
        <w:tc>
          <w:tcPr>
            <w:tcW w:w="2876" w:type="dxa"/>
          </w:tcPr>
          <w:p>
            <w:pPr>
              <w:pStyle w:val="TableParagraph"/>
              <w:spacing w:line="256" w:lineRule="exact"/>
              <w:ind w:left="530" w:right="521"/>
              <w:jc w:val="center"/>
              <w:rPr>
                <w:sz w:val="24"/>
              </w:rPr>
            </w:pPr>
            <w:r>
              <w:rPr>
                <w:sz w:val="24"/>
              </w:rPr>
              <w:t>Perguntas 7 a 9.</w:t>
            </w:r>
          </w:p>
        </w:tc>
        <w:tc>
          <w:tcPr>
            <w:tcW w:w="2132" w:type="dxa"/>
          </w:tcPr>
          <w:p>
            <w:pPr>
              <w:pStyle w:val="TableParagraph"/>
              <w:rPr>
                <w:sz w:val="20"/>
              </w:rPr>
            </w:pPr>
          </w:p>
        </w:tc>
      </w:tr>
      <w:tr>
        <w:trPr>
          <w:trHeight w:val="275" w:hRule="atLeast"/>
        </w:trPr>
        <w:tc>
          <w:tcPr>
            <w:tcW w:w="5202" w:type="dxa"/>
          </w:tcPr>
          <w:p>
            <w:pPr>
              <w:pStyle w:val="TableParagraph"/>
              <w:spacing w:line="256" w:lineRule="exact"/>
              <w:ind w:left="886" w:right="879"/>
              <w:jc w:val="center"/>
              <w:rPr>
                <w:sz w:val="24"/>
              </w:rPr>
            </w:pPr>
            <w:r>
              <w:rPr>
                <w:sz w:val="24"/>
              </w:rPr>
              <w:t>Componente 4 (caminhar).</w:t>
            </w:r>
          </w:p>
        </w:tc>
        <w:tc>
          <w:tcPr>
            <w:tcW w:w="2876" w:type="dxa"/>
          </w:tcPr>
          <w:p>
            <w:pPr>
              <w:pStyle w:val="TableParagraph"/>
              <w:spacing w:line="256" w:lineRule="exact"/>
              <w:ind w:left="530" w:right="521"/>
              <w:jc w:val="center"/>
              <w:rPr>
                <w:sz w:val="24"/>
              </w:rPr>
            </w:pPr>
            <w:r>
              <w:rPr>
                <w:sz w:val="24"/>
              </w:rPr>
              <w:t>Perguntas 10 e 11.</w:t>
            </w:r>
          </w:p>
        </w:tc>
        <w:tc>
          <w:tcPr>
            <w:tcW w:w="2132" w:type="dxa"/>
          </w:tcPr>
          <w:p>
            <w:pPr>
              <w:pStyle w:val="TableParagraph"/>
              <w:rPr>
                <w:sz w:val="20"/>
              </w:rPr>
            </w:pPr>
          </w:p>
        </w:tc>
      </w:tr>
      <w:tr>
        <w:trPr>
          <w:trHeight w:val="275" w:hRule="atLeast"/>
        </w:trPr>
        <w:tc>
          <w:tcPr>
            <w:tcW w:w="5202" w:type="dxa"/>
          </w:tcPr>
          <w:p>
            <w:pPr>
              <w:pStyle w:val="TableParagraph"/>
              <w:spacing w:line="256" w:lineRule="exact"/>
              <w:ind w:left="886" w:right="879"/>
              <w:jc w:val="center"/>
              <w:rPr>
                <w:sz w:val="24"/>
              </w:rPr>
            </w:pPr>
            <w:r>
              <w:rPr>
                <w:sz w:val="24"/>
              </w:rPr>
              <w:t>Componente 5 (higiene pessoal).</w:t>
            </w:r>
          </w:p>
        </w:tc>
        <w:tc>
          <w:tcPr>
            <w:tcW w:w="2876" w:type="dxa"/>
          </w:tcPr>
          <w:p>
            <w:pPr>
              <w:pStyle w:val="TableParagraph"/>
              <w:spacing w:line="256" w:lineRule="exact"/>
              <w:ind w:left="530" w:right="521"/>
              <w:jc w:val="center"/>
              <w:rPr>
                <w:sz w:val="24"/>
              </w:rPr>
            </w:pPr>
            <w:r>
              <w:rPr>
                <w:sz w:val="24"/>
              </w:rPr>
              <w:t>Perguntas 12 a 16.</w:t>
            </w:r>
          </w:p>
        </w:tc>
        <w:tc>
          <w:tcPr>
            <w:tcW w:w="2132" w:type="dxa"/>
          </w:tcPr>
          <w:p>
            <w:pPr>
              <w:pStyle w:val="TableParagraph"/>
              <w:rPr>
                <w:sz w:val="20"/>
              </w:rPr>
            </w:pPr>
          </w:p>
        </w:tc>
      </w:tr>
      <w:tr>
        <w:trPr>
          <w:trHeight w:val="275" w:hRule="atLeast"/>
        </w:trPr>
        <w:tc>
          <w:tcPr>
            <w:tcW w:w="5202" w:type="dxa"/>
          </w:tcPr>
          <w:p>
            <w:pPr>
              <w:pStyle w:val="TableParagraph"/>
              <w:spacing w:line="256" w:lineRule="exact"/>
              <w:ind w:left="886" w:right="879"/>
              <w:jc w:val="center"/>
              <w:rPr>
                <w:sz w:val="24"/>
              </w:rPr>
            </w:pPr>
            <w:r>
              <w:rPr>
                <w:sz w:val="24"/>
              </w:rPr>
              <w:t>Componente 6 (alcançar).</w:t>
            </w:r>
          </w:p>
        </w:tc>
        <w:tc>
          <w:tcPr>
            <w:tcW w:w="2876" w:type="dxa"/>
          </w:tcPr>
          <w:p>
            <w:pPr>
              <w:pStyle w:val="TableParagraph"/>
              <w:spacing w:line="256" w:lineRule="exact"/>
              <w:ind w:left="530" w:right="521"/>
              <w:jc w:val="center"/>
              <w:rPr>
                <w:sz w:val="24"/>
              </w:rPr>
            </w:pPr>
            <w:r>
              <w:rPr>
                <w:sz w:val="24"/>
              </w:rPr>
              <w:t>Perguntas 17 a 20.</w:t>
            </w:r>
          </w:p>
        </w:tc>
        <w:tc>
          <w:tcPr>
            <w:tcW w:w="2132" w:type="dxa"/>
          </w:tcPr>
          <w:p>
            <w:pPr>
              <w:pStyle w:val="TableParagraph"/>
              <w:rPr>
                <w:sz w:val="20"/>
              </w:rPr>
            </w:pPr>
          </w:p>
        </w:tc>
      </w:tr>
      <w:tr>
        <w:trPr>
          <w:trHeight w:val="275" w:hRule="atLeast"/>
        </w:trPr>
        <w:tc>
          <w:tcPr>
            <w:tcW w:w="5202" w:type="dxa"/>
          </w:tcPr>
          <w:p>
            <w:pPr>
              <w:pStyle w:val="TableParagraph"/>
              <w:spacing w:line="256" w:lineRule="exact"/>
              <w:ind w:left="886" w:right="879"/>
              <w:jc w:val="center"/>
              <w:rPr>
                <w:sz w:val="24"/>
              </w:rPr>
            </w:pPr>
            <w:r>
              <w:rPr>
                <w:sz w:val="24"/>
              </w:rPr>
              <w:t>Componente 7 (apreender objetos).</w:t>
            </w:r>
          </w:p>
        </w:tc>
        <w:tc>
          <w:tcPr>
            <w:tcW w:w="2876" w:type="dxa"/>
          </w:tcPr>
          <w:p>
            <w:pPr>
              <w:pStyle w:val="TableParagraph"/>
              <w:spacing w:line="256" w:lineRule="exact"/>
              <w:ind w:left="530" w:right="521"/>
              <w:jc w:val="center"/>
              <w:rPr>
                <w:sz w:val="24"/>
              </w:rPr>
            </w:pPr>
            <w:r>
              <w:rPr>
                <w:sz w:val="24"/>
              </w:rPr>
              <w:t>Perguntas 21 a 25.</w:t>
            </w:r>
          </w:p>
        </w:tc>
        <w:tc>
          <w:tcPr>
            <w:tcW w:w="2132" w:type="dxa"/>
          </w:tcPr>
          <w:p>
            <w:pPr>
              <w:pStyle w:val="TableParagraph"/>
              <w:rPr>
                <w:sz w:val="20"/>
              </w:rPr>
            </w:pPr>
          </w:p>
        </w:tc>
      </w:tr>
      <w:tr>
        <w:trPr>
          <w:trHeight w:val="278" w:hRule="atLeast"/>
        </w:trPr>
        <w:tc>
          <w:tcPr>
            <w:tcW w:w="5202" w:type="dxa"/>
          </w:tcPr>
          <w:p>
            <w:pPr>
              <w:pStyle w:val="TableParagraph"/>
              <w:spacing w:line="258" w:lineRule="exact"/>
              <w:ind w:left="884" w:right="879"/>
              <w:jc w:val="center"/>
              <w:rPr>
                <w:sz w:val="24"/>
              </w:rPr>
            </w:pPr>
            <w:r>
              <w:rPr>
                <w:sz w:val="24"/>
              </w:rPr>
              <w:t>Componente 8 (outras atividades).</w:t>
            </w:r>
          </w:p>
        </w:tc>
        <w:tc>
          <w:tcPr>
            <w:tcW w:w="2876" w:type="dxa"/>
          </w:tcPr>
          <w:p>
            <w:pPr>
              <w:pStyle w:val="TableParagraph"/>
              <w:spacing w:line="258" w:lineRule="exact"/>
              <w:ind w:left="530" w:right="521"/>
              <w:jc w:val="center"/>
              <w:rPr>
                <w:sz w:val="24"/>
              </w:rPr>
            </w:pPr>
            <w:r>
              <w:rPr>
                <w:sz w:val="24"/>
              </w:rPr>
              <w:t>Perguntas 26 a 30.</w:t>
            </w:r>
          </w:p>
        </w:tc>
        <w:tc>
          <w:tcPr>
            <w:tcW w:w="2132" w:type="dxa"/>
          </w:tcPr>
          <w:p>
            <w:pPr>
              <w:pStyle w:val="TableParagraph"/>
              <w:rPr>
                <w:sz w:val="20"/>
              </w:rPr>
            </w:pPr>
          </w:p>
        </w:tc>
      </w:tr>
    </w:tbl>
    <w:p>
      <w:pPr>
        <w:pStyle w:val="BodyText"/>
        <w:spacing w:before="3"/>
        <w:ind w:left="0"/>
        <w:rPr>
          <w:sz w:val="23"/>
        </w:rPr>
      </w:pPr>
    </w:p>
    <w:p>
      <w:pPr>
        <w:pStyle w:val="BodyText"/>
        <w:ind w:right="123" w:firstLine="566"/>
        <w:jc w:val="both"/>
      </w:pPr>
      <w:r>
        <w:rPr/>
        <w:t>A fórmula do CHAQ é calculada a partir dos maiores escores de cada componente: somatório dos maiores escores de cada componente (o maior escore do componente 1 mais o maior escore do componente 2 mais o maior escore do componente 3 mais o maior escore do componente 4 mais o maior escore do componente 5 mais o maior escore do componente 6 mais o maior escore do componente 7 mais o maior escore do componente 8) dividido por</w:t>
      </w:r>
      <w:r>
        <w:rPr>
          <w:spacing w:val="-4"/>
        </w:rPr>
        <w:t> </w:t>
      </w:r>
      <w:r>
        <w:rPr/>
        <w:t>8.</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10"/>
        <w:ind w:left="0"/>
        <w:rPr>
          <w:sz w:val="35"/>
        </w:rPr>
      </w:pPr>
    </w:p>
    <w:p>
      <w:pPr>
        <w:pStyle w:val="BodyText"/>
        <w:ind w:left="3109"/>
      </w:pPr>
      <w:r>
        <w:rPr/>
        <w:t>TERMO DE ESCLARECIMENTO E RESPONSABILIDADE</w:t>
      </w:r>
    </w:p>
    <w:p>
      <w:pPr>
        <w:spacing w:after="0"/>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3"/>
        </w:rPr>
      </w:pPr>
    </w:p>
    <w:p>
      <w:pPr>
        <w:pStyle w:val="BodyText"/>
        <w:spacing w:before="90"/>
        <w:ind w:left="127" w:right="139" w:hanging="1"/>
        <w:jc w:val="center"/>
      </w:pPr>
      <w:r>
        <w:rPr/>
        <w:t>IBUPROFENO, NAPROXENO, CLOROQUINA, HIDROXICLOROQUINA, SULFASSALAZINA, METOTREXATO, AZATIOPRINA, CICLOSPORINA, CICLOFOSFAMIDA, LEFLUNOMIDA, METILPREDNISOLONA,</w:t>
      </w:r>
      <w:r>
        <w:rPr>
          <w:spacing w:val="-18"/>
        </w:rPr>
        <w:t> </w:t>
      </w:r>
      <w:r>
        <w:rPr/>
        <w:t>PREDNISONA,</w:t>
      </w:r>
      <w:r>
        <w:rPr>
          <w:spacing w:val="-18"/>
        </w:rPr>
        <w:t> </w:t>
      </w:r>
      <w:r>
        <w:rPr/>
        <w:t>PRESNISOLONA,</w:t>
      </w:r>
      <w:r>
        <w:rPr>
          <w:spacing w:val="-16"/>
        </w:rPr>
        <w:t> </w:t>
      </w:r>
      <w:r>
        <w:rPr/>
        <w:t>ADALIMUMABE,</w:t>
      </w:r>
      <w:r>
        <w:rPr>
          <w:spacing w:val="-19"/>
        </w:rPr>
        <w:t> </w:t>
      </w:r>
      <w:r>
        <w:rPr/>
        <w:t>CERTOLIZUMABE PEGOL,</w:t>
      </w:r>
      <w:r>
        <w:rPr>
          <w:spacing w:val="-15"/>
        </w:rPr>
        <w:t> </w:t>
      </w:r>
      <w:r>
        <w:rPr/>
        <w:t>ETANERCEPTE,</w:t>
      </w:r>
      <w:r>
        <w:rPr>
          <w:spacing w:val="-11"/>
        </w:rPr>
        <w:t> </w:t>
      </w:r>
      <w:r>
        <w:rPr/>
        <w:t>INFLIXIMABE,</w:t>
      </w:r>
      <w:r>
        <w:rPr>
          <w:spacing w:val="-14"/>
        </w:rPr>
        <w:t> </w:t>
      </w:r>
      <w:r>
        <w:rPr/>
        <w:t>GOLIMUMABE,</w:t>
      </w:r>
      <w:r>
        <w:rPr>
          <w:spacing w:val="-14"/>
        </w:rPr>
        <w:t> </w:t>
      </w:r>
      <w:r>
        <w:rPr/>
        <w:t>ABATACEPTE,</w:t>
      </w:r>
      <w:r>
        <w:rPr>
          <w:spacing w:val="-14"/>
        </w:rPr>
        <w:t> </w:t>
      </w:r>
      <w:r>
        <w:rPr/>
        <w:t>RITUXIMABE</w:t>
      </w:r>
    </w:p>
    <w:p>
      <w:pPr>
        <w:pStyle w:val="BodyText"/>
        <w:ind w:left="3308"/>
      </w:pPr>
      <w:r>
        <w:rPr/>
        <w:t>,TOCILIZUMABE E TOFACITINIBE.</w:t>
      </w:r>
    </w:p>
    <w:p>
      <w:pPr>
        <w:pStyle w:val="BodyText"/>
        <w:ind w:left="0"/>
      </w:pPr>
    </w:p>
    <w:p>
      <w:pPr>
        <w:pStyle w:val="BodyText"/>
        <w:tabs>
          <w:tab w:pos="3815" w:val="left" w:leader="none"/>
        </w:tabs>
        <w:ind w:right="127" w:firstLine="1418"/>
        <w:jc w:val="both"/>
      </w:pPr>
      <w:r>
        <w:rPr/>
        <w:t>Eu,</w:t>
      </w:r>
      <w:r>
        <w:rPr>
          <w:u w:val="single"/>
        </w:rPr>
        <w:t> </w:t>
        <w:tab/>
      </w:r>
      <w:r>
        <w:rPr/>
        <w:t>(nome do(a) paciente), declaro ter sido informado(a) claramente sobre benefícios, riscos, contraindicações e principais efeitos adversos relacionados ao uso de naproxeno, cloroquina, hidroxicloroquina, sulfassalazina, metotrexato, azatioprina, ciclosporina, leflunomida, metilprednisolona, adalimumabe, certolizumabe pegol, etanercepte, infliximabe, golimumabe, abatacepte, rituximabe e tocilizumabe, indicados para o tratamento da artrite</w:t>
      </w:r>
      <w:r>
        <w:rPr>
          <w:spacing w:val="-7"/>
        </w:rPr>
        <w:t> </w:t>
      </w:r>
      <w:r>
        <w:rPr/>
        <w:t>reumatoide.</w:t>
      </w:r>
    </w:p>
    <w:p>
      <w:pPr>
        <w:pStyle w:val="BodyText"/>
        <w:spacing w:before="1"/>
        <w:ind w:left="1531"/>
      </w:pPr>
      <w:r>
        <w:rPr/>
        <w:t>Os termos médicos foram explicados e todas as dúvidas foram esclarecidas pelo médico</w:t>
      </w:r>
    </w:p>
    <w:p>
      <w:pPr>
        <w:pStyle w:val="BodyText"/>
        <w:tabs>
          <w:tab w:pos="1727" w:val="left" w:leader="none"/>
        </w:tabs>
      </w:pPr>
      <w:r>
        <w:rPr>
          <w:u w:val="single"/>
        </w:rPr>
        <w:t> </w:t>
        <w:tab/>
      </w:r>
      <w:r>
        <w:rPr/>
        <w:t>(nome do médico que</w:t>
      </w:r>
      <w:r>
        <w:rPr>
          <w:spacing w:val="-4"/>
        </w:rPr>
        <w:t> </w:t>
      </w:r>
      <w:r>
        <w:rPr/>
        <w:t>prescreve).</w:t>
      </w:r>
    </w:p>
    <w:p>
      <w:pPr>
        <w:pStyle w:val="BodyText"/>
        <w:ind w:right="123" w:firstLine="1418"/>
        <w:jc w:val="both"/>
      </w:pPr>
      <w:r>
        <w:rPr/>
        <w:t>Expresso também minha concordância e espontânea vontade em submeter-me ao referido tratamento, assumindo a responsabilidade e os riscos pelos eventuais efeitos indesejáveis. Assim, declaro que fui claramente informado(a) de que o(s) medicamento(s) que passo a receber pode(m) trazer os seguintes benefícios:</w:t>
      </w:r>
    </w:p>
    <w:p>
      <w:pPr>
        <w:pStyle w:val="ListParagraph"/>
        <w:numPr>
          <w:ilvl w:val="0"/>
          <w:numId w:val="37"/>
        </w:numPr>
        <w:tabs>
          <w:tab w:pos="1671" w:val="left" w:leader="none"/>
        </w:tabs>
        <w:spacing w:line="240" w:lineRule="auto" w:before="0" w:after="0"/>
        <w:ind w:left="112" w:right="0" w:firstLine="1419"/>
        <w:jc w:val="left"/>
        <w:rPr>
          <w:sz w:val="24"/>
        </w:rPr>
      </w:pPr>
      <w:r>
        <w:rPr>
          <w:sz w:val="24"/>
        </w:rPr>
        <w:t>prevenção das complicações da</w:t>
      </w:r>
      <w:r>
        <w:rPr>
          <w:spacing w:val="-2"/>
          <w:sz w:val="24"/>
        </w:rPr>
        <w:t> </w:t>
      </w:r>
      <w:r>
        <w:rPr>
          <w:sz w:val="24"/>
        </w:rPr>
        <w:t>doença;</w:t>
      </w:r>
    </w:p>
    <w:p>
      <w:pPr>
        <w:pStyle w:val="ListParagraph"/>
        <w:numPr>
          <w:ilvl w:val="0"/>
          <w:numId w:val="37"/>
        </w:numPr>
        <w:tabs>
          <w:tab w:pos="1671" w:val="left" w:leader="none"/>
        </w:tabs>
        <w:spacing w:line="240" w:lineRule="auto" w:before="0" w:after="0"/>
        <w:ind w:left="112" w:right="0" w:firstLine="1419"/>
        <w:jc w:val="left"/>
        <w:rPr>
          <w:sz w:val="24"/>
        </w:rPr>
      </w:pPr>
      <w:r>
        <w:rPr>
          <w:sz w:val="24"/>
        </w:rPr>
        <w:t>controle da atividade da</w:t>
      </w:r>
      <w:r>
        <w:rPr>
          <w:spacing w:val="-2"/>
          <w:sz w:val="24"/>
        </w:rPr>
        <w:t> </w:t>
      </w:r>
      <w:r>
        <w:rPr>
          <w:sz w:val="24"/>
        </w:rPr>
        <w:t>doença;</w:t>
      </w:r>
    </w:p>
    <w:p>
      <w:pPr>
        <w:pStyle w:val="ListParagraph"/>
        <w:numPr>
          <w:ilvl w:val="0"/>
          <w:numId w:val="37"/>
        </w:numPr>
        <w:tabs>
          <w:tab w:pos="1671" w:val="left" w:leader="none"/>
        </w:tabs>
        <w:spacing w:line="240" w:lineRule="auto" w:before="0" w:after="0"/>
        <w:ind w:left="112" w:right="0" w:firstLine="1419"/>
        <w:jc w:val="left"/>
        <w:rPr>
          <w:sz w:val="24"/>
        </w:rPr>
      </w:pPr>
      <w:r>
        <w:rPr>
          <w:sz w:val="24"/>
        </w:rPr>
        <w:t>melhora da capacidade de realizar atividades</w:t>
      </w:r>
      <w:r>
        <w:rPr>
          <w:spacing w:val="-1"/>
          <w:sz w:val="24"/>
        </w:rPr>
        <w:t> </w:t>
      </w:r>
      <w:r>
        <w:rPr>
          <w:sz w:val="24"/>
        </w:rPr>
        <w:t>funcionais;</w:t>
      </w:r>
    </w:p>
    <w:p>
      <w:pPr>
        <w:pStyle w:val="ListParagraph"/>
        <w:numPr>
          <w:ilvl w:val="0"/>
          <w:numId w:val="37"/>
        </w:numPr>
        <w:tabs>
          <w:tab w:pos="1671" w:val="left" w:leader="none"/>
        </w:tabs>
        <w:spacing w:line="240" w:lineRule="auto" w:before="0" w:after="0"/>
        <w:ind w:left="112" w:right="0" w:firstLine="1419"/>
        <w:jc w:val="left"/>
        <w:rPr>
          <w:sz w:val="24"/>
        </w:rPr>
      </w:pPr>
      <w:r>
        <w:rPr>
          <w:sz w:val="24"/>
        </w:rPr>
        <w:t>melhora da qualidade de</w:t>
      </w:r>
      <w:r>
        <w:rPr>
          <w:spacing w:val="-4"/>
          <w:sz w:val="24"/>
        </w:rPr>
        <w:t> </w:t>
      </w:r>
      <w:r>
        <w:rPr>
          <w:sz w:val="24"/>
        </w:rPr>
        <w:t>vida.</w:t>
      </w:r>
    </w:p>
    <w:p>
      <w:pPr>
        <w:pStyle w:val="BodyText"/>
        <w:ind w:right="132" w:firstLine="1418"/>
        <w:jc w:val="both"/>
      </w:pPr>
      <w:r>
        <w:rPr/>
        <w:t>Fui também claramente informado(a) a respeito das seguintes contraindicações, potenciais efeitos colaterais e riscos:</w:t>
      </w:r>
    </w:p>
    <w:p>
      <w:pPr>
        <w:pStyle w:val="ListParagraph"/>
        <w:numPr>
          <w:ilvl w:val="0"/>
          <w:numId w:val="37"/>
        </w:numPr>
        <w:tabs>
          <w:tab w:pos="1712" w:val="left" w:leader="none"/>
        </w:tabs>
        <w:spacing w:line="240" w:lineRule="auto" w:before="0" w:after="0"/>
        <w:ind w:left="112" w:right="131" w:firstLine="1419"/>
        <w:jc w:val="both"/>
        <w:rPr>
          <w:sz w:val="24"/>
        </w:rPr>
      </w:pPr>
      <w:r>
        <w:rPr>
          <w:sz w:val="24"/>
        </w:rPr>
        <w:t>os riscos na gestação e na amamentação já são conhecidos; portanto, caso engravide, devo avisar imediatamente o</w:t>
      </w:r>
      <w:r>
        <w:rPr>
          <w:spacing w:val="-2"/>
          <w:sz w:val="24"/>
        </w:rPr>
        <w:t> </w:t>
      </w:r>
      <w:r>
        <w:rPr>
          <w:sz w:val="24"/>
        </w:rPr>
        <w:t>médico;</w:t>
      </w:r>
    </w:p>
    <w:p>
      <w:pPr>
        <w:pStyle w:val="ListParagraph"/>
        <w:numPr>
          <w:ilvl w:val="0"/>
          <w:numId w:val="37"/>
        </w:numPr>
        <w:tabs>
          <w:tab w:pos="1729" w:val="left" w:leader="none"/>
        </w:tabs>
        <w:spacing w:line="240" w:lineRule="auto" w:before="0" w:after="0"/>
        <w:ind w:left="112" w:right="125" w:firstLine="1419"/>
        <w:jc w:val="both"/>
        <w:rPr>
          <w:sz w:val="24"/>
        </w:rPr>
      </w:pPr>
      <w:r>
        <w:rPr>
          <w:sz w:val="24"/>
        </w:rPr>
        <w:t>medicamentos classificados na gestação como categoria B (estudos em animais não mostraram anormalidades nos descendentes, porém não há estudos em humanos; risco para o bebê muito improvável): infliximabe, etanercepte, adalimumabe, golimumabe, certolizumabe pegol e sulfassalazina (no primeiro</w:t>
      </w:r>
      <w:r>
        <w:rPr>
          <w:spacing w:val="-1"/>
          <w:sz w:val="24"/>
        </w:rPr>
        <w:t> </w:t>
      </w:r>
      <w:r>
        <w:rPr>
          <w:sz w:val="24"/>
        </w:rPr>
        <w:t>trimestre);</w:t>
      </w:r>
    </w:p>
    <w:p>
      <w:pPr>
        <w:pStyle w:val="ListParagraph"/>
        <w:numPr>
          <w:ilvl w:val="0"/>
          <w:numId w:val="37"/>
        </w:numPr>
        <w:tabs>
          <w:tab w:pos="1774" w:val="left" w:leader="none"/>
        </w:tabs>
        <w:spacing w:line="240" w:lineRule="auto" w:before="0" w:after="0"/>
        <w:ind w:left="112" w:right="120" w:firstLine="1419"/>
        <w:jc w:val="both"/>
        <w:rPr>
          <w:sz w:val="24"/>
        </w:rPr>
      </w:pPr>
      <w:r>
        <w:rPr>
          <w:sz w:val="24"/>
        </w:rPr>
        <w:t>medicamentos classificados na gestação como categoria C (estudos em animais mostraram anormalidades nos descendentes, porém não há estudos em humanos; o risco para o bebê não pode ser descartado, mas um benefício potencial pode ser maior do que os riscos): cloroquina, hidroxicloroquina, ciclosporina, metilprednisolona, abatacepte, rituximabe, tocilizumabe e naproxeno (este último, nos primeiro e segundo trimestres de</w:t>
      </w:r>
      <w:r>
        <w:rPr>
          <w:spacing w:val="-2"/>
          <w:sz w:val="24"/>
        </w:rPr>
        <w:t> </w:t>
      </w:r>
      <w:r>
        <w:rPr>
          <w:sz w:val="24"/>
        </w:rPr>
        <w:t>gestação).</w:t>
      </w:r>
    </w:p>
    <w:p>
      <w:pPr>
        <w:pStyle w:val="ListParagraph"/>
        <w:numPr>
          <w:ilvl w:val="0"/>
          <w:numId w:val="37"/>
        </w:numPr>
        <w:tabs>
          <w:tab w:pos="1678" w:val="left" w:leader="none"/>
        </w:tabs>
        <w:spacing w:line="240" w:lineRule="auto" w:before="0" w:after="0"/>
        <w:ind w:left="112" w:right="123" w:firstLine="1419"/>
        <w:jc w:val="both"/>
        <w:rPr>
          <w:sz w:val="24"/>
        </w:rPr>
      </w:pPr>
      <w:r>
        <w:rPr>
          <w:sz w:val="24"/>
        </w:rPr>
        <w:t>medicamento classificado na gestação como categoria D (há evidências de riscos ao feto, mas um benefício potencial pode ser maior do que os riscos) sulfassalazina (no terceiro trimestre de gestação), ciclofosfamida e azatioprina. Naproxeno e demais antiinflamatórios não esteroidais também se apresentam nesta categoria quando utilizados no terceiro trimestre de gestação ou próximo ao</w:t>
      </w:r>
      <w:r>
        <w:rPr>
          <w:spacing w:val="-6"/>
          <w:sz w:val="24"/>
        </w:rPr>
        <w:t> </w:t>
      </w:r>
      <w:r>
        <w:rPr>
          <w:sz w:val="24"/>
        </w:rPr>
        <w:t>parto.</w:t>
      </w:r>
    </w:p>
    <w:p>
      <w:pPr>
        <w:pStyle w:val="ListParagraph"/>
        <w:numPr>
          <w:ilvl w:val="0"/>
          <w:numId w:val="37"/>
        </w:numPr>
        <w:tabs>
          <w:tab w:pos="1702" w:val="left" w:leader="none"/>
        </w:tabs>
        <w:spacing w:line="240" w:lineRule="auto" w:before="1" w:after="0"/>
        <w:ind w:left="112" w:right="126" w:firstLine="1419"/>
        <w:jc w:val="both"/>
        <w:rPr>
          <w:sz w:val="24"/>
        </w:rPr>
      </w:pPr>
      <w:r>
        <w:rPr>
          <w:sz w:val="24"/>
        </w:rPr>
        <w:t>medicamentos classificados na gestação como categoria X (estudos em animais ou em humanos claramente monstraram risco para o bebê que suplantam quaisquer potenciais benefícios, sendo contraindicados na gestação): leflunomida, metotrexato e</w:t>
      </w:r>
      <w:r>
        <w:rPr>
          <w:spacing w:val="-1"/>
          <w:sz w:val="24"/>
        </w:rPr>
        <w:t> </w:t>
      </w:r>
      <w:r>
        <w:rPr>
          <w:sz w:val="24"/>
        </w:rPr>
        <w:t>tofactinibe;</w:t>
      </w:r>
    </w:p>
    <w:p>
      <w:pPr>
        <w:pStyle w:val="ListParagraph"/>
        <w:numPr>
          <w:ilvl w:val="0"/>
          <w:numId w:val="37"/>
        </w:numPr>
        <w:tabs>
          <w:tab w:pos="1698" w:val="left" w:leader="none"/>
        </w:tabs>
        <w:spacing w:line="240" w:lineRule="auto" w:before="0" w:after="0"/>
        <w:ind w:left="112" w:right="128" w:firstLine="1419"/>
        <w:jc w:val="both"/>
        <w:rPr>
          <w:sz w:val="24"/>
        </w:rPr>
      </w:pPr>
      <w:r>
        <w:rPr>
          <w:sz w:val="24"/>
        </w:rPr>
        <w:t>efeitos adversos do ibuprofeno: Cólicas abdominais, gastralgia ou desconforto gástrico, indigestão, náusea e/ou vômito. Sangramento gastrointestinal com ou sem ulceração, assim como o aparecimento de erupções</w:t>
      </w:r>
      <w:r>
        <w:rPr>
          <w:spacing w:val="-1"/>
          <w:sz w:val="24"/>
        </w:rPr>
        <w:t> </w:t>
      </w:r>
      <w:r>
        <w:rPr>
          <w:sz w:val="24"/>
        </w:rPr>
        <w:t>cutâneas;</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ListParagraph"/>
        <w:numPr>
          <w:ilvl w:val="0"/>
          <w:numId w:val="37"/>
        </w:numPr>
        <w:tabs>
          <w:tab w:pos="1729" w:val="left" w:leader="none"/>
        </w:tabs>
        <w:spacing w:line="240" w:lineRule="auto" w:before="90" w:after="0"/>
        <w:ind w:left="112" w:right="130" w:firstLine="1419"/>
        <w:jc w:val="both"/>
        <w:rPr>
          <w:sz w:val="24"/>
        </w:rPr>
      </w:pPr>
      <w:r>
        <w:rPr>
          <w:sz w:val="24"/>
        </w:rPr>
        <w:t>efeitos adversos do naproxeno: dor abdominal, sede, constipação, diarreia, dispneia, náuseas, estomatite, azia, sonolência, vertigens, enxaquecas, tontura, erupções cutâneas, prurido, sudorese, ocorrência de distúrbios auditivos e visuais, palpitações, edemas, dispepsia e</w:t>
      </w:r>
      <w:r>
        <w:rPr>
          <w:spacing w:val="-6"/>
          <w:sz w:val="24"/>
        </w:rPr>
        <w:t> </w:t>
      </w:r>
      <w:r>
        <w:rPr>
          <w:sz w:val="24"/>
        </w:rPr>
        <w:t>púrpura;</w:t>
      </w:r>
    </w:p>
    <w:p>
      <w:pPr>
        <w:pStyle w:val="ListParagraph"/>
        <w:numPr>
          <w:ilvl w:val="0"/>
          <w:numId w:val="37"/>
        </w:numPr>
        <w:tabs>
          <w:tab w:pos="1676" w:val="left" w:leader="none"/>
        </w:tabs>
        <w:spacing w:line="240" w:lineRule="auto" w:before="0" w:after="0"/>
        <w:ind w:left="112" w:right="126" w:firstLine="1419"/>
        <w:jc w:val="both"/>
        <w:rPr>
          <w:sz w:val="24"/>
        </w:rPr>
      </w:pPr>
      <w:r>
        <w:rPr>
          <w:sz w:val="24"/>
        </w:rPr>
        <w:t>efeitos adversos da azatioprina: diminuição das células brancas, vermelhas e plaquetas do sangue, náuseas, vômitos, diarreia, dor abdominal, fezes com sangue, problemas no fígado, febre, calafrios, diminuição de apetite, vermelhidão de pele, perda de cabelo, aftas, dores nas juntas, problemas nos olhos (retinopatia), falta de ar, pressão</w:t>
      </w:r>
      <w:r>
        <w:rPr>
          <w:spacing w:val="-3"/>
          <w:sz w:val="24"/>
        </w:rPr>
        <w:t> </w:t>
      </w:r>
      <w:r>
        <w:rPr>
          <w:sz w:val="24"/>
        </w:rPr>
        <w:t>baixa;</w:t>
      </w:r>
    </w:p>
    <w:p>
      <w:pPr>
        <w:pStyle w:val="ListParagraph"/>
        <w:numPr>
          <w:ilvl w:val="0"/>
          <w:numId w:val="37"/>
        </w:numPr>
        <w:tabs>
          <w:tab w:pos="1686" w:val="left" w:leader="none"/>
        </w:tabs>
        <w:spacing w:line="240" w:lineRule="auto" w:before="0" w:after="0"/>
        <w:ind w:left="112" w:right="126" w:firstLine="1419"/>
        <w:jc w:val="both"/>
        <w:rPr>
          <w:sz w:val="24"/>
        </w:rPr>
      </w:pPr>
      <w:r>
        <w:rPr>
          <w:sz w:val="24"/>
        </w:rPr>
        <w:t>efeitos adversos de cloroquina e hidroxicloroquina: distúrbios visuais com visão borrada e fotofobia, edema macular, pigmentação anormal, retinopatia, atrofia do disco óptico, escotomas, diminuição da acuidade visual e nistagmo; outras reações: problemas emocionais, dores de cabeça, tonturas, movimentos involuntários, cansaço, branqueamento e queda de cabelos, mudanças da cor da pele e alergias leves a graves, náuseas, vômitos, perda de apetite, desconforto abdominal, diarreia, parada na produção de sangue pela medula óssea (anemia aplásica), parada na produção de células brancas pela medula óssea (agranulocitose), diminuição de células brancas do sangue e de plaquetas, destruição das células do sangue (hemólise); reações raras: miopatia, paralisia, zumbido e</w:t>
      </w:r>
      <w:r>
        <w:rPr>
          <w:spacing w:val="-3"/>
          <w:sz w:val="24"/>
        </w:rPr>
        <w:t> </w:t>
      </w:r>
      <w:r>
        <w:rPr>
          <w:sz w:val="24"/>
        </w:rPr>
        <w:t>surdez;</w:t>
      </w:r>
    </w:p>
    <w:p>
      <w:pPr>
        <w:pStyle w:val="ListParagraph"/>
        <w:numPr>
          <w:ilvl w:val="0"/>
          <w:numId w:val="37"/>
        </w:numPr>
        <w:tabs>
          <w:tab w:pos="1698" w:val="left" w:leader="none"/>
        </w:tabs>
        <w:spacing w:line="240" w:lineRule="auto" w:before="1" w:after="0"/>
        <w:ind w:left="112" w:right="126" w:firstLine="1419"/>
        <w:jc w:val="both"/>
        <w:rPr>
          <w:sz w:val="24"/>
        </w:rPr>
      </w:pPr>
      <w:r>
        <w:rPr>
          <w:sz w:val="24"/>
        </w:rPr>
        <w:t>efeitos adversos da sulfassalazina: dores de cabeça, aumento da sensibilidade aos raios solares, alergias de pele graves, dores abdominais, náuseas, vômitos, perda de apetite, diarreia, hepatite, dificuldade para engolir, diminuição do número dos glóbulos brancos no sangue, parada na produção de sangue pela medula óssea (anemia aplásica), anemia por destruição aumentada dos glóbulos vermelhos do sangue (anemia hemolítica), diminuição do número de plaquetas no sangue, falta de ar associada a tosse e febre (pneumonite intersticial), dores articulares, cansaço e reações alérgicas;</w:t>
      </w:r>
    </w:p>
    <w:p>
      <w:pPr>
        <w:pStyle w:val="ListParagraph"/>
        <w:numPr>
          <w:ilvl w:val="0"/>
          <w:numId w:val="37"/>
        </w:numPr>
        <w:tabs>
          <w:tab w:pos="1707" w:val="left" w:leader="none"/>
        </w:tabs>
        <w:spacing w:line="240" w:lineRule="auto" w:before="0" w:after="0"/>
        <w:ind w:left="112" w:right="121" w:firstLine="1419"/>
        <w:jc w:val="both"/>
        <w:rPr>
          <w:sz w:val="24"/>
        </w:rPr>
      </w:pPr>
      <w:r>
        <w:rPr>
          <w:sz w:val="24"/>
        </w:rPr>
        <w:t>efeitos adversos da ciclosporina: disfunção renal, tremores, aumento da quantidade de pelos no corpo, pressão alta, hipertrofia gengival, aumento dos níveis de colesterol e triglicerídios, formigamentos, dor no peito, infarto do miocárdio, batimentos rápidos do coração, convulsões, confusão, ansiedade, depressão, fraqueza, dores de cabeça, unhas e cabelos quebradiços, coceira, espinhas, náusea, vômitos, perda de apetite, gastrite, úlcera péptica, soluços, inflamação na boca, dificuldade para engolir, hemorragias, inflamação do pâncreas, prisão de ventre, desconforto abdominal, síndrome hemolítico- urêmica, diminuição das células brancas do sangue, linfoma, calorões, hiperpotassemia, hipomagnesemia, hiperuricemia, toxicidade para os músculos, disfunção respiratória, sensibilidade aumentada a  temperatura e reações alérgicas, toxicidade renal e hepática e</w:t>
      </w:r>
      <w:r>
        <w:rPr>
          <w:spacing w:val="-1"/>
          <w:sz w:val="24"/>
        </w:rPr>
        <w:t> </w:t>
      </w:r>
      <w:r>
        <w:rPr>
          <w:sz w:val="24"/>
        </w:rPr>
        <w:t>ginecomastia;</w:t>
      </w:r>
    </w:p>
    <w:p>
      <w:pPr>
        <w:pStyle w:val="ListParagraph"/>
        <w:numPr>
          <w:ilvl w:val="0"/>
          <w:numId w:val="37"/>
        </w:numPr>
        <w:tabs>
          <w:tab w:pos="1693" w:val="left" w:leader="none"/>
        </w:tabs>
        <w:spacing w:line="240" w:lineRule="auto" w:before="0" w:after="0"/>
        <w:ind w:left="112" w:right="127" w:firstLine="1419"/>
        <w:jc w:val="both"/>
        <w:rPr>
          <w:sz w:val="24"/>
        </w:rPr>
      </w:pPr>
      <w:r>
        <w:rPr>
          <w:sz w:val="24"/>
        </w:rPr>
        <w:t>efeitos adversos da metiprednisolona: retenção de líquidos, aumento da pressão arterial, problemas no coração, fraqueza nos músculos, problema nos ossos (osteoporose), problemas de estômago (úlceras), inflamação do pâncreas (pancreatite), dificuldade de cicatrização de feridas, pele fina e frágil, irregularidades na menstruação, e manifestação de diabete</w:t>
      </w:r>
      <w:r>
        <w:rPr>
          <w:spacing w:val="-1"/>
          <w:sz w:val="24"/>
        </w:rPr>
        <w:t> </w:t>
      </w:r>
      <w:r>
        <w:rPr>
          <w:sz w:val="24"/>
        </w:rPr>
        <w:t>mélito;</w:t>
      </w:r>
    </w:p>
    <w:p>
      <w:pPr>
        <w:pStyle w:val="ListParagraph"/>
        <w:numPr>
          <w:ilvl w:val="0"/>
          <w:numId w:val="37"/>
        </w:numPr>
        <w:tabs>
          <w:tab w:pos="1767" w:val="left" w:leader="none"/>
        </w:tabs>
        <w:spacing w:line="240" w:lineRule="auto" w:before="0" w:after="0"/>
        <w:ind w:left="112" w:right="124" w:firstLine="1479"/>
        <w:jc w:val="both"/>
        <w:rPr>
          <w:sz w:val="24"/>
        </w:rPr>
      </w:pPr>
      <w:r>
        <w:rPr>
          <w:sz w:val="24"/>
        </w:rPr>
        <w:t>efeitos adversos da prednisona e da prednisolona: aumento do apetite, úlcera gástrica com possível perfuração e sangramento, inflamação do pâncreas, cansaço, insônia, catarata, aumento da pressão dentro do olho, glaucoma, olhos inchados, aumento da ocorrência de infecção do olhos por fungos e vírus. Pode surgir também diabetes e aumento dos valores de</w:t>
      </w:r>
      <w:r>
        <w:rPr>
          <w:spacing w:val="-3"/>
          <w:sz w:val="24"/>
        </w:rPr>
        <w:t> </w:t>
      </w:r>
      <w:r>
        <w:rPr>
          <w:sz w:val="24"/>
        </w:rPr>
        <w:t>colesterol.</w:t>
      </w:r>
    </w:p>
    <w:p>
      <w:pPr>
        <w:pStyle w:val="ListParagraph"/>
        <w:numPr>
          <w:ilvl w:val="0"/>
          <w:numId w:val="37"/>
        </w:numPr>
        <w:tabs>
          <w:tab w:pos="1844" w:val="left" w:leader="none"/>
        </w:tabs>
        <w:spacing w:line="240" w:lineRule="auto" w:before="1" w:after="0"/>
        <w:ind w:left="112" w:right="123" w:firstLine="1419"/>
        <w:jc w:val="both"/>
        <w:rPr>
          <w:sz w:val="24"/>
        </w:rPr>
      </w:pPr>
      <w:r>
        <w:rPr>
          <w:sz w:val="24"/>
        </w:rPr>
        <w:t>efeitos adversos do metotrexato: convulsões, encefalopatia, febre, calafrios, sonolência,queda de cabelo, espinhas, furúnculos, alergias de pele leves a graves, sensibilidade à luz, alterações da pigmentação da pele e de mucosas, náuseas, vômitos, perda de apetite, inflamação da boca, úlceras de trato gastrointestinal, hepatite, cirrose e necrose hepática, diminuição das células brancas do sangue e das plaquetas, insuficiência renal, fibrose pulmonar e diminuição das defesas imunológicas do organismo com ocorrência de</w:t>
      </w:r>
      <w:r>
        <w:rPr>
          <w:spacing w:val="-3"/>
          <w:sz w:val="24"/>
        </w:rPr>
        <w:t> </w:t>
      </w:r>
      <w:r>
        <w:rPr>
          <w:sz w:val="24"/>
        </w:rPr>
        <w:t>infecções;</w:t>
      </w:r>
    </w:p>
    <w:p>
      <w:pPr>
        <w:pStyle w:val="ListParagraph"/>
        <w:numPr>
          <w:ilvl w:val="0"/>
          <w:numId w:val="37"/>
        </w:numPr>
        <w:tabs>
          <w:tab w:pos="1724" w:val="left" w:leader="none"/>
        </w:tabs>
        <w:spacing w:line="240" w:lineRule="auto" w:before="0" w:after="0"/>
        <w:ind w:left="112" w:right="131" w:firstLine="1419"/>
        <w:jc w:val="both"/>
        <w:rPr>
          <w:sz w:val="24"/>
        </w:rPr>
      </w:pPr>
      <w:r>
        <w:rPr>
          <w:sz w:val="24"/>
        </w:rPr>
        <w:t>efeitos adversos da leflunomida: pressão alta, dor no peito, palpitações, aumento do número</w:t>
      </w:r>
      <w:r>
        <w:rPr>
          <w:spacing w:val="8"/>
          <w:sz w:val="24"/>
        </w:rPr>
        <w:t> </w:t>
      </w:r>
      <w:r>
        <w:rPr>
          <w:sz w:val="24"/>
        </w:rPr>
        <w:t>de</w:t>
      </w:r>
      <w:r>
        <w:rPr>
          <w:spacing w:val="7"/>
          <w:sz w:val="24"/>
        </w:rPr>
        <w:t> </w:t>
      </w:r>
      <w:r>
        <w:rPr>
          <w:sz w:val="24"/>
        </w:rPr>
        <w:t>batimentos</w:t>
      </w:r>
      <w:r>
        <w:rPr>
          <w:spacing w:val="8"/>
          <w:sz w:val="24"/>
        </w:rPr>
        <w:t> </w:t>
      </w:r>
      <w:r>
        <w:rPr>
          <w:sz w:val="24"/>
        </w:rPr>
        <w:t>do</w:t>
      </w:r>
      <w:r>
        <w:rPr>
          <w:spacing w:val="8"/>
          <w:sz w:val="24"/>
        </w:rPr>
        <w:t> </w:t>
      </w:r>
      <w:r>
        <w:rPr>
          <w:sz w:val="24"/>
        </w:rPr>
        <w:t>coração,</w:t>
      </w:r>
      <w:r>
        <w:rPr>
          <w:spacing w:val="8"/>
          <w:sz w:val="24"/>
        </w:rPr>
        <w:t> </w:t>
      </w:r>
      <w:r>
        <w:rPr>
          <w:sz w:val="24"/>
        </w:rPr>
        <w:t>vasculite,</w:t>
      </w:r>
      <w:r>
        <w:rPr>
          <w:spacing w:val="8"/>
          <w:sz w:val="24"/>
        </w:rPr>
        <w:t> </w:t>
      </w:r>
      <w:r>
        <w:rPr>
          <w:sz w:val="24"/>
        </w:rPr>
        <w:t>varizes,</w:t>
      </w:r>
      <w:r>
        <w:rPr>
          <w:spacing w:val="8"/>
          <w:sz w:val="24"/>
        </w:rPr>
        <w:t> </w:t>
      </w:r>
      <w:r>
        <w:rPr>
          <w:sz w:val="24"/>
        </w:rPr>
        <w:t>edema,</w:t>
      </w:r>
      <w:r>
        <w:rPr>
          <w:spacing w:val="7"/>
          <w:sz w:val="24"/>
        </w:rPr>
        <w:t> </w:t>
      </w:r>
      <w:r>
        <w:rPr>
          <w:sz w:val="24"/>
        </w:rPr>
        <w:t>infeccções</w:t>
      </w:r>
      <w:r>
        <w:rPr>
          <w:spacing w:val="8"/>
          <w:sz w:val="24"/>
        </w:rPr>
        <w:t> </w:t>
      </w:r>
      <w:r>
        <w:rPr>
          <w:sz w:val="24"/>
        </w:rPr>
        <w:t>respiratórias,</w:t>
      </w:r>
      <w:r>
        <w:rPr>
          <w:spacing w:val="8"/>
          <w:sz w:val="24"/>
        </w:rPr>
        <w:t> </w:t>
      </w:r>
      <w:r>
        <w:rPr>
          <w:sz w:val="24"/>
        </w:rPr>
        <w:t>sangramento</w:t>
      </w:r>
      <w:r>
        <w:rPr>
          <w:spacing w:val="9"/>
          <w:sz w:val="24"/>
        </w:rPr>
        <w:t> </w:t>
      </w:r>
      <w:r>
        <w:rPr>
          <w:sz w:val="24"/>
        </w:rPr>
        <w:t>nasal,</w:t>
      </w:r>
    </w:p>
    <w:p>
      <w:pPr>
        <w:spacing w:after="0" w:line="240" w:lineRule="auto"/>
        <w:jc w:val="both"/>
        <w:rPr>
          <w:sz w:val="24"/>
        </w:rPr>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spacing w:before="90"/>
        <w:ind w:right="129"/>
        <w:jc w:val="both"/>
      </w:pPr>
      <w:r>
        <w:rPr/>
        <w:t>diarreia, hepatite, náuseas, vômitos, perda de apetite, gastrite,gastroenterite, dor abdominal, azia, gazes, ulcerações na boca, pedra na vesícula, prisão de ventre, desconforto abdominal, sangramento nas fezes, candidíase oral, aumento das glândulas salivares, boca seca, alterações dentárias, distúrbios do paladar, infecções do trato geniturinário, ansiedade, depressão, fraqueza, dores de cabeça, tonturas, febre, sonolência, distúrbios do sono, formigamentos, alteração da cor e queda de cabelo, alergias de pele, coceira, pele seca, espinhas, hematomas, alterações das unhas, alterações da cor da pele, úlceras de pele, hipopotassemia, diabetes melito, hiperlipidemia, hipertireoidismo, desordens menstruais, dores pelo corpo, alteração da visão, anemia, infecções e alteração da</w:t>
      </w:r>
      <w:r>
        <w:rPr>
          <w:spacing w:val="-2"/>
        </w:rPr>
        <w:t> </w:t>
      </w:r>
      <w:r>
        <w:rPr/>
        <w:t>voz;</w:t>
      </w:r>
    </w:p>
    <w:p>
      <w:pPr>
        <w:pStyle w:val="ListParagraph"/>
        <w:numPr>
          <w:ilvl w:val="0"/>
          <w:numId w:val="37"/>
        </w:numPr>
        <w:tabs>
          <w:tab w:pos="1676" w:val="left" w:leader="none"/>
        </w:tabs>
        <w:spacing w:line="240" w:lineRule="auto" w:before="0" w:after="0"/>
        <w:ind w:left="112" w:right="128" w:firstLine="1419"/>
        <w:jc w:val="both"/>
        <w:rPr>
          <w:sz w:val="24"/>
        </w:rPr>
      </w:pPr>
      <w:r>
        <w:rPr>
          <w:sz w:val="24"/>
        </w:rPr>
        <w:t>efeitos adversos tofacitinibe: reações no local da aplicação da injeção e durante a infusão, alergias, coceira, urticária, dor de  cabeça, tonturas, aumento da pressão sanguínea, tosse, dor abdominal  e risco aumentado a uma variedade de infecções, como infecções de vias aéreas superiores, celulite, herpes zoster, alterações nos exames laboratoriais (aumento das enzimas do fígado, bilirrubinas, aumento do colesterol e</w:t>
      </w:r>
      <w:r>
        <w:rPr>
          <w:spacing w:val="-3"/>
          <w:sz w:val="24"/>
        </w:rPr>
        <w:t> </w:t>
      </w:r>
      <w:r>
        <w:rPr>
          <w:sz w:val="24"/>
        </w:rPr>
        <w:t>triglicerídios);</w:t>
      </w:r>
    </w:p>
    <w:p>
      <w:pPr>
        <w:pStyle w:val="ListParagraph"/>
        <w:numPr>
          <w:ilvl w:val="0"/>
          <w:numId w:val="37"/>
        </w:numPr>
        <w:tabs>
          <w:tab w:pos="1760" w:val="left" w:leader="none"/>
        </w:tabs>
        <w:spacing w:line="240" w:lineRule="auto" w:before="1" w:after="0"/>
        <w:ind w:left="112" w:right="125" w:firstLine="1419"/>
        <w:jc w:val="both"/>
        <w:rPr>
          <w:sz w:val="24"/>
        </w:rPr>
      </w:pPr>
      <w:r>
        <w:rPr>
          <w:sz w:val="24"/>
        </w:rPr>
        <w:t>efeitos adversos de adalimumabe, etanercepte, infliximabe, certolizumabe pegol e golimumabe: reações no local da aplicação da injeção como dor e coceiras, dor de cabeça, tosse, náuseas, vômitos, febre, cansaço, alteração na pressão arterial; reações mais graves: infecções oportunísticas fúngicas e bacterianas do trato respiratório superior, como faringite, rinite, laringite, tuberculose, histoplasmose, aspergilose e nocardiose, podendo, em casos raros, ser</w:t>
      </w:r>
      <w:r>
        <w:rPr>
          <w:spacing w:val="-2"/>
          <w:sz w:val="24"/>
        </w:rPr>
        <w:t> </w:t>
      </w:r>
      <w:r>
        <w:rPr>
          <w:sz w:val="24"/>
        </w:rPr>
        <w:t>fatal;</w:t>
      </w:r>
    </w:p>
    <w:p>
      <w:pPr>
        <w:pStyle w:val="ListParagraph"/>
        <w:numPr>
          <w:ilvl w:val="0"/>
          <w:numId w:val="37"/>
        </w:numPr>
        <w:tabs>
          <w:tab w:pos="1688" w:val="left" w:leader="none"/>
        </w:tabs>
        <w:spacing w:line="240" w:lineRule="auto" w:before="0" w:after="0"/>
        <w:ind w:left="112" w:right="126" w:firstLine="1419"/>
        <w:jc w:val="both"/>
        <w:rPr>
          <w:sz w:val="24"/>
        </w:rPr>
      </w:pPr>
      <w:r>
        <w:rPr>
          <w:sz w:val="24"/>
        </w:rPr>
        <w:t>efeitos adversos de abatacepte e rituximabe: reações no local da aplicação da injeção ou reações alérgicas durante ou após a infusão, dor de cabeça, nasofaringite, enjoos e risco aumentado a uma variedade de infecções, como herpes-zóster, infecção urinária, gripe, pneumonia, bronquite e infecção localizada. A tuberculose pode ser reativada ou iniciada com o uso do medicamento e aumento de risco para alguns tipos de câncer (abatacepte). O vírus da hepatite B pode ser reativado</w:t>
      </w:r>
      <w:r>
        <w:rPr>
          <w:spacing w:val="-11"/>
          <w:sz w:val="24"/>
        </w:rPr>
        <w:t> </w:t>
      </w:r>
      <w:r>
        <w:rPr>
          <w:sz w:val="24"/>
        </w:rPr>
        <w:t>(rituximabe);</w:t>
      </w:r>
    </w:p>
    <w:p>
      <w:pPr>
        <w:pStyle w:val="ListParagraph"/>
        <w:numPr>
          <w:ilvl w:val="0"/>
          <w:numId w:val="37"/>
        </w:numPr>
        <w:tabs>
          <w:tab w:pos="1702" w:val="left" w:leader="none"/>
        </w:tabs>
        <w:spacing w:line="240" w:lineRule="auto" w:before="0" w:after="0"/>
        <w:ind w:left="112" w:right="127" w:firstLine="1419"/>
        <w:jc w:val="both"/>
        <w:rPr>
          <w:sz w:val="24"/>
        </w:rPr>
      </w:pPr>
      <w:r>
        <w:rPr>
          <w:sz w:val="24"/>
        </w:rPr>
        <w:t>efeitos adversos do tocilizumabe: reações no local da aplicação da injeção e durante a infusão, alergias, coceira, urticária, dor de cabeça, tonturas, aumento da pressão sanguínea, tosse, falta de ar, feridas na boca, aftas, dor abdominal e risco aumentado a uma variedade de infecções, como infecções de vias aéreas superiores, celulite, herpes simples e herpes zoster, alterações nos exames laboratoriais (aumento das enzimas do fígado, bilirrubinas, aumento do colesterol e</w:t>
      </w:r>
      <w:r>
        <w:rPr>
          <w:spacing w:val="-1"/>
          <w:sz w:val="24"/>
        </w:rPr>
        <w:t> </w:t>
      </w:r>
      <w:r>
        <w:rPr>
          <w:sz w:val="24"/>
        </w:rPr>
        <w:t>triglicerídios);</w:t>
      </w:r>
    </w:p>
    <w:p>
      <w:pPr>
        <w:pStyle w:val="ListParagraph"/>
        <w:numPr>
          <w:ilvl w:val="0"/>
          <w:numId w:val="37"/>
        </w:numPr>
        <w:tabs>
          <w:tab w:pos="1681" w:val="left" w:leader="none"/>
        </w:tabs>
        <w:spacing w:line="240" w:lineRule="auto" w:before="0" w:after="0"/>
        <w:ind w:left="112" w:right="127" w:firstLine="1419"/>
        <w:jc w:val="both"/>
        <w:rPr>
          <w:sz w:val="24"/>
        </w:rPr>
      </w:pPr>
      <w:r>
        <w:rPr>
          <w:sz w:val="24"/>
        </w:rPr>
        <w:t>alguns medicamentos biológicos aumentam o risco de tuberculose, devendo ser realizada antes do início do tratamento pesquisa de infecção ativa ou de tuberculose latente, para tratamento apropriado;</w:t>
      </w:r>
    </w:p>
    <w:p>
      <w:pPr>
        <w:pStyle w:val="ListParagraph"/>
        <w:numPr>
          <w:ilvl w:val="0"/>
          <w:numId w:val="37"/>
        </w:numPr>
        <w:tabs>
          <w:tab w:pos="1688" w:val="left" w:leader="none"/>
        </w:tabs>
        <w:spacing w:line="240" w:lineRule="auto" w:before="0" w:after="0"/>
        <w:ind w:left="112" w:right="131" w:firstLine="1419"/>
        <w:jc w:val="both"/>
        <w:rPr>
          <w:sz w:val="24"/>
        </w:rPr>
      </w:pPr>
      <w:r>
        <w:rPr>
          <w:sz w:val="24"/>
        </w:rPr>
        <w:t>medicamentos contraindicados em casos de hipersensibilidade (alergia) aos fármacos ou aos componentes da fórmula;</w:t>
      </w:r>
    </w:p>
    <w:p>
      <w:pPr>
        <w:pStyle w:val="ListParagraph"/>
        <w:numPr>
          <w:ilvl w:val="0"/>
          <w:numId w:val="37"/>
        </w:numPr>
        <w:tabs>
          <w:tab w:pos="1671" w:val="left" w:leader="none"/>
        </w:tabs>
        <w:spacing w:line="240" w:lineRule="auto" w:before="0" w:after="0"/>
        <w:ind w:left="112" w:right="0" w:firstLine="1419"/>
        <w:jc w:val="left"/>
        <w:rPr>
          <w:sz w:val="24"/>
        </w:rPr>
      </w:pPr>
      <w:r>
        <w:rPr>
          <w:sz w:val="24"/>
        </w:rPr>
        <w:t>o risco de ocorrência de efeitos adversos aumenta com a</w:t>
      </w:r>
      <w:r>
        <w:rPr>
          <w:spacing w:val="-4"/>
          <w:sz w:val="24"/>
        </w:rPr>
        <w:t> </w:t>
      </w:r>
      <w:r>
        <w:rPr>
          <w:sz w:val="24"/>
        </w:rPr>
        <w:t>superdosagem.</w:t>
      </w:r>
    </w:p>
    <w:p>
      <w:pPr>
        <w:pStyle w:val="BodyText"/>
        <w:ind w:right="125" w:firstLine="1418"/>
        <w:jc w:val="both"/>
      </w:pPr>
      <w:r>
        <w:rPr/>
        <w:t>Estou ciente de que este(s) medicamento(s) somente pode(m) ser utilizado(s) por mim, comprometendo-me a devolvê-lo(s) caso não queira ou não possa utilizá-lo(s) ou se o tratamento for interrompido. Sei também que continuarei a ser atendido(a) inclusive em caso de desistir da usar o(s) medicamento(s).</w:t>
      </w:r>
    </w:p>
    <w:p>
      <w:pPr>
        <w:pStyle w:val="BodyText"/>
        <w:spacing w:before="1"/>
        <w:ind w:right="133" w:firstLine="1418"/>
        <w:jc w:val="both"/>
      </w:pPr>
      <w:r>
        <w:rPr/>
        <w:t>Autorizo o Ministério da Saúde e as Secretarias de Saúde a fazerem uso de informações relativas ao meu tratamento, desde que assegurado o anonimato. ( ) Sim ( ) Não</w:t>
      </w:r>
    </w:p>
    <w:p>
      <w:pPr>
        <w:pStyle w:val="BodyText"/>
        <w:tabs>
          <w:tab w:pos="1850" w:val="left" w:leader="none"/>
        </w:tabs>
        <w:ind w:left="1531" w:right="2203"/>
      </w:pPr>
      <w:r>
        <w:rPr/>
        <w:t>Meu tratamento constará de um ou mais dos seguintes medicamentos: (</w:t>
        <w:tab/>
        <w:t>)</w:t>
      </w:r>
      <w:r>
        <w:rPr>
          <w:spacing w:val="-2"/>
        </w:rPr>
        <w:t> </w:t>
      </w:r>
      <w:r>
        <w:rPr/>
        <w:t>ibuprofeno</w:t>
      </w:r>
    </w:p>
    <w:p>
      <w:pPr>
        <w:pStyle w:val="BodyText"/>
        <w:tabs>
          <w:tab w:pos="1851" w:val="left" w:leader="none"/>
        </w:tabs>
        <w:ind w:left="1531" w:right="7402"/>
      </w:pPr>
      <w:r>
        <w:rPr/>
        <w:t>(</w:t>
        <w:tab/>
        <w:t>) naproxeno (</w:t>
        <w:tab/>
        <w:t>)</w:t>
      </w:r>
      <w:r>
        <w:rPr>
          <w:spacing w:val="-5"/>
        </w:rPr>
        <w:t> </w:t>
      </w:r>
      <w:r>
        <w:rPr/>
        <w:t>prednisona</w:t>
      </w:r>
    </w:p>
    <w:p>
      <w:pPr>
        <w:pStyle w:val="BodyText"/>
        <w:tabs>
          <w:tab w:pos="1850" w:val="left" w:leader="none"/>
        </w:tabs>
        <w:ind w:left="1531" w:right="7215"/>
      </w:pPr>
      <w:r>
        <w:rPr/>
        <w:t>(</w:t>
        <w:tab/>
        <w:t>) prednisolona (</w:t>
        <w:tab/>
        <w:t>)</w:t>
      </w:r>
      <w:r>
        <w:rPr>
          <w:spacing w:val="-1"/>
        </w:rPr>
        <w:t> </w:t>
      </w:r>
      <w:r>
        <w:rPr/>
        <w:t>cloroquina</w:t>
      </w:r>
    </w:p>
    <w:p>
      <w:pPr>
        <w:spacing w:after="0"/>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p>
      <w:pPr>
        <w:pStyle w:val="BodyText"/>
        <w:tabs>
          <w:tab w:pos="1850" w:val="left" w:leader="none"/>
        </w:tabs>
        <w:spacing w:before="90"/>
        <w:ind w:left="1531" w:right="6733"/>
      </w:pPr>
      <w:r>
        <w:rPr/>
        <w:t>(</w:t>
        <w:tab/>
        <w:t>) hidroxicloroquina (</w:t>
        <w:tab/>
        <w:t>)</w:t>
      </w:r>
      <w:r>
        <w:rPr>
          <w:spacing w:val="-1"/>
        </w:rPr>
        <w:t> </w:t>
      </w:r>
      <w:r>
        <w:rPr/>
        <w:t>sulfassalazina</w:t>
      </w:r>
    </w:p>
    <w:p>
      <w:pPr>
        <w:pStyle w:val="BodyText"/>
        <w:tabs>
          <w:tab w:pos="1850" w:val="left" w:leader="none"/>
        </w:tabs>
        <w:ind w:left="1531" w:right="7282"/>
      </w:pPr>
      <w:r>
        <w:rPr/>
        <w:t>(</w:t>
        <w:tab/>
        <w:t>) metotrexato (</w:t>
        <w:tab/>
        <w:t>) azatioprina (</w:t>
        <w:tab/>
        <w:t>) ciclosporina (</w:t>
        <w:tab/>
        <w:t>) leflunomida (</w:t>
        <w:tab/>
        <w:t>)</w:t>
      </w:r>
      <w:r>
        <w:rPr>
          <w:spacing w:val="-2"/>
        </w:rPr>
        <w:t> </w:t>
      </w:r>
      <w:r>
        <w:rPr/>
        <w:t>tofacitinibe</w:t>
      </w:r>
    </w:p>
    <w:p>
      <w:pPr>
        <w:pStyle w:val="BodyText"/>
        <w:tabs>
          <w:tab w:pos="1850" w:val="left" w:leader="none"/>
        </w:tabs>
        <w:ind w:left="1531" w:right="6721"/>
      </w:pPr>
      <w:r>
        <w:rPr/>
        <w:t>(</w:t>
        <w:tab/>
        <w:t>) metilprednisolona (</w:t>
        <w:tab/>
        <w:t>)</w:t>
      </w:r>
      <w:r>
        <w:rPr>
          <w:spacing w:val="-1"/>
        </w:rPr>
        <w:t> </w:t>
      </w:r>
      <w:r>
        <w:rPr/>
        <w:t>adalimumabe</w:t>
      </w:r>
    </w:p>
    <w:p>
      <w:pPr>
        <w:pStyle w:val="BodyText"/>
        <w:tabs>
          <w:tab w:pos="1850" w:val="left" w:leader="none"/>
        </w:tabs>
        <w:ind w:left="1531" w:right="6504"/>
      </w:pPr>
      <w:r>
        <w:rPr/>
        <w:t>(</w:t>
        <w:tab/>
        <w:t>) certolizumabe pegol (</w:t>
        <w:tab/>
        <w:t>)</w:t>
      </w:r>
      <w:r>
        <w:rPr>
          <w:spacing w:val="-1"/>
        </w:rPr>
        <w:t> </w:t>
      </w:r>
      <w:r>
        <w:rPr/>
        <w:t>etanercepte</w:t>
      </w:r>
    </w:p>
    <w:p>
      <w:pPr>
        <w:pStyle w:val="BodyText"/>
        <w:tabs>
          <w:tab w:pos="1850" w:val="left" w:leader="none"/>
        </w:tabs>
        <w:ind w:left="1531" w:right="7254"/>
      </w:pPr>
      <w:r>
        <w:rPr/>
        <w:t>(</w:t>
        <w:tab/>
        <w:t>) infliximabe (</w:t>
        <w:tab/>
        <w:t>) golimumabe (</w:t>
        <w:tab/>
        <w:t>)</w:t>
      </w:r>
      <w:r>
        <w:rPr>
          <w:spacing w:val="-1"/>
        </w:rPr>
        <w:t> </w:t>
      </w:r>
      <w:r>
        <w:rPr/>
        <w:t>abatacepte</w:t>
      </w:r>
    </w:p>
    <w:p>
      <w:pPr>
        <w:pStyle w:val="BodyText"/>
        <w:tabs>
          <w:tab w:pos="1850" w:val="left" w:leader="none"/>
        </w:tabs>
        <w:spacing w:before="1"/>
        <w:ind w:left="1531"/>
      </w:pPr>
      <w:r>
        <w:rPr/>
        <w:t>(</w:t>
        <w:tab/>
        <w:t>)</w:t>
      </w:r>
      <w:r>
        <w:rPr>
          <w:spacing w:val="-2"/>
        </w:rPr>
        <w:t> </w:t>
      </w:r>
      <w:r>
        <w:rPr/>
        <w:t>rituximabe</w:t>
      </w:r>
    </w:p>
    <w:p>
      <w:pPr>
        <w:pStyle w:val="BodyText"/>
        <w:tabs>
          <w:tab w:pos="1850" w:val="left" w:leader="none"/>
        </w:tabs>
        <w:ind w:left="1531"/>
      </w:pPr>
      <w:r>
        <w:rPr/>
        <w:t>(</w:t>
        <w:tab/>
        <w:t>) tocilizumabe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8"/>
        <w:gridCol w:w="1800"/>
        <w:gridCol w:w="2261"/>
      </w:tblGrid>
      <w:tr>
        <w:trPr>
          <w:trHeight w:val="275" w:hRule="atLeast"/>
        </w:trPr>
        <w:tc>
          <w:tcPr>
            <w:tcW w:w="10209" w:type="dxa"/>
            <w:gridSpan w:val="3"/>
          </w:tcPr>
          <w:p>
            <w:pPr>
              <w:pStyle w:val="TableParagraph"/>
              <w:tabs>
                <w:tab w:pos="4846" w:val="left" w:leader="none"/>
              </w:tabs>
              <w:spacing w:line="256" w:lineRule="exact"/>
              <w:ind w:left="573"/>
              <w:rPr>
                <w:sz w:val="24"/>
              </w:rPr>
            </w:pPr>
            <w:r>
              <w:rPr>
                <w:sz w:val="24"/>
              </w:rPr>
              <w:t>Local:</w:t>
              <w:tab/>
              <w:t>Data:</w:t>
            </w:r>
          </w:p>
        </w:tc>
      </w:tr>
      <w:tr>
        <w:trPr>
          <w:trHeight w:val="275" w:hRule="atLeast"/>
        </w:trPr>
        <w:tc>
          <w:tcPr>
            <w:tcW w:w="10209" w:type="dxa"/>
            <w:gridSpan w:val="3"/>
          </w:tcPr>
          <w:p>
            <w:pPr>
              <w:pStyle w:val="TableParagraph"/>
              <w:spacing w:line="256" w:lineRule="exact"/>
              <w:ind w:left="573"/>
              <w:rPr>
                <w:sz w:val="24"/>
              </w:rPr>
            </w:pPr>
            <w:r>
              <w:rPr>
                <w:sz w:val="24"/>
              </w:rPr>
              <w:t>Nome do paciente:</w:t>
            </w:r>
          </w:p>
        </w:tc>
      </w:tr>
      <w:tr>
        <w:trPr>
          <w:trHeight w:val="278" w:hRule="atLeast"/>
        </w:trPr>
        <w:tc>
          <w:tcPr>
            <w:tcW w:w="10209" w:type="dxa"/>
            <w:gridSpan w:val="3"/>
          </w:tcPr>
          <w:p>
            <w:pPr>
              <w:pStyle w:val="TableParagraph"/>
              <w:spacing w:line="258" w:lineRule="exact"/>
              <w:ind w:left="573"/>
              <w:rPr>
                <w:sz w:val="24"/>
              </w:rPr>
            </w:pPr>
            <w:r>
              <w:rPr>
                <w:sz w:val="24"/>
              </w:rPr>
              <w:t>Cartão Nacional de Saúde:</w:t>
            </w:r>
          </w:p>
        </w:tc>
      </w:tr>
      <w:tr>
        <w:trPr>
          <w:trHeight w:val="275" w:hRule="atLeast"/>
        </w:trPr>
        <w:tc>
          <w:tcPr>
            <w:tcW w:w="10209" w:type="dxa"/>
            <w:gridSpan w:val="3"/>
          </w:tcPr>
          <w:p>
            <w:pPr>
              <w:pStyle w:val="TableParagraph"/>
              <w:spacing w:line="256" w:lineRule="exact"/>
              <w:ind w:left="573"/>
              <w:rPr>
                <w:sz w:val="24"/>
              </w:rPr>
            </w:pPr>
            <w:r>
              <w:rPr>
                <w:sz w:val="24"/>
              </w:rPr>
              <w:t>Nome do responsável legal:</w:t>
            </w:r>
          </w:p>
        </w:tc>
      </w:tr>
      <w:tr>
        <w:trPr>
          <w:trHeight w:val="275" w:hRule="atLeast"/>
        </w:trPr>
        <w:tc>
          <w:tcPr>
            <w:tcW w:w="10209" w:type="dxa"/>
            <w:gridSpan w:val="3"/>
          </w:tcPr>
          <w:p>
            <w:pPr>
              <w:pStyle w:val="TableParagraph"/>
              <w:spacing w:line="256" w:lineRule="exact"/>
              <w:ind w:left="573"/>
              <w:rPr>
                <w:sz w:val="24"/>
              </w:rPr>
            </w:pPr>
            <w:r>
              <w:rPr>
                <w:sz w:val="24"/>
              </w:rPr>
              <w:t>Documento de identificação do responsável legal:</w:t>
            </w:r>
          </w:p>
        </w:tc>
      </w:tr>
      <w:tr>
        <w:trPr>
          <w:trHeight w:val="827" w:hRule="atLeast"/>
        </w:trPr>
        <w:tc>
          <w:tcPr>
            <w:tcW w:w="10209" w:type="dxa"/>
            <w:gridSpan w:val="3"/>
          </w:tcPr>
          <w:p>
            <w:pPr>
              <w:pStyle w:val="TableParagraph"/>
              <w:rPr>
                <w:sz w:val="20"/>
              </w:rPr>
            </w:pPr>
          </w:p>
          <w:p>
            <w:pPr>
              <w:pStyle w:val="TableParagraph"/>
              <w:spacing w:before="4" w:after="1"/>
              <w:rPr>
                <w:sz w:val="26"/>
              </w:rPr>
            </w:pPr>
          </w:p>
          <w:p>
            <w:pPr>
              <w:pStyle w:val="TableParagraph"/>
              <w:spacing w:line="20" w:lineRule="exact"/>
              <w:ind w:left="3163"/>
              <w:rPr>
                <w:sz w:val="2"/>
              </w:rPr>
            </w:pPr>
            <w:r>
              <w:rPr>
                <w:sz w:val="2"/>
              </w:rPr>
              <w:pict>
                <v:group style="width:222pt;height:.5pt;mso-position-horizontal-relative:char;mso-position-vertical-relative:line" coordorigin="0,0" coordsize="4440,10">
                  <v:line style="position:absolute" from="0,5" to="4440,5" stroked="true" strokeweight=".48pt" strokecolor="#000000">
                    <v:stroke dashstyle="solid"/>
                  </v:line>
                </v:group>
              </w:pict>
            </w:r>
            <w:r>
              <w:rPr>
                <w:sz w:val="2"/>
              </w:rPr>
            </w:r>
          </w:p>
          <w:p>
            <w:pPr>
              <w:pStyle w:val="TableParagraph"/>
              <w:spacing w:line="253" w:lineRule="exact"/>
              <w:ind w:left="3135"/>
              <w:rPr>
                <w:sz w:val="24"/>
              </w:rPr>
            </w:pPr>
            <w:r>
              <w:rPr>
                <w:sz w:val="24"/>
              </w:rPr>
              <w:t>Assinatura do paciente ou do responsável legal</w:t>
            </w:r>
          </w:p>
        </w:tc>
      </w:tr>
      <w:tr>
        <w:trPr>
          <w:trHeight w:val="275" w:hRule="atLeast"/>
        </w:trPr>
        <w:tc>
          <w:tcPr>
            <w:tcW w:w="6148" w:type="dxa"/>
          </w:tcPr>
          <w:p>
            <w:pPr>
              <w:pStyle w:val="TableParagraph"/>
              <w:spacing w:line="256" w:lineRule="exact"/>
              <w:ind w:left="573"/>
              <w:rPr>
                <w:sz w:val="24"/>
              </w:rPr>
            </w:pPr>
            <w:r>
              <w:rPr>
                <w:sz w:val="24"/>
              </w:rPr>
              <w:t>Médico responsável:</w:t>
            </w:r>
          </w:p>
        </w:tc>
        <w:tc>
          <w:tcPr>
            <w:tcW w:w="1800" w:type="dxa"/>
          </w:tcPr>
          <w:p>
            <w:pPr>
              <w:pStyle w:val="TableParagraph"/>
              <w:spacing w:line="256" w:lineRule="exact"/>
              <w:ind w:left="573"/>
              <w:rPr>
                <w:sz w:val="24"/>
              </w:rPr>
            </w:pPr>
            <w:r>
              <w:rPr>
                <w:sz w:val="24"/>
              </w:rPr>
              <w:t>CRM:</w:t>
            </w:r>
          </w:p>
        </w:tc>
        <w:tc>
          <w:tcPr>
            <w:tcW w:w="2261" w:type="dxa"/>
          </w:tcPr>
          <w:p>
            <w:pPr>
              <w:pStyle w:val="TableParagraph"/>
              <w:spacing w:line="256" w:lineRule="exact"/>
              <w:ind w:left="573"/>
              <w:rPr>
                <w:sz w:val="24"/>
              </w:rPr>
            </w:pPr>
            <w:r>
              <w:rPr>
                <w:sz w:val="24"/>
              </w:rPr>
              <w:t>UF:</w:t>
            </w:r>
          </w:p>
        </w:tc>
      </w:tr>
      <w:tr>
        <w:trPr>
          <w:trHeight w:val="1103" w:hRule="atLeast"/>
        </w:trPr>
        <w:tc>
          <w:tcPr>
            <w:tcW w:w="10209" w:type="dxa"/>
            <w:gridSpan w:val="3"/>
          </w:tcPr>
          <w:p>
            <w:pPr>
              <w:pStyle w:val="TableParagraph"/>
              <w:rPr>
                <w:sz w:val="20"/>
              </w:rPr>
            </w:pPr>
          </w:p>
          <w:p>
            <w:pPr>
              <w:pStyle w:val="TableParagraph"/>
              <w:spacing w:before="4" w:after="1"/>
              <w:rPr>
                <w:sz w:val="26"/>
              </w:rPr>
            </w:pPr>
          </w:p>
          <w:p>
            <w:pPr>
              <w:pStyle w:val="TableParagraph"/>
              <w:spacing w:line="20" w:lineRule="exact"/>
              <w:ind w:left="3763"/>
              <w:rPr>
                <w:sz w:val="2"/>
              </w:rPr>
            </w:pPr>
            <w:r>
              <w:rPr>
                <w:sz w:val="2"/>
              </w:rPr>
              <w:pict>
                <v:group style="width:162pt;height:.5pt;mso-position-horizontal-relative:char;mso-position-vertical-relative:line" coordorigin="0,0" coordsize="3240,10">
                  <v:line style="position:absolute" from="0,5" to="3240,5" stroked="true" strokeweight=".48pt" strokecolor="#000000">
                    <v:stroke dashstyle="solid"/>
                  </v:line>
                </v:group>
              </w:pict>
            </w:r>
            <w:r>
              <w:rPr>
                <w:sz w:val="2"/>
              </w:rPr>
            </w:r>
          </w:p>
          <w:p>
            <w:pPr>
              <w:pStyle w:val="TableParagraph"/>
              <w:tabs>
                <w:tab w:pos="6902" w:val="left" w:leader="none"/>
              </w:tabs>
              <w:spacing w:line="270" w:lineRule="atLeast"/>
              <w:ind w:left="3927" w:right="3256" w:hanging="92"/>
              <w:rPr>
                <w:sz w:val="24"/>
              </w:rPr>
            </w:pPr>
            <w:r>
              <w:rPr>
                <w:sz w:val="24"/>
              </w:rPr>
              <w:t>Assinatura e carimbo do médico Data:</w:t>
            </w:r>
            <w:r>
              <w:rPr>
                <w:sz w:val="24"/>
                <w:u w:val="single"/>
              </w:rPr>
              <w:t> </w:t>
              <w:tab/>
            </w:r>
          </w:p>
        </w:tc>
      </w:tr>
    </w:tbl>
    <w:p>
      <w:pPr>
        <w:pStyle w:val="BodyText"/>
        <w:spacing w:before="5"/>
        <w:ind w:left="0"/>
        <w:rPr>
          <w:sz w:val="15"/>
        </w:rPr>
      </w:pPr>
    </w:p>
    <w:p>
      <w:pPr>
        <w:pStyle w:val="BodyText"/>
        <w:spacing w:before="90"/>
        <w:ind w:right="126" w:firstLine="566"/>
        <w:jc w:val="both"/>
      </w:pPr>
      <w:r>
        <w:rPr/>
        <w:t>Observação: Este Termo é obrigatório ao se solicitar o fornecimento de medicamento do Componente Especializado da Assistência Farmacêutica e deverá ser preenchido em duas vias: uma será arquivada na farmácia, e a outra, entregue ao usuário ou a seu responsável legal.</w:t>
      </w:r>
    </w:p>
    <w:p>
      <w:pPr>
        <w:pStyle w:val="BodyText"/>
        <w:spacing w:before="1"/>
        <w:ind w:left="0"/>
      </w:pPr>
    </w:p>
    <w:p>
      <w:pPr>
        <w:pStyle w:val="BodyText"/>
        <w:ind w:right="126" w:firstLine="566"/>
        <w:jc w:val="both"/>
      </w:pPr>
      <w:r>
        <w:rPr/>
        <w:t>NOTA 1 - A administração intravenosa de metilprednisolona é compatível com o procedimento 03.03.02.001-6 - Pulsoterapia I (por aplicação), da Tabela de Procedimentos, Medicamentos, Órteses, Próteses e Materiais do</w:t>
      </w:r>
      <w:r>
        <w:rPr>
          <w:spacing w:val="-2"/>
        </w:rPr>
        <w:t> </w:t>
      </w:r>
      <w:r>
        <w:rPr/>
        <w:t>SUS.</w:t>
      </w:r>
    </w:p>
    <w:p>
      <w:pPr>
        <w:pStyle w:val="BodyText"/>
        <w:ind w:left="0"/>
      </w:pPr>
    </w:p>
    <w:p>
      <w:pPr>
        <w:pStyle w:val="BodyText"/>
        <w:ind w:right="125" w:firstLine="566"/>
        <w:jc w:val="both"/>
      </w:pPr>
      <w:r>
        <w:rPr/>
        <w:t>NOTA 2 - A administração intravenosa de ciclofosfamida é compatível com o procedimento 03.03.02.002-4 - Pulsoterapia II (por aplicação), da Tabela de Procedimentos, Medicamentos, Órteses, Próteses e Materiais do</w:t>
      </w:r>
      <w:r>
        <w:rPr>
          <w:spacing w:val="-2"/>
        </w:rPr>
        <w:t> </w:t>
      </w:r>
      <w:r>
        <w:rPr/>
        <w:t>SUS.</w:t>
      </w:r>
    </w:p>
    <w:p>
      <w:pPr>
        <w:spacing w:after="0"/>
        <w:jc w:val="both"/>
        <w:sectPr>
          <w:pgSz w:w="11910" w:h="16840"/>
          <w:pgMar w:top="1580" w:bottom="280" w:left="1020" w:right="4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3"/>
        </w:rPr>
      </w:pPr>
    </w:p>
    <w:p>
      <w:pPr>
        <w:pStyle w:val="BodyText"/>
        <w:spacing w:before="90"/>
        <w:ind w:right="128" w:firstLine="566"/>
        <w:jc w:val="both"/>
      </w:pPr>
      <w:r>
        <w:rPr/>
        <w:t>NOTA 3 - A administração intra-articular de metilprednisolona é compatível com o procedimento 03.03.09.003-0 - Infiltração de substâncias em cavidade sinovial, da Tabela de Procedimentos, Medicamentos, Órteses, Próteses e Materiais do SUS.</w:t>
      </w:r>
    </w:p>
    <w:sectPr>
      <w:pgSz w:w="11910" w:h="16840"/>
      <w:pgMar w:top="1580" w:bottom="28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12" w:hanging="219"/>
        <w:jc w:val="left"/>
      </w:pPr>
      <w:rPr>
        <w:rFonts w:hint="default" w:ascii="Times New Roman" w:hAnsi="Times New Roman" w:eastAsia="Times New Roman" w:cs="Times New Roman"/>
        <w:spacing w:val="-22"/>
        <w:w w:val="99"/>
        <w:sz w:val="24"/>
        <w:szCs w:val="24"/>
        <w:lang w:val="pt-br" w:eastAsia="pt-br" w:bidi="pt-br"/>
      </w:rPr>
    </w:lvl>
    <w:lvl w:ilvl="1">
      <w:start w:val="1"/>
      <w:numFmt w:val="decimal"/>
      <w:lvlText w:val="%1.%2"/>
      <w:lvlJc w:val="left"/>
      <w:pPr>
        <w:ind w:left="1531" w:hanging="348"/>
        <w:jc w:val="left"/>
      </w:pPr>
      <w:rPr>
        <w:rFonts w:hint="default" w:ascii="Times New Roman" w:hAnsi="Times New Roman" w:eastAsia="Times New Roman" w:cs="Times New Roman"/>
        <w:w w:val="100"/>
        <w:sz w:val="24"/>
        <w:szCs w:val="24"/>
        <w:lang w:val="pt-br" w:eastAsia="pt-br" w:bidi="pt-br"/>
      </w:rPr>
    </w:lvl>
    <w:lvl w:ilvl="2">
      <w:start w:val="0"/>
      <w:numFmt w:val="bullet"/>
      <w:lvlText w:val="•"/>
      <w:lvlJc w:val="left"/>
      <w:pPr>
        <w:ind w:left="2529" w:hanging="348"/>
      </w:pPr>
      <w:rPr>
        <w:rFonts w:hint="default"/>
        <w:lang w:val="pt-br" w:eastAsia="pt-br" w:bidi="pt-br"/>
      </w:rPr>
    </w:lvl>
    <w:lvl w:ilvl="3">
      <w:start w:val="0"/>
      <w:numFmt w:val="bullet"/>
      <w:lvlText w:val="•"/>
      <w:lvlJc w:val="left"/>
      <w:pPr>
        <w:ind w:left="3519" w:hanging="348"/>
      </w:pPr>
      <w:rPr>
        <w:rFonts w:hint="default"/>
        <w:lang w:val="pt-br" w:eastAsia="pt-br" w:bidi="pt-br"/>
      </w:rPr>
    </w:lvl>
    <w:lvl w:ilvl="4">
      <w:start w:val="0"/>
      <w:numFmt w:val="bullet"/>
      <w:lvlText w:val="•"/>
      <w:lvlJc w:val="left"/>
      <w:pPr>
        <w:ind w:left="4508" w:hanging="348"/>
      </w:pPr>
      <w:rPr>
        <w:rFonts w:hint="default"/>
        <w:lang w:val="pt-br" w:eastAsia="pt-br" w:bidi="pt-br"/>
      </w:rPr>
    </w:lvl>
    <w:lvl w:ilvl="5">
      <w:start w:val="0"/>
      <w:numFmt w:val="bullet"/>
      <w:lvlText w:val="•"/>
      <w:lvlJc w:val="left"/>
      <w:pPr>
        <w:ind w:left="5498" w:hanging="348"/>
      </w:pPr>
      <w:rPr>
        <w:rFonts w:hint="default"/>
        <w:lang w:val="pt-br" w:eastAsia="pt-br" w:bidi="pt-br"/>
      </w:rPr>
    </w:lvl>
    <w:lvl w:ilvl="6">
      <w:start w:val="0"/>
      <w:numFmt w:val="bullet"/>
      <w:lvlText w:val="•"/>
      <w:lvlJc w:val="left"/>
      <w:pPr>
        <w:ind w:left="6488" w:hanging="348"/>
      </w:pPr>
      <w:rPr>
        <w:rFonts w:hint="default"/>
        <w:lang w:val="pt-br" w:eastAsia="pt-br" w:bidi="pt-br"/>
      </w:rPr>
    </w:lvl>
    <w:lvl w:ilvl="7">
      <w:start w:val="0"/>
      <w:numFmt w:val="bullet"/>
      <w:lvlText w:val="•"/>
      <w:lvlJc w:val="left"/>
      <w:pPr>
        <w:ind w:left="7477" w:hanging="348"/>
      </w:pPr>
      <w:rPr>
        <w:rFonts w:hint="default"/>
        <w:lang w:val="pt-br" w:eastAsia="pt-br" w:bidi="pt-br"/>
      </w:rPr>
    </w:lvl>
    <w:lvl w:ilvl="8">
      <w:start w:val="0"/>
      <w:numFmt w:val="bullet"/>
      <w:lvlText w:val="•"/>
      <w:lvlJc w:val="left"/>
      <w:pPr>
        <w:ind w:left="8467" w:hanging="348"/>
      </w:pPr>
      <w:rPr>
        <w:rFonts w:hint="default"/>
        <w:lang w:val="pt-br" w:eastAsia="pt-br" w:bidi="pt-br"/>
      </w:rPr>
    </w:lvl>
  </w:abstractNum>
  <w:abstractNum w:abstractNumId="36">
    <w:multiLevelType w:val="hybridMultilevel"/>
    <w:lvl w:ilvl="0">
      <w:start w:val="0"/>
      <w:numFmt w:val="bullet"/>
      <w:lvlText w:val="-"/>
      <w:lvlJc w:val="left"/>
      <w:pPr>
        <w:ind w:left="112"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1152" w:hanging="140"/>
      </w:pPr>
      <w:rPr>
        <w:rFonts w:hint="default"/>
        <w:lang w:val="pt-br" w:eastAsia="pt-br" w:bidi="pt-br"/>
      </w:rPr>
    </w:lvl>
    <w:lvl w:ilvl="2">
      <w:start w:val="0"/>
      <w:numFmt w:val="bullet"/>
      <w:lvlText w:val="•"/>
      <w:lvlJc w:val="left"/>
      <w:pPr>
        <w:ind w:left="2185" w:hanging="140"/>
      </w:pPr>
      <w:rPr>
        <w:rFonts w:hint="default"/>
        <w:lang w:val="pt-br" w:eastAsia="pt-br" w:bidi="pt-br"/>
      </w:rPr>
    </w:lvl>
    <w:lvl w:ilvl="3">
      <w:start w:val="0"/>
      <w:numFmt w:val="bullet"/>
      <w:lvlText w:val="•"/>
      <w:lvlJc w:val="left"/>
      <w:pPr>
        <w:ind w:left="3217" w:hanging="140"/>
      </w:pPr>
      <w:rPr>
        <w:rFonts w:hint="default"/>
        <w:lang w:val="pt-br" w:eastAsia="pt-br" w:bidi="pt-br"/>
      </w:rPr>
    </w:lvl>
    <w:lvl w:ilvl="4">
      <w:start w:val="0"/>
      <w:numFmt w:val="bullet"/>
      <w:lvlText w:val="•"/>
      <w:lvlJc w:val="left"/>
      <w:pPr>
        <w:ind w:left="4250" w:hanging="140"/>
      </w:pPr>
      <w:rPr>
        <w:rFonts w:hint="default"/>
        <w:lang w:val="pt-br" w:eastAsia="pt-br" w:bidi="pt-br"/>
      </w:rPr>
    </w:lvl>
    <w:lvl w:ilvl="5">
      <w:start w:val="0"/>
      <w:numFmt w:val="bullet"/>
      <w:lvlText w:val="•"/>
      <w:lvlJc w:val="left"/>
      <w:pPr>
        <w:ind w:left="5283" w:hanging="140"/>
      </w:pPr>
      <w:rPr>
        <w:rFonts w:hint="default"/>
        <w:lang w:val="pt-br" w:eastAsia="pt-br" w:bidi="pt-br"/>
      </w:rPr>
    </w:lvl>
    <w:lvl w:ilvl="6">
      <w:start w:val="0"/>
      <w:numFmt w:val="bullet"/>
      <w:lvlText w:val="•"/>
      <w:lvlJc w:val="left"/>
      <w:pPr>
        <w:ind w:left="6315" w:hanging="140"/>
      </w:pPr>
      <w:rPr>
        <w:rFonts w:hint="default"/>
        <w:lang w:val="pt-br" w:eastAsia="pt-br" w:bidi="pt-br"/>
      </w:rPr>
    </w:lvl>
    <w:lvl w:ilvl="7">
      <w:start w:val="0"/>
      <w:numFmt w:val="bullet"/>
      <w:lvlText w:val="•"/>
      <w:lvlJc w:val="left"/>
      <w:pPr>
        <w:ind w:left="7348" w:hanging="140"/>
      </w:pPr>
      <w:rPr>
        <w:rFonts w:hint="default"/>
        <w:lang w:val="pt-br" w:eastAsia="pt-br" w:bidi="pt-br"/>
      </w:rPr>
    </w:lvl>
    <w:lvl w:ilvl="8">
      <w:start w:val="0"/>
      <w:numFmt w:val="bullet"/>
      <w:lvlText w:val="•"/>
      <w:lvlJc w:val="left"/>
      <w:pPr>
        <w:ind w:left="8381" w:hanging="140"/>
      </w:pPr>
      <w:rPr>
        <w:rFonts w:hint="default"/>
        <w:lang w:val="pt-br" w:eastAsia="pt-br" w:bidi="pt-br"/>
      </w:rPr>
    </w:lvl>
  </w:abstractNum>
  <w:abstractNum w:abstractNumId="35">
    <w:multiLevelType w:val="hybridMultilevel"/>
    <w:lvl w:ilvl="0">
      <w:start w:val="3"/>
      <w:numFmt w:val="decimal"/>
      <w:lvlText w:val="(%1)"/>
      <w:lvlJc w:val="left"/>
      <w:pPr>
        <w:ind w:left="453" w:hanging="341"/>
        <w:jc w:val="left"/>
      </w:pPr>
      <w:rPr>
        <w:rFonts w:hint="default" w:ascii="Times New Roman" w:hAnsi="Times New Roman" w:eastAsia="Times New Roman" w:cs="Times New Roman"/>
        <w:spacing w:val="-3"/>
        <w:w w:val="99"/>
        <w:sz w:val="24"/>
        <w:szCs w:val="24"/>
        <w:lang w:val="pt-br" w:eastAsia="pt-br" w:bidi="pt-br"/>
      </w:rPr>
    </w:lvl>
    <w:lvl w:ilvl="1">
      <w:start w:val="0"/>
      <w:numFmt w:val="bullet"/>
      <w:lvlText w:val="•"/>
      <w:lvlJc w:val="left"/>
      <w:pPr>
        <w:ind w:left="460" w:hanging="341"/>
      </w:pPr>
      <w:rPr>
        <w:rFonts w:hint="default"/>
        <w:lang w:val="pt-br" w:eastAsia="pt-br" w:bidi="pt-br"/>
      </w:rPr>
    </w:lvl>
    <w:lvl w:ilvl="2">
      <w:start w:val="0"/>
      <w:numFmt w:val="bullet"/>
      <w:lvlText w:val="•"/>
      <w:lvlJc w:val="left"/>
      <w:pPr>
        <w:ind w:left="1569" w:hanging="341"/>
      </w:pPr>
      <w:rPr>
        <w:rFonts w:hint="default"/>
        <w:lang w:val="pt-br" w:eastAsia="pt-br" w:bidi="pt-br"/>
      </w:rPr>
    </w:lvl>
    <w:lvl w:ilvl="3">
      <w:start w:val="0"/>
      <w:numFmt w:val="bullet"/>
      <w:lvlText w:val="•"/>
      <w:lvlJc w:val="left"/>
      <w:pPr>
        <w:ind w:left="2679" w:hanging="341"/>
      </w:pPr>
      <w:rPr>
        <w:rFonts w:hint="default"/>
        <w:lang w:val="pt-br" w:eastAsia="pt-br" w:bidi="pt-br"/>
      </w:rPr>
    </w:lvl>
    <w:lvl w:ilvl="4">
      <w:start w:val="0"/>
      <w:numFmt w:val="bullet"/>
      <w:lvlText w:val="•"/>
      <w:lvlJc w:val="left"/>
      <w:pPr>
        <w:ind w:left="3788" w:hanging="341"/>
      </w:pPr>
      <w:rPr>
        <w:rFonts w:hint="default"/>
        <w:lang w:val="pt-br" w:eastAsia="pt-br" w:bidi="pt-br"/>
      </w:rPr>
    </w:lvl>
    <w:lvl w:ilvl="5">
      <w:start w:val="0"/>
      <w:numFmt w:val="bullet"/>
      <w:lvlText w:val="•"/>
      <w:lvlJc w:val="left"/>
      <w:pPr>
        <w:ind w:left="4898" w:hanging="341"/>
      </w:pPr>
      <w:rPr>
        <w:rFonts w:hint="default"/>
        <w:lang w:val="pt-br" w:eastAsia="pt-br" w:bidi="pt-br"/>
      </w:rPr>
    </w:lvl>
    <w:lvl w:ilvl="6">
      <w:start w:val="0"/>
      <w:numFmt w:val="bullet"/>
      <w:lvlText w:val="•"/>
      <w:lvlJc w:val="left"/>
      <w:pPr>
        <w:ind w:left="6008" w:hanging="341"/>
      </w:pPr>
      <w:rPr>
        <w:rFonts w:hint="default"/>
        <w:lang w:val="pt-br" w:eastAsia="pt-br" w:bidi="pt-br"/>
      </w:rPr>
    </w:lvl>
    <w:lvl w:ilvl="7">
      <w:start w:val="0"/>
      <w:numFmt w:val="bullet"/>
      <w:lvlText w:val="•"/>
      <w:lvlJc w:val="left"/>
      <w:pPr>
        <w:ind w:left="7117" w:hanging="341"/>
      </w:pPr>
      <w:rPr>
        <w:rFonts w:hint="default"/>
        <w:lang w:val="pt-br" w:eastAsia="pt-br" w:bidi="pt-br"/>
      </w:rPr>
    </w:lvl>
    <w:lvl w:ilvl="8">
      <w:start w:val="0"/>
      <w:numFmt w:val="bullet"/>
      <w:lvlText w:val="•"/>
      <w:lvlJc w:val="left"/>
      <w:pPr>
        <w:ind w:left="8227" w:hanging="341"/>
      </w:pPr>
      <w:rPr>
        <w:rFonts w:hint="default"/>
        <w:lang w:val="pt-br" w:eastAsia="pt-br" w:bidi="pt-br"/>
      </w:rPr>
    </w:lvl>
  </w:abstractNum>
  <w:abstractNum w:abstractNumId="34">
    <w:multiLevelType w:val="hybridMultilevel"/>
    <w:lvl w:ilvl="0">
      <w:start w:val="201"/>
      <w:numFmt w:val="decimal"/>
      <w:lvlText w:val="%1."/>
      <w:lvlJc w:val="left"/>
      <w:pPr>
        <w:ind w:left="112" w:hanging="421"/>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152" w:hanging="421"/>
      </w:pPr>
      <w:rPr>
        <w:rFonts w:hint="default"/>
        <w:lang w:val="pt-br" w:eastAsia="pt-br" w:bidi="pt-br"/>
      </w:rPr>
    </w:lvl>
    <w:lvl w:ilvl="2">
      <w:start w:val="0"/>
      <w:numFmt w:val="bullet"/>
      <w:lvlText w:val="•"/>
      <w:lvlJc w:val="left"/>
      <w:pPr>
        <w:ind w:left="2185" w:hanging="421"/>
      </w:pPr>
      <w:rPr>
        <w:rFonts w:hint="default"/>
        <w:lang w:val="pt-br" w:eastAsia="pt-br" w:bidi="pt-br"/>
      </w:rPr>
    </w:lvl>
    <w:lvl w:ilvl="3">
      <w:start w:val="0"/>
      <w:numFmt w:val="bullet"/>
      <w:lvlText w:val="•"/>
      <w:lvlJc w:val="left"/>
      <w:pPr>
        <w:ind w:left="3217" w:hanging="421"/>
      </w:pPr>
      <w:rPr>
        <w:rFonts w:hint="default"/>
        <w:lang w:val="pt-br" w:eastAsia="pt-br" w:bidi="pt-br"/>
      </w:rPr>
    </w:lvl>
    <w:lvl w:ilvl="4">
      <w:start w:val="0"/>
      <w:numFmt w:val="bullet"/>
      <w:lvlText w:val="•"/>
      <w:lvlJc w:val="left"/>
      <w:pPr>
        <w:ind w:left="4250" w:hanging="421"/>
      </w:pPr>
      <w:rPr>
        <w:rFonts w:hint="default"/>
        <w:lang w:val="pt-br" w:eastAsia="pt-br" w:bidi="pt-br"/>
      </w:rPr>
    </w:lvl>
    <w:lvl w:ilvl="5">
      <w:start w:val="0"/>
      <w:numFmt w:val="bullet"/>
      <w:lvlText w:val="•"/>
      <w:lvlJc w:val="left"/>
      <w:pPr>
        <w:ind w:left="5283" w:hanging="421"/>
      </w:pPr>
      <w:rPr>
        <w:rFonts w:hint="default"/>
        <w:lang w:val="pt-br" w:eastAsia="pt-br" w:bidi="pt-br"/>
      </w:rPr>
    </w:lvl>
    <w:lvl w:ilvl="6">
      <w:start w:val="0"/>
      <w:numFmt w:val="bullet"/>
      <w:lvlText w:val="•"/>
      <w:lvlJc w:val="left"/>
      <w:pPr>
        <w:ind w:left="6315" w:hanging="421"/>
      </w:pPr>
      <w:rPr>
        <w:rFonts w:hint="default"/>
        <w:lang w:val="pt-br" w:eastAsia="pt-br" w:bidi="pt-br"/>
      </w:rPr>
    </w:lvl>
    <w:lvl w:ilvl="7">
      <w:start w:val="0"/>
      <w:numFmt w:val="bullet"/>
      <w:lvlText w:val="•"/>
      <w:lvlJc w:val="left"/>
      <w:pPr>
        <w:ind w:left="7348" w:hanging="421"/>
      </w:pPr>
      <w:rPr>
        <w:rFonts w:hint="default"/>
        <w:lang w:val="pt-br" w:eastAsia="pt-br" w:bidi="pt-br"/>
      </w:rPr>
    </w:lvl>
    <w:lvl w:ilvl="8">
      <w:start w:val="0"/>
      <w:numFmt w:val="bullet"/>
      <w:lvlText w:val="•"/>
      <w:lvlJc w:val="left"/>
      <w:pPr>
        <w:ind w:left="8381" w:hanging="421"/>
      </w:pPr>
      <w:rPr>
        <w:rFonts w:hint="default"/>
        <w:lang w:val="pt-br" w:eastAsia="pt-br" w:bidi="pt-br"/>
      </w:rPr>
    </w:lvl>
  </w:abstractNum>
  <w:abstractNum w:abstractNumId="33">
    <w:multiLevelType w:val="hybridMultilevel"/>
    <w:lvl w:ilvl="0">
      <w:start w:val="191"/>
      <w:numFmt w:val="decimal"/>
      <w:lvlText w:val="%1."/>
      <w:lvlJc w:val="left"/>
      <w:pPr>
        <w:ind w:left="112" w:hanging="421"/>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152" w:hanging="421"/>
      </w:pPr>
      <w:rPr>
        <w:rFonts w:hint="default"/>
        <w:lang w:val="pt-br" w:eastAsia="pt-br" w:bidi="pt-br"/>
      </w:rPr>
    </w:lvl>
    <w:lvl w:ilvl="2">
      <w:start w:val="0"/>
      <w:numFmt w:val="bullet"/>
      <w:lvlText w:val="•"/>
      <w:lvlJc w:val="left"/>
      <w:pPr>
        <w:ind w:left="2185" w:hanging="421"/>
      </w:pPr>
      <w:rPr>
        <w:rFonts w:hint="default"/>
        <w:lang w:val="pt-br" w:eastAsia="pt-br" w:bidi="pt-br"/>
      </w:rPr>
    </w:lvl>
    <w:lvl w:ilvl="3">
      <w:start w:val="0"/>
      <w:numFmt w:val="bullet"/>
      <w:lvlText w:val="•"/>
      <w:lvlJc w:val="left"/>
      <w:pPr>
        <w:ind w:left="3217" w:hanging="421"/>
      </w:pPr>
      <w:rPr>
        <w:rFonts w:hint="default"/>
        <w:lang w:val="pt-br" w:eastAsia="pt-br" w:bidi="pt-br"/>
      </w:rPr>
    </w:lvl>
    <w:lvl w:ilvl="4">
      <w:start w:val="0"/>
      <w:numFmt w:val="bullet"/>
      <w:lvlText w:val="•"/>
      <w:lvlJc w:val="left"/>
      <w:pPr>
        <w:ind w:left="4250" w:hanging="421"/>
      </w:pPr>
      <w:rPr>
        <w:rFonts w:hint="default"/>
        <w:lang w:val="pt-br" w:eastAsia="pt-br" w:bidi="pt-br"/>
      </w:rPr>
    </w:lvl>
    <w:lvl w:ilvl="5">
      <w:start w:val="0"/>
      <w:numFmt w:val="bullet"/>
      <w:lvlText w:val="•"/>
      <w:lvlJc w:val="left"/>
      <w:pPr>
        <w:ind w:left="5283" w:hanging="421"/>
      </w:pPr>
      <w:rPr>
        <w:rFonts w:hint="default"/>
        <w:lang w:val="pt-br" w:eastAsia="pt-br" w:bidi="pt-br"/>
      </w:rPr>
    </w:lvl>
    <w:lvl w:ilvl="6">
      <w:start w:val="0"/>
      <w:numFmt w:val="bullet"/>
      <w:lvlText w:val="•"/>
      <w:lvlJc w:val="left"/>
      <w:pPr>
        <w:ind w:left="6315" w:hanging="421"/>
      </w:pPr>
      <w:rPr>
        <w:rFonts w:hint="default"/>
        <w:lang w:val="pt-br" w:eastAsia="pt-br" w:bidi="pt-br"/>
      </w:rPr>
    </w:lvl>
    <w:lvl w:ilvl="7">
      <w:start w:val="0"/>
      <w:numFmt w:val="bullet"/>
      <w:lvlText w:val="•"/>
      <w:lvlJc w:val="left"/>
      <w:pPr>
        <w:ind w:left="7348" w:hanging="421"/>
      </w:pPr>
      <w:rPr>
        <w:rFonts w:hint="default"/>
        <w:lang w:val="pt-br" w:eastAsia="pt-br" w:bidi="pt-br"/>
      </w:rPr>
    </w:lvl>
    <w:lvl w:ilvl="8">
      <w:start w:val="0"/>
      <w:numFmt w:val="bullet"/>
      <w:lvlText w:val="•"/>
      <w:lvlJc w:val="left"/>
      <w:pPr>
        <w:ind w:left="8381" w:hanging="421"/>
      </w:pPr>
      <w:rPr>
        <w:rFonts w:hint="default"/>
        <w:lang w:val="pt-br" w:eastAsia="pt-br" w:bidi="pt-br"/>
      </w:rPr>
    </w:lvl>
  </w:abstractNum>
  <w:abstractNum w:abstractNumId="32">
    <w:multiLevelType w:val="hybridMultilevel"/>
    <w:lvl w:ilvl="0">
      <w:start w:val="163"/>
      <w:numFmt w:val="decimal"/>
      <w:lvlText w:val="%1."/>
      <w:lvlJc w:val="left"/>
      <w:pPr>
        <w:ind w:left="112" w:hanging="421"/>
        <w:jc w:val="righ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152" w:hanging="421"/>
      </w:pPr>
      <w:rPr>
        <w:rFonts w:hint="default"/>
        <w:lang w:val="pt-br" w:eastAsia="pt-br" w:bidi="pt-br"/>
      </w:rPr>
    </w:lvl>
    <w:lvl w:ilvl="2">
      <w:start w:val="0"/>
      <w:numFmt w:val="bullet"/>
      <w:lvlText w:val="•"/>
      <w:lvlJc w:val="left"/>
      <w:pPr>
        <w:ind w:left="2185" w:hanging="421"/>
      </w:pPr>
      <w:rPr>
        <w:rFonts w:hint="default"/>
        <w:lang w:val="pt-br" w:eastAsia="pt-br" w:bidi="pt-br"/>
      </w:rPr>
    </w:lvl>
    <w:lvl w:ilvl="3">
      <w:start w:val="0"/>
      <w:numFmt w:val="bullet"/>
      <w:lvlText w:val="•"/>
      <w:lvlJc w:val="left"/>
      <w:pPr>
        <w:ind w:left="3217" w:hanging="421"/>
      </w:pPr>
      <w:rPr>
        <w:rFonts w:hint="default"/>
        <w:lang w:val="pt-br" w:eastAsia="pt-br" w:bidi="pt-br"/>
      </w:rPr>
    </w:lvl>
    <w:lvl w:ilvl="4">
      <w:start w:val="0"/>
      <w:numFmt w:val="bullet"/>
      <w:lvlText w:val="•"/>
      <w:lvlJc w:val="left"/>
      <w:pPr>
        <w:ind w:left="4250" w:hanging="421"/>
      </w:pPr>
      <w:rPr>
        <w:rFonts w:hint="default"/>
        <w:lang w:val="pt-br" w:eastAsia="pt-br" w:bidi="pt-br"/>
      </w:rPr>
    </w:lvl>
    <w:lvl w:ilvl="5">
      <w:start w:val="0"/>
      <w:numFmt w:val="bullet"/>
      <w:lvlText w:val="•"/>
      <w:lvlJc w:val="left"/>
      <w:pPr>
        <w:ind w:left="5283" w:hanging="421"/>
      </w:pPr>
      <w:rPr>
        <w:rFonts w:hint="default"/>
        <w:lang w:val="pt-br" w:eastAsia="pt-br" w:bidi="pt-br"/>
      </w:rPr>
    </w:lvl>
    <w:lvl w:ilvl="6">
      <w:start w:val="0"/>
      <w:numFmt w:val="bullet"/>
      <w:lvlText w:val="•"/>
      <w:lvlJc w:val="left"/>
      <w:pPr>
        <w:ind w:left="6315" w:hanging="421"/>
      </w:pPr>
      <w:rPr>
        <w:rFonts w:hint="default"/>
        <w:lang w:val="pt-br" w:eastAsia="pt-br" w:bidi="pt-br"/>
      </w:rPr>
    </w:lvl>
    <w:lvl w:ilvl="7">
      <w:start w:val="0"/>
      <w:numFmt w:val="bullet"/>
      <w:lvlText w:val="•"/>
      <w:lvlJc w:val="left"/>
      <w:pPr>
        <w:ind w:left="7348" w:hanging="421"/>
      </w:pPr>
      <w:rPr>
        <w:rFonts w:hint="default"/>
        <w:lang w:val="pt-br" w:eastAsia="pt-br" w:bidi="pt-br"/>
      </w:rPr>
    </w:lvl>
    <w:lvl w:ilvl="8">
      <w:start w:val="0"/>
      <w:numFmt w:val="bullet"/>
      <w:lvlText w:val="•"/>
      <w:lvlJc w:val="left"/>
      <w:pPr>
        <w:ind w:left="8381" w:hanging="421"/>
      </w:pPr>
      <w:rPr>
        <w:rFonts w:hint="default"/>
        <w:lang w:val="pt-br" w:eastAsia="pt-br" w:bidi="pt-br"/>
      </w:rPr>
    </w:lvl>
  </w:abstractNum>
  <w:abstractNum w:abstractNumId="31">
    <w:multiLevelType w:val="hybridMultilevel"/>
    <w:lvl w:ilvl="0">
      <w:start w:val="51"/>
      <w:numFmt w:val="decimal"/>
      <w:lvlText w:val="%1."/>
      <w:lvlJc w:val="left"/>
      <w:pPr>
        <w:ind w:left="112" w:hanging="301"/>
        <w:jc w:val="left"/>
      </w:pPr>
      <w:rPr>
        <w:rFonts w:hint="default" w:ascii="Times New Roman" w:hAnsi="Times New Roman" w:eastAsia="Times New Roman" w:cs="Times New Roman"/>
        <w:w w:val="100"/>
        <w:sz w:val="22"/>
        <w:szCs w:val="22"/>
        <w:lang w:val="pt-br" w:eastAsia="pt-br" w:bidi="pt-br"/>
      </w:rPr>
    </w:lvl>
    <w:lvl w:ilvl="1">
      <w:start w:val="157"/>
      <w:numFmt w:val="decimal"/>
      <w:lvlText w:val="%2."/>
      <w:lvlJc w:val="left"/>
      <w:pPr>
        <w:ind w:left="112" w:hanging="538"/>
        <w:jc w:val="left"/>
      </w:pPr>
      <w:rPr>
        <w:rFonts w:hint="default" w:ascii="Times New Roman" w:hAnsi="Times New Roman" w:eastAsia="Times New Roman" w:cs="Times New Roman"/>
        <w:spacing w:val="-21"/>
        <w:w w:val="99"/>
        <w:sz w:val="24"/>
        <w:szCs w:val="24"/>
        <w:lang w:val="pt-br" w:eastAsia="pt-br" w:bidi="pt-br"/>
      </w:rPr>
    </w:lvl>
    <w:lvl w:ilvl="2">
      <w:start w:val="0"/>
      <w:numFmt w:val="bullet"/>
      <w:lvlText w:val="•"/>
      <w:lvlJc w:val="left"/>
      <w:pPr>
        <w:ind w:left="2185" w:hanging="538"/>
      </w:pPr>
      <w:rPr>
        <w:rFonts w:hint="default"/>
        <w:lang w:val="pt-br" w:eastAsia="pt-br" w:bidi="pt-br"/>
      </w:rPr>
    </w:lvl>
    <w:lvl w:ilvl="3">
      <w:start w:val="0"/>
      <w:numFmt w:val="bullet"/>
      <w:lvlText w:val="•"/>
      <w:lvlJc w:val="left"/>
      <w:pPr>
        <w:ind w:left="3217" w:hanging="538"/>
      </w:pPr>
      <w:rPr>
        <w:rFonts w:hint="default"/>
        <w:lang w:val="pt-br" w:eastAsia="pt-br" w:bidi="pt-br"/>
      </w:rPr>
    </w:lvl>
    <w:lvl w:ilvl="4">
      <w:start w:val="0"/>
      <w:numFmt w:val="bullet"/>
      <w:lvlText w:val="•"/>
      <w:lvlJc w:val="left"/>
      <w:pPr>
        <w:ind w:left="4250" w:hanging="538"/>
      </w:pPr>
      <w:rPr>
        <w:rFonts w:hint="default"/>
        <w:lang w:val="pt-br" w:eastAsia="pt-br" w:bidi="pt-br"/>
      </w:rPr>
    </w:lvl>
    <w:lvl w:ilvl="5">
      <w:start w:val="0"/>
      <w:numFmt w:val="bullet"/>
      <w:lvlText w:val="•"/>
      <w:lvlJc w:val="left"/>
      <w:pPr>
        <w:ind w:left="5283" w:hanging="538"/>
      </w:pPr>
      <w:rPr>
        <w:rFonts w:hint="default"/>
        <w:lang w:val="pt-br" w:eastAsia="pt-br" w:bidi="pt-br"/>
      </w:rPr>
    </w:lvl>
    <w:lvl w:ilvl="6">
      <w:start w:val="0"/>
      <w:numFmt w:val="bullet"/>
      <w:lvlText w:val="•"/>
      <w:lvlJc w:val="left"/>
      <w:pPr>
        <w:ind w:left="6315" w:hanging="538"/>
      </w:pPr>
      <w:rPr>
        <w:rFonts w:hint="default"/>
        <w:lang w:val="pt-br" w:eastAsia="pt-br" w:bidi="pt-br"/>
      </w:rPr>
    </w:lvl>
    <w:lvl w:ilvl="7">
      <w:start w:val="0"/>
      <w:numFmt w:val="bullet"/>
      <w:lvlText w:val="•"/>
      <w:lvlJc w:val="left"/>
      <w:pPr>
        <w:ind w:left="7348" w:hanging="538"/>
      </w:pPr>
      <w:rPr>
        <w:rFonts w:hint="default"/>
        <w:lang w:val="pt-br" w:eastAsia="pt-br" w:bidi="pt-br"/>
      </w:rPr>
    </w:lvl>
    <w:lvl w:ilvl="8">
      <w:start w:val="0"/>
      <w:numFmt w:val="bullet"/>
      <w:lvlText w:val="•"/>
      <w:lvlJc w:val="left"/>
      <w:pPr>
        <w:ind w:left="8381" w:hanging="538"/>
      </w:pPr>
      <w:rPr>
        <w:rFonts w:hint="default"/>
        <w:lang w:val="pt-br" w:eastAsia="pt-br" w:bidi="pt-br"/>
      </w:rPr>
    </w:lvl>
  </w:abstractNum>
  <w:abstractNum w:abstractNumId="30">
    <w:multiLevelType w:val="hybridMultilevel"/>
    <w:lvl w:ilvl="0">
      <w:start w:val="35"/>
      <w:numFmt w:val="decimal"/>
      <w:lvlText w:val="%1."/>
      <w:lvlJc w:val="left"/>
      <w:pPr>
        <w:ind w:left="112" w:hanging="303"/>
        <w:jc w:val="righ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152" w:hanging="303"/>
      </w:pPr>
      <w:rPr>
        <w:rFonts w:hint="default"/>
        <w:lang w:val="pt-br" w:eastAsia="pt-br" w:bidi="pt-br"/>
      </w:rPr>
    </w:lvl>
    <w:lvl w:ilvl="2">
      <w:start w:val="0"/>
      <w:numFmt w:val="bullet"/>
      <w:lvlText w:val="•"/>
      <w:lvlJc w:val="left"/>
      <w:pPr>
        <w:ind w:left="2185" w:hanging="303"/>
      </w:pPr>
      <w:rPr>
        <w:rFonts w:hint="default"/>
        <w:lang w:val="pt-br" w:eastAsia="pt-br" w:bidi="pt-br"/>
      </w:rPr>
    </w:lvl>
    <w:lvl w:ilvl="3">
      <w:start w:val="0"/>
      <w:numFmt w:val="bullet"/>
      <w:lvlText w:val="•"/>
      <w:lvlJc w:val="left"/>
      <w:pPr>
        <w:ind w:left="3217" w:hanging="303"/>
      </w:pPr>
      <w:rPr>
        <w:rFonts w:hint="default"/>
        <w:lang w:val="pt-br" w:eastAsia="pt-br" w:bidi="pt-br"/>
      </w:rPr>
    </w:lvl>
    <w:lvl w:ilvl="4">
      <w:start w:val="0"/>
      <w:numFmt w:val="bullet"/>
      <w:lvlText w:val="•"/>
      <w:lvlJc w:val="left"/>
      <w:pPr>
        <w:ind w:left="4250" w:hanging="303"/>
      </w:pPr>
      <w:rPr>
        <w:rFonts w:hint="default"/>
        <w:lang w:val="pt-br" w:eastAsia="pt-br" w:bidi="pt-br"/>
      </w:rPr>
    </w:lvl>
    <w:lvl w:ilvl="5">
      <w:start w:val="0"/>
      <w:numFmt w:val="bullet"/>
      <w:lvlText w:val="•"/>
      <w:lvlJc w:val="left"/>
      <w:pPr>
        <w:ind w:left="5283" w:hanging="303"/>
      </w:pPr>
      <w:rPr>
        <w:rFonts w:hint="default"/>
        <w:lang w:val="pt-br" w:eastAsia="pt-br" w:bidi="pt-br"/>
      </w:rPr>
    </w:lvl>
    <w:lvl w:ilvl="6">
      <w:start w:val="0"/>
      <w:numFmt w:val="bullet"/>
      <w:lvlText w:val="•"/>
      <w:lvlJc w:val="left"/>
      <w:pPr>
        <w:ind w:left="6315" w:hanging="303"/>
      </w:pPr>
      <w:rPr>
        <w:rFonts w:hint="default"/>
        <w:lang w:val="pt-br" w:eastAsia="pt-br" w:bidi="pt-br"/>
      </w:rPr>
    </w:lvl>
    <w:lvl w:ilvl="7">
      <w:start w:val="0"/>
      <w:numFmt w:val="bullet"/>
      <w:lvlText w:val="•"/>
      <w:lvlJc w:val="left"/>
      <w:pPr>
        <w:ind w:left="7348" w:hanging="303"/>
      </w:pPr>
      <w:rPr>
        <w:rFonts w:hint="default"/>
        <w:lang w:val="pt-br" w:eastAsia="pt-br" w:bidi="pt-br"/>
      </w:rPr>
    </w:lvl>
    <w:lvl w:ilvl="8">
      <w:start w:val="0"/>
      <w:numFmt w:val="bullet"/>
      <w:lvlText w:val="•"/>
      <w:lvlJc w:val="left"/>
      <w:pPr>
        <w:ind w:left="8381" w:hanging="303"/>
      </w:pPr>
      <w:rPr>
        <w:rFonts w:hint="default"/>
        <w:lang w:val="pt-br" w:eastAsia="pt-br" w:bidi="pt-br"/>
      </w:rPr>
    </w:lvl>
  </w:abstractNum>
  <w:abstractNum w:abstractNumId="29">
    <w:multiLevelType w:val="hybridMultilevel"/>
    <w:lvl w:ilvl="0">
      <w:start w:val="15"/>
      <w:numFmt w:val="decimal"/>
      <w:lvlText w:val="%1."/>
      <w:lvlJc w:val="left"/>
      <w:pPr>
        <w:ind w:left="112" w:hanging="301"/>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152" w:hanging="301"/>
      </w:pPr>
      <w:rPr>
        <w:rFonts w:hint="default"/>
        <w:lang w:val="pt-br" w:eastAsia="pt-br" w:bidi="pt-br"/>
      </w:rPr>
    </w:lvl>
    <w:lvl w:ilvl="2">
      <w:start w:val="0"/>
      <w:numFmt w:val="bullet"/>
      <w:lvlText w:val="•"/>
      <w:lvlJc w:val="left"/>
      <w:pPr>
        <w:ind w:left="2185" w:hanging="301"/>
      </w:pPr>
      <w:rPr>
        <w:rFonts w:hint="default"/>
        <w:lang w:val="pt-br" w:eastAsia="pt-br" w:bidi="pt-br"/>
      </w:rPr>
    </w:lvl>
    <w:lvl w:ilvl="3">
      <w:start w:val="0"/>
      <w:numFmt w:val="bullet"/>
      <w:lvlText w:val="•"/>
      <w:lvlJc w:val="left"/>
      <w:pPr>
        <w:ind w:left="3217" w:hanging="301"/>
      </w:pPr>
      <w:rPr>
        <w:rFonts w:hint="default"/>
        <w:lang w:val="pt-br" w:eastAsia="pt-br" w:bidi="pt-br"/>
      </w:rPr>
    </w:lvl>
    <w:lvl w:ilvl="4">
      <w:start w:val="0"/>
      <w:numFmt w:val="bullet"/>
      <w:lvlText w:val="•"/>
      <w:lvlJc w:val="left"/>
      <w:pPr>
        <w:ind w:left="4250" w:hanging="301"/>
      </w:pPr>
      <w:rPr>
        <w:rFonts w:hint="default"/>
        <w:lang w:val="pt-br" w:eastAsia="pt-br" w:bidi="pt-br"/>
      </w:rPr>
    </w:lvl>
    <w:lvl w:ilvl="5">
      <w:start w:val="0"/>
      <w:numFmt w:val="bullet"/>
      <w:lvlText w:val="•"/>
      <w:lvlJc w:val="left"/>
      <w:pPr>
        <w:ind w:left="5283" w:hanging="301"/>
      </w:pPr>
      <w:rPr>
        <w:rFonts w:hint="default"/>
        <w:lang w:val="pt-br" w:eastAsia="pt-br" w:bidi="pt-br"/>
      </w:rPr>
    </w:lvl>
    <w:lvl w:ilvl="6">
      <w:start w:val="0"/>
      <w:numFmt w:val="bullet"/>
      <w:lvlText w:val="•"/>
      <w:lvlJc w:val="left"/>
      <w:pPr>
        <w:ind w:left="6315" w:hanging="301"/>
      </w:pPr>
      <w:rPr>
        <w:rFonts w:hint="default"/>
        <w:lang w:val="pt-br" w:eastAsia="pt-br" w:bidi="pt-br"/>
      </w:rPr>
    </w:lvl>
    <w:lvl w:ilvl="7">
      <w:start w:val="0"/>
      <w:numFmt w:val="bullet"/>
      <w:lvlText w:val="•"/>
      <w:lvlJc w:val="left"/>
      <w:pPr>
        <w:ind w:left="7348" w:hanging="301"/>
      </w:pPr>
      <w:rPr>
        <w:rFonts w:hint="default"/>
        <w:lang w:val="pt-br" w:eastAsia="pt-br" w:bidi="pt-br"/>
      </w:rPr>
    </w:lvl>
    <w:lvl w:ilvl="8">
      <w:start w:val="0"/>
      <w:numFmt w:val="bullet"/>
      <w:lvlText w:val="•"/>
      <w:lvlJc w:val="left"/>
      <w:pPr>
        <w:ind w:left="8381" w:hanging="301"/>
      </w:pPr>
      <w:rPr>
        <w:rFonts w:hint="default"/>
        <w:lang w:val="pt-br" w:eastAsia="pt-br" w:bidi="pt-br"/>
      </w:rPr>
    </w:lvl>
  </w:abstractNum>
  <w:abstractNum w:abstractNumId="28">
    <w:multiLevelType w:val="hybridMultilevel"/>
    <w:lvl w:ilvl="0">
      <w:start w:val="1"/>
      <w:numFmt w:val="decimal"/>
      <w:lvlText w:val="%1."/>
      <w:lvlJc w:val="left"/>
      <w:pPr>
        <w:ind w:left="112" w:hanging="181"/>
        <w:jc w:val="left"/>
      </w:pPr>
      <w:rPr>
        <w:rFonts w:hint="default" w:ascii="Times New Roman" w:hAnsi="Times New Roman" w:eastAsia="Times New Roman" w:cs="Times New Roman"/>
        <w:spacing w:val="-28"/>
        <w:w w:val="99"/>
        <w:sz w:val="22"/>
        <w:szCs w:val="22"/>
        <w:lang w:val="pt-br" w:eastAsia="pt-br" w:bidi="pt-br"/>
      </w:rPr>
    </w:lvl>
    <w:lvl w:ilvl="1">
      <w:start w:val="0"/>
      <w:numFmt w:val="bullet"/>
      <w:lvlText w:val="•"/>
      <w:lvlJc w:val="left"/>
      <w:pPr>
        <w:ind w:left="1152" w:hanging="181"/>
      </w:pPr>
      <w:rPr>
        <w:rFonts w:hint="default"/>
        <w:lang w:val="pt-br" w:eastAsia="pt-br" w:bidi="pt-br"/>
      </w:rPr>
    </w:lvl>
    <w:lvl w:ilvl="2">
      <w:start w:val="0"/>
      <w:numFmt w:val="bullet"/>
      <w:lvlText w:val="•"/>
      <w:lvlJc w:val="left"/>
      <w:pPr>
        <w:ind w:left="2185" w:hanging="181"/>
      </w:pPr>
      <w:rPr>
        <w:rFonts w:hint="default"/>
        <w:lang w:val="pt-br" w:eastAsia="pt-br" w:bidi="pt-br"/>
      </w:rPr>
    </w:lvl>
    <w:lvl w:ilvl="3">
      <w:start w:val="0"/>
      <w:numFmt w:val="bullet"/>
      <w:lvlText w:val="•"/>
      <w:lvlJc w:val="left"/>
      <w:pPr>
        <w:ind w:left="3217" w:hanging="181"/>
      </w:pPr>
      <w:rPr>
        <w:rFonts w:hint="default"/>
        <w:lang w:val="pt-br" w:eastAsia="pt-br" w:bidi="pt-br"/>
      </w:rPr>
    </w:lvl>
    <w:lvl w:ilvl="4">
      <w:start w:val="0"/>
      <w:numFmt w:val="bullet"/>
      <w:lvlText w:val="•"/>
      <w:lvlJc w:val="left"/>
      <w:pPr>
        <w:ind w:left="4250" w:hanging="181"/>
      </w:pPr>
      <w:rPr>
        <w:rFonts w:hint="default"/>
        <w:lang w:val="pt-br" w:eastAsia="pt-br" w:bidi="pt-br"/>
      </w:rPr>
    </w:lvl>
    <w:lvl w:ilvl="5">
      <w:start w:val="0"/>
      <w:numFmt w:val="bullet"/>
      <w:lvlText w:val="•"/>
      <w:lvlJc w:val="left"/>
      <w:pPr>
        <w:ind w:left="5283" w:hanging="181"/>
      </w:pPr>
      <w:rPr>
        <w:rFonts w:hint="default"/>
        <w:lang w:val="pt-br" w:eastAsia="pt-br" w:bidi="pt-br"/>
      </w:rPr>
    </w:lvl>
    <w:lvl w:ilvl="6">
      <w:start w:val="0"/>
      <w:numFmt w:val="bullet"/>
      <w:lvlText w:val="•"/>
      <w:lvlJc w:val="left"/>
      <w:pPr>
        <w:ind w:left="6315" w:hanging="181"/>
      </w:pPr>
      <w:rPr>
        <w:rFonts w:hint="default"/>
        <w:lang w:val="pt-br" w:eastAsia="pt-br" w:bidi="pt-br"/>
      </w:rPr>
    </w:lvl>
    <w:lvl w:ilvl="7">
      <w:start w:val="0"/>
      <w:numFmt w:val="bullet"/>
      <w:lvlText w:val="•"/>
      <w:lvlJc w:val="left"/>
      <w:pPr>
        <w:ind w:left="7348" w:hanging="181"/>
      </w:pPr>
      <w:rPr>
        <w:rFonts w:hint="default"/>
        <w:lang w:val="pt-br" w:eastAsia="pt-br" w:bidi="pt-br"/>
      </w:rPr>
    </w:lvl>
    <w:lvl w:ilvl="8">
      <w:start w:val="0"/>
      <w:numFmt w:val="bullet"/>
      <w:lvlText w:val="•"/>
      <w:lvlJc w:val="left"/>
      <w:pPr>
        <w:ind w:left="8381" w:hanging="181"/>
      </w:pPr>
      <w:rPr>
        <w:rFonts w:hint="default"/>
        <w:lang w:val="pt-br" w:eastAsia="pt-br" w:bidi="pt-br"/>
      </w:rPr>
    </w:lvl>
  </w:abstractNum>
  <w:abstractNum w:abstractNumId="27">
    <w:multiLevelType w:val="hybridMultilevel"/>
    <w:lvl w:ilvl="0">
      <w:start w:val="0"/>
      <w:numFmt w:val="bullet"/>
      <w:lvlText w:val="-"/>
      <w:lvlJc w:val="left"/>
      <w:pPr>
        <w:ind w:left="108" w:hanging="188"/>
      </w:pPr>
      <w:rPr>
        <w:rFonts w:hint="default" w:ascii="Times New Roman" w:hAnsi="Times New Roman" w:eastAsia="Times New Roman" w:cs="Times New Roman"/>
        <w:spacing w:val="-14"/>
        <w:w w:val="99"/>
        <w:sz w:val="24"/>
        <w:szCs w:val="24"/>
        <w:lang w:val="pt-br" w:eastAsia="pt-br" w:bidi="pt-br"/>
      </w:rPr>
    </w:lvl>
    <w:lvl w:ilvl="1">
      <w:start w:val="0"/>
      <w:numFmt w:val="bullet"/>
      <w:lvlText w:val="•"/>
      <w:lvlJc w:val="left"/>
      <w:pPr>
        <w:ind w:left="615" w:hanging="188"/>
      </w:pPr>
      <w:rPr>
        <w:rFonts w:hint="default"/>
        <w:lang w:val="pt-br" w:eastAsia="pt-br" w:bidi="pt-br"/>
      </w:rPr>
    </w:lvl>
    <w:lvl w:ilvl="2">
      <w:start w:val="0"/>
      <w:numFmt w:val="bullet"/>
      <w:lvlText w:val="•"/>
      <w:lvlJc w:val="left"/>
      <w:pPr>
        <w:ind w:left="1130" w:hanging="188"/>
      </w:pPr>
      <w:rPr>
        <w:rFonts w:hint="default"/>
        <w:lang w:val="pt-br" w:eastAsia="pt-br" w:bidi="pt-br"/>
      </w:rPr>
    </w:lvl>
    <w:lvl w:ilvl="3">
      <w:start w:val="0"/>
      <w:numFmt w:val="bullet"/>
      <w:lvlText w:val="•"/>
      <w:lvlJc w:val="left"/>
      <w:pPr>
        <w:ind w:left="1645" w:hanging="188"/>
      </w:pPr>
      <w:rPr>
        <w:rFonts w:hint="default"/>
        <w:lang w:val="pt-br" w:eastAsia="pt-br" w:bidi="pt-br"/>
      </w:rPr>
    </w:lvl>
    <w:lvl w:ilvl="4">
      <w:start w:val="0"/>
      <w:numFmt w:val="bullet"/>
      <w:lvlText w:val="•"/>
      <w:lvlJc w:val="left"/>
      <w:pPr>
        <w:ind w:left="2161" w:hanging="188"/>
      </w:pPr>
      <w:rPr>
        <w:rFonts w:hint="default"/>
        <w:lang w:val="pt-br" w:eastAsia="pt-br" w:bidi="pt-br"/>
      </w:rPr>
    </w:lvl>
    <w:lvl w:ilvl="5">
      <w:start w:val="0"/>
      <w:numFmt w:val="bullet"/>
      <w:lvlText w:val="•"/>
      <w:lvlJc w:val="left"/>
      <w:pPr>
        <w:ind w:left="2676" w:hanging="188"/>
      </w:pPr>
      <w:rPr>
        <w:rFonts w:hint="default"/>
        <w:lang w:val="pt-br" w:eastAsia="pt-br" w:bidi="pt-br"/>
      </w:rPr>
    </w:lvl>
    <w:lvl w:ilvl="6">
      <w:start w:val="0"/>
      <w:numFmt w:val="bullet"/>
      <w:lvlText w:val="•"/>
      <w:lvlJc w:val="left"/>
      <w:pPr>
        <w:ind w:left="3191" w:hanging="188"/>
      </w:pPr>
      <w:rPr>
        <w:rFonts w:hint="default"/>
        <w:lang w:val="pt-br" w:eastAsia="pt-br" w:bidi="pt-br"/>
      </w:rPr>
    </w:lvl>
    <w:lvl w:ilvl="7">
      <w:start w:val="0"/>
      <w:numFmt w:val="bullet"/>
      <w:lvlText w:val="•"/>
      <w:lvlJc w:val="left"/>
      <w:pPr>
        <w:ind w:left="3707" w:hanging="188"/>
      </w:pPr>
      <w:rPr>
        <w:rFonts w:hint="default"/>
        <w:lang w:val="pt-br" w:eastAsia="pt-br" w:bidi="pt-br"/>
      </w:rPr>
    </w:lvl>
    <w:lvl w:ilvl="8">
      <w:start w:val="0"/>
      <w:numFmt w:val="bullet"/>
      <w:lvlText w:val="•"/>
      <w:lvlJc w:val="left"/>
      <w:pPr>
        <w:ind w:left="4222" w:hanging="188"/>
      </w:pPr>
      <w:rPr>
        <w:rFonts w:hint="default"/>
        <w:lang w:val="pt-br" w:eastAsia="pt-br" w:bidi="pt-br"/>
      </w:rPr>
    </w:lvl>
  </w:abstractNum>
  <w:abstractNum w:abstractNumId="26">
    <w:multiLevelType w:val="hybridMultilevel"/>
    <w:lvl w:ilvl="0">
      <w:start w:val="0"/>
      <w:numFmt w:val="bullet"/>
      <w:lvlText w:val="-"/>
      <w:lvlJc w:val="left"/>
      <w:pPr>
        <w:ind w:left="108" w:hanging="164"/>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15" w:hanging="164"/>
      </w:pPr>
      <w:rPr>
        <w:rFonts w:hint="default"/>
        <w:lang w:val="pt-br" w:eastAsia="pt-br" w:bidi="pt-br"/>
      </w:rPr>
    </w:lvl>
    <w:lvl w:ilvl="2">
      <w:start w:val="0"/>
      <w:numFmt w:val="bullet"/>
      <w:lvlText w:val="•"/>
      <w:lvlJc w:val="left"/>
      <w:pPr>
        <w:ind w:left="1130" w:hanging="164"/>
      </w:pPr>
      <w:rPr>
        <w:rFonts w:hint="default"/>
        <w:lang w:val="pt-br" w:eastAsia="pt-br" w:bidi="pt-br"/>
      </w:rPr>
    </w:lvl>
    <w:lvl w:ilvl="3">
      <w:start w:val="0"/>
      <w:numFmt w:val="bullet"/>
      <w:lvlText w:val="•"/>
      <w:lvlJc w:val="left"/>
      <w:pPr>
        <w:ind w:left="1645" w:hanging="164"/>
      </w:pPr>
      <w:rPr>
        <w:rFonts w:hint="default"/>
        <w:lang w:val="pt-br" w:eastAsia="pt-br" w:bidi="pt-br"/>
      </w:rPr>
    </w:lvl>
    <w:lvl w:ilvl="4">
      <w:start w:val="0"/>
      <w:numFmt w:val="bullet"/>
      <w:lvlText w:val="•"/>
      <w:lvlJc w:val="left"/>
      <w:pPr>
        <w:ind w:left="2161" w:hanging="164"/>
      </w:pPr>
      <w:rPr>
        <w:rFonts w:hint="default"/>
        <w:lang w:val="pt-br" w:eastAsia="pt-br" w:bidi="pt-br"/>
      </w:rPr>
    </w:lvl>
    <w:lvl w:ilvl="5">
      <w:start w:val="0"/>
      <w:numFmt w:val="bullet"/>
      <w:lvlText w:val="•"/>
      <w:lvlJc w:val="left"/>
      <w:pPr>
        <w:ind w:left="2676" w:hanging="164"/>
      </w:pPr>
      <w:rPr>
        <w:rFonts w:hint="default"/>
        <w:lang w:val="pt-br" w:eastAsia="pt-br" w:bidi="pt-br"/>
      </w:rPr>
    </w:lvl>
    <w:lvl w:ilvl="6">
      <w:start w:val="0"/>
      <w:numFmt w:val="bullet"/>
      <w:lvlText w:val="•"/>
      <w:lvlJc w:val="left"/>
      <w:pPr>
        <w:ind w:left="3191" w:hanging="164"/>
      </w:pPr>
      <w:rPr>
        <w:rFonts w:hint="default"/>
        <w:lang w:val="pt-br" w:eastAsia="pt-br" w:bidi="pt-br"/>
      </w:rPr>
    </w:lvl>
    <w:lvl w:ilvl="7">
      <w:start w:val="0"/>
      <w:numFmt w:val="bullet"/>
      <w:lvlText w:val="•"/>
      <w:lvlJc w:val="left"/>
      <w:pPr>
        <w:ind w:left="3707" w:hanging="164"/>
      </w:pPr>
      <w:rPr>
        <w:rFonts w:hint="default"/>
        <w:lang w:val="pt-br" w:eastAsia="pt-br" w:bidi="pt-br"/>
      </w:rPr>
    </w:lvl>
    <w:lvl w:ilvl="8">
      <w:start w:val="0"/>
      <w:numFmt w:val="bullet"/>
      <w:lvlText w:val="•"/>
      <w:lvlJc w:val="left"/>
      <w:pPr>
        <w:ind w:left="4222" w:hanging="164"/>
      </w:pPr>
      <w:rPr>
        <w:rFonts w:hint="default"/>
        <w:lang w:val="pt-br" w:eastAsia="pt-br" w:bidi="pt-br"/>
      </w:rPr>
    </w:lvl>
  </w:abstractNum>
  <w:abstractNum w:abstractNumId="25">
    <w:multiLevelType w:val="hybridMultilevel"/>
    <w:lvl w:ilvl="0">
      <w:start w:val="0"/>
      <w:numFmt w:val="bullet"/>
      <w:lvlText w:val="-"/>
      <w:lvlJc w:val="left"/>
      <w:pPr>
        <w:ind w:left="109" w:hanging="183"/>
      </w:pPr>
      <w:rPr>
        <w:rFonts w:hint="default" w:ascii="Times New Roman" w:hAnsi="Times New Roman" w:eastAsia="Times New Roman" w:cs="Times New Roman"/>
        <w:spacing w:val="-18"/>
        <w:w w:val="99"/>
        <w:sz w:val="24"/>
        <w:szCs w:val="24"/>
        <w:lang w:val="pt-br" w:eastAsia="pt-br" w:bidi="pt-br"/>
      </w:rPr>
    </w:lvl>
    <w:lvl w:ilvl="1">
      <w:start w:val="0"/>
      <w:numFmt w:val="bullet"/>
      <w:lvlText w:val="•"/>
      <w:lvlJc w:val="left"/>
      <w:pPr>
        <w:ind w:left="615" w:hanging="183"/>
      </w:pPr>
      <w:rPr>
        <w:rFonts w:hint="default"/>
        <w:lang w:val="pt-br" w:eastAsia="pt-br" w:bidi="pt-br"/>
      </w:rPr>
    </w:lvl>
    <w:lvl w:ilvl="2">
      <w:start w:val="0"/>
      <w:numFmt w:val="bullet"/>
      <w:lvlText w:val="•"/>
      <w:lvlJc w:val="left"/>
      <w:pPr>
        <w:ind w:left="1130" w:hanging="183"/>
      </w:pPr>
      <w:rPr>
        <w:rFonts w:hint="default"/>
        <w:lang w:val="pt-br" w:eastAsia="pt-br" w:bidi="pt-br"/>
      </w:rPr>
    </w:lvl>
    <w:lvl w:ilvl="3">
      <w:start w:val="0"/>
      <w:numFmt w:val="bullet"/>
      <w:lvlText w:val="•"/>
      <w:lvlJc w:val="left"/>
      <w:pPr>
        <w:ind w:left="1645" w:hanging="183"/>
      </w:pPr>
      <w:rPr>
        <w:rFonts w:hint="default"/>
        <w:lang w:val="pt-br" w:eastAsia="pt-br" w:bidi="pt-br"/>
      </w:rPr>
    </w:lvl>
    <w:lvl w:ilvl="4">
      <w:start w:val="0"/>
      <w:numFmt w:val="bullet"/>
      <w:lvlText w:val="•"/>
      <w:lvlJc w:val="left"/>
      <w:pPr>
        <w:ind w:left="2161" w:hanging="183"/>
      </w:pPr>
      <w:rPr>
        <w:rFonts w:hint="default"/>
        <w:lang w:val="pt-br" w:eastAsia="pt-br" w:bidi="pt-br"/>
      </w:rPr>
    </w:lvl>
    <w:lvl w:ilvl="5">
      <w:start w:val="0"/>
      <w:numFmt w:val="bullet"/>
      <w:lvlText w:val="•"/>
      <w:lvlJc w:val="left"/>
      <w:pPr>
        <w:ind w:left="2676" w:hanging="183"/>
      </w:pPr>
      <w:rPr>
        <w:rFonts w:hint="default"/>
        <w:lang w:val="pt-br" w:eastAsia="pt-br" w:bidi="pt-br"/>
      </w:rPr>
    </w:lvl>
    <w:lvl w:ilvl="6">
      <w:start w:val="0"/>
      <w:numFmt w:val="bullet"/>
      <w:lvlText w:val="•"/>
      <w:lvlJc w:val="left"/>
      <w:pPr>
        <w:ind w:left="3191" w:hanging="183"/>
      </w:pPr>
      <w:rPr>
        <w:rFonts w:hint="default"/>
        <w:lang w:val="pt-br" w:eastAsia="pt-br" w:bidi="pt-br"/>
      </w:rPr>
    </w:lvl>
    <w:lvl w:ilvl="7">
      <w:start w:val="0"/>
      <w:numFmt w:val="bullet"/>
      <w:lvlText w:val="•"/>
      <w:lvlJc w:val="left"/>
      <w:pPr>
        <w:ind w:left="3707" w:hanging="183"/>
      </w:pPr>
      <w:rPr>
        <w:rFonts w:hint="default"/>
        <w:lang w:val="pt-br" w:eastAsia="pt-br" w:bidi="pt-br"/>
      </w:rPr>
    </w:lvl>
    <w:lvl w:ilvl="8">
      <w:start w:val="0"/>
      <w:numFmt w:val="bullet"/>
      <w:lvlText w:val="•"/>
      <w:lvlJc w:val="left"/>
      <w:pPr>
        <w:ind w:left="4222" w:hanging="183"/>
      </w:pPr>
      <w:rPr>
        <w:rFonts w:hint="default"/>
        <w:lang w:val="pt-br" w:eastAsia="pt-br" w:bidi="pt-br"/>
      </w:rPr>
    </w:lvl>
  </w:abstractNum>
  <w:abstractNum w:abstractNumId="24">
    <w:multiLevelType w:val="hybridMultilevel"/>
    <w:lvl w:ilvl="0">
      <w:start w:val="0"/>
      <w:numFmt w:val="bullet"/>
      <w:lvlText w:val="-"/>
      <w:lvlJc w:val="left"/>
      <w:pPr>
        <w:ind w:left="108" w:hanging="183"/>
      </w:pPr>
      <w:rPr>
        <w:rFonts w:hint="default" w:ascii="Times New Roman" w:hAnsi="Times New Roman" w:eastAsia="Times New Roman" w:cs="Times New Roman"/>
        <w:spacing w:val="-18"/>
        <w:w w:val="99"/>
        <w:sz w:val="24"/>
        <w:szCs w:val="24"/>
        <w:lang w:val="pt-br" w:eastAsia="pt-br" w:bidi="pt-br"/>
      </w:rPr>
    </w:lvl>
    <w:lvl w:ilvl="1">
      <w:start w:val="0"/>
      <w:numFmt w:val="bullet"/>
      <w:lvlText w:val="•"/>
      <w:lvlJc w:val="left"/>
      <w:pPr>
        <w:ind w:left="615" w:hanging="183"/>
      </w:pPr>
      <w:rPr>
        <w:rFonts w:hint="default"/>
        <w:lang w:val="pt-br" w:eastAsia="pt-br" w:bidi="pt-br"/>
      </w:rPr>
    </w:lvl>
    <w:lvl w:ilvl="2">
      <w:start w:val="0"/>
      <w:numFmt w:val="bullet"/>
      <w:lvlText w:val="•"/>
      <w:lvlJc w:val="left"/>
      <w:pPr>
        <w:ind w:left="1130" w:hanging="183"/>
      </w:pPr>
      <w:rPr>
        <w:rFonts w:hint="default"/>
        <w:lang w:val="pt-br" w:eastAsia="pt-br" w:bidi="pt-br"/>
      </w:rPr>
    </w:lvl>
    <w:lvl w:ilvl="3">
      <w:start w:val="0"/>
      <w:numFmt w:val="bullet"/>
      <w:lvlText w:val="•"/>
      <w:lvlJc w:val="left"/>
      <w:pPr>
        <w:ind w:left="1645" w:hanging="183"/>
      </w:pPr>
      <w:rPr>
        <w:rFonts w:hint="default"/>
        <w:lang w:val="pt-br" w:eastAsia="pt-br" w:bidi="pt-br"/>
      </w:rPr>
    </w:lvl>
    <w:lvl w:ilvl="4">
      <w:start w:val="0"/>
      <w:numFmt w:val="bullet"/>
      <w:lvlText w:val="•"/>
      <w:lvlJc w:val="left"/>
      <w:pPr>
        <w:ind w:left="2161" w:hanging="183"/>
      </w:pPr>
      <w:rPr>
        <w:rFonts w:hint="default"/>
        <w:lang w:val="pt-br" w:eastAsia="pt-br" w:bidi="pt-br"/>
      </w:rPr>
    </w:lvl>
    <w:lvl w:ilvl="5">
      <w:start w:val="0"/>
      <w:numFmt w:val="bullet"/>
      <w:lvlText w:val="•"/>
      <w:lvlJc w:val="left"/>
      <w:pPr>
        <w:ind w:left="2676" w:hanging="183"/>
      </w:pPr>
      <w:rPr>
        <w:rFonts w:hint="default"/>
        <w:lang w:val="pt-br" w:eastAsia="pt-br" w:bidi="pt-br"/>
      </w:rPr>
    </w:lvl>
    <w:lvl w:ilvl="6">
      <w:start w:val="0"/>
      <w:numFmt w:val="bullet"/>
      <w:lvlText w:val="•"/>
      <w:lvlJc w:val="left"/>
      <w:pPr>
        <w:ind w:left="3191" w:hanging="183"/>
      </w:pPr>
      <w:rPr>
        <w:rFonts w:hint="default"/>
        <w:lang w:val="pt-br" w:eastAsia="pt-br" w:bidi="pt-br"/>
      </w:rPr>
    </w:lvl>
    <w:lvl w:ilvl="7">
      <w:start w:val="0"/>
      <w:numFmt w:val="bullet"/>
      <w:lvlText w:val="•"/>
      <w:lvlJc w:val="left"/>
      <w:pPr>
        <w:ind w:left="3707" w:hanging="183"/>
      </w:pPr>
      <w:rPr>
        <w:rFonts w:hint="default"/>
        <w:lang w:val="pt-br" w:eastAsia="pt-br" w:bidi="pt-br"/>
      </w:rPr>
    </w:lvl>
    <w:lvl w:ilvl="8">
      <w:start w:val="0"/>
      <w:numFmt w:val="bullet"/>
      <w:lvlText w:val="•"/>
      <w:lvlJc w:val="left"/>
      <w:pPr>
        <w:ind w:left="4222" w:hanging="183"/>
      </w:pPr>
      <w:rPr>
        <w:rFonts w:hint="default"/>
        <w:lang w:val="pt-br" w:eastAsia="pt-br" w:bidi="pt-br"/>
      </w:rPr>
    </w:lvl>
  </w:abstractNum>
  <w:abstractNum w:abstractNumId="23">
    <w:multiLevelType w:val="hybridMultilevel"/>
    <w:lvl w:ilvl="0">
      <w:start w:val="0"/>
      <w:numFmt w:val="bullet"/>
      <w:lvlText w:val="-"/>
      <w:lvlJc w:val="left"/>
      <w:pPr>
        <w:ind w:left="108" w:hanging="159"/>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15" w:hanging="159"/>
      </w:pPr>
      <w:rPr>
        <w:rFonts w:hint="default"/>
        <w:lang w:val="pt-br" w:eastAsia="pt-br" w:bidi="pt-br"/>
      </w:rPr>
    </w:lvl>
    <w:lvl w:ilvl="2">
      <w:start w:val="0"/>
      <w:numFmt w:val="bullet"/>
      <w:lvlText w:val="•"/>
      <w:lvlJc w:val="left"/>
      <w:pPr>
        <w:ind w:left="1130" w:hanging="159"/>
      </w:pPr>
      <w:rPr>
        <w:rFonts w:hint="default"/>
        <w:lang w:val="pt-br" w:eastAsia="pt-br" w:bidi="pt-br"/>
      </w:rPr>
    </w:lvl>
    <w:lvl w:ilvl="3">
      <w:start w:val="0"/>
      <w:numFmt w:val="bullet"/>
      <w:lvlText w:val="•"/>
      <w:lvlJc w:val="left"/>
      <w:pPr>
        <w:ind w:left="1645" w:hanging="159"/>
      </w:pPr>
      <w:rPr>
        <w:rFonts w:hint="default"/>
        <w:lang w:val="pt-br" w:eastAsia="pt-br" w:bidi="pt-br"/>
      </w:rPr>
    </w:lvl>
    <w:lvl w:ilvl="4">
      <w:start w:val="0"/>
      <w:numFmt w:val="bullet"/>
      <w:lvlText w:val="•"/>
      <w:lvlJc w:val="left"/>
      <w:pPr>
        <w:ind w:left="2161" w:hanging="159"/>
      </w:pPr>
      <w:rPr>
        <w:rFonts w:hint="default"/>
        <w:lang w:val="pt-br" w:eastAsia="pt-br" w:bidi="pt-br"/>
      </w:rPr>
    </w:lvl>
    <w:lvl w:ilvl="5">
      <w:start w:val="0"/>
      <w:numFmt w:val="bullet"/>
      <w:lvlText w:val="•"/>
      <w:lvlJc w:val="left"/>
      <w:pPr>
        <w:ind w:left="2676" w:hanging="159"/>
      </w:pPr>
      <w:rPr>
        <w:rFonts w:hint="default"/>
        <w:lang w:val="pt-br" w:eastAsia="pt-br" w:bidi="pt-br"/>
      </w:rPr>
    </w:lvl>
    <w:lvl w:ilvl="6">
      <w:start w:val="0"/>
      <w:numFmt w:val="bullet"/>
      <w:lvlText w:val="•"/>
      <w:lvlJc w:val="left"/>
      <w:pPr>
        <w:ind w:left="3191" w:hanging="159"/>
      </w:pPr>
      <w:rPr>
        <w:rFonts w:hint="default"/>
        <w:lang w:val="pt-br" w:eastAsia="pt-br" w:bidi="pt-br"/>
      </w:rPr>
    </w:lvl>
    <w:lvl w:ilvl="7">
      <w:start w:val="0"/>
      <w:numFmt w:val="bullet"/>
      <w:lvlText w:val="•"/>
      <w:lvlJc w:val="left"/>
      <w:pPr>
        <w:ind w:left="3707" w:hanging="159"/>
      </w:pPr>
      <w:rPr>
        <w:rFonts w:hint="default"/>
        <w:lang w:val="pt-br" w:eastAsia="pt-br" w:bidi="pt-br"/>
      </w:rPr>
    </w:lvl>
    <w:lvl w:ilvl="8">
      <w:start w:val="0"/>
      <w:numFmt w:val="bullet"/>
      <w:lvlText w:val="•"/>
      <w:lvlJc w:val="left"/>
      <w:pPr>
        <w:ind w:left="4222" w:hanging="159"/>
      </w:pPr>
      <w:rPr>
        <w:rFonts w:hint="default"/>
        <w:lang w:val="pt-br" w:eastAsia="pt-br" w:bidi="pt-br"/>
      </w:rPr>
    </w:lvl>
  </w:abstractNum>
  <w:abstractNum w:abstractNumId="22">
    <w:multiLevelType w:val="hybridMultilevel"/>
    <w:lvl w:ilvl="0">
      <w:start w:val="0"/>
      <w:numFmt w:val="bullet"/>
      <w:lvlText w:val="-"/>
      <w:lvlJc w:val="left"/>
      <w:pPr>
        <w:ind w:left="108" w:hanging="159"/>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15" w:hanging="159"/>
      </w:pPr>
      <w:rPr>
        <w:rFonts w:hint="default"/>
        <w:lang w:val="pt-br" w:eastAsia="pt-br" w:bidi="pt-br"/>
      </w:rPr>
    </w:lvl>
    <w:lvl w:ilvl="2">
      <w:start w:val="0"/>
      <w:numFmt w:val="bullet"/>
      <w:lvlText w:val="•"/>
      <w:lvlJc w:val="left"/>
      <w:pPr>
        <w:ind w:left="1130" w:hanging="159"/>
      </w:pPr>
      <w:rPr>
        <w:rFonts w:hint="default"/>
        <w:lang w:val="pt-br" w:eastAsia="pt-br" w:bidi="pt-br"/>
      </w:rPr>
    </w:lvl>
    <w:lvl w:ilvl="3">
      <w:start w:val="0"/>
      <w:numFmt w:val="bullet"/>
      <w:lvlText w:val="•"/>
      <w:lvlJc w:val="left"/>
      <w:pPr>
        <w:ind w:left="1645" w:hanging="159"/>
      </w:pPr>
      <w:rPr>
        <w:rFonts w:hint="default"/>
        <w:lang w:val="pt-br" w:eastAsia="pt-br" w:bidi="pt-br"/>
      </w:rPr>
    </w:lvl>
    <w:lvl w:ilvl="4">
      <w:start w:val="0"/>
      <w:numFmt w:val="bullet"/>
      <w:lvlText w:val="•"/>
      <w:lvlJc w:val="left"/>
      <w:pPr>
        <w:ind w:left="2161" w:hanging="159"/>
      </w:pPr>
      <w:rPr>
        <w:rFonts w:hint="default"/>
        <w:lang w:val="pt-br" w:eastAsia="pt-br" w:bidi="pt-br"/>
      </w:rPr>
    </w:lvl>
    <w:lvl w:ilvl="5">
      <w:start w:val="0"/>
      <w:numFmt w:val="bullet"/>
      <w:lvlText w:val="•"/>
      <w:lvlJc w:val="left"/>
      <w:pPr>
        <w:ind w:left="2676" w:hanging="159"/>
      </w:pPr>
      <w:rPr>
        <w:rFonts w:hint="default"/>
        <w:lang w:val="pt-br" w:eastAsia="pt-br" w:bidi="pt-br"/>
      </w:rPr>
    </w:lvl>
    <w:lvl w:ilvl="6">
      <w:start w:val="0"/>
      <w:numFmt w:val="bullet"/>
      <w:lvlText w:val="•"/>
      <w:lvlJc w:val="left"/>
      <w:pPr>
        <w:ind w:left="3191" w:hanging="159"/>
      </w:pPr>
      <w:rPr>
        <w:rFonts w:hint="default"/>
        <w:lang w:val="pt-br" w:eastAsia="pt-br" w:bidi="pt-br"/>
      </w:rPr>
    </w:lvl>
    <w:lvl w:ilvl="7">
      <w:start w:val="0"/>
      <w:numFmt w:val="bullet"/>
      <w:lvlText w:val="•"/>
      <w:lvlJc w:val="left"/>
      <w:pPr>
        <w:ind w:left="3707" w:hanging="159"/>
      </w:pPr>
      <w:rPr>
        <w:rFonts w:hint="default"/>
        <w:lang w:val="pt-br" w:eastAsia="pt-br" w:bidi="pt-br"/>
      </w:rPr>
    </w:lvl>
    <w:lvl w:ilvl="8">
      <w:start w:val="0"/>
      <w:numFmt w:val="bullet"/>
      <w:lvlText w:val="•"/>
      <w:lvlJc w:val="left"/>
      <w:pPr>
        <w:ind w:left="4222" w:hanging="159"/>
      </w:pPr>
      <w:rPr>
        <w:rFonts w:hint="default"/>
        <w:lang w:val="pt-br" w:eastAsia="pt-br" w:bidi="pt-br"/>
      </w:rPr>
    </w:lvl>
  </w:abstractNum>
  <w:abstractNum w:abstractNumId="21">
    <w:multiLevelType w:val="hybridMultilevel"/>
    <w:lvl w:ilvl="0">
      <w:start w:val="0"/>
      <w:numFmt w:val="bullet"/>
      <w:lvlText w:val="-"/>
      <w:lvlJc w:val="left"/>
      <w:pPr>
        <w:ind w:left="108" w:hanging="180"/>
      </w:pPr>
      <w:rPr>
        <w:rFonts w:hint="default" w:ascii="Times New Roman" w:hAnsi="Times New Roman" w:eastAsia="Times New Roman" w:cs="Times New Roman"/>
        <w:spacing w:val="-30"/>
        <w:w w:val="99"/>
        <w:sz w:val="24"/>
        <w:szCs w:val="24"/>
        <w:lang w:val="pt-br" w:eastAsia="pt-br" w:bidi="pt-br"/>
      </w:rPr>
    </w:lvl>
    <w:lvl w:ilvl="1">
      <w:start w:val="0"/>
      <w:numFmt w:val="bullet"/>
      <w:lvlText w:val="•"/>
      <w:lvlJc w:val="left"/>
      <w:pPr>
        <w:ind w:left="615" w:hanging="180"/>
      </w:pPr>
      <w:rPr>
        <w:rFonts w:hint="default"/>
        <w:lang w:val="pt-br" w:eastAsia="pt-br" w:bidi="pt-br"/>
      </w:rPr>
    </w:lvl>
    <w:lvl w:ilvl="2">
      <w:start w:val="0"/>
      <w:numFmt w:val="bullet"/>
      <w:lvlText w:val="•"/>
      <w:lvlJc w:val="left"/>
      <w:pPr>
        <w:ind w:left="1130" w:hanging="180"/>
      </w:pPr>
      <w:rPr>
        <w:rFonts w:hint="default"/>
        <w:lang w:val="pt-br" w:eastAsia="pt-br" w:bidi="pt-br"/>
      </w:rPr>
    </w:lvl>
    <w:lvl w:ilvl="3">
      <w:start w:val="0"/>
      <w:numFmt w:val="bullet"/>
      <w:lvlText w:val="•"/>
      <w:lvlJc w:val="left"/>
      <w:pPr>
        <w:ind w:left="1645" w:hanging="180"/>
      </w:pPr>
      <w:rPr>
        <w:rFonts w:hint="default"/>
        <w:lang w:val="pt-br" w:eastAsia="pt-br" w:bidi="pt-br"/>
      </w:rPr>
    </w:lvl>
    <w:lvl w:ilvl="4">
      <w:start w:val="0"/>
      <w:numFmt w:val="bullet"/>
      <w:lvlText w:val="•"/>
      <w:lvlJc w:val="left"/>
      <w:pPr>
        <w:ind w:left="2161" w:hanging="180"/>
      </w:pPr>
      <w:rPr>
        <w:rFonts w:hint="default"/>
        <w:lang w:val="pt-br" w:eastAsia="pt-br" w:bidi="pt-br"/>
      </w:rPr>
    </w:lvl>
    <w:lvl w:ilvl="5">
      <w:start w:val="0"/>
      <w:numFmt w:val="bullet"/>
      <w:lvlText w:val="•"/>
      <w:lvlJc w:val="left"/>
      <w:pPr>
        <w:ind w:left="2676" w:hanging="180"/>
      </w:pPr>
      <w:rPr>
        <w:rFonts w:hint="default"/>
        <w:lang w:val="pt-br" w:eastAsia="pt-br" w:bidi="pt-br"/>
      </w:rPr>
    </w:lvl>
    <w:lvl w:ilvl="6">
      <w:start w:val="0"/>
      <w:numFmt w:val="bullet"/>
      <w:lvlText w:val="•"/>
      <w:lvlJc w:val="left"/>
      <w:pPr>
        <w:ind w:left="3191" w:hanging="180"/>
      </w:pPr>
      <w:rPr>
        <w:rFonts w:hint="default"/>
        <w:lang w:val="pt-br" w:eastAsia="pt-br" w:bidi="pt-br"/>
      </w:rPr>
    </w:lvl>
    <w:lvl w:ilvl="7">
      <w:start w:val="0"/>
      <w:numFmt w:val="bullet"/>
      <w:lvlText w:val="•"/>
      <w:lvlJc w:val="left"/>
      <w:pPr>
        <w:ind w:left="3707" w:hanging="180"/>
      </w:pPr>
      <w:rPr>
        <w:rFonts w:hint="default"/>
        <w:lang w:val="pt-br" w:eastAsia="pt-br" w:bidi="pt-br"/>
      </w:rPr>
    </w:lvl>
    <w:lvl w:ilvl="8">
      <w:start w:val="0"/>
      <w:numFmt w:val="bullet"/>
      <w:lvlText w:val="•"/>
      <w:lvlJc w:val="left"/>
      <w:pPr>
        <w:ind w:left="4222" w:hanging="180"/>
      </w:pPr>
      <w:rPr>
        <w:rFonts w:hint="default"/>
        <w:lang w:val="pt-br" w:eastAsia="pt-br" w:bidi="pt-br"/>
      </w:rPr>
    </w:lvl>
  </w:abstractNum>
  <w:abstractNum w:abstractNumId="20">
    <w:multiLevelType w:val="hybridMultilevel"/>
    <w:lvl w:ilvl="0">
      <w:start w:val="0"/>
      <w:numFmt w:val="bullet"/>
      <w:lvlText w:val="-"/>
      <w:lvlJc w:val="left"/>
      <w:pPr>
        <w:ind w:left="108" w:hanging="159"/>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15" w:hanging="159"/>
      </w:pPr>
      <w:rPr>
        <w:rFonts w:hint="default"/>
        <w:lang w:val="pt-br" w:eastAsia="pt-br" w:bidi="pt-br"/>
      </w:rPr>
    </w:lvl>
    <w:lvl w:ilvl="2">
      <w:start w:val="0"/>
      <w:numFmt w:val="bullet"/>
      <w:lvlText w:val="•"/>
      <w:lvlJc w:val="left"/>
      <w:pPr>
        <w:ind w:left="1130" w:hanging="159"/>
      </w:pPr>
      <w:rPr>
        <w:rFonts w:hint="default"/>
        <w:lang w:val="pt-br" w:eastAsia="pt-br" w:bidi="pt-br"/>
      </w:rPr>
    </w:lvl>
    <w:lvl w:ilvl="3">
      <w:start w:val="0"/>
      <w:numFmt w:val="bullet"/>
      <w:lvlText w:val="•"/>
      <w:lvlJc w:val="left"/>
      <w:pPr>
        <w:ind w:left="1645" w:hanging="159"/>
      </w:pPr>
      <w:rPr>
        <w:rFonts w:hint="default"/>
        <w:lang w:val="pt-br" w:eastAsia="pt-br" w:bidi="pt-br"/>
      </w:rPr>
    </w:lvl>
    <w:lvl w:ilvl="4">
      <w:start w:val="0"/>
      <w:numFmt w:val="bullet"/>
      <w:lvlText w:val="•"/>
      <w:lvlJc w:val="left"/>
      <w:pPr>
        <w:ind w:left="2161" w:hanging="159"/>
      </w:pPr>
      <w:rPr>
        <w:rFonts w:hint="default"/>
        <w:lang w:val="pt-br" w:eastAsia="pt-br" w:bidi="pt-br"/>
      </w:rPr>
    </w:lvl>
    <w:lvl w:ilvl="5">
      <w:start w:val="0"/>
      <w:numFmt w:val="bullet"/>
      <w:lvlText w:val="•"/>
      <w:lvlJc w:val="left"/>
      <w:pPr>
        <w:ind w:left="2676" w:hanging="159"/>
      </w:pPr>
      <w:rPr>
        <w:rFonts w:hint="default"/>
        <w:lang w:val="pt-br" w:eastAsia="pt-br" w:bidi="pt-br"/>
      </w:rPr>
    </w:lvl>
    <w:lvl w:ilvl="6">
      <w:start w:val="0"/>
      <w:numFmt w:val="bullet"/>
      <w:lvlText w:val="•"/>
      <w:lvlJc w:val="left"/>
      <w:pPr>
        <w:ind w:left="3191" w:hanging="159"/>
      </w:pPr>
      <w:rPr>
        <w:rFonts w:hint="default"/>
        <w:lang w:val="pt-br" w:eastAsia="pt-br" w:bidi="pt-br"/>
      </w:rPr>
    </w:lvl>
    <w:lvl w:ilvl="7">
      <w:start w:val="0"/>
      <w:numFmt w:val="bullet"/>
      <w:lvlText w:val="•"/>
      <w:lvlJc w:val="left"/>
      <w:pPr>
        <w:ind w:left="3707" w:hanging="159"/>
      </w:pPr>
      <w:rPr>
        <w:rFonts w:hint="default"/>
        <w:lang w:val="pt-br" w:eastAsia="pt-br" w:bidi="pt-br"/>
      </w:rPr>
    </w:lvl>
    <w:lvl w:ilvl="8">
      <w:start w:val="0"/>
      <w:numFmt w:val="bullet"/>
      <w:lvlText w:val="•"/>
      <w:lvlJc w:val="left"/>
      <w:pPr>
        <w:ind w:left="4222" w:hanging="159"/>
      </w:pPr>
      <w:rPr>
        <w:rFonts w:hint="default"/>
        <w:lang w:val="pt-br" w:eastAsia="pt-br" w:bidi="pt-br"/>
      </w:rPr>
    </w:lvl>
  </w:abstractNum>
  <w:abstractNum w:abstractNumId="19">
    <w:multiLevelType w:val="hybridMultilevel"/>
    <w:lvl w:ilvl="0">
      <w:start w:val="0"/>
      <w:numFmt w:val="bullet"/>
      <w:lvlText w:val="-"/>
      <w:lvlJc w:val="left"/>
      <w:pPr>
        <w:ind w:left="108" w:hanging="195"/>
      </w:pPr>
      <w:rPr>
        <w:rFonts w:hint="default" w:ascii="Times New Roman" w:hAnsi="Times New Roman" w:eastAsia="Times New Roman" w:cs="Times New Roman"/>
        <w:spacing w:val="-6"/>
        <w:w w:val="99"/>
        <w:sz w:val="24"/>
        <w:szCs w:val="24"/>
        <w:lang w:val="pt-br" w:eastAsia="pt-br" w:bidi="pt-br"/>
      </w:rPr>
    </w:lvl>
    <w:lvl w:ilvl="1">
      <w:start w:val="0"/>
      <w:numFmt w:val="bullet"/>
      <w:lvlText w:val="•"/>
      <w:lvlJc w:val="left"/>
      <w:pPr>
        <w:ind w:left="598" w:hanging="195"/>
      </w:pPr>
      <w:rPr>
        <w:rFonts w:hint="default"/>
        <w:lang w:val="pt-br" w:eastAsia="pt-br" w:bidi="pt-br"/>
      </w:rPr>
    </w:lvl>
    <w:lvl w:ilvl="2">
      <w:start w:val="0"/>
      <w:numFmt w:val="bullet"/>
      <w:lvlText w:val="•"/>
      <w:lvlJc w:val="left"/>
      <w:pPr>
        <w:ind w:left="1096" w:hanging="195"/>
      </w:pPr>
      <w:rPr>
        <w:rFonts w:hint="default"/>
        <w:lang w:val="pt-br" w:eastAsia="pt-br" w:bidi="pt-br"/>
      </w:rPr>
    </w:lvl>
    <w:lvl w:ilvl="3">
      <w:start w:val="0"/>
      <w:numFmt w:val="bullet"/>
      <w:lvlText w:val="•"/>
      <w:lvlJc w:val="left"/>
      <w:pPr>
        <w:ind w:left="1594" w:hanging="195"/>
      </w:pPr>
      <w:rPr>
        <w:rFonts w:hint="default"/>
        <w:lang w:val="pt-br" w:eastAsia="pt-br" w:bidi="pt-br"/>
      </w:rPr>
    </w:lvl>
    <w:lvl w:ilvl="4">
      <w:start w:val="0"/>
      <w:numFmt w:val="bullet"/>
      <w:lvlText w:val="•"/>
      <w:lvlJc w:val="left"/>
      <w:pPr>
        <w:ind w:left="2093" w:hanging="195"/>
      </w:pPr>
      <w:rPr>
        <w:rFonts w:hint="default"/>
        <w:lang w:val="pt-br" w:eastAsia="pt-br" w:bidi="pt-br"/>
      </w:rPr>
    </w:lvl>
    <w:lvl w:ilvl="5">
      <w:start w:val="0"/>
      <w:numFmt w:val="bullet"/>
      <w:lvlText w:val="•"/>
      <w:lvlJc w:val="left"/>
      <w:pPr>
        <w:ind w:left="2591" w:hanging="195"/>
      </w:pPr>
      <w:rPr>
        <w:rFonts w:hint="default"/>
        <w:lang w:val="pt-br" w:eastAsia="pt-br" w:bidi="pt-br"/>
      </w:rPr>
    </w:lvl>
    <w:lvl w:ilvl="6">
      <w:start w:val="0"/>
      <w:numFmt w:val="bullet"/>
      <w:lvlText w:val="•"/>
      <w:lvlJc w:val="left"/>
      <w:pPr>
        <w:ind w:left="3089" w:hanging="195"/>
      </w:pPr>
      <w:rPr>
        <w:rFonts w:hint="default"/>
        <w:lang w:val="pt-br" w:eastAsia="pt-br" w:bidi="pt-br"/>
      </w:rPr>
    </w:lvl>
    <w:lvl w:ilvl="7">
      <w:start w:val="0"/>
      <w:numFmt w:val="bullet"/>
      <w:lvlText w:val="•"/>
      <w:lvlJc w:val="left"/>
      <w:pPr>
        <w:ind w:left="3588" w:hanging="195"/>
      </w:pPr>
      <w:rPr>
        <w:rFonts w:hint="default"/>
        <w:lang w:val="pt-br" w:eastAsia="pt-br" w:bidi="pt-br"/>
      </w:rPr>
    </w:lvl>
    <w:lvl w:ilvl="8">
      <w:start w:val="0"/>
      <w:numFmt w:val="bullet"/>
      <w:lvlText w:val="•"/>
      <w:lvlJc w:val="left"/>
      <w:pPr>
        <w:ind w:left="4086" w:hanging="195"/>
      </w:pPr>
      <w:rPr>
        <w:rFonts w:hint="default"/>
        <w:lang w:val="pt-br" w:eastAsia="pt-br" w:bidi="pt-br"/>
      </w:rPr>
    </w:lvl>
  </w:abstractNum>
  <w:abstractNum w:abstractNumId="18">
    <w:multiLevelType w:val="hybridMultilevel"/>
    <w:lvl w:ilvl="0">
      <w:start w:val="0"/>
      <w:numFmt w:val="bullet"/>
      <w:lvlText w:val="•"/>
      <w:lvlJc w:val="left"/>
      <w:pPr>
        <w:ind w:left="112" w:hanging="742"/>
      </w:pPr>
      <w:rPr>
        <w:rFonts w:hint="default" w:ascii="Times New Roman" w:hAnsi="Times New Roman" w:eastAsia="Times New Roman" w:cs="Times New Roman"/>
        <w:spacing w:val="-3"/>
        <w:w w:val="99"/>
        <w:sz w:val="24"/>
        <w:szCs w:val="24"/>
        <w:lang w:val="pt-br" w:eastAsia="pt-br" w:bidi="pt-br"/>
      </w:rPr>
    </w:lvl>
    <w:lvl w:ilvl="1">
      <w:start w:val="0"/>
      <w:numFmt w:val="bullet"/>
      <w:lvlText w:val="•"/>
      <w:lvlJc w:val="left"/>
      <w:pPr>
        <w:ind w:left="1152" w:hanging="742"/>
      </w:pPr>
      <w:rPr>
        <w:rFonts w:hint="default"/>
        <w:lang w:val="pt-br" w:eastAsia="pt-br" w:bidi="pt-br"/>
      </w:rPr>
    </w:lvl>
    <w:lvl w:ilvl="2">
      <w:start w:val="0"/>
      <w:numFmt w:val="bullet"/>
      <w:lvlText w:val="•"/>
      <w:lvlJc w:val="left"/>
      <w:pPr>
        <w:ind w:left="2185" w:hanging="742"/>
      </w:pPr>
      <w:rPr>
        <w:rFonts w:hint="default"/>
        <w:lang w:val="pt-br" w:eastAsia="pt-br" w:bidi="pt-br"/>
      </w:rPr>
    </w:lvl>
    <w:lvl w:ilvl="3">
      <w:start w:val="0"/>
      <w:numFmt w:val="bullet"/>
      <w:lvlText w:val="•"/>
      <w:lvlJc w:val="left"/>
      <w:pPr>
        <w:ind w:left="3217" w:hanging="742"/>
      </w:pPr>
      <w:rPr>
        <w:rFonts w:hint="default"/>
        <w:lang w:val="pt-br" w:eastAsia="pt-br" w:bidi="pt-br"/>
      </w:rPr>
    </w:lvl>
    <w:lvl w:ilvl="4">
      <w:start w:val="0"/>
      <w:numFmt w:val="bullet"/>
      <w:lvlText w:val="•"/>
      <w:lvlJc w:val="left"/>
      <w:pPr>
        <w:ind w:left="4250" w:hanging="742"/>
      </w:pPr>
      <w:rPr>
        <w:rFonts w:hint="default"/>
        <w:lang w:val="pt-br" w:eastAsia="pt-br" w:bidi="pt-br"/>
      </w:rPr>
    </w:lvl>
    <w:lvl w:ilvl="5">
      <w:start w:val="0"/>
      <w:numFmt w:val="bullet"/>
      <w:lvlText w:val="•"/>
      <w:lvlJc w:val="left"/>
      <w:pPr>
        <w:ind w:left="5283" w:hanging="742"/>
      </w:pPr>
      <w:rPr>
        <w:rFonts w:hint="default"/>
        <w:lang w:val="pt-br" w:eastAsia="pt-br" w:bidi="pt-br"/>
      </w:rPr>
    </w:lvl>
    <w:lvl w:ilvl="6">
      <w:start w:val="0"/>
      <w:numFmt w:val="bullet"/>
      <w:lvlText w:val="•"/>
      <w:lvlJc w:val="left"/>
      <w:pPr>
        <w:ind w:left="6315" w:hanging="742"/>
      </w:pPr>
      <w:rPr>
        <w:rFonts w:hint="default"/>
        <w:lang w:val="pt-br" w:eastAsia="pt-br" w:bidi="pt-br"/>
      </w:rPr>
    </w:lvl>
    <w:lvl w:ilvl="7">
      <w:start w:val="0"/>
      <w:numFmt w:val="bullet"/>
      <w:lvlText w:val="•"/>
      <w:lvlJc w:val="left"/>
      <w:pPr>
        <w:ind w:left="7348" w:hanging="742"/>
      </w:pPr>
      <w:rPr>
        <w:rFonts w:hint="default"/>
        <w:lang w:val="pt-br" w:eastAsia="pt-br" w:bidi="pt-br"/>
      </w:rPr>
    </w:lvl>
    <w:lvl w:ilvl="8">
      <w:start w:val="0"/>
      <w:numFmt w:val="bullet"/>
      <w:lvlText w:val="•"/>
      <w:lvlJc w:val="left"/>
      <w:pPr>
        <w:ind w:left="8381" w:hanging="742"/>
      </w:pPr>
      <w:rPr>
        <w:rFonts w:hint="default"/>
        <w:lang w:val="pt-br" w:eastAsia="pt-br" w:bidi="pt-br"/>
      </w:rPr>
    </w:lvl>
  </w:abstractNum>
  <w:abstractNum w:abstractNumId="17">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6">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5">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4">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3">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2">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1">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10">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9">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8">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7">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6">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5">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663" w:hanging="140"/>
      </w:pPr>
      <w:rPr>
        <w:rFonts w:hint="default"/>
        <w:lang w:val="pt-br" w:eastAsia="pt-br" w:bidi="pt-br"/>
      </w:rPr>
    </w:lvl>
    <w:lvl w:ilvl="2">
      <w:start w:val="0"/>
      <w:numFmt w:val="bullet"/>
      <w:lvlText w:val="•"/>
      <w:lvlJc w:val="left"/>
      <w:pPr>
        <w:ind w:left="1206" w:hanging="140"/>
      </w:pPr>
      <w:rPr>
        <w:rFonts w:hint="default"/>
        <w:lang w:val="pt-br" w:eastAsia="pt-br" w:bidi="pt-br"/>
      </w:rPr>
    </w:lvl>
    <w:lvl w:ilvl="3">
      <w:start w:val="0"/>
      <w:numFmt w:val="bullet"/>
      <w:lvlText w:val="•"/>
      <w:lvlJc w:val="left"/>
      <w:pPr>
        <w:ind w:left="1749" w:hanging="140"/>
      </w:pPr>
      <w:rPr>
        <w:rFonts w:hint="default"/>
        <w:lang w:val="pt-br" w:eastAsia="pt-br" w:bidi="pt-br"/>
      </w:rPr>
    </w:lvl>
    <w:lvl w:ilvl="4">
      <w:start w:val="0"/>
      <w:numFmt w:val="bullet"/>
      <w:lvlText w:val="•"/>
      <w:lvlJc w:val="left"/>
      <w:pPr>
        <w:ind w:left="2292" w:hanging="140"/>
      </w:pPr>
      <w:rPr>
        <w:rFonts w:hint="default"/>
        <w:lang w:val="pt-br" w:eastAsia="pt-br" w:bidi="pt-br"/>
      </w:rPr>
    </w:lvl>
    <w:lvl w:ilvl="5">
      <w:start w:val="0"/>
      <w:numFmt w:val="bullet"/>
      <w:lvlText w:val="•"/>
      <w:lvlJc w:val="left"/>
      <w:pPr>
        <w:ind w:left="2835" w:hanging="140"/>
      </w:pPr>
      <w:rPr>
        <w:rFonts w:hint="default"/>
        <w:lang w:val="pt-br" w:eastAsia="pt-br" w:bidi="pt-br"/>
      </w:rPr>
    </w:lvl>
    <w:lvl w:ilvl="6">
      <w:start w:val="0"/>
      <w:numFmt w:val="bullet"/>
      <w:lvlText w:val="•"/>
      <w:lvlJc w:val="left"/>
      <w:pPr>
        <w:ind w:left="3378" w:hanging="140"/>
      </w:pPr>
      <w:rPr>
        <w:rFonts w:hint="default"/>
        <w:lang w:val="pt-br" w:eastAsia="pt-br" w:bidi="pt-br"/>
      </w:rPr>
    </w:lvl>
    <w:lvl w:ilvl="7">
      <w:start w:val="0"/>
      <w:numFmt w:val="bullet"/>
      <w:lvlText w:val="•"/>
      <w:lvlJc w:val="left"/>
      <w:pPr>
        <w:ind w:left="3921" w:hanging="140"/>
      </w:pPr>
      <w:rPr>
        <w:rFonts w:hint="default"/>
        <w:lang w:val="pt-br" w:eastAsia="pt-br" w:bidi="pt-br"/>
      </w:rPr>
    </w:lvl>
    <w:lvl w:ilvl="8">
      <w:start w:val="0"/>
      <w:numFmt w:val="bullet"/>
      <w:lvlText w:val="•"/>
      <w:lvlJc w:val="left"/>
      <w:pPr>
        <w:ind w:left="4464" w:hanging="140"/>
      </w:pPr>
      <w:rPr>
        <w:rFonts w:hint="default"/>
        <w:lang w:val="pt-br" w:eastAsia="pt-br" w:bidi="pt-br"/>
      </w:rPr>
    </w:lvl>
  </w:abstractNum>
  <w:abstractNum w:abstractNumId="4">
    <w:multiLevelType w:val="hybridMultilevel"/>
    <w:lvl w:ilvl="0">
      <w:start w:val="0"/>
      <w:numFmt w:val="bullet"/>
      <w:lvlText w:val="-"/>
      <w:lvlJc w:val="left"/>
      <w:pPr>
        <w:ind w:left="112" w:hanging="173"/>
      </w:pPr>
      <w:rPr>
        <w:rFonts w:hint="default" w:ascii="Times New Roman" w:hAnsi="Times New Roman" w:eastAsia="Times New Roman" w:cs="Times New Roman"/>
        <w:spacing w:val="-29"/>
        <w:w w:val="99"/>
        <w:sz w:val="24"/>
        <w:szCs w:val="24"/>
        <w:lang w:val="pt-br" w:eastAsia="pt-br" w:bidi="pt-br"/>
      </w:rPr>
    </w:lvl>
    <w:lvl w:ilvl="1">
      <w:start w:val="0"/>
      <w:numFmt w:val="bullet"/>
      <w:lvlText w:val="-"/>
      <w:lvlJc w:val="left"/>
      <w:pPr>
        <w:ind w:left="112" w:hanging="140"/>
      </w:pPr>
      <w:rPr>
        <w:rFonts w:hint="default" w:ascii="Times New Roman" w:hAnsi="Times New Roman" w:eastAsia="Times New Roman" w:cs="Times New Roman"/>
        <w:w w:val="99"/>
        <w:sz w:val="24"/>
        <w:szCs w:val="24"/>
        <w:lang w:val="pt-br" w:eastAsia="pt-br" w:bidi="pt-br"/>
      </w:rPr>
    </w:lvl>
    <w:lvl w:ilvl="2">
      <w:start w:val="0"/>
      <w:numFmt w:val="bullet"/>
      <w:lvlText w:val="•"/>
      <w:lvlJc w:val="left"/>
      <w:pPr>
        <w:ind w:left="1901" w:hanging="140"/>
      </w:pPr>
      <w:rPr>
        <w:rFonts w:hint="default"/>
        <w:lang w:val="pt-br" w:eastAsia="pt-br" w:bidi="pt-br"/>
      </w:rPr>
    </w:lvl>
    <w:lvl w:ilvl="3">
      <w:start w:val="0"/>
      <w:numFmt w:val="bullet"/>
      <w:lvlText w:val="•"/>
      <w:lvlJc w:val="left"/>
      <w:pPr>
        <w:ind w:left="2792" w:hanging="140"/>
      </w:pPr>
      <w:rPr>
        <w:rFonts w:hint="default"/>
        <w:lang w:val="pt-br" w:eastAsia="pt-br" w:bidi="pt-br"/>
      </w:rPr>
    </w:lvl>
    <w:lvl w:ilvl="4">
      <w:start w:val="0"/>
      <w:numFmt w:val="bullet"/>
      <w:lvlText w:val="•"/>
      <w:lvlJc w:val="left"/>
      <w:pPr>
        <w:ind w:left="3683" w:hanging="140"/>
      </w:pPr>
      <w:rPr>
        <w:rFonts w:hint="default"/>
        <w:lang w:val="pt-br" w:eastAsia="pt-br" w:bidi="pt-br"/>
      </w:rPr>
    </w:lvl>
    <w:lvl w:ilvl="5">
      <w:start w:val="0"/>
      <w:numFmt w:val="bullet"/>
      <w:lvlText w:val="•"/>
      <w:lvlJc w:val="left"/>
      <w:pPr>
        <w:ind w:left="4573" w:hanging="140"/>
      </w:pPr>
      <w:rPr>
        <w:rFonts w:hint="default"/>
        <w:lang w:val="pt-br" w:eastAsia="pt-br" w:bidi="pt-br"/>
      </w:rPr>
    </w:lvl>
    <w:lvl w:ilvl="6">
      <w:start w:val="0"/>
      <w:numFmt w:val="bullet"/>
      <w:lvlText w:val="•"/>
      <w:lvlJc w:val="left"/>
      <w:pPr>
        <w:ind w:left="5464" w:hanging="140"/>
      </w:pPr>
      <w:rPr>
        <w:rFonts w:hint="default"/>
        <w:lang w:val="pt-br" w:eastAsia="pt-br" w:bidi="pt-br"/>
      </w:rPr>
    </w:lvl>
    <w:lvl w:ilvl="7">
      <w:start w:val="0"/>
      <w:numFmt w:val="bullet"/>
      <w:lvlText w:val="•"/>
      <w:lvlJc w:val="left"/>
      <w:pPr>
        <w:ind w:left="6355" w:hanging="140"/>
      </w:pPr>
      <w:rPr>
        <w:rFonts w:hint="default"/>
        <w:lang w:val="pt-br" w:eastAsia="pt-br" w:bidi="pt-br"/>
      </w:rPr>
    </w:lvl>
    <w:lvl w:ilvl="8">
      <w:start w:val="0"/>
      <w:numFmt w:val="bullet"/>
      <w:lvlText w:val="•"/>
      <w:lvlJc w:val="left"/>
      <w:pPr>
        <w:ind w:left="7246" w:hanging="140"/>
      </w:pPr>
      <w:rPr>
        <w:rFonts w:hint="default"/>
        <w:lang w:val="pt-br" w:eastAsia="pt-br" w:bidi="pt-br"/>
      </w:rPr>
    </w:lvl>
  </w:abstractNum>
  <w:abstractNum w:abstractNumId="3">
    <w:multiLevelType w:val="hybridMultilevel"/>
    <w:lvl w:ilvl="0">
      <w:start w:val="1"/>
      <w:numFmt w:val="decimal"/>
      <w:lvlText w:val="%1."/>
      <w:lvlJc w:val="left"/>
      <w:pPr>
        <w:ind w:left="112" w:hanging="269"/>
        <w:jc w:val="left"/>
      </w:pPr>
      <w:rPr>
        <w:rFonts w:hint="default" w:ascii="Times New Roman" w:hAnsi="Times New Roman" w:eastAsia="Times New Roman" w:cs="Times New Roman"/>
        <w:w w:val="100"/>
        <w:sz w:val="24"/>
        <w:szCs w:val="24"/>
        <w:lang w:val="pt-br" w:eastAsia="pt-br" w:bidi="pt-br"/>
      </w:rPr>
    </w:lvl>
    <w:lvl w:ilvl="1">
      <w:start w:val="0"/>
      <w:numFmt w:val="bullet"/>
      <w:lvlText w:val="•"/>
      <w:lvlJc w:val="left"/>
      <w:pPr>
        <w:ind w:left="1152" w:hanging="269"/>
      </w:pPr>
      <w:rPr>
        <w:rFonts w:hint="default"/>
        <w:lang w:val="pt-br" w:eastAsia="pt-br" w:bidi="pt-br"/>
      </w:rPr>
    </w:lvl>
    <w:lvl w:ilvl="2">
      <w:start w:val="0"/>
      <w:numFmt w:val="bullet"/>
      <w:lvlText w:val="•"/>
      <w:lvlJc w:val="left"/>
      <w:pPr>
        <w:ind w:left="2185" w:hanging="269"/>
      </w:pPr>
      <w:rPr>
        <w:rFonts w:hint="default"/>
        <w:lang w:val="pt-br" w:eastAsia="pt-br" w:bidi="pt-br"/>
      </w:rPr>
    </w:lvl>
    <w:lvl w:ilvl="3">
      <w:start w:val="0"/>
      <w:numFmt w:val="bullet"/>
      <w:lvlText w:val="•"/>
      <w:lvlJc w:val="left"/>
      <w:pPr>
        <w:ind w:left="3217" w:hanging="269"/>
      </w:pPr>
      <w:rPr>
        <w:rFonts w:hint="default"/>
        <w:lang w:val="pt-br" w:eastAsia="pt-br" w:bidi="pt-br"/>
      </w:rPr>
    </w:lvl>
    <w:lvl w:ilvl="4">
      <w:start w:val="0"/>
      <w:numFmt w:val="bullet"/>
      <w:lvlText w:val="•"/>
      <w:lvlJc w:val="left"/>
      <w:pPr>
        <w:ind w:left="4250" w:hanging="269"/>
      </w:pPr>
      <w:rPr>
        <w:rFonts w:hint="default"/>
        <w:lang w:val="pt-br" w:eastAsia="pt-br" w:bidi="pt-br"/>
      </w:rPr>
    </w:lvl>
    <w:lvl w:ilvl="5">
      <w:start w:val="0"/>
      <w:numFmt w:val="bullet"/>
      <w:lvlText w:val="•"/>
      <w:lvlJc w:val="left"/>
      <w:pPr>
        <w:ind w:left="5283" w:hanging="269"/>
      </w:pPr>
      <w:rPr>
        <w:rFonts w:hint="default"/>
        <w:lang w:val="pt-br" w:eastAsia="pt-br" w:bidi="pt-br"/>
      </w:rPr>
    </w:lvl>
    <w:lvl w:ilvl="6">
      <w:start w:val="0"/>
      <w:numFmt w:val="bullet"/>
      <w:lvlText w:val="•"/>
      <w:lvlJc w:val="left"/>
      <w:pPr>
        <w:ind w:left="6315" w:hanging="269"/>
      </w:pPr>
      <w:rPr>
        <w:rFonts w:hint="default"/>
        <w:lang w:val="pt-br" w:eastAsia="pt-br" w:bidi="pt-br"/>
      </w:rPr>
    </w:lvl>
    <w:lvl w:ilvl="7">
      <w:start w:val="0"/>
      <w:numFmt w:val="bullet"/>
      <w:lvlText w:val="•"/>
      <w:lvlJc w:val="left"/>
      <w:pPr>
        <w:ind w:left="7348" w:hanging="269"/>
      </w:pPr>
      <w:rPr>
        <w:rFonts w:hint="default"/>
        <w:lang w:val="pt-br" w:eastAsia="pt-br" w:bidi="pt-br"/>
      </w:rPr>
    </w:lvl>
    <w:lvl w:ilvl="8">
      <w:start w:val="0"/>
      <w:numFmt w:val="bullet"/>
      <w:lvlText w:val="•"/>
      <w:lvlJc w:val="left"/>
      <w:pPr>
        <w:ind w:left="8381" w:hanging="269"/>
      </w:pPr>
      <w:rPr>
        <w:rFonts w:hint="default"/>
        <w:lang w:val="pt-br" w:eastAsia="pt-br" w:bidi="pt-br"/>
      </w:rPr>
    </w:lvl>
  </w:abstractNum>
  <w:abstractNum w:abstractNumId="2">
    <w:multiLevelType w:val="hybridMultilevel"/>
    <w:lvl w:ilvl="0">
      <w:start w:val="1"/>
      <w:numFmt w:val="decimal"/>
      <w:lvlText w:val="%1."/>
      <w:lvlJc w:val="left"/>
      <w:pPr>
        <w:ind w:left="112" w:hanging="240"/>
        <w:jc w:val="left"/>
      </w:pPr>
      <w:rPr>
        <w:rFonts w:hint="default" w:ascii="Times New Roman" w:hAnsi="Times New Roman" w:eastAsia="Times New Roman" w:cs="Times New Roman"/>
        <w:spacing w:val="-3"/>
        <w:w w:val="99"/>
        <w:sz w:val="24"/>
        <w:szCs w:val="24"/>
        <w:lang w:val="pt-br" w:eastAsia="pt-br" w:bidi="pt-br"/>
      </w:rPr>
    </w:lvl>
    <w:lvl w:ilvl="1">
      <w:start w:val="0"/>
      <w:numFmt w:val="bullet"/>
      <w:lvlText w:val="•"/>
      <w:lvlJc w:val="left"/>
      <w:pPr>
        <w:ind w:left="1152" w:hanging="240"/>
      </w:pPr>
      <w:rPr>
        <w:rFonts w:hint="default"/>
        <w:lang w:val="pt-br" w:eastAsia="pt-br" w:bidi="pt-br"/>
      </w:rPr>
    </w:lvl>
    <w:lvl w:ilvl="2">
      <w:start w:val="0"/>
      <w:numFmt w:val="bullet"/>
      <w:lvlText w:val="•"/>
      <w:lvlJc w:val="left"/>
      <w:pPr>
        <w:ind w:left="2185" w:hanging="240"/>
      </w:pPr>
      <w:rPr>
        <w:rFonts w:hint="default"/>
        <w:lang w:val="pt-br" w:eastAsia="pt-br" w:bidi="pt-br"/>
      </w:rPr>
    </w:lvl>
    <w:lvl w:ilvl="3">
      <w:start w:val="0"/>
      <w:numFmt w:val="bullet"/>
      <w:lvlText w:val="•"/>
      <w:lvlJc w:val="left"/>
      <w:pPr>
        <w:ind w:left="3217" w:hanging="240"/>
      </w:pPr>
      <w:rPr>
        <w:rFonts w:hint="default"/>
        <w:lang w:val="pt-br" w:eastAsia="pt-br" w:bidi="pt-br"/>
      </w:rPr>
    </w:lvl>
    <w:lvl w:ilvl="4">
      <w:start w:val="0"/>
      <w:numFmt w:val="bullet"/>
      <w:lvlText w:val="•"/>
      <w:lvlJc w:val="left"/>
      <w:pPr>
        <w:ind w:left="4250" w:hanging="240"/>
      </w:pPr>
      <w:rPr>
        <w:rFonts w:hint="default"/>
        <w:lang w:val="pt-br" w:eastAsia="pt-br" w:bidi="pt-br"/>
      </w:rPr>
    </w:lvl>
    <w:lvl w:ilvl="5">
      <w:start w:val="0"/>
      <w:numFmt w:val="bullet"/>
      <w:lvlText w:val="•"/>
      <w:lvlJc w:val="left"/>
      <w:pPr>
        <w:ind w:left="5283" w:hanging="240"/>
      </w:pPr>
      <w:rPr>
        <w:rFonts w:hint="default"/>
        <w:lang w:val="pt-br" w:eastAsia="pt-br" w:bidi="pt-br"/>
      </w:rPr>
    </w:lvl>
    <w:lvl w:ilvl="6">
      <w:start w:val="0"/>
      <w:numFmt w:val="bullet"/>
      <w:lvlText w:val="•"/>
      <w:lvlJc w:val="left"/>
      <w:pPr>
        <w:ind w:left="6315" w:hanging="240"/>
      </w:pPr>
      <w:rPr>
        <w:rFonts w:hint="default"/>
        <w:lang w:val="pt-br" w:eastAsia="pt-br" w:bidi="pt-br"/>
      </w:rPr>
    </w:lvl>
    <w:lvl w:ilvl="7">
      <w:start w:val="0"/>
      <w:numFmt w:val="bullet"/>
      <w:lvlText w:val="•"/>
      <w:lvlJc w:val="left"/>
      <w:pPr>
        <w:ind w:left="7348" w:hanging="240"/>
      </w:pPr>
      <w:rPr>
        <w:rFonts w:hint="default"/>
        <w:lang w:val="pt-br" w:eastAsia="pt-br" w:bidi="pt-br"/>
      </w:rPr>
    </w:lvl>
    <w:lvl w:ilvl="8">
      <w:start w:val="0"/>
      <w:numFmt w:val="bullet"/>
      <w:lvlText w:val="•"/>
      <w:lvlJc w:val="left"/>
      <w:pPr>
        <w:ind w:left="8381" w:hanging="240"/>
      </w:pPr>
      <w:rPr>
        <w:rFonts w:hint="default"/>
        <w:lang w:val="pt-br" w:eastAsia="pt-br" w:bidi="pt-br"/>
      </w:rPr>
    </w:lvl>
  </w:abstractNum>
  <w:abstractNum w:abstractNumId="1">
    <w:multiLevelType w:val="hybridMultilevel"/>
    <w:lvl w:ilvl="0">
      <w:start w:val="0"/>
      <w:numFmt w:val="bullet"/>
      <w:lvlText w:val="-"/>
      <w:lvlJc w:val="left"/>
      <w:pPr>
        <w:ind w:left="112" w:hanging="140"/>
      </w:pPr>
      <w:rPr>
        <w:rFonts w:hint="default" w:ascii="Times New Roman" w:hAnsi="Times New Roman" w:eastAsia="Times New Roman" w:cs="Times New Roman"/>
        <w:w w:val="99"/>
        <w:sz w:val="24"/>
        <w:szCs w:val="24"/>
        <w:lang w:val="pt-br" w:eastAsia="pt-br" w:bidi="pt-br"/>
      </w:rPr>
    </w:lvl>
    <w:lvl w:ilvl="1">
      <w:start w:val="0"/>
      <w:numFmt w:val="bullet"/>
      <w:lvlText w:val="•"/>
      <w:lvlJc w:val="left"/>
      <w:pPr>
        <w:ind w:left="1152" w:hanging="140"/>
      </w:pPr>
      <w:rPr>
        <w:rFonts w:hint="default"/>
        <w:lang w:val="pt-br" w:eastAsia="pt-br" w:bidi="pt-br"/>
      </w:rPr>
    </w:lvl>
    <w:lvl w:ilvl="2">
      <w:start w:val="0"/>
      <w:numFmt w:val="bullet"/>
      <w:lvlText w:val="•"/>
      <w:lvlJc w:val="left"/>
      <w:pPr>
        <w:ind w:left="2185" w:hanging="140"/>
      </w:pPr>
      <w:rPr>
        <w:rFonts w:hint="default"/>
        <w:lang w:val="pt-br" w:eastAsia="pt-br" w:bidi="pt-br"/>
      </w:rPr>
    </w:lvl>
    <w:lvl w:ilvl="3">
      <w:start w:val="0"/>
      <w:numFmt w:val="bullet"/>
      <w:lvlText w:val="•"/>
      <w:lvlJc w:val="left"/>
      <w:pPr>
        <w:ind w:left="3217" w:hanging="140"/>
      </w:pPr>
      <w:rPr>
        <w:rFonts w:hint="default"/>
        <w:lang w:val="pt-br" w:eastAsia="pt-br" w:bidi="pt-br"/>
      </w:rPr>
    </w:lvl>
    <w:lvl w:ilvl="4">
      <w:start w:val="0"/>
      <w:numFmt w:val="bullet"/>
      <w:lvlText w:val="•"/>
      <w:lvlJc w:val="left"/>
      <w:pPr>
        <w:ind w:left="4250" w:hanging="140"/>
      </w:pPr>
      <w:rPr>
        <w:rFonts w:hint="default"/>
        <w:lang w:val="pt-br" w:eastAsia="pt-br" w:bidi="pt-br"/>
      </w:rPr>
    </w:lvl>
    <w:lvl w:ilvl="5">
      <w:start w:val="0"/>
      <w:numFmt w:val="bullet"/>
      <w:lvlText w:val="•"/>
      <w:lvlJc w:val="left"/>
      <w:pPr>
        <w:ind w:left="5283" w:hanging="140"/>
      </w:pPr>
      <w:rPr>
        <w:rFonts w:hint="default"/>
        <w:lang w:val="pt-br" w:eastAsia="pt-br" w:bidi="pt-br"/>
      </w:rPr>
    </w:lvl>
    <w:lvl w:ilvl="6">
      <w:start w:val="0"/>
      <w:numFmt w:val="bullet"/>
      <w:lvlText w:val="•"/>
      <w:lvlJc w:val="left"/>
      <w:pPr>
        <w:ind w:left="6315" w:hanging="140"/>
      </w:pPr>
      <w:rPr>
        <w:rFonts w:hint="default"/>
        <w:lang w:val="pt-br" w:eastAsia="pt-br" w:bidi="pt-br"/>
      </w:rPr>
    </w:lvl>
    <w:lvl w:ilvl="7">
      <w:start w:val="0"/>
      <w:numFmt w:val="bullet"/>
      <w:lvlText w:val="•"/>
      <w:lvlJc w:val="left"/>
      <w:pPr>
        <w:ind w:left="7348" w:hanging="140"/>
      </w:pPr>
      <w:rPr>
        <w:rFonts w:hint="default"/>
        <w:lang w:val="pt-br" w:eastAsia="pt-br" w:bidi="pt-br"/>
      </w:rPr>
    </w:lvl>
    <w:lvl w:ilvl="8">
      <w:start w:val="0"/>
      <w:numFmt w:val="bullet"/>
      <w:lvlText w:val="•"/>
      <w:lvlJc w:val="left"/>
      <w:pPr>
        <w:ind w:left="8381" w:hanging="140"/>
      </w:pPr>
      <w:rPr>
        <w:rFonts w:hint="default"/>
        <w:lang w:val="pt-br" w:eastAsia="pt-br" w:bidi="pt-br"/>
      </w:rPr>
    </w:lvl>
  </w:abstractNum>
  <w:num w:numId="1">
    <w:abstractNumId w:val="0"/>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br" w:eastAsia="pt-br" w:bidi="pt-br"/>
    </w:rPr>
  </w:style>
  <w:style w:styleId="BodyText" w:type="paragraph">
    <w:name w:val="Body Text"/>
    <w:basedOn w:val="Normal"/>
    <w:uiPriority w:val="1"/>
    <w:qFormat/>
    <w:pPr>
      <w:ind w:left="112"/>
    </w:pPr>
    <w:rPr>
      <w:rFonts w:ascii="Times New Roman" w:hAnsi="Times New Roman" w:eastAsia="Times New Roman" w:cs="Times New Roman"/>
      <w:sz w:val="24"/>
      <w:szCs w:val="24"/>
      <w:lang w:val="pt-br" w:eastAsia="pt-br" w:bidi="pt-br"/>
    </w:rPr>
  </w:style>
  <w:style w:styleId="ListParagraph" w:type="paragraph">
    <w:name w:val="List Paragraph"/>
    <w:basedOn w:val="Normal"/>
    <w:uiPriority w:val="1"/>
    <w:qFormat/>
    <w:pPr>
      <w:ind w:left="112" w:firstLine="1419"/>
      <w:jc w:val="both"/>
    </w:pPr>
    <w:rPr>
      <w:rFonts w:ascii="Times New Roman" w:hAnsi="Times New Roman" w:eastAsia="Times New Roman" w:cs="Times New Roman"/>
      <w:lang w:val="pt-br" w:eastAsia="pt-br" w:bidi="pt-br"/>
    </w:rPr>
  </w:style>
  <w:style w:styleId="TableParagraph" w:type="paragraph">
    <w:name w:val="Table Paragraph"/>
    <w:basedOn w:val="Normal"/>
    <w:uiPriority w:val="1"/>
    <w:qFormat/>
    <w:pPr/>
    <w:rPr>
      <w:rFonts w:ascii="Times New Roman" w:hAnsi="Times New Roman" w:eastAsia="Times New Roman" w:cs="Times New Roman"/>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saude.gov.br/sas" TargetMode="External"/><Relationship Id="rId7" Type="http://schemas.openxmlformats.org/officeDocument/2006/relationships/hyperlink" Target="http://conitec.gov.br/"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dc:subject>Recommendations for a public health approach</dc:subject>
  <dc:title>Guidelines on Post Exposure Prophylaxis for HIV</dc:title>
  <dcterms:created xsi:type="dcterms:W3CDTF">2019-07-19T13:02:10Z</dcterms:created>
  <dcterms:modified xsi:type="dcterms:W3CDTF">2019-07-19T13:02:10Z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2013</vt:lpwstr>
  </property>
  <property fmtid="{D5CDD505-2E9C-101B-9397-08002B2CF9AE}" pid="4" name="LastSaved">
    <vt:filetime>2019-07-19T00:00:00Z</vt:filetime>
  </property>
</Properties>
</file>